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30, 2013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Wisconsin</w:t>
            </w:r>
          </w:p>
        </w:tc>
        <w:tc>
          <w:tcPr>
            <w:tcW w:w="29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1-10686</w:t>
            </w:r>
          </w:p>
        </w:tc>
        <w:tc>
          <w:tcPr>
            <w:tcW w:w="36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2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(Commission File Number)</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1"/>
        </w:trPr>
        <w:tc>
          <w:tcPr>
            <w:tcW w:w="484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1"/>
              </w:rPr>
              <w:t>Milwaukee, Wisconsin</w:t>
            </w:r>
          </w:p>
        </w:tc>
        <w:tc>
          <w:tcPr>
            <w:tcW w:w="29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4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0"/>
                <w:szCs w:val="20"/>
                <w:color w:val="auto"/>
              </w:rPr>
            </w:pPr>
          </w:p>
        </w:tc>
        <w:tc>
          <w:tcPr>
            <w:tcW w:w="36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our 2013 Annual Meeting, our shareholders voted on proposals to: (1) elect five individuals nominated by the Board of Directors of the Company to serve until 2016 as Class II directors; (2) ratify the appointment of Deloitte &amp; Touche LLP as our independent auditors for 2013; (3) an advisory vote on the compensation of our named executive officers; and (4) approve the proposed amendment to the Articles of Incorporation of ManpowerGroup Inc. to declassify the Board of Directors. The final voting results on these proposals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Broker</w:t>
            </w:r>
          </w:p>
        </w:tc>
      </w:tr>
      <w:tr>
        <w:trPr>
          <w:trHeight w:val="241"/>
        </w:trPr>
        <w:tc>
          <w:tcPr>
            <w:tcW w:w="1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For</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Against</w:t>
            </w:r>
          </w:p>
        </w:tc>
        <w:tc>
          <w:tcPr>
            <w:tcW w:w="1820" w:type="dxa"/>
            <w:vAlign w:val="bottom"/>
            <w:gridSpan w:val="2"/>
          </w:tcPr>
          <w:p>
            <w:pPr>
              <w:ind w:left="560"/>
              <w:spacing w:after="0"/>
              <w:rPr>
                <w:sz w:val="20"/>
                <w:szCs w:val="20"/>
                <w:color w:val="auto"/>
              </w:rPr>
            </w:pPr>
            <w:r>
              <w:rPr>
                <w:rFonts w:ascii="Arial" w:cs="Arial" w:eastAsia="Arial" w:hAnsi="Arial"/>
                <w:sz w:val="18"/>
                <w:szCs w:val="18"/>
                <w:b w:val="1"/>
                <w:bCs w:val="1"/>
                <w:color w:val="auto"/>
              </w:rPr>
              <w:t>Abstain</w:t>
            </w:r>
          </w:p>
        </w:tc>
        <w:tc>
          <w:tcPr>
            <w:tcW w:w="17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Non-Votes</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1.</w:t>
            </w:r>
          </w:p>
        </w:tc>
        <w:tc>
          <w:tcPr>
            <w:tcW w:w="5100" w:type="dxa"/>
            <w:vAlign w:val="bottom"/>
          </w:tcPr>
          <w:p>
            <w:pPr>
              <w:ind w:left="60"/>
              <w:spacing w:after="0"/>
              <w:rPr>
                <w:sz w:val="20"/>
                <w:szCs w:val="20"/>
                <w:color w:val="auto"/>
              </w:rPr>
            </w:pPr>
            <w:r>
              <w:rPr>
                <w:rFonts w:ascii="Arial" w:cs="Arial" w:eastAsia="Arial" w:hAnsi="Arial"/>
                <w:sz w:val="18"/>
                <w:szCs w:val="18"/>
                <w:color w:val="auto"/>
              </w:rPr>
              <w:t>a) Election of Gina R. Boswell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67,290,088</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529,216</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77,982</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2,728,438</w:t>
            </w:r>
          </w:p>
        </w:tc>
        <w:tc>
          <w:tcPr>
            <w:tcW w:w="20" w:type="dxa"/>
            <w:vAlign w:val="bottom"/>
          </w:tcPr>
          <w:p>
            <w:pPr>
              <w:spacing w:after="0"/>
              <w:rPr>
                <w:sz w:val="20"/>
                <w:szCs w:val="20"/>
                <w:color w:val="auto"/>
              </w:rPr>
            </w:pPr>
          </w:p>
        </w:tc>
      </w:tr>
      <w:tr>
        <w:trPr>
          <w:trHeight w:val="418"/>
        </w:trPr>
        <w:tc>
          <w:tcPr>
            <w:tcW w:w="18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b) Election of William Downe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65,217,846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2,599,369</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80,071</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2,728,438</w:t>
            </w:r>
          </w:p>
        </w:tc>
      </w:tr>
      <w:tr>
        <w:trPr>
          <w:trHeight w:val="432"/>
        </w:trPr>
        <w:tc>
          <w:tcPr>
            <w:tcW w:w="18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 Election of Jack M. Greenberg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53,884,606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13,933,538</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79,142</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2,728,438</w:t>
            </w:r>
          </w:p>
        </w:tc>
      </w:tr>
      <w:tr>
        <w:trPr>
          <w:trHeight w:val="432"/>
        </w:trPr>
        <w:tc>
          <w:tcPr>
            <w:tcW w:w="18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d) Election of Patricia A. Hemingway Hall</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66,829,791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988,888</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78,606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2,728,438</w:t>
            </w:r>
          </w:p>
        </w:tc>
      </w:tr>
      <w:tr>
        <w:trPr>
          <w:trHeight w:val="432"/>
        </w:trPr>
        <w:tc>
          <w:tcPr>
            <w:tcW w:w="18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e) Election of Terry A. Hueneke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65,657,089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2,161,266</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78,930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2,728,438</w:t>
            </w:r>
          </w:p>
        </w:tc>
      </w:tr>
      <w:tr>
        <w:trPr>
          <w:trHeight w:val="418"/>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5100" w:type="dxa"/>
            <w:vAlign w:val="bottom"/>
          </w:tcPr>
          <w:p>
            <w:pPr>
              <w:ind w:left="460"/>
              <w:spacing w:after="0"/>
              <w:rPr>
                <w:sz w:val="20"/>
                <w:szCs w:val="20"/>
                <w:color w:val="auto"/>
              </w:rPr>
            </w:pPr>
            <w:r>
              <w:rPr>
                <w:rFonts w:ascii="Arial" w:cs="Arial" w:eastAsia="Arial" w:hAnsi="Arial"/>
                <w:sz w:val="18"/>
                <w:szCs w:val="18"/>
                <w:color w:val="auto"/>
                <w:w w:val="97"/>
              </w:rPr>
              <w:t>Ratification of the appointment of Deloitte &amp; Touche LLP as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our independent auditors for 2013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70,171,707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379,303</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74,714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Advisory vote on the compensation of our named executive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officers</w:t>
            </w:r>
          </w:p>
        </w:tc>
        <w:tc>
          <w:tcPr>
            <w:tcW w:w="3620" w:type="dxa"/>
            <w:vAlign w:val="bottom"/>
          </w:tcPr>
          <w:p>
            <w:pPr>
              <w:jc w:val="right"/>
              <w:ind w:right="190"/>
              <w:spacing w:after="0"/>
              <w:rPr>
                <w:sz w:val="20"/>
                <w:szCs w:val="20"/>
                <w:color w:val="auto"/>
              </w:rPr>
            </w:pPr>
            <w:r>
              <w:rPr>
                <w:rFonts w:ascii="Arial" w:cs="Arial" w:eastAsia="Arial" w:hAnsi="Arial"/>
                <w:sz w:val="18"/>
                <w:szCs w:val="18"/>
                <w:color w:val="auto"/>
              </w:rPr>
              <w:t>53,132,087</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12,805,824</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1,959,374</w:t>
            </w:r>
          </w:p>
        </w:tc>
        <w:tc>
          <w:tcPr>
            <w:tcW w:w="1260" w:type="dxa"/>
            <w:vAlign w:val="bottom"/>
          </w:tcPr>
          <w:p>
            <w:pPr>
              <w:jc w:val="right"/>
              <w:spacing w:after="0"/>
              <w:rPr>
                <w:sz w:val="20"/>
                <w:szCs w:val="20"/>
                <w:color w:val="auto"/>
              </w:rPr>
            </w:pPr>
            <w:r>
              <w:rPr>
                <w:rFonts w:ascii="Arial" w:cs="Arial" w:eastAsia="Arial" w:hAnsi="Arial"/>
                <w:sz w:val="18"/>
                <w:szCs w:val="18"/>
                <w:color w:val="auto"/>
              </w:rPr>
              <w:t>2,728,438</w:t>
            </w:r>
          </w:p>
        </w:tc>
      </w:tr>
    </w:tbl>
    <w:p>
      <w:pPr>
        <w:spacing w:after="0" w:line="187" w:lineRule="exact"/>
        <w:rPr>
          <w:sz w:val="20"/>
          <w:szCs w:val="20"/>
          <w:color w:val="auto"/>
        </w:rPr>
      </w:pPr>
    </w:p>
    <w:p>
      <w:pPr>
        <w:ind w:right="6740" w:firstLine="8"/>
        <w:spacing w:after="0" w:line="291"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Approval of the proposed amendment to the Articles of Incorporation of ManpowerGroup Inc. to declassify the Board of</w:t>
      </w: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Directors</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67,526,267</w:t>
            </w: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82,850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288,169</w:t>
            </w:r>
          </w:p>
        </w:tc>
        <w:tc>
          <w:tcPr>
            <w:tcW w:w="1260" w:type="dxa"/>
            <w:vAlign w:val="bottom"/>
          </w:tcPr>
          <w:p>
            <w:pPr>
              <w:jc w:val="right"/>
              <w:spacing w:after="0"/>
              <w:rPr>
                <w:sz w:val="20"/>
                <w:szCs w:val="20"/>
                <w:color w:val="auto"/>
              </w:rPr>
            </w:pPr>
            <w:r>
              <w:rPr>
                <w:rFonts w:ascii="Arial" w:cs="Arial" w:eastAsia="Arial" w:hAnsi="Arial"/>
                <w:sz w:val="18"/>
                <w:szCs w:val="18"/>
                <w:color w:val="auto"/>
              </w:rPr>
              <w:t>2,728,438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April 30, 2013, ManpowerGroup’s Board of Directors approved changes to the chairs of both the Executive Compensation and Human Resources Committee and the Audit Committee. Ed Zore is replacing Jack Greenberg as chair of the Executive Compensation and Human Resources Committee and Gina Boswell is replacing Mr. Zore as chair of the Audit Committee. Both changes are effective as of April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3420" w:val="left"/>
          <w:tab w:leader="none" w:pos="3940" w:val="left"/>
        </w:tabs>
        <w:rPr>
          <w:sz w:val="20"/>
          <w:szCs w:val="20"/>
          <w:color w:val="auto"/>
        </w:rPr>
      </w:pPr>
      <w:r>
        <w:rPr>
          <w:rFonts w:ascii="Arial" w:cs="Arial" w:eastAsia="Arial" w:hAnsi="Arial"/>
          <w:sz w:val="18"/>
          <w:szCs w:val="18"/>
          <w:color w:val="auto"/>
        </w:rPr>
        <w:t>Dated: April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060"/>
      </w:cols>
      <w:pgMar w:left="240" w:top="60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2019-12-06T05:30:21Z</dcterms:created>
  <dcterms:modified xsi:type="dcterms:W3CDTF">2019-12-06T05:30:21Z</dcterms:modified>
</cp:coreProperties>
</file>