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6567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6567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212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PRISING JONAS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MANPOWERGROUP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212" w:gutter="0" w:footer="0" w:header="0"/>
          <w:type w:val="continuous"/>
        </w:sectPr>
      </w:pPr>
    </w:p>
    <w:p>
      <w:pPr>
        <w:spacing w:after="0" w:line="2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212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54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02/11/2022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9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41,414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41,414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02/14/2022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4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19,455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109.69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21,959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02/15/2022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23,704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45,663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02/15/2022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4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(5)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10,558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110.03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35,105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02/15/2022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35,105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298,617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36,483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36,483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36,483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(7)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23,704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23,704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99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-2381250</wp:posOffset>
            </wp:positionV>
            <wp:extent cx="29210" cy="2386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86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acquired in settlement of performance share units granted in 2019 (which were not derivative securities received under the Company's 2011 Equity Incentive Plan, exempt under Rule 16b-3).</w:t>
      </w:r>
    </w:p>
    <w:p>
      <w:pPr>
        <w:spacing w:after="0" w:line="5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by Issuer to satisfy tax withholding obligations on shares acquired on February 11, 2022 in settlement of performance share units.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opening price on the New York Stock Exchange on February 14, 2022.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vested on February 15, 2022 and were settled in shares of ManpowerGroup common stock on a 1 for 1 basis upon vesting.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by the Issuer to satisfy the tax withholding obligations on shares acquired on February 15, 2022 in settlement of restricted stock units.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opening price on the New York Stock Exchange on February 15, 2022.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under the 2011 Equity Incentive Plan of the Company. The restricted stock units will vest 100% on February 11, 2025 and will be settled in shares of ManpowerGroup common stock on a 1 for 1 basis.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-11430</wp:posOffset>
            </wp:positionV>
            <wp:extent cx="13525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9029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-15875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7073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21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4879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2022-02-15T16:52:32Z</dcterms:created>
  <dcterms:modified xsi:type="dcterms:W3CDTF">2022-02-15T16:52:32Z</dcterms:modified>
</cp:coreProperties>
</file>