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199"/>
        <w:spacing w:after="0"/>
        <w:rPr>
          <w:sz w:val="20"/>
          <w:szCs w:val="20"/>
          <w:color w:val="auto"/>
        </w:rPr>
      </w:pPr>
      <w:r>
        <w:rPr>
          <w:rFonts w:ascii="Courier New" w:cs="Courier New" w:eastAsia="Courier New" w:hAnsi="Courier New"/>
          <w:sz w:val="18"/>
          <w:szCs w:val="18"/>
          <w:color w:val="auto"/>
        </w:rPr>
        <w:t>SECURITIES AND EXCHANGE COMMISSION</w:t>
      </w:r>
    </w:p>
    <w:p>
      <w:pPr>
        <w:spacing w:after="0" w:line="201" w:lineRule="exact"/>
        <w:rPr>
          <w:sz w:val="24"/>
          <w:szCs w:val="24"/>
          <w:color w:val="auto"/>
        </w:rPr>
      </w:pPr>
    </w:p>
    <w:p>
      <w:pPr>
        <w:ind w:left="2860"/>
        <w:spacing w:after="0"/>
        <w:rPr>
          <w:sz w:val="20"/>
          <w:szCs w:val="20"/>
          <w:color w:val="auto"/>
        </w:rPr>
      </w:pPr>
      <w:r>
        <w:rPr>
          <w:rFonts w:ascii="Courier New" w:cs="Courier New" w:eastAsia="Courier New" w:hAnsi="Courier New"/>
          <w:sz w:val="18"/>
          <w:szCs w:val="18"/>
          <w:color w:val="auto"/>
        </w:rPr>
        <w:t>Washington, D.C. 20549</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FORM 10-Q</w:t>
      </w:r>
    </w:p>
    <w:p>
      <w:pPr>
        <w:spacing w:after="0" w:line="200" w:lineRule="exact"/>
        <w:rPr>
          <w:sz w:val="24"/>
          <w:szCs w:val="24"/>
          <w:color w:val="auto"/>
        </w:rPr>
      </w:pPr>
    </w:p>
    <w:p>
      <w:pPr>
        <w:spacing w:after="0" w:line="209" w:lineRule="exact"/>
        <w:rPr>
          <w:sz w:val="24"/>
          <w:szCs w:val="24"/>
          <w:color w:val="auto"/>
        </w:rPr>
      </w:pPr>
    </w:p>
    <w:p>
      <w:pPr>
        <w:ind w:right="2419" w:firstLine="8"/>
        <w:spacing w:after="0" w:line="235" w:lineRule="auto"/>
        <w:tabs>
          <w:tab w:leader="none" w:pos="843" w:val="left"/>
        </w:tabs>
        <w:numPr>
          <w:ilvl w:val="0"/>
          <w:numId w:val="1"/>
        </w:numPr>
        <w:rPr>
          <w:rFonts w:ascii="Courier New" w:cs="Courier New" w:eastAsia="Courier New" w:hAnsi="Courier New"/>
          <w:sz w:val="18"/>
          <w:szCs w:val="18"/>
          <w:color w:val="auto"/>
        </w:rPr>
      </w:pPr>
      <w:r>
        <w:rPr>
          <w:rFonts w:ascii="Courier New" w:cs="Courier New" w:eastAsia="Courier New" w:hAnsi="Courier New"/>
          <w:sz w:val="18"/>
          <w:szCs w:val="18"/>
          <w:color w:val="auto"/>
        </w:rPr>
        <w:t>Quarterly Report pursuant to Section 13 or 15(d) of the Securities Exchange Act of 1934 for the quarterly period ended:</w:t>
      </w:r>
    </w:p>
    <w:p>
      <w:pPr>
        <w:spacing w:after="0" w:line="203" w:lineRule="exact"/>
        <w:rPr>
          <w:sz w:val="24"/>
          <w:szCs w:val="24"/>
          <w:color w:val="auto"/>
        </w:rPr>
      </w:pPr>
    </w:p>
    <w:p>
      <w:pPr>
        <w:ind w:left="3480"/>
        <w:spacing w:after="0"/>
        <w:rPr>
          <w:sz w:val="20"/>
          <w:szCs w:val="20"/>
          <w:color w:val="auto"/>
        </w:rPr>
      </w:pPr>
      <w:r>
        <w:rPr>
          <w:rFonts w:ascii="Courier New" w:cs="Courier New" w:eastAsia="Courier New" w:hAnsi="Courier New"/>
          <w:sz w:val="18"/>
          <w:szCs w:val="18"/>
          <w:color w:val="auto"/>
        </w:rPr>
        <w:t>June 30, 1996</w:t>
      </w:r>
    </w:p>
    <w:p>
      <w:pPr>
        <w:spacing w:after="0" w:line="201" w:lineRule="exact"/>
        <w:rPr>
          <w:sz w:val="24"/>
          <w:szCs w:val="24"/>
          <w:color w:val="auto"/>
        </w:rPr>
      </w:pPr>
    </w:p>
    <w:p>
      <w:pPr>
        <w:ind w:left="4020"/>
        <w:spacing w:after="0"/>
        <w:rPr>
          <w:sz w:val="20"/>
          <w:szCs w:val="20"/>
          <w:color w:val="auto"/>
        </w:rPr>
      </w:pPr>
      <w:r>
        <w:rPr>
          <w:rFonts w:ascii="Courier New" w:cs="Courier New" w:eastAsia="Courier New" w:hAnsi="Courier New"/>
          <w:sz w:val="18"/>
          <w:szCs w:val="18"/>
          <w:color w:val="auto"/>
        </w:rPr>
        <w:t>or</w:t>
      </w:r>
    </w:p>
    <w:p>
      <w:pPr>
        <w:spacing w:after="0" w:line="207" w:lineRule="exact"/>
        <w:rPr>
          <w:sz w:val="24"/>
          <w:szCs w:val="24"/>
          <w:color w:val="auto"/>
        </w:rPr>
      </w:pPr>
    </w:p>
    <w:p>
      <w:pPr>
        <w:ind w:right="2319" w:firstLine="8"/>
        <w:spacing w:after="0" w:line="235" w:lineRule="auto"/>
        <w:tabs>
          <w:tab w:leader="none" w:pos="211" w:val="left"/>
        </w:tabs>
        <w:numPr>
          <w:ilvl w:val="0"/>
          <w:numId w:val="2"/>
        </w:numPr>
        <w:rPr>
          <w:rFonts w:ascii="Courier New" w:cs="Courier New" w:eastAsia="Courier New" w:hAnsi="Courier New"/>
          <w:sz w:val="18"/>
          <w:szCs w:val="18"/>
          <w:color w:val="auto"/>
        </w:rPr>
      </w:pPr>
      <w:r>
        <w:rPr>
          <w:rFonts w:ascii="Courier New" w:cs="Courier New" w:eastAsia="Courier New" w:hAnsi="Courier New"/>
          <w:sz w:val="18"/>
          <w:szCs w:val="18"/>
          <w:color w:val="auto"/>
        </w:rPr>
        <w:t>] Transition Report pursuant to Section 13 or 15(d) of the Securities Exchange Act of 1934 for the transition period from: ______to______</w:t>
      </w:r>
    </w:p>
    <w:p>
      <w:pPr>
        <w:spacing w:after="0" w:line="203" w:lineRule="exact"/>
        <w:rPr>
          <w:sz w:val="24"/>
          <w:szCs w:val="24"/>
          <w:color w:val="auto"/>
        </w:rPr>
      </w:pPr>
    </w:p>
    <w:p>
      <w:pPr>
        <w:ind w:left="2540"/>
        <w:spacing w:after="0"/>
        <w:rPr>
          <w:sz w:val="20"/>
          <w:szCs w:val="20"/>
          <w:color w:val="auto"/>
        </w:rPr>
      </w:pPr>
      <w:r>
        <w:rPr>
          <w:rFonts w:ascii="Courier New" w:cs="Courier New" w:eastAsia="Courier New" w:hAnsi="Courier New"/>
          <w:sz w:val="18"/>
          <w:szCs w:val="18"/>
          <w:color w:val="auto"/>
        </w:rPr>
        <w:t>Commission file number: 1-10686</w:t>
      </w:r>
    </w:p>
    <w:p>
      <w:pPr>
        <w:spacing w:after="0" w:line="201" w:lineRule="exact"/>
        <w:rPr>
          <w:sz w:val="24"/>
          <w:szCs w:val="24"/>
          <w:color w:val="auto"/>
        </w:rPr>
      </w:pPr>
    </w:p>
    <w:p>
      <w:pPr>
        <w:ind w:left="3580"/>
        <w:spacing w:after="0"/>
        <w:rPr>
          <w:sz w:val="20"/>
          <w:szCs w:val="20"/>
          <w:color w:val="auto"/>
        </w:rPr>
      </w:pPr>
      <w:r>
        <w:rPr>
          <w:rFonts w:ascii="Courier New" w:cs="Courier New" w:eastAsia="Courier New" w:hAnsi="Courier New"/>
          <w:sz w:val="18"/>
          <w:szCs w:val="18"/>
          <w:color w:val="auto"/>
        </w:rPr>
        <w:t>MANPOWER INC.</w:t>
      </w:r>
    </w:p>
    <w:p>
      <w:pPr>
        <w:ind w:left="1280"/>
        <w:spacing w:after="0" w:line="238" w:lineRule="auto"/>
        <w:rPr>
          <w:sz w:val="20"/>
          <w:szCs w:val="20"/>
          <w:color w:val="auto"/>
        </w:rPr>
      </w:pPr>
      <w:r>
        <w:rPr>
          <w:rFonts w:ascii="Courier New" w:cs="Courier New" w:eastAsia="Courier New" w:hAnsi="Courier New"/>
          <w:sz w:val="18"/>
          <w:szCs w:val="18"/>
          <w:color w:val="auto"/>
        </w:rPr>
        <w:t>(Exact name of registrant as specified in its charter)</w:t>
      </w:r>
    </w:p>
    <w:p>
      <w:pPr>
        <w:sectPr>
          <w:pgSz w:w="11900" w:h="16838" w:orient="portrait"/>
          <w:cols w:equalWidth="0" w:num="1">
            <w:col w:w="10219"/>
          </w:cols>
          <w:pgMar w:left="240" w:top="244" w:right="1440" w:bottom="0" w:gutter="0" w:footer="0" w:header="0"/>
        </w:sectPr>
      </w:pPr>
    </w:p>
    <w:p>
      <w:pPr>
        <w:spacing w:after="0" w:line="202"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Wisconsin</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(State or other jurisdiction</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of incorporation)</w:t>
      </w:r>
    </w:p>
    <w:p>
      <w:pPr>
        <w:spacing w:after="0" w:line="20" w:lineRule="exact"/>
        <w:rPr>
          <w:sz w:val="24"/>
          <w:szCs w:val="24"/>
          <w:color w:val="auto"/>
        </w:rPr>
      </w:pPr>
      <w:r>
        <w:rPr>
          <w:sz w:val="24"/>
          <w:szCs w:val="24"/>
          <w:color w:val="auto"/>
        </w:rPr>
        <w:br w:type="column"/>
      </w:r>
    </w:p>
    <w:p>
      <w:pPr>
        <w:spacing w:after="0" w:line="182" w:lineRule="exact"/>
        <w:rPr>
          <w:sz w:val="24"/>
          <w:szCs w:val="24"/>
          <w:color w:val="auto"/>
        </w:rPr>
      </w:pPr>
    </w:p>
    <w:p>
      <w:pPr>
        <w:ind w:left="120"/>
        <w:spacing w:after="0"/>
        <w:rPr>
          <w:sz w:val="20"/>
          <w:szCs w:val="20"/>
          <w:color w:val="auto"/>
        </w:rPr>
      </w:pPr>
      <w:r>
        <w:rPr>
          <w:rFonts w:ascii="Courier New" w:cs="Courier New" w:eastAsia="Courier New" w:hAnsi="Courier New"/>
          <w:sz w:val="18"/>
          <w:szCs w:val="18"/>
          <w:color w:val="auto"/>
        </w:rPr>
        <w:t>39-1672779</w:t>
      </w:r>
    </w:p>
    <w:p>
      <w:pPr>
        <w:spacing w:after="0" w:line="238" w:lineRule="auto"/>
        <w:rPr>
          <w:sz w:val="20"/>
          <w:szCs w:val="20"/>
          <w:color w:val="auto"/>
        </w:rPr>
      </w:pPr>
      <w:r>
        <w:rPr>
          <w:rFonts w:ascii="Courier New" w:cs="Courier New" w:eastAsia="Courier New" w:hAnsi="Courier New"/>
          <w:sz w:val="18"/>
          <w:szCs w:val="18"/>
          <w:color w:val="auto"/>
        </w:rPr>
        <w:t>(IRS Employer</w:t>
      </w:r>
    </w:p>
    <w:p>
      <w:pPr>
        <w:spacing w:after="0" w:line="5" w:lineRule="exact"/>
        <w:rPr>
          <w:sz w:val="24"/>
          <w:szCs w:val="24"/>
          <w:color w:val="auto"/>
        </w:rPr>
      </w:pPr>
    </w:p>
    <w:p>
      <w:pPr>
        <w:ind w:left="120"/>
        <w:spacing w:after="0"/>
        <w:rPr>
          <w:sz w:val="20"/>
          <w:szCs w:val="20"/>
          <w:color w:val="auto"/>
        </w:rPr>
      </w:pPr>
      <w:r>
        <w:rPr>
          <w:rFonts w:ascii="Courier New" w:cs="Courier New" w:eastAsia="Courier New" w:hAnsi="Courier New"/>
          <w:sz w:val="16"/>
          <w:szCs w:val="16"/>
          <w:color w:val="auto"/>
        </w:rPr>
        <w:t>Identification No.)</w:t>
      </w:r>
    </w:p>
    <w:p>
      <w:pPr>
        <w:spacing w:after="0" w:line="216" w:lineRule="exact"/>
        <w:rPr>
          <w:sz w:val="24"/>
          <w:szCs w:val="24"/>
          <w:color w:val="auto"/>
        </w:rPr>
      </w:pPr>
    </w:p>
    <w:p>
      <w:pPr>
        <w:sectPr>
          <w:pgSz w:w="11900" w:h="16838" w:orient="portrait"/>
          <w:cols w:equalWidth="0" w:num="2">
            <w:col w:w="5600" w:space="720"/>
            <w:col w:w="3899"/>
          </w:cols>
          <w:pgMar w:left="240" w:top="244" w:right="1440" w:bottom="0" w:gutter="0" w:footer="0" w:header="0"/>
          <w:type w:val="continuous"/>
        </w:sectPr>
      </w:pPr>
    </w:p>
    <w:p>
      <w:pPr>
        <w:spacing w:after="0" w:line="1"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5301 N. Ironwood Road</w:t>
      </w:r>
    </w:p>
    <w:p>
      <w:pPr>
        <w:spacing w:after="0" w:line="238" w:lineRule="auto"/>
        <w:rPr>
          <w:sz w:val="20"/>
          <w:szCs w:val="20"/>
          <w:color w:val="auto"/>
        </w:rPr>
      </w:pPr>
      <w:r>
        <w:rPr>
          <w:rFonts w:ascii="Courier New" w:cs="Courier New" w:eastAsia="Courier New" w:hAnsi="Courier New"/>
          <w:sz w:val="18"/>
          <w:szCs w:val="18"/>
          <w:color w:val="auto"/>
        </w:rPr>
        <w:t>Milwaukee, Wisconsin</w:t>
      </w:r>
    </w:p>
    <w:p>
      <w:pPr>
        <w:spacing w:after="0" w:line="5"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(Address of principal executive offices)</w:t>
      </w:r>
    </w:p>
    <w:p>
      <w:pPr>
        <w:spacing w:after="0" w:line="20" w:lineRule="exact"/>
        <w:rPr>
          <w:sz w:val="24"/>
          <w:szCs w:val="24"/>
          <w:color w:val="auto"/>
        </w:rPr>
      </w:pPr>
      <w:r>
        <w:rPr>
          <w:sz w:val="24"/>
          <w:szCs w:val="24"/>
          <w:color w:val="auto"/>
        </w:rPr>
        <w:br w:type="column"/>
      </w:r>
    </w:p>
    <w:p>
      <w:pPr>
        <w:spacing w:after="0" w:line="184" w:lineRule="exact"/>
        <w:rPr>
          <w:sz w:val="24"/>
          <w:szCs w:val="24"/>
          <w:color w:val="auto"/>
        </w:rPr>
      </w:pPr>
    </w:p>
    <w:p>
      <w:pPr>
        <w:ind w:left="100"/>
        <w:spacing w:after="0"/>
        <w:rPr>
          <w:sz w:val="20"/>
          <w:szCs w:val="20"/>
          <w:color w:val="auto"/>
        </w:rPr>
      </w:pPr>
      <w:r>
        <w:rPr>
          <w:rFonts w:ascii="Courier New" w:cs="Courier New" w:eastAsia="Courier New" w:hAnsi="Courier New"/>
          <w:sz w:val="18"/>
          <w:szCs w:val="18"/>
          <w:color w:val="auto"/>
        </w:rPr>
        <w:t>53217</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(Zip Code)</w:t>
      </w:r>
    </w:p>
    <w:p>
      <w:pPr>
        <w:spacing w:after="0" w:line="200" w:lineRule="exact"/>
        <w:rPr>
          <w:sz w:val="24"/>
          <w:szCs w:val="24"/>
          <w:color w:val="auto"/>
        </w:rPr>
      </w:pPr>
    </w:p>
    <w:p>
      <w:pPr>
        <w:sectPr>
          <w:pgSz w:w="11900" w:h="16838" w:orient="portrait"/>
          <w:cols w:equalWidth="0" w:num="2">
            <w:col w:w="5720" w:space="720"/>
            <w:col w:w="3779"/>
          </w:cols>
          <w:pgMar w:left="240" w:top="244" w:right="1440" w:bottom="0" w:gutter="0" w:footer="0" w:header="0"/>
          <w:type w:val="continuous"/>
        </w:sectPr>
      </w:pPr>
    </w:p>
    <w:p>
      <w:pPr>
        <w:spacing w:after="0" w:line="1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Registrant's telephone number,</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Including area code: (414) 961-1000</w:t>
      </w:r>
    </w:p>
    <w:p>
      <w:pPr>
        <w:sectPr>
          <w:pgSz w:w="11900" w:h="16838" w:orient="portrait"/>
          <w:cols w:equalWidth="0" w:num="1">
            <w:col w:w="10219"/>
          </w:cols>
          <w:pgMar w:left="240" w:top="244" w:right="1440" w:bottom="0" w:gutter="0" w:footer="0" w:header="0"/>
          <w:type w:val="continuous"/>
        </w:sectPr>
      </w:pPr>
    </w:p>
    <w:p>
      <w:pPr>
        <w:spacing w:after="0" w:line="224" w:lineRule="exact"/>
        <w:rPr>
          <w:sz w:val="24"/>
          <w:szCs w:val="24"/>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w:t>
      </w:r>
    </w:p>
    <w:p>
      <w:pPr>
        <w:spacing w:after="0" w:line="203" w:lineRule="exact"/>
        <w:rPr>
          <w:sz w:val="24"/>
          <w:szCs w:val="24"/>
          <w:color w:val="auto"/>
        </w:rPr>
      </w:pPr>
    </w:p>
    <w:p>
      <w:pPr>
        <w:ind w:left="3160"/>
        <w:spacing w:after="0"/>
        <w:tabs>
          <w:tab w:leader="none" w:pos="4200" w:val="left"/>
        </w:tabs>
        <w:rPr>
          <w:sz w:val="20"/>
          <w:szCs w:val="20"/>
          <w:color w:val="auto"/>
        </w:rPr>
      </w:pPr>
      <w:r>
        <w:rPr>
          <w:rFonts w:ascii="Courier New" w:cs="Courier New" w:eastAsia="Courier New" w:hAnsi="Courier New"/>
          <w:sz w:val="18"/>
          <w:szCs w:val="18"/>
          <w:color w:val="auto"/>
        </w:rPr>
        <w:t>Yes X</w:t>
      </w:r>
      <w:r>
        <w:rPr>
          <w:sz w:val="20"/>
          <w:szCs w:val="20"/>
          <w:color w:val="auto"/>
        </w:rPr>
        <w:tab/>
      </w:r>
      <w:r>
        <w:rPr>
          <w:rFonts w:ascii="Courier New" w:cs="Courier New" w:eastAsia="Courier New" w:hAnsi="Courier New"/>
          <w:sz w:val="18"/>
          <w:szCs w:val="18"/>
          <w:color w:val="auto"/>
        </w:rPr>
        <w:t>No</w:t>
      </w:r>
    </w:p>
    <w:p>
      <w:pPr>
        <w:spacing w:after="0" w:line="207" w:lineRule="exact"/>
        <w:rPr>
          <w:sz w:val="24"/>
          <w:szCs w:val="24"/>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Indicate the number of shares outstanding of each of the issuer's classes of common stock, as of the latest practicable date.</w:t>
      </w:r>
    </w:p>
    <w:p>
      <w:pPr>
        <w:sectPr>
          <w:pgSz w:w="11900" w:h="16838" w:orient="portrait"/>
          <w:cols w:equalWidth="0" w:num="1">
            <w:col w:w="10219"/>
          </w:cols>
          <w:pgMar w:left="240" w:top="244" w:right="1440" w:bottom="0" w:gutter="0" w:footer="0" w:header="0"/>
          <w:type w:val="continuous"/>
        </w:sectPr>
      </w:pPr>
    </w:p>
    <w:p>
      <w:pPr>
        <w:spacing w:after="0" w:line="200" w:lineRule="exact"/>
        <w:rPr>
          <w:sz w:val="24"/>
          <w:szCs w:val="24"/>
          <w:color w:val="auto"/>
        </w:rPr>
      </w:pPr>
    </w:p>
    <w:p>
      <w:pPr>
        <w:spacing w:after="0" w:line="200" w:lineRule="exact"/>
        <w:rPr>
          <w:sz w:val="24"/>
          <w:szCs w:val="24"/>
          <w:color w:val="auto"/>
        </w:rPr>
      </w:pPr>
    </w:p>
    <w:p>
      <w:pPr>
        <w:spacing w:after="0" w:line="208"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Class</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 ------------</w:t>
      </w:r>
    </w:p>
    <w:p>
      <w:pPr>
        <w:spacing w:after="0" w:line="16" w:lineRule="exact"/>
        <w:rPr>
          <w:sz w:val="24"/>
          <w:szCs w:val="24"/>
          <w:color w:val="auto"/>
        </w:rPr>
      </w:pPr>
    </w:p>
    <w:p>
      <w:pPr>
        <w:spacing w:after="0"/>
        <w:rPr>
          <w:sz w:val="20"/>
          <w:szCs w:val="20"/>
          <w:color w:val="auto"/>
        </w:rPr>
      </w:pPr>
      <w:r>
        <w:rPr>
          <w:rFonts w:ascii="Courier New" w:cs="Courier New" w:eastAsia="Courier New" w:hAnsi="Courier New"/>
          <w:sz w:val="18"/>
          <w:szCs w:val="18"/>
          <w:color w:val="auto"/>
        </w:rPr>
        <w:t>Common Stock,</w:t>
      </w:r>
    </w:p>
    <w:p>
      <w:pPr>
        <w:spacing w:after="0" w:line="4" w:lineRule="exact"/>
        <w:rPr>
          <w:sz w:val="24"/>
          <w:szCs w:val="24"/>
          <w:color w:val="auto"/>
        </w:rPr>
      </w:pPr>
    </w:p>
    <w:p>
      <w:pPr>
        <w:spacing w:after="0"/>
        <w:rPr>
          <w:sz w:val="20"/>
          <w:szCs w:val="20"/>
          <w:color w:val="auto"/>
        </w:rPr>
      </w:pPr>
      <w:r>
        <w:rPr>
          <w:rFonts w:ascii="Courier New" w:cs="Courier New" w:eastAsia="Courier New" w:hAnsi="Courier New"/>
          <w:sz w:val="16"/>
          <w:szCs w:val="16"/>
          <w:color w:val="auto"/>
        </w:rPr>
        <w:t>$.01 par value</w:t>
      </w:r>
    </w:p>
    <w:p>
      <w:pPr>
        <w:spacing w:after="0" w:line="20" w:lineRule="exact"/>
        <w:rPr>
          <w:sz w:val="24"/>
          <w:szCs w:val="24"/>
          <w:color w:val="auto"/>
        </w:rPr>
      </w:pPr>
      <w:r>
        <w:rPr>
          <w:sz w:val="24"/>
          <w:szCs w:val="24"/>
          <w:color w:val="auto"/>
        </w:rPr>
        <w:br w:type="column"/>
      </w:r>
    </w:p>
    <w:p>
      <w:pPr>
        <w:spacing w:after="0" w:line="183"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Shares</w:t>
      </w:r>
    </w:p>
    <w:p>
      <w:pPr>
        <w:ind w:left="200"/>
        <w:spacing w:after="0" w:line="238" w:lineRule="auto"/>
        <w:rPr>
          <w:sz w:val="20"/>
          <w:szCs w:val="20"/>
          <w:color w:val="auto"/>
        </w:rPr>
      </w:pPr>
      <w:r>
        <w:rPr>
          <w:rFonts w:ascii="Courier New" w:cs="Courier New" w:eastAsia="Courier New" w:hAnsi="Courier New"/>
          <w:sz w:val="18"/>
          <w:szCs w:val="18"/>
          <w:color w:val="auto"/>
        </w:rPr>
        <w:t>Outstanding</w:t>
      </w:r>
    </w:p>
    <w:p>
      <w:pPr>
        <w:spacing w:after="0"/>
        <w:rPr>
          <w:sz w:val="20"/>
          <w:szCs w:val="20"/>
          <w:color w:val="auto"/>
        </w:rPr>
      </w:pPr>
      <w:r>
        <w:rPr>
          <w:rFonts w:ascii="Courier New" w:cs="Courier New" w:eastAsia="Courier New" w:hAnsi="Courier New"/>
          <w:sz w:val="18"/>
          <w:szCs w:val="18"/>
          <w:color w:val="auto"/>
        </w:rPr>
        <w:t>at June 30, 1996</w:t>
      </w:r>
    </w:p>
    <w:p>
      <w:pPr>
        <w:spacing w:after="0" w:line="3" w:lineRule="exact"/>
        <w:rPr>
          <w:sz w:val="24"/>
          <w:szCs w:val="24"/>
          <w:color w:val="auto"/>
        </w:rPr>
      </w:pPr>
    </w:p>
    <w:p>
      <w:pPr>
        <w:ind w:left="20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4"/>
          <w:szCs w:val="24"/>
          <w:color w:val="auto"/>
        </w:rPr>
      </w:pPr>
    </w:p>
    <w:p>
      <w:pPr>
        <w:ind w:left="420"/>
        <w:spacing w:after="0"/>
        <w:rPr>
          <w:sz w:val="20"/>
          <w:szCs w:val="20"/>
          <w:color w:val="auto"/>
        </w:rPr>
      </w:pPr>
      <w:r>
        <w:rPr>
          <w:rFonts w:ascii="Courier New" w:cs="Courier New" w:eastAsia="Courier New" w:hAnsi="Courier New"/>
          <w:sz w:val="18"/>
          <w:szCs w:val="18"/>
          <w:color w:val="auto"/>
        </w:rPr>
        <w:t>82,001,153</w:t>
      </w:r>
    </w:p>
    <w:p>
      <w:pPr>
        <w:spacing w:after="0" w:line="385" w:lineRule="exact"/>
        <w:rPr>
          <w:sz w:val="24"/>
          <w:szCs w:val="24"/>
          <w:color w:val="auto"/>
        </w:rPr>
      </w:pPr>
    </w:p>
    <w:p>
      <w:pPr>
        <w:sectPr>
          <w:pgSz w:w="11900" w:h="16838" w:orient="portrait"/>
          <w:cols w:equalWidth="0" w:num="2">
            <w:col w:w="5400" w:space="720"/>
            <w:col w:w="4099"/>
          </w:cols>
          <w:pgMar w:left="240" w:top="244" w:right="1440" w:bottom="0" w:gutter="0" w:footer="0" w:header="0"/>
          <w:type w:val="continuous"/>
        </w:sectPr>
      </w:pPr>
    </w:p>
    <w:p>
      <w:pPr>
        <w:spacing w:after="0" w:line="200" w:lineRule="exact"/>
        <w:rPr>
          <w:sz w:val="24"/>
          <w:szCs w:val="24"/>
          <w:color w:val="auto"/>
        </w:rPr>
      </w:pPr>
    </w:p>
    <w:p>
      <w:pPr>
        <w:spacing w:after="0" w:line="399" w:lineRule="exact"/>
        <w:rPr>
          <w:sz w:val="24"/>
          <w:szCs w:val="24"/>
          <w:color w:val="auto"/>
        </w:rPr>
      </w:pPr>
    </w:p>
    <w:p>
      <w:pPr>
        <w:jc w:val="center"/>
        <w:ind w:right="1979"/>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4"/>
          <w:szCs w:val="24"/>
          <w:color w:val="auto"/>
        </w:rPr>
      </w:pPr>
    </w:p>
    <w:p>
      <w:pPr>
        <w:ind w:left="3800"/>
        <w:spacing w:after="0"/>
        <w:rPr>
          <w:sz w:val="20"/>
          <w:szCs w:val="20"/>
          <w:color w:val="auto"/>
        </w:rPr>
      </w:pPr>
      <w:r>
        <w:rPr>
          <w:rFonts w:ascii="Courier New" w:cs="Courier New" w:eastAsia="Courier New" w:hAnsi="Courier New"/>
          <w:sz w:val="18"/>
          <w:szCs w:val="18"/>
          <w:color w:val="auto"/>
        </w:rPr>
        <w:t>INDEX</w:t>
      </w:r>
    </w:p>
    <w:p>
      <w:pPr>
        <w:spacing w:after="0" w:line="201" w:lineRule="exact"/>
        <w:rPr>
          <w:sz w:val="24"/>
          <w:szCs w:val="24"/>
          <w:color w:val="auto"/>
        </w:rPr>
      </w:pPr>
    </w:p>
    <w:p>
      <w:pPr>
        <w:ind w:left="7380"/>
        <w:spacing w:after="0"/>
        <w:rPr>
          <w:sz w:val="20"/>
          <w:szCs w:val="20"/>
          <w:color w:val="auto"/>
        </w:rPr>
      </w:pPr>
      <w:r>
        <w:rPr>
          <w:rFonts w:ascii="Courier New" w:cs="Courier New" w:eastAsia="Courier New" w:hAnsi="Courier New"/>
          <w:sz w:val="18"/>
          <w:szCs w:val="18"/>
          <w:color w:val="auto"/>
        </w:rPr>
        <w:t>Page</w:t>
      </w:r>
    </w:p>
    <w:p>
      <w:pPr>
        <w:spacing w:after="0" w:line="4" w:lineRule="exact"/>
        <w:rPr>
          <w:sz w:val="24"/>
          <w:szCs w:val="24"/>
          <w:color w:val="auto"/>
        </w:rPr>
      </w:pPr>
    </w:p>
    <w:p>
      <w:pPr>
        <w:ind w:left="7380"/>
        <w:spacing w:after="0"/>
        <w:rPr>
          <w:sz w:val="20"/>
          <w:szCs w:val="20"/>
          <w:color w:val="auto"/>
        </w:rPr>
      </w:pPr>
      <w:r>
        <w:rPr>
          <w:rFonts w:ascii="Courier New" w:cs="Courier New" w:eastAsia="Courier New" w:hAnsi="Courier New"/>
          <w:sz w:val="16"/>
          <w:szCs w:val="16"/>
          <w:color w:val="auto"/>
        </w:rPr>
        <w:t>Number</w:t>
      </w:r>
    </w:p>
    <w:p>
      <w:pPr>
        <w:spacing w:after="0" w:line="218"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PART I</w:t>
      </w:r>
      <w:r>
        <w:rPr>
          <w:sz w:val="20"/>
          <w:szCs w:val="20"/>
          <w:color w:val="auto"/>
        </w:rPr>
        <w:tab/>
      </w:r>
      <w:r>
        <w:rPr>
          <w:rFonts w:ascii="Courier New" w:cs="Courier New" w:eastAsia="Courier New" w:hAnsi="Courier New"/>
          <w:sz w:val="16"/>
          <w:szCs w:val="16"/>
          <w:color w:val="auto"/>
        </w:rPr>
        <w:t>- FINANCIAL INFORMATION</w:t>
      </w:r>
    </w:p>
    <w:p>
      <w:pPr>
        <w:spacing w:after="0" w:line="201" w:lineRule="exact"/>
        <w:rPr>
          <w:sz w:val="24"/>
          <w:szCs w:val="24"/>
          <w:color w:val="auto"/>
        </w:rPr>
      </w:pPr>
    </w:p>
    <w:p>
      <w:pPr>
        <w:spacing w:after="0"/>
        <w:tabs>
          <w:tab w:leader="none" w:pos="1560" w:val="left"/>
        </w:tabs>
        <w:rPr>
          <w:sz w:val="20"/>
          <w:szCs w:val="20"/>
          <w:color w:val="auto"/>
        </w:rPr>
      </w:pPr>
      <w:r>
        <w:rPr>
          <w:rFonts w:ascii="Courier New" w:cs="Courier New" w:eastAsia="Courier New" w:hAnsi="Courier New"/>
          <w:sz w:val="18"/>
          <w:szCs w:val="18"/>
          <w:color w:val="auto"/>
        </w:rPr>
        <w:t>Item 1</w:t>
      </w:r>
      <w:r>
        <w:rPr>
          <w:sz w:val="20"/>
          <w:szCs w:val="20"/>
          <w:color w:val="auto"/>
        </w:rPr>
        <w:tab/>
      </w:r>
      <w:r>
        <w:rPr>
          <w:rFonts w:ascii="Courier New" w:cs="Courier New" w:eastAsia="Courier New" w:hAnsi="Courier New"/>
          <w:sz w:val="16"/>
          <w:szCs w:val="16"/>
          <w:color w:val="auto"/>
        </w:rPr>
        <w:t>- Financial Statements (unaudited)</w:t>
      </w:r>
    </w:p>
    <w:p>
      <w:pPr>
        <w:spacing w:after="0" w:line="201" w:lineRule="exact"/>
        <w:rPr>
          <w:sz w:val="24"/>
          <w:szCs w:val="24"/>
          <w:color w:val="auto"/>
        </w:rPr>
      </w:pPr>
    </w:p>
    <w:tbl>
      <w:tblPr>
        <w:tblLayout w:type="fixed"/>
        <w:tblInd w:w="0" w:type="dxa"/>
        <w:tblCellMar>
          <w:top w:w="0" w:type="dxa"/>
          <w:left w:w="0" w:type="dxa"/>
          <w:bottom w:w="0" w:type="dxa"/>
          <w:right w:w="0" w:type="dxa"/>
        </w:tblCellMar>
      </w:tblPr>
      <w:tr>
        <w:trPr>
          <w:trHeight w:val="204"/>
        </w:trPr>
        <w:tc>
          <w:tcPr>
            <w:tcW w:w="1160" w:type="dxa"/>
            <w:vAlign w:val="bottom"/>
          </w:tcPr>
          <w:p>
            <w:pPr>
              <w:spacing w:after="0"/>
              <w:rPr>
                <w:sz w:val="17"/>
                <w:szCs w:val="17"/>
                <w:color w:val="auto"/>
              </w:rPr>
            </w:pPr>
          </w:p>
        </w:tc>
        <w:tc>
          <w:tcPr>
            <w:tcW w:w="2480" w:type="dxa"/>
            <w:vAlign w:val="bottom"/>
          </w:tcPr>
          <w:p>
            <w:pPr>
              <w:ind w:left="960"/>
              <w:spacing w:after="0"/>
              <w:rPr>
                <w:sz w:val="20"/>
                <w:szCs w:val="20"/>
                <w:color w:val="auto"/>
              </w:rPr>
            </w:pPr>
            <w:r>
              <w:rPr>
                <w:rFonts w:ascii="Courier New" w:cs="Courier New" w:eastAsia="Courier New" w:hAnsi="Courier New"/>
                <w:sz w:val="18"/>
                <w:szCs w:val="18"/>
                <w:color w:val="auto"/>
                <w:w w:val="99"/>
              </w:rPr>
              <w:t>- Consolidated</w:t>
            </w:r>
          </w:p>
        </w:tc>
        <w:tc>
          <w:tcPr>
            <w:tcW w:w="3640" w:type="dxa"/>
            <w:vAlign w:val="bottom"/>
            <w:gridSpan w:val="2"/>
          </w:tcPr>
          <w:p>
            <w:pPr>
              <w:ind w:left="60"/>
              <w:spacing w:after="0"/>
              <w:rPr>
                <w:sz w:val="20"/>
                <w:szCs w:val="20"/>
                <w:color w:val="auto"/>
              </w:rPr>
            </w:pPr>
            <w:r>
              <w:rPr>
                <w:rFonts w:ascii="Courier New" w:cs="Courier New" w:eastAsia="Courier New" w:hAnsi="Courier New"/>
                <w:sz w:val="18"/>
                <w:szCs w:val="18"/>
                <w:color w:val="auto"/>
              </w:rPr>
              <w:t>Balance Sheets  . . . . . . . .</w:t>
            </w:r>
          </w:p>
        </w:tc>
        <w:tc>
          <w:tcPr>
            <w:tcW w:w="62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3-4</w:t>
            </w:r>
          </w:p>
        </w:tc>
      </w:tr>
      <w:tr>
        <w:trPr>
          <w:trHeight w:val="405"/>
        </w:trPr>
        <w:tc>
          <w:tcPr>
            <w:tcW w:w="1160" w:type="dxa"/>
            <w:vAlign w:val="bottom"/>
          </w:tcPr>
          <w:p>
            <w:pPr>
              <w:spacing w:after="0"/>
              <w:rPr>
                <w:sz w:val="24"/>
                <w:szCs w:val="24"/>
                <w:color w:val="auto"/>
              </w:rPr>
            </w:pPr>
          </w:p>
        </w:tc>
        <w:tc>
          <w:tcPr>
            <w:tcW w:w="2480" w:type="dxa"/>
            <w:vAlign w:val="bottom"/>
          </w:tcPr>
          <w:p>
            <w:pPr>
              <w:ind w:left="960"/>
              <w:spacing w:after="0"/>
              <w:rPr>
                <w:sz w:val="20"/>
                <w:szCs w:val="20"/>
                <w:color w:val="auto"/>
              </w:rPr>
            </w:pPr>
            <w:r>
              <w:rPr>
                <w:rFonts w:ascii="Courier New" w:cs="Courier New" w:eastAsia="Courier New" w:hAnsi="Courier New"/>
                <w:sz w:val="18"/>
                <w:szCs w:val="18"/>
                <w:color w:val="auto"/>
                <w:w w:val="99"/>
              </w:rPr>
              <w:t>- Consolidated</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Statements of</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Operations  . . .</w:t>
            </w:r>
          </w:p>
        </w:tc>
        <w:tc>
          <w:tcPr>
            <w:tcW w:w="62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5</w:t>
            </w:r>
          </w:p>
        </w:tc>
      </w:tr>
      <w:tr>
        <w:trPr>
          <w:trHeight w:val="405"/>
        </w:trPr>
        <w:tc>
          <w:tcPr>
            <w:tcW w:w="1160" w:type="dxa"/>
            <w:vAlign w:val="bottom"/>
          </w:tcPr>
          <w:p>
            <w:pPr>
              <w:spacing w:after="0"/>
              <w:rPr>
                <w:sz w:val="24"/>
                <w:szCs w:val="24"/>
                <w:color w:val="auto"/>
              </w:rPr>
            </w:pPr>
          </w:p>
        </w:tc>
        <w:tc>
          <w:tcPr>
            <w:tcW w:w="2480" w:type="dxa"/>
            <w:vAlign w:val="bottom"/>
          </w:tcPr>
          <w:p>
            <w:pPr>
              <w:ind w:left="960"/>
              <w:spacing w:after="0"/>
              <w:rPr>
                <w:sz w:val="20"/>
                <w:szCs w:val="20"/>
                <w:color w:val="auto"/>
              </w:rPr>
            </w:pPr>
            <w:r>
              <w:rPr>
                <w:rFonts w:ascii="Courier New" w:cs="Courier New" w:eastAsia="Courier New" w:hAnsi="Courier New"/>
                <w:sz w:val="18"/>
                <w:szCs w:val="18"/>
                <w:color w:val="auto"/>
                <w:w w:val="99"/>
              </w:rPr>
              <w:t>- Consolidated</w:t>
            </w:r>
          </w:p>
        </w:tc>
        <w:tc>
          <w:tcPr>
            <w:tcW w:w="152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9"/>
              </w:rPr>
              <w:t>Statements of</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Cash Flows  . . .</w:t>
            </w:r>
          </w:p>
        </w:tc>
        <w:tc>
          <w:tcPr>
            <w:tcW w:w="620" w:type="dxa"/>
            <w:vAlign w:val="bottom"/>
          </w:tcPr>
          <w:p>
            <w:pPr>
              <w:jc w:val="center"/>
              <w:ind w:left="32"/>
              <w:spacing w:after="0"/>
              <w:rPr>
                <w:sz w:val="20"/>
                <w:szCs w:val="20"/>
                <w:color w:val="auto"/>
              </w:rPr>
            </w:pPr>
            <w:r>
              <w:rPr>
                <w:rFonts w:ascii="Courier New" w:cs="Courier New" w:eastAsia="Courier New" w:hAnsi="Courier New"/>
                <w:sz w:val="18"/>
                <w:szCs w:val="18"/>
                <w:color w:val="auto"/>
                <w:w w:val="92"/>
              </w:rPr>
              <w:t>6</w:t>
            </w:r>
          </w:p>
        </w:tc>
      </w:tr>
      <w:tr>
        <w:trPr>
          <w:trHeight w:val="405"/>
        </w:trPr>
        <w:tc>
          <w:tcPr>
            <w:tcW w:w="1160" w:type="dxa"/>
            <w:vAlign w:val="bottom"/>
          </w:tcPr>
          <w:p>
            <w:pPr>
              <w:spacing w:after="0"/>
              <w:rPr>
                <w:sz w:val="24"/>
                <w:szCs w:val="24"/>
                <w:color w:val="auto"/>
              </w:rPr>
            </w:pPr>
          </w:p>
        </w:tc>
        <w:tc>
          <w:tcPr>
            <w:tcW w:w="6120" w:type="dxa"/>
            <w:vAlign w:val="bottom"/>
            <w:gridSpan w:val="3"/>
          </w:tcPr>
          <w:p>
            <w:pPr>
              <w:ind w:left="960"/>
              <w:spacing w:after="0"/>
              <w:rPr>
                <w:sz w:val="20"/>
                <w:szCs w:val="20"/>
                <w:color w:val="auto"/>
              </w:rPr>
            </w:pPr>
            <w:r>
              <w:rPr>
                <w:rFonts w:ascii="Courier New" w:cs="Courier New" w:eastAsia="Courier New" w:hAnsi="Courier New"/>
                <w:sz w:val="18"/>
                <w:szCs w:val="18"/>
                <w:color w:val="auto"/>
              </w:rPr>
              <w:t>- Notes to Consolidated Financial Statements .</w:t>
            </w:r>
          </w:p>
        </w:tc>
        <w:tc>
          <w:tcPr>
            <w:tcW w:w="620" w:type="dxa"/>
            <w:vAlign w:val="bottom"/>
          </w:tcPr>
          <w:p>
            <w:pPr>
              <w:jc w:val="center"/>
              <w:ind w:left="12"/>
              <w:spacing w:after="0"/>
              <w:rPr>
                <w:sz w:val="20"/>
                <w:szCs w:val="20"/>
                <w:color w:val="auto"/>
              </w:rPr>
            </w:pPr>
            <w:r>
              <w:rPr>
                <w:rFonts w:ascii="Courier New" w:cs="Courier New" w:eastAsia="Courier New" w:hAnsi="Courier New"/>
                <w:sz w:val="18"/>
                <w:szCs w:val="18"/>
                <w:color w:val="auto"/>
                <w:w w:val="98"/>
              </w:rPr>
              <w:t>7-8</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2</w:t>
            </w:r>
          </w:p>
        </w:tc>
        <w:tc>
          <w:tcPr>
            <w:tcW w:w="6120" w:type="dxa"/>
            <w:vAlign w:val="bottom"/>
            <w:gridSpan w:val="3"/>
          </w:tcPr>
          <w:p>
            <w:pPr>
              <w:ind w:left="420"/>
              <w:spacing w:after="0"/>
              <w:rPr>
                <w:sz w:val="20"/>
                <w:szCs w:val="20"/>
                <w:color w:val="auto"/>
              </w:rPr>
            </w:pPr>
            <w:r>
              <w:rPr>
                <w:rFonts w:ascii="Courier New" w:cs="Courier New" w:eastAsia="Courier New" w:hAnsi="Courier New"/>
                <w:sz w:val="18"/>
                <w:szCs w:val="18"/>
                <w:color w:val="auto"/>
              </w:rPr>
              <w:t>- Management's Discussion and Analysis of</w:t>
            </w:r>
          </w:p>
        </w:tc>
        <w:tc>
          <w:tcPr>
            <w:tcW w:w="62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400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rPr>
              <w:t>Financial Condition and Results</w:t>
            </w:r>
          </w:p>
        </w:tc>
        <w:tc>
          <w:tcPr>
            <w:tcW w:w="2120" w:type="dxa"/>
            <w:vAlign w:val="bottom"/>
          </w:tcPr>
          <w:p>
            <w:pPr>
              <w:spacing w:after="0" w:line="203" w:lineRule="exact"/>
              <w:rPr>
                <w:sz w:val="20"/>
                <w:szCs w:val="20"/>
                <w:color w:val="auto"/>
              </w:rPr>
            </w:pPr>
            <w:r>
              <w:rPr>
                <w:rFonts w:ascii="Courier New" w:cs="Courier New" w:eastAsia="Courier New" w:hAnsi="Courier New"/>
                <w:sz w:val="18"/>
                <w:szCs w:val="18"/>
                <w:color w:val="auto"/>
              </w:rPr>
              <w:t>of Operations  . .</w:t>
            </w:r>
          </w:p>
        </w:tc>
        <w:tc>
          <w:tcPr>
            <w:tcW w:w="6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8-10</w:t>
            </w: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PART II</w:t>
            </w:r>
          </w:p>
        </w:tc>
        <w:tc>
          <w:tcPr>
            <w:tcW w:w="2480" w:type="dxa"/>
            <w:vAlign w:val="bottom"/>
          </w:tcPr>
          <w:p>
            <w:pPr>
              <w:ind w:left="420"/>
              <w:spacing w:after="0"/>
              <w:rPr>
                <w:sz w:val="20"/>
                <w:szCs w:val="20"/>
                <w:color w:val="auto"/>
              </w:rPr>
            </w:pPr>
            <w:r>
              <w:rPr>
                <w:rFonts w:ascii="Courier New" w:cs="Courier New" w:eastAsia="Courier New" w:hAnsi="Courier New"/>
                <w:sz w:val="18"/>
                <w:szCs w:val="18"/>
                <w:color w:val="auto"/>
                <w:w w:val="99"/>
              </w:rPr>
              <w:t>- OTHER INFORMATION</w:t>
            </w:r>
          </w:p>
        </w:tc>
        <w:tc>
          <w:tcPr>
            <w:tcW w:w="1520" w:type="dxa"/>
            <w:vAlign w:val="bottom"/>
          </w:tcPr>
          <w:p>
            <w:pPr>
              <w:ind w:left="60"/>
              <w:spacing w:after="0"/>
              <w:rPr>
                <w:sz w:val="20"/>
                <w:szCs w:val="20"/>
                <w:color w:val="auto"/>
              </w:rPr>
            </w:pPr>
            <w:r>
              <w:rPr>
                <w:rFonts w:ascii="Courier New" w:cs="Courier New" w:eastAsia="Courier New" w:hAnsi="Courier New"/>
                <w:sz w:val="18"/>
                <w:szCs w:val="18"/>
                <w:color w:val="auto"/>
                <w:w w:val="95"/>
              </w:rPr>
              <w:t>AND SIGNATURES</w:t>
            </w:r>
          </w:p>
        </w:tc>
        <w:tc>
          <w:tcPr>
            <w:tcW w:w="2120" w:type="dxa"/>
            <w:vAlign w:val="bottom"/>
          </w:tcPr>
          <w:p>
            <w:pPr>
              <w:spacing w:after="0"/>
              <w:rPr>
                <w:sz w:val="24"/>
                <w:szCs w:val="24"/>
                <w:color w:val="auto"/>
              </w:rPr>
            </w:pPr>
          </w:p>
        </w:tc>
        <w:tc>
          <w:tcPr>
            <w:tcW w:w="620" w:type="dxa"/>
            <w:vAlign w:val="bottom"/>
          </w:tcPr>
          <w:p>
            <w:pPr>
              <w:spacing w:after="0"/>
              <w:rPr>
                <w:sz w:val="24"/>
                <w:szCs w:val="24"/>
                <w:color w:val="auto"/>
              </w:rPr>
            </w:pPr>
          </w:p>
        </w:tc>
      </w:tr>
      <w:tr>
        <w:trPr>
          <w:trHeight w:val="405"/>
        </w:trPr>
        <w:tc>
          <w:tcPr>
            <w:tcW w:w="1160" w:type="dxa"/>
            <w:vAlign w:val="bottom"/>
          </w:tcPr>
          <w:p>
            <w:pPr>
              <w:spacing w:after="0"/>
              <w:rPr>
                <w:sz w:val="20"/>
                <w:szCs w:val="20"/>
                <w:color w:val="auto"/>
              </w:rPr>
            </w:pPr>
            <w:r>
              <w:rPr>
                <w:rFonts w:ascii="Courier New" w:cs="Courier New" w:eastAsia="Courier New" w:hAnsi="Courier New"/>
                <w:sz w:val="18"/>
                <w:szCs w:val="18"/>
                <w:color w:val="auto"/>
              </w:rPr>
              <w:t>Item 4</w:t>
            </w:r>
          </w:p>
        </w:tc>
        <w:tc>
          <w:tcPr>
            <w:tcW w:w="4000" w:type="dxa"/>
            <w:vAlign w:val="bottom"/>
            <w:gridSpan w:val="2"/>
          </w:tcPr>
          <w:p>
            <w:pPr>
              <w:jc w:val="right"/>
              <w:ind w:right="12"/>
              <w:spacing w:after="0"/>
              <w:rPr>
                <w:sz w:val="20"/>
                <w:szCs w:val="20"/>
                <w:color w:val="auto"/>
              </w:rPr>
            </w:pPr>
            <w:r>
              <w:rPr>
                <w:rFonts w:ascii="Courier New" w:cs="Courier New" w:eastAsia="Courier New" w:hAnsi="Courier New"/>
                <w:sz w:val="18"/>
                <w:szCs w:val="18"/>
                <w:color w:val="auto"/>
              </w:rPr>
              <w:t>- Submission of Matters to a Vote</w:t>
            </w:r>
          </w:p>
        </w:tc>
        <w:tc>
          <w:tcPr>
            <w:tcW w:w="2120" w:type="dxa"/>
            <w:vAlign w:val="bottom"/>
          </w:tcPr>
          <w:p>
            <w:pPr>
              <w:spacing w:after="0"/>
              <w:rPr>
                <w:sz w:val="20"/>
                <w:szCs w:val="20"/>
                <w:color w:val="auto"/>
              </w:rPr>
            </w:pPr>
            <w:r>
              <w:rPr>
                <w:rFonts w:ascii="Courier New" w:cs="Courier New" w:eastAsia="Courier New" w:hAnsi="Courier New"/>
                <w:sz w:val="18"/>
                <w:szCs w:val="18"/>
                <w:color w:val="auto"/>
              </w:rPr>
              <w:t>of Security</w:t>
            </w:r>
          </w:p>
        </w:tc>
        <w:tc>
          <w:tcPr>
            <w:tcW w:w="620" w:type="dxa"/>
            <w:vAlign w:val="bottom"/>
          </w:tcPr>
          <w:p>
            <w:pPr>
              <w:spacing w:after="0"/>
              <w:rPr>
                <w:sz w:val="24"/>
                <w:szCs w:val="24"/>
                <w:color w:val="auto"/>
              </w:rPr>
            </w:pPr>
          </w:p>
        </w:tc>
      </w:tr>
      <w:tr>
        <w:trPr>
          <w:trHeight w:val="203"/>
        </w:trPr>
        <w:tc>
          <w:tcPr>
            <w:tcW w:w="1160" w:type="dxa"/>
            <w:vAlign w:val="bottom"/>
          </w:tcPr>
          <w:p>
            <w:pPr>
              <w:spacing w:after="0"/>
              <w:rPr>
                <w:sz w:val="17"/>
                <w:szCs w:val="17"/>
                <w:color w:val="auto"/>
              </w:rPr>
            </w:pPr>
          </w:p>
        </w:tc>
        <w:tc>
          <w:tcPr>
            <w:tcW w:w="6120" w:type="dxa"/>
            <w:vAlign w:val="bottom"/>
            <w:gridSpan w:val="3"/>
          </w:tcPr>
          <w:p>
            <w:pPr>
              <w:ind w:left="640"/>
              <w:spacing w:after="0" w:line="203" w:lineRule="exact"/>
              <w:rPr>
                <w:sz w:val="20"/>
                <w:szCs w:val="20"/>
                <w:color w:val="auto"/>
              </w:rPr>
            </w:pPr>
            <w:r>
              <w:rPr>
                <w:rFonts w:ascii="Courier New" w:cs="Courier New" w:eastAsia="Courier New" w:hAnsi="Courier New"/>
                <w:sz w:val="18"/>
                <w:szCs w:val="18"/>
                <w:color w:val="auto"/>
              </w:rPr>
              <w:t>Holders  . . . . . . . . . . . . . . . . . . . . .</w:t>
            </w:r>
          </w:p>
        </w:tc>
        <w:tc>
          <w:tcPr>
            <w:tcW w:w="6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w:t>
            </w:r>
          </w:p>
        </w:tc>
      </w:tr>
    </w:tbl>
    <w:p>
      <w:pPr>
        <w:sectPr>
          <w:pgSz w:w="11900" w:h="16838" w:orient="portrait"/>
          <w:cols w:equalWidth="0" w:num="1">
            <w:col w:w="10219"/>
          </w:cols>
          <w:pgMar w:left="240" w:top="244" w:right="1440" w:bottom="0" w:gutter="0" w:footer="0" w:header="0"/>
          <w:type w:val="continuous"/>
        </w:sectPr>
      </w:pPr>
    </w:p>
    <w:bookmarkStart w:id="1" w:name="page2"/>
    <w:bookmarkEnd w:id="1"/>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5</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6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8"/>
              </w:rPr>
              <w:t>Other Information  . . . . . . . . . . . . . . .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480" w:type="dxa"/>
            <w:vAlign w:val="bottom"/>
          </w:tcPr>
          <w:p>
            <w:pPr>
              <w:spacing w:after="0"/>
              <w:rPr>
                <w:sz w:val="20"/>
                <w:szCs w:val="20"/>
                <w:color w:val="auto"/>
              </w:rPr>
            </w:pPr>
            <w:r>
              <w:rPr>
                <w:rFonts w:ascii="Courier New" w:cs="Courier New" w:eastAsia="Courier New" w:hAnsi="Courier New"/>
                <w:sz w:val="18"/>
                <w:szCs w:val="18"/>
                <w:color w:val="auto"/>
              </w:rPr>
              <w:t>Item</w:t>
            </w:r>
          </w:p>
        </w:tc>
        <w:tc>
          <w:tcPr>
            <w:tcW w:w="840" w:type="dxa"/>
            <w:vAlign w:val="bottom"/>
          </w:tcPr>
          <w:p>
            <w:pPr>
              <w:jc w:val="right"/>
              <w:ind w:right="592"/>
              <w:spacing w:after="0"/>
              <w:rPr>
                <w:sz w:val="20"/>
                <w:szCs w:val="20"/>
                <w:color w:val="auto"/>
              </w:rPr>
            </w:pPr>
            <w:r>
              <w:rPr>
                <w:rFonts w:ascii="Courier New" w:cs="Courier New" w:eastAsia="Courier New" w:hAnsi="Courier New"/>
                <w:sz w:val="18"/>
                <w:szCs w:val="18"/>
                <w:color w:val="auto"/>
              </w:rPr>
              <w:t>6</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56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8"/>
              </w:rPr>
              <w:t>Exhibits and Reports on Form 8-K . . . . . . . .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10</w:t>
            </w:r>
          </w:p>
        </w:tc>
      </w:tr>
      <w:tr>
        <w:trPr>
          <w:trHeight w:val="405"/>
        </w:trPr>
        <w:tc>
          <w:tcPr>
            <w:tcW w:w="1320" w:type="dxa"/>
            <w:vAlign w:val="bottom"/>
            <w:gridSpan w:val="2"/>
          </w:tcPr>
          <w:p>
            <w:pPr>
              <w:spacing w:after="0"/>
              <w:rPr>
                <w:sz w:val="20"/>
                <w:szCs w:val="20"/>
                <w:color w:val="auto"/>
              </w:rPr>
            </w:pPr>
            <w:r>
              <w:rPr>
                <w:rFonts w:ascii="Courier New" w:cs="Courier New" w:eastAsia="Courier New" w:hAnsi="Courier New"/>
                <w:sz w:val="18"/>
                <w:szCs w:val="18"/>
                <w:color w:val="auto"/>
              </w:rPr>
              <w:t>Signatures</w:t>
            </w:r>
          </w:p>
        </w:tc>
        <w:tc>
          <w:tcPr>
            <w:tcW w:w="380" w:type="dxa"/>
            <w:vAlign w:val="bottom"/>
          </w:tcPr>
          <w:p>
            <w:pPr>
              <w:spacing w:after="0"/>
              <w:rPr>
                <w:sz w:val="24"/>
                <w:szCs w:val="24"/>
                <w:color w:val="auto"/>
              </w:rPr>
            </w:pPr>
          </w:p>
        </w:tc>
        <w:tc>
          <w:tcPr>
            <w:tcW w:w="5620" w:type="dxa"/>
            <w:vAlign w:val="bottom"/>
          </w:tcPr>
          <w:p>
            <w:pPr>
              <w:jc w:val="right"/>
              <w:ind w:right="172"/>
              <w:spacing w:after="0"/>
              <w:rPr>
                <w:sz w:val="20"/>
                <w:szCs w:val="20"/>
                <w:color w:val="auto"/>
              </w:rPr>
            </w:pPr>
            <w:r>
              <w:rPr>
                <w:rFonts w:ascii="Courier New" w:cs="Courier New" w:eastAsia="Courier New" w:hAnsi="Courier New"/>
                <w:sz w:val="18"/>
                <w:szCs w:val="18"/>
                <w:color w:val="auto"/>
                <w:w w:val="96"/>
              </w:rPr>
              <w:t>. . . . . . . . . . . . . . . . . . . . . . . . . .</w:t>
            </w:r>
          </w:p>
        </w:tc>
        <w:tc>
          <w:tcPr>
            <w:tcW w:w="480" w:type="dxa"/>
            <w:vAlign w:val="bottom"/>
          </w:tcPr>
          <w:p>
            <w:pPr>
              <w:jc w:val="right"/>
              <w:spacing w:after="0"/>
              <w:rPr>
                <w:sz w:val="20"/>
                <w:szCs w:val="20"/>
                <w:color w:val="auto"/>
              </w:rPr>
            </w:pPr>
            <w:r>
              <w:rPr>
                <w:rFonts w:ascii="Courier New" w:cs="Courier New" w:eastAsia="Courier New" w:hAnsi="Courier New"/>
                <w:sz w:val="18"/>
                <w:szCs w:val="18"/>
                <w:color w:val="auto"/>
              </w:rPr>
              <w:t>11</w:t>
            </w:r>
          </w:p>
        </w:tc>
      </w:tr>
    </w:tbl>
    <w:p>
      <w:pPr>
        <w:sectPr>
          <w:pgSz w:w="11900" w:h="16838" w:orient="portrait"/>
          <w:cols w:equalWidth="0" w:num="1">
            <w:col w:w="10219"/>
          </w:cols>
          <w:pgMar w:left="240" w:top="136" w:right="1440" w:bottom="1440" w:gutter="0" w:footer="0" w:header="0"/>
        </w:sectPr>
      </w:pPr>
    </w:p>
    <w:bookmarkStart w:id="2" w:name="page3"/>
    <w:bookmarkEnd w:id="2"/>
    <w:p>
      <w:pPr>
        <w:ind w:left="2320"/>
        <w:spacing w:after="0"/>
        <w:rPr>
          <w:sz w:val="20"/>
          <w:szCs w:val="20"/>
          <w:color w:val="auto"/>
        </w:rPr>
      </w:pPr>
      <w:r>
        <w:rPr>
          <w:rFonts w:ascii="Courier New" w:cs="Courier New" w:eastAsia="Courier New" w:hAnsi="Courier New"/>
          <w:sz w:val="18"/>
          <w:szCs w:val="18"/>
          <w:color w:val="auto"/>
        </w:rPr>
        <w:t>PART I - FINANCIAL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1 - Financial Statements</w:t>
      </w:r>
    </w:p>
    <w:p>
      <w:pPr>
        <w:spacing w:after="0" w:line="201"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0"/>
          <w:szCs w:val="20"/>
          <w:color w:val="auto"/>
        </w:rPr>
      </w:pPr>
    </w:p>
    <w:p>
      <w:pPr>
        <w:jc w:val="center"/>
        <w:ind w:right="2519"/>
        <w:spacing w:after="0"/>
        <w:rPr>
          <w:sz w:val="20"/>
          <w:szCs w:val="20"/>
          <w:color w:val="auto"/>
        </w:rPr>
      </w:pPr>
      <w:r>
        <w:rPr>
          <w:rFonts w:ascii="Courier New" w:cs="Courier New" w:eastAsia="Courier New" w:hAnsi="Courier New"/>
          <w:sz w:val="18"/>
          <w:szCs w:val="18"/>
          <w:color w:val="auto"/>
        </w:rPr>
        <w:t>Consolidated Balance Sheets (Unaudited)</w:t>
      </w:r>
    </w:p>
    <w:p>
      <w:pPr>
        <w:jc w:val="center"/>
        <w:ind w:right="2399"/>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jc w:val="right"/>
              <w:ind w:right="752"/>
              <w:spacing w:after="0"/>
              <w:rPr>
                <w:sz w:val="20"/>
                <w:szCs w:val="20"/>
                <w:color w:val="auto"/>
              </w:rPr>
            </w:pPr>
            <w:r>
              <w:rPr>
                <w:rFonts w:ascii="Courier New" w:cs="Courier New" w:eastAsia="Courier New" w:hAnsi="Courier New"/>
                <w:sz w:val="18"/>
                <w:szCs w:val="18"/>
                <w:color w:val="auto"/>
              </w:rPr>
              <w:t>ASSETS</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405"/>
        </w:trPr>
        <w:tc>
          <w:tcPr>
            <w:tcW w:w="1640" w:type="dxa"/>
            <w:vAlign w:val="bottom"/>
          </w:tcPr>
          <w:p>
            <w:pPr>
              <w:spacing w:after="0"/>
              <w:rPr>
                <w:sz w:val="24"/>
                <w:szCs w:val="24"/>
                <w:color w:val="auto"/>
              </w:rPr>
            </w:pPr>
          </w:p>
        </w:tc>
        <w:tc>
          <w:tcPr>
            <w:tcW w:w="9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2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June 30,</w:t>
            </w:r>
          </w:p>
        </w:tc>
        <w:tc>
          <w:tcPr>
            <w:tcW w:w="142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142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w w:val="99"/>
              </w:rPr>
              <w:t>CURRENT ASSETS:</w:t>
            </w:r>
          </w:p>
        </w:tc>
        <w:tc>
          <w:tcPr>
            <w:tcW w:w="9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5060" w:type="dxa"/>
            <w:vAlign w:val="bottom"/>
            <w:gridSpan w:val="3"/>
          </w:tcPr>
          <w:p>
            <w:pPr>
              <w:spacing w:after="0"/>
              <w:rPr>
                <w:sz w:val="20"/>
                <w:szCs w:val="20"/>
                <w:color w:val="auto"/>
              </w:rPr>
            </w:pPr>
            <w:r>
              <w:rPr>
                <w:rFonts w:ascii="Courier New" w:cs="Courier New" w:eastAsia="Courier New" w:hAnsi="Courier New"/>
                <w:sz w:val="18"/>
                <w:szCs w:val="18"/>
                <w:color w:val="auto"/>
                <w:w w:val="99"/>
              </w:rPr>
              <w:t>Cash and cash equivalents . . . . . . . . . . .</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97,386</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$ 142,773</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rPr>
              <w:t>Accounts receivable, less allowance for</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0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doubtful accounts of $33,537 and</w:t>
            </w:r>
          </w:p>
        </w:tc>
        <w:tc>
          <w:tcPr>
            <w:tcW w:w="1420" w:type="dxa"/>
            <w:vAlign w:val="bottom"/>
          </w:tcPr>
          <w:p>
            <w:pPr>
              <w:spacing w:after="0"/>
              <w:rPr>
                <w:sz w:val="17"/>
                <w:szCs w:val="17"/>
                <w:color w:val="auto"/>
              </w:rPr>
            </w:pPr>
          </w:p>
        </w:tc>
        <w:tc>
          <w:tcPr>
            <w:tcW w:w="1420" w:type="dxa"/>
            <w:vAlign w:val="bottom"/>
          </w:tcPr>
          <w:p>
            <w:pPr>
              <w:spacing w:after="0"/>
              <w:rPr>
                <w:sz w:val="17"/>
                <w:szCs w:val="17"/>
                <w:color w:val="auto"/>
              </w:rPr>
            </w:pPr>
          </w:p>
        </w:tc>
      </w:tr>
      <w:tr>
        <w:trPr>
          <w:trHeight w:val="203"/>
        </w:trPr>
        <w:tc>
          <w:tcPr>
            <w:tcW w:w="5060" w:type="dxa"/>
            <w:vAlign w:val="bottom"/>
            <w:gridSpan w:val="3"/>
          </w:tcPr>
          <w:p>
            <w:pPr>
              <w:ind w:left="120"/>
              <w:spacing w:after="0" w:line="203" w:lineRule="exact"/>
              <w:rPr>
                <w:sz w:val="20"/>
                <w:szCs w:val="20"/>
                <w:color w:val="auto"/>
              </w:rPr>
            </w:pPr>
            <w:r>
              <w:rPr>
                <w:rFonts w:ascii="Courier New" w:cs="Courier New" w:eastAsia="Courier New" w:hAnsi="Courier New"/>
                <w:sz w:val="18"/>
                <w:szCs w:val="18"/>
                <w:color w:val="auto"/>
              </w:rPr>
              <w:t>$32,901, respectively   . . . . . .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1,099,714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1,043,694</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Prepaid expenses and other assets . .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45,325</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39,224</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Future income tax benefits  . . . . .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45,467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51,617</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current assets</w:t>
            </w:r>
          </w:p>
        </w:tc>
        <w:tc>
          <w:tcPr>
            <w:tcW w:w="25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w w:val="96"/>
              </w:rPr>
              <w:t>. . . . . . .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1,287,892</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1,277,308</w:t>
            </w:r>
          </w:p>
        </w:tc>
      </w:tr>
      <w:tr>
        <w:trPr>
          <w:trHeight w:val="405"/>
        </w:trPr>
        <w:tc>
          <w:tcPr>
            <w:tcW w:w="1640" w:type="dxa"/>
            <w:vAlign w:val="bottom"/>
          </w:tcPr>
          <w:p>
            <w:pPr>
              <w:spacing w:after="0"/>
              <w:rPr>
                <w:sz w:val="20"/>
                <w:szCs w:val="20"/>
                <w:color w:val="auto"/>
              </w:rPr>
            </w:pPr>
            <w:r>
              <w:rPr>
                <w:rFonts w:ascii="Courier New" w:cs="Courier New" w:eastAsia="Courier New" w:hAnsi="Courier New"/>
                <w:sz w:val="18"/>
                <w:szCs w:val="18"/>
                <w:color w:val="auto"/>
              </w:rPr>
              <w:t>OTHER ASSETS:</w:t>
            </w:r>
          </w:p>
        </w:tc>
        <w:tc>
          <w:tcPr>
            <w:tcW w:w="900" w:type="dxa"/>
            <w:vAlign w:val="bottom"/>
          </w:tcPr>
          <w:p>
            <w:pPr>
              <w:spacing w:after="0"/>
              <w:rPr>
                <w:sz w:val="24"/>
                <w:szCs w:val="24"/>
                <w:color w:val="auto"/>
              </w:rPr>
            </w:pPr>
          </w:p>
        </w:tc>
        <w:tc>
          <w:tcPr>
            <w:tcW w:w="2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w w:val="97"/>
              </w:rPr>
              <w:t>Investments in licensees</w:t>
            </w:r>
          </w:p>
        </w:tc>
        <w:tc>
          <w:tcPr>
            <w:tcW w:w="25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 . . . . . . . .</w:t>
            </w:r>
          </w:p>
        </w:tc>
        <w:tc>
          <w:tcPr>
            <w:tcW w:w="14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31,551</w:t>
            </w:r>
          </w:p>
        </w:tc>
        <w:tc>
          <w:tcPr>
            <w:tcW w:w="1420" w:type="dxa"/>
            <w:vAlign w:val="bottom"/>
          </w:tcPr>
          <w:p>
            <w:pPr>
              <w:jc w:val="right"/>
              <w:ind w:right="12"/>
              <w:spacing w:after="0"/>
              <w:rPr>
                <w:sz w:val="20"/>
                <w:szCs w:val="20"/>
                <w:color w:val="auto"/>
              </w:rPr>
            </w:pPr>
            <w:r>
              <w:rPr>
                <w:rFonts w:ascii="Courier New" w:cs="Courier New" w:eastAsia="Courier New" w:hAnsi="Courier New"/>
                <w:sz w:val="18"/>
                <w:szCs w:val="18"/>
                <w:color w:val="auto"/>
              </w:rPr>
              <w:t>31,591</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Other assets  . . . . . . . . . . . .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141,600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100,868</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Total other assets  . . . . . . . . .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173,151</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132,459</w:t>
            </w:r>
          </w:p>
        </w:tc>
      </w:tr>
      <w:tr>
        <w:trPr>
          <w:trHeight w:val="405"/>
        </w:trPr>
        <w:tc>
          <w:tcPr>
            <w:tcW w:w="2540" w:type="dxa"/>
            <w:vAlign w:val="bottom"/>
            <w:gridSpan w:val="2"/>
          </w:tcPr>
          <w:p>
            <w:pPr>
              <w:spacing w:after="0"/>
              <w:rPr>
                <w:sz w:val="20"/>
                <w:szCs w:val="20"/>
                <w:color w:val="auto"/>
              </w:rPr>
            </w:pPr>
            <w:r>
              <w:rPr>
                <w:rFonts w:ascii="Courier New" w:cs="Courier New" w:eastAsia="Courier New" w:hAnsi="Courier New"/>
                <w:sz w:val="18"/>
                <w:szCs w:val="18"/>
                <w:color w:val="auto"/>
              </w:rPr>
              <w:t>PROPERTY AND EQUIPMENT:</w:t>
            </w:r>
          </w:p>
        </w:tc>
        <w:tc>
          <w:tcPr>
            <w:tcW w:w="252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405"/>
        </w:trPr>
        <w:tc>
          <w:tcPr>
            <w:tcW w:w="5060" w:type="dxa"/>
            <w:vAlign w:val="bottom"/>
            <w:gridSpan w:val="3"/>
          </w:tcPr>
          <w:p>
            <w:pPr>
              <w:spacing w:after="0"/>
              <w:rPr>
                <w:sz w:val="20"/>
                <w:szCs w:val="20"/>
                <w:color w:val="auto"/>
              </w:rPr>
            </w:pPr>
            <w:r>
              <w:rPr>
                <w:rFonts w:ascii="Courier New" w:cs="Courier New" w:eastAsia="Courier New" w:hAnsi="Courier New"/>
                <w:sz w:val="18"/>
                <w:szCs w:val="18"/>
                <w:color w:val="auto"/>
              </w:rPr>
              <w:t>Land, buildings, leasehold improvements</w:t>
            </w:r>
          </w:p>
        </w:tc>
        <w:tc>
          <w:tcPr>
            <w:tcW w:w="142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203"/>
        </w:trPr>
        <w:tc>
          <w:tcPr>
            <w:tcW w:w="164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and equipment</w:t>
            </w:r>
          </w:p>
        </w:tc>
        <w:tc>
          <w:tcPr>
            <w:tcW w:w="3420" w:type="dxa"/>
            <w:vAlign w:val="bottom"/>
            <w:gridSpan w:val="2"/>
          </w:tcPr>
          <w:p>
            <w:pPr>
              <w:jc w:val="right"/>
              <w:ind w:right="112"/>
              <w:spacing w:after="0" w:line="203" w:lineRule="exact"/>
              <w:rPr>
                <w:sz w:val="20"/>
                <w:szCs w:val="20"/>
                <w:color w:val="auto"/>
              </w:rPr>
            </w:pPr>
            <w:r>
              <w:rPr>
                <w:rFonts w:ascii="Courier New" w:cs="Courier New" w:eastAsia="Courier New" w:hAnsi="Courier New"/>
                <w:sz w:val="18"/>
                <w:szCs w:val="18"/>
                <w:color w:val="auto"/>
              </w:rPr>
              <w:t>. . . . . . . . .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281,364</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267,526</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Less: accumulated depreciation and amortization</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169,787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159,507</w:t>
            </w:r>
          </w:p>
        </w:tc>
      </w:tr>
      <w:tr>
        <w:trPr>
          <w:trHeight w:val="203"/>
        </w:trPr>
        <w:tc>
          <w:tcPr>
            <w:tcW w:w="5060" w:type="dxa"/>
            <w:vAlign w:val="bottom"/>
            <w:gridSpan w:val="3"/>
          </w:tcPr>
          <w:p>
            <w:pPr>
              <w:spacing w:after="0" w:line="203" w:lineRule="exact"/>
              <w:rPr>
                <w:sz w:val="20"/>
                <w:szCs w:val="20"/>
                <w:color w:val="auto"/>
              </w:rPr>
            </w:pPr>
            <w:r>
              <w:rPr>
                <w:rFonts w:ascii="Courier New" w:cs="Courier New" w:eastAsia="Courier New" w:hAnsi="Courier New"/>
                <w:sz w:val="18"/>
                <w:szCs w:val="18"/>
                <w:color w:val="auto"/>
                <w:w w:val="99"/>
              </w:rPr>
              <w:t>Net property and equipment  . . . . .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111,577</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108,019</w:t>
            </w:r>
          </w:p>
        </w:tc>
      </w:tr>
      <w:tr>
        <w:trPr>
          <w:trHeight w:val="203"/>
        </w:trPr>
        <w:tc>
          <w:tcPr>
            <w:tcW w:w="1640" w:type="dxa"/>
            <w:vAlign w:val="bottom"/>
          </w:tcPr>
          <w:p>
            <w:pPr>
              <w:spacing w:after="0"/>
              <w:rPr>
                <w:sz w:val="17"/>
                <w:szCs w:val="17"/>
                <w:color w:val="auto"/>
              </w:rPr>
            </w:pPr>
          </w:p>
        </w:tc>
        <w:tc>
          <w:tcPr>
            <w:tcW w:w="900" w:type="dxa"/>
            <w:vAlign w:val="bottom"/>
          </w:tcPr>
          <w:p>
            <w:pPr>
              <w:spacing w:after="0"/>
              <w:rPr>
                <w:sz w:val="17"/>
                <w:szCs w:val="17"/>
                <w:color w:val="auto"/>
              </w:rPr>
            </w:pPr>
          </w:p>
        </w:tc>
        <w:tc>
          <w:tcPr>
            <w:tcW w:w="2520" w:type="dxa"/>
            <w:vAlign w:val="bottom"/>
          </w:tcPr>
          <w:p>
            <w:pPr>
              <w:spacing w:after="0"/>
              <w:rPr>
                <w:sz w:val="17"/>
                <w:szCs w:val="17"/>
                <w:color w:val="auto"/>
              </w:rPr>
            </w:pP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w:t>
            </w:r>
          </w:p>
        </w:tc>
        <w:tc>
          <w:tcPr>
            <w:tcW w:w="14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164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assets</w:t>
            </w:r>
          </w:p>
        </w:tc>
        <w:tc>
          <w:tcPr>
            <w:tcW w:w="3420" w:type="dxa"/>
            <w:vAlign w:val="bottom"/>
            <w:gridSpan w:val="2"/>
          </w:tcPr>
          <w:p>
            <w:pPr>
              <w:jc w:val="right"/>
              <w:ind w:right="12"/>
              <w:spacing w:after="0" w:line="203" w:lineRule="exact"/>
              <w:rPr>
                <w:sz w:val="20"/>
                <w:szCs w:val="20"/>
                <w:color w:val="auto"/>
              </w:rPr>
            </w:pPr>
            <w:r>
              <w:rPr>
                <w:rFonts w:ascii="Courier New" w:cs="Courier New" w:eastAsia="Courier New" w:hAnsi="Courier New"/>
                <w:sz w:val="18"/>
                <w:szCs w:val="18"/>
                <w:color w:val="auto"/>
                <w:w w:val="98"/>
              </w:rPr>
              <w:t>. . . . . . . . . . . . . . . .</w:t>
            </w:r>
          </w:p>
        </w:tc>
        <w:tc>
          <w:tcPr>
            <w:tcW w:w="14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$1,572,620</w:t>
            </w:r>
          </w:p>
        </w:tc>
        <w:tc>
          <w:tcPr>
            <w:tcW w:w="142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$1,517,786</w:t>
            </w:r>
          </w:p>
        </w:tc>
      </w:tr>
    </w:tbl>
    <w:p>
      <w:pPr>
        <w:spacing w:after="0" w:line="207" w:lineRule="exact"/>
        <w:rPr>
          <w:sz w:val="20"/>
          <w:szCs w:val="20"/>
          <w:color w:val="auto"/>
        </w:rPr>
      </w:pPr>
    </w:p>
    <w:p>
      <w:pPr>
        <w:ind w:left="2000" w:right="2839" w:hanging="842"/>
        <w:spacing w:after="0" w:line="290" w:lineRule="auto"/>
        <w:rPr>
          <w:sz w:val="20"/>
          <w:szCs w:val="20"/>
          <w:color w:val="auto"/>
        </w:rPr>
      </w:pPr>
      <w:r>
        <w:rPr>
          <w:rFonts w:ascii="Courier New" w:cs="Courier New" w:eastAsia="Courier New" w:hAnsi="Courier New"/>
          <w:sz w:val="16"/>
          <w:szCs w:val="16"/>
          <w:color w:val="auto"/>
        </w:rPr>
        <w:t>The accompanying notes to consolidated financial statements are an integral part of these balance sheets.</w:t>
      </w:r>
    </w:p>
    <w:p>
      <w:pPr>
        <w:sectPr>
          <w:pgSz w:w="11900" w:h="16838" w:orient="portrait"/>
          <w:cols w:equalWidth="0" w:num="1">
            <w:col w:w="10219"/>
          </w:cols>
          <w:pgMar w:left="240" w:top="717" w:right="1440" w:bottom="1440" w:gutter="0" w:footer="0" w:header="0"/>
        </w:sectPr>
      </w:pPr>
    </w:p>
    <w:bookmarkStart w:id="3" w:name="page4"/>
    <w:bookmarkEnd w:id="3"/>
    <w:p>
      <w:pPr>
        <w:ind w:left="2640"/>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0"/>
          <w:szCs w:val="20"/>
          <w:color w:val="auto"/>
        </w:rPr>
      </w:pPr>
    </w:p>
    <w:p>
      <w:pPr>
        <w:jc w:val="center"/>
        <w:ind w:right="1459"/>
        <w:spacing w:after="0"/>
        <w:rPr>
          <w:sz w:val="20"/>
          <w:szCs w:val="20"/>
          <w:color w:val="auto"/>
        </w:rPr>
      </w:pPr>
      <w:r>
        <w:rPr>
          <w:rFonts w:ascii="Courier New" w:cs="Courier New" w:eastAsia="Courier New" w:hAnsi="Courier New"/>
          <w:sz w:val="18"/>
          <w:szCs w:val="18"/>
          <w:color w:val="auto"/>
        </w:rPr>
        <w:t>Consolidated Balance Sheets (Unaudited)</w:t>
      </w:r>
    </w:p>
    <w:p>
      <w:pPr>
        <w:jc w:val="center"/>
        <w:ind w:right="1459"/>
        <w:spacing w:after="0" w:line="238" w:lineRule="auto"/>
        <w:rPr>
          <w:sz w:val="20"/>
          <w:szCs w:val="20"/>
          <w:color w:val="auto"/>
        </w:rPr>
      </w:pPr>
      <w:r>
        <w:rPr>
          <w:rFonts w:ascii="Courier New" w:cs="Courier New" w:eastAsia="Courier New" w:hAnsi="Courier New"/>
          <w:sz w:val="18"/>
          <w:szCs w:val="18"/>
          <w:color w:val="auto"/>
        </w:rPr>
        <w:t>(in thousands, except share data)</w:t>
      </w:r>
    </w:p>
    <w:p>
      <w:pPr>
        <w:spacing w:after="0" w:line="202" w:lineRule="exact"/>
        <w:rPr>
          <w:sz w:val="20"/>
          <w:szCs w:val="20"/>
          <w:color w:val="auto"/>
        </w:rPr>
      </w:pPr>
    </w:p>
    <w:p>
      <w:pPr>
        <w:ind w:left="2440"/>
        <w:spacing w:after="0"/>
        <w:rPr>
          <w:sz w:val="20"/>
          <w:szCs w:val="20"/>
          <w:color w:val="auto"/>
        </w:rPr>
      </w:pPr>
      <w:r>
        <w:rPr>
          <w:rFonts w:ascii="Courier New" w:cs="Courier New" w:eastAsia="Courier New" w:hAnsi="Courier New"/>
          <w:sz w:val="18"/>
          <w:szCs w:val="18"/>
          <w:color w:val="auto"/>
        </w:rPr>
        <w:t>LIABILITIES AND STOCKHOLDERS' EQUITY</w:t>
      </w:r>
    </w:p>
    <w:p>
      <w:pPr>
        <w:spacing w:after="0" w:line="201"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8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June 30,</w:t>
            </w:r>
          </w:p>
        </w:tc>
        <w:tc>
          <w:tcPr>
            <w:tcW w:w="1480" w:type="dxa"/>
            <w:vAlign w:val="bottom"/>
          </w:tcPr>
          <w:p>
            <w:pPr>
              <w:jc w:val="right"/>
              <w:spacing w:after="0"/>
              <w:rPr>
                <w:sz w:val="20"/>
                <w:szCs w:val="20"/>
                <w:color w:val="auto"/>
              </w:rPr>
            </w:pPr>
            <w:r>
              <w:rPr>
                <w:rFonts w:ascii="Courier New" w:cs="Courier New" w:eastAsia="Courier New" w:hAnsi="Courier New"/>
                <w:sz w:val="18"/>
                <w:szCs w:val="18"/>
                <w:color w:val="auto"/>
              </w:rPr>
              <w:t>Dec. 31,</w:t>
            </w:r>
          </w:p>
        </w:tc>
      </w:tr>
      <w:tr>
        <w:trPr>
          <w:trHeight w:val="203"/>
        </w:trPr>
        <w:tc>
          <w:tcPr>
            <w:tcW w:w="2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80" w:type="dxa"/>
            <w:vAlign w:val="bottom"/>
          </w:tcPr>
          <w:p>
            <w:pPr>
              <w:jc w:val="right"/>
              <w:ind w:right="332"/>
              <w:spacing w:after="0" w:line="203" w:lineRule="exact"/>
              <w:rPr>
                <w:sz w:val="20"/>
                <w:szCs w:val="20"/>
                <w:color w:val="auto"/>
              </w:rPr>
            </w:pPr>
            <w:r>
              <w:rPr>
                <w:rFonts w:ascii="Courier New" w:cs="Courier New" w:eastAsia="Courier New" w:hAnsi="Courier New"/>
                <w:sz w:val="18"/>
                <w:szCs w:val="18"/>
                <w:color w:val="auto"/>
              </w:rPr>
              <w:t>1996</w:t>
            </w:r>
          </w:p>
        </w:tc>
        <w:tc>
          <w:tcPr>
            <w:tcW w:w="1480" w:type="dxa"/>
            <w:vAlign w:val="bottom"/>
          </w:tcPr>
          <w:p>
            <w:pPr>
              <w:jc w:val="center"/>
              <w:ind w:left="572"/>
              <w:spacing w:after="0" w:line="203" w:lineRule="exact"/>
              <w:rPr>
                <w:sz w:val="20"/>
                <w:szCs w:val="20"/>
                <w:color w:val="auto"/>
              </w:rPr>
            </w:pPr>
            <w:r>
              <w:rPr>
                <w:rFonts w:ascii="Courier New" w:cs="Courier New" w:eastAsia="Courier New" w:hAnsi="Courier New"/>
                <w:sz w:val="18"/>
                <w:szCs w:val="18"/>
                <w:color w:val="auto"/>
                <w:w w:val="97"/>
              </w:rPr>
              <w:t>1995</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CURRENT LIABILITIES:</w:t>
            </w: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Payable to banks  . . . . . . . . . . .</w:t>
            </w:r>
          </w:p>
        </w:tc>
        <w:tc>
          <w:tcPr>
            <w:tcW w:w="1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$ 28,417</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$ 37,559</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Accounts payable  . . . . . . . . . . .</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219,717</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219,794</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Employee compensation payable . . . . .</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49,261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56,630</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Accrued liabilities . . . . . . . . . .</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85,797</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72,325</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Accrued payroll taxes and insurance . .</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212,343</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195,376</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Value added taxes payable . . . . . . .</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157,764</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167,937</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 taxes payable  . . . . . . . . .</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19,452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25,286</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Current maturities of long-term debt  .</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3,143</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1,408</w:t>
            </w:r>
          </w:p>
        </w:tc>
      </w:tr>
      <w:tr>
        <w:trPr>
          <w:trHeight w:val="203"/>
        </w:trPr>
        <w:tc>
          <w:tcPr>
            <w:tcW w:w="2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7"/>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current liabilities   . . . . . .</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775,894</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776,315</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OTHER LIABILITIES:</w:t>
            </w: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Long-term debt  . . . . . . . . . . . .</w:t>
            </w:r>
          </w:p>
        </w:tc>
        <w:tc>
          <w:tcPr>
            <w:tcW w:w="1680" w:type="dxa"/>
            <w:vAlign w:val="bottom"/>
          </w:tcPr>
          <w:p>
            <w:pPr>
              <w:jc w:val="right"/>
              <w:ind w:right="212"/>
              <w:spacing w:after="0"/>
              <w:rPr>
                <w:sz w:val="20"/>
                <w:szCs w:val="20"/>
                <w:color w:val="auto"/>
              </w:rPr>
            </w:pPr>
            <w:r>
              <w:rPr>
                <w:rFonts w:ascii="Courier New" w:cs="Courier New" w:eastAsia="Courier New" w:hAnsi="Courier New"/>
                <w:sz w:val="18"/>
                <w:szCs w:val="18"/>
                <w:color w:val="auto"/>
              </w:rPr>
              <w:t>80,814</w:t>
            </w:r>
          </w:p>
        </w:tc>
        <w:tc>
          <w:tcPr>
            <w:tcW w:w="1480" w:type="dxa"/>
            <w:vAlign w:val="bottom"/>
          </w:tcPr>
          <w:p>
            <w:pPr>
              <w:jc w:val="right"/>
              <w:ind w:right="12"/>
              <w:spacing w:after="0"/>
              <w:rPr>
                <w:sz w:val="20"/>
                <w:szCs w:val="20"/>
                <w:color w:val="auto"/>
              </w:rPr>
            </w:pPr>
            <w:r>
              <w:rPr>
                <w:rFonts w:ascii="Courier New" w:cs="Courier New" w:eastAsia="Courier New" w:hAnsi="Courier New"/>
                <w:sz w:val="18"/>
                <w:szCs w:val="18"/>
                <w:color w:val="auto"/>
              </w:rPr>
              <w:t>61,783</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long-term liabilities . . . . . .</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210,151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224,695</w:t>
            </w:r>
          </w:p>
        </w:tc>
      </w:tr>
      <w:tr>
        <w:trPr>
          <w:trHeight w:val="203"/>
        </w:trPr>
        <w:tc>
          <w:tcPr>
            <w:tcW w:w="2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2580" w:type="dxa"/>
            <w:vAlign w:val="bottom"/>
          </w:tcPr>
          <w:p>
            <w:pPr>
              <w:spacing w:after="0" w:line="203" w:lineRule="exact"/>
              <w:rPr>
                <w:sz w:val="20"/>
                <w:szCs w:val="20"/>
                <w:color w:val="auto"/>
              </w:rPr>
            </w:pPr>
            <w:r>
              <w:rPr>
                <w:rFonts w:ascii="Courier New" w:cs="Courier New" w:eastAsia="Courier New" w:hAnsi="Courier New"/>
                <w:sz w:val="18"/>
                <w:szCs w:val="18"/>
                <w:color w:val="auto"/>
              </w:rPr>
              <w:t>Total other liabilities</w:t>
            </w:r>
          </w:p>
        </w:tc>
        <w:tc>
          <w:tcPr>
            <w:tcW w:w="206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 . . . . . .</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290,965</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286,478</w:t>
            </w:r>
          </w:p>
        </w:tc>
      </w:tr>
      <w:tr>
        <w:trPr>
          <w:trHeight w:val="405"/>
        </w:trPr>
        <w:tc>
          <w:tcPr>
            <w:tcW w:w="2580" w:type="dxa"/>
            <w:vAlign w:val="bottom"/>
          </w:tcPr>
          <w:p>
            <w:pPr>
              <w:spacing w:after="0"/>
              <w:rPr>
                <w:sz w:val="20"/>
                <w:szCs w:val="20"/>
                <w:color w:val="auto"/>
              </w:rPr>
            </w:pPr>
            <w:r>
              <w:rPr>
                <w:rFonts w:ascii="Courier New" w:cs="Courier New" w:eastAsia="Courier New" w:hAnsi="Courier New"/>
                <w:sz w:val="18"/>
                <w:szCs w:val="18"/>
                <w:color w:val="auto"/>
              </w:rPr>
              <w:t>STOCKHOLDERS' EQUITY:</w:t>
            </w:r>
          </w:p>
        </w:tc>
        <w:tc>
          <w:tcPr>
            <w:tcW w:w="2060" w:type="dxa"/>
            <w:vAlign w:val="bottom"/>
          </w:tcPr>
          <w:p>
            <w:pPr>
              <w:spacing w:after="0"/>
              <w:rPr>
                <w:sz w:val="24"/>
                <w:szCs w:val="24"/>
                <w:color w:val="auto"/>
              </w:rPr>
            </w:pP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405"/>
        </w:trPr>
        <w:tc>
          <w:tcPr>
            <w:tcW w:w="4640" w:type="dxa"/>
            <w:vAlign w:val="bottom"/>
            <w:gridSpan w:val="2"/>
          </w:tcPr>
          <w:p>
            <w:pPr>
              <w:spacing w:after="0"/>
              <w:rPr>
                <w:sz w:val="20"/>
                <w:szCs w:val="20"/>
                <w:color w:val="auto"/>
              </w:rPr>
            </w:pPr>
            <w:r>
              <w:rPr>
                <w:rFonts w:ascii="Courier New" w:cs="Courier New" w:eastAsia="Courier New" w:hAnsi="Courier New"/>
                <w:sz w:val="18"/>
                <w:szCs w:val="18"/>
                <w:color w:val="auto"/>
              </w:rPr>
              <w:t>Preferred stock, $.01 par value,</w:t>
            </w:r>
          </w:p>
        </w:tc>
        <w:tc>
          <w:tcPr>
            <w:tcW w:w="1680" w:type="dxa"/>
            <w:vAlign w:val="bottom"/>
          </w:tcPr>
          <w:p>
            <w:pPr>
              <w:spacing w:after="0"/>
              <w:rPr>
                <w:sz w:val="24"/>
                <w:szCs w:val="24"/>
                <w:color w:val="auto"/>
              </w:rPr>
            </w:pPr>
          </w:p>
        </w:tc>
        <w:tc>
          <w:tcPr>
            <w:tcW w:w="1480" w:type="dxa"/>
            <w:vAlign w:val="bottom"/>
          </w:tcPr>
          <w:p>
            <w:pPr>
              <w:spacing w:after="0"/>
              <w:rPr>
                <w:sz w:val="24"/>
                <w:szCs w:val="24"/>
                <w:color w:val="auto"/>
              </w:rPr>
            </w:pP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authorized 25,000,000 shares,</w:t>
            </w: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none issued   . . . . . . . . . . . . .</w:t>
            </w:r>
          </w:p>
        </w:tc>
        <w:tc>
          <w:tcPr>
            <w:tcW w:w="1680" w:type="dxa"/>
            <w:vAlign w:val="bottom"/>
          </w:tcPr>
          <w:p>
            <w:pPr>
              <w:jc w:val="right"/>
              <w:ind w:right="43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center"/>
              <w:ind w:left="552"/>
              <w:spacing w:after="0" w:line="203" w:lineRule="exact"/>
              <w:rPr>
                <w:sz w:val="20"/>
                <w:szCs w:val="20"/>
                <w:color w:val="auto"/>
              </w:rPr>
            </w:pPr>
            <w:r>
              <w:rPr>
                <w:rFonts w:ascii="Courier New" w:cs="Courier New" w:eastAsia="Courier New" w:hAnsi="Courier New"/>
                <w:sz w:val="18"/>
                <w:szCs w:val="18"/>
                <w:color w:val="auto"/>
                <w:w w:val="92"/>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Common stock, $.01 par value,</w:t>
            </w: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authorized 125,000,000 shares,</w:t>
            </w: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issued 82,001,153 and 81,153,023</w:t>
            </w:r>
          </w:p>
        </w:tc>
        <w:tc>
          <w:tcPr>
            <w:tcW w:w="1680" w:type="dxa"/>
            <w:vAlign w:val="bottom"/>
          </w:tcPr>
          <w:p>
            <w:pPr>
              <w:spacing w:after="0"/>
              <w:rPr>
                <w:sz w:val="17"/>
                <w:szCs w:val="17"/>
                <w:color w:val="auto"/>
              </w:rPr>
            </w:pPr>
          </w:p>
        </w:tc>
        <w:tc>
          <w:tcPr>
            <w:tcW w:w="1480" w:type="dxa"/>
            <w:vAlign w:val="bottom"/>
          </w:tcPr>
          <w:p>
            <w:pPr>
              <w:spacing w:after="0"/>
              <w:rPr>
                <w:sz w:val="17"/>
                <w:szCs w:val="17"/>
                <w:color w:val="auto"/>
              </w:rPr>
            </w:pPr>
          </w:p>
        </w:tc>
      </w:tr>
      <w:tr>
        <w:trPr>
          <w:trHeight w:val="203"/>
        </w:trPr>
        <w:tc>
          <w:tcPr>
            <w:tcW w:w="4640" w:type="dxa"/>
            <w:vAlign w:val="bottom"/>
            <w:gridSpan w:val="2"/>
          </w:tcPr>
          <w:p>
            <w:pPr>
              <w:ind w:left="120"/>
              <w:spacing w:after="0" w:line="203" w:lineRule="exact"/>
              <w:rPr>
                <w:sz w:val="20"/>
                <w:szCs w:val="20"/>
                <w:color w:val="auto"/>
              </w:rPr>
            </w:pPr>
            <w:r>
              <w:rPr>
                <w:rFonts w:ascii="Courier New" w:cs="Courier New" w:eastAsia="Courier New" w:hAnsi="Courier New"/>
                <w:sz w:val="18"/>
                <w:szCs w:val="18"/>
                <w:color w:val="auto"/>
              </w:rPr>
              <w:t>shares, respectively  . . . . . . . . .</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820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812</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Capital in excess of par value  . . . . .</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1,574,370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1,564,305</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Accumulated deficit . . . . . . . . . . .</w:t>
            </w:r>
          </w:p>
        </w:tc>
        <w:tc>
          <w:tcPr>
            <w:tcW w:w="168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(1,092,161)</w:t>
            </w:r>
          </w:p>
        </w:tc>
        <w:tc>
          <w:tcPr>
            <w:tcW w:w="148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(1,148,223)</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Cumulative translation adjustments  . . .</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22,732</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38,099</w:t>
            </w:r>
          </w:p>
        </w:tc>
      </w:tr>
      <w:tr>
        <w:trPr>
          <w:trHeight w:val="203"/>
        </w:trPr>
        <w:tc>
          <w:tcPr>
            <w:tcW w:w="2580" w:type="dxa"/>
            <w:vAlign w:val="bottom"/>
          </w:tcPr>
          <w:p>
            <w:pPr>
              <w:spacing w:after="0"/>
              <w:rPr>
                <w:sz w:val="17"/>
                <w:szCs w:val="17"/>
                <w:color w:val="auto"/>
              </w:rPr>
            </w:pPr>
          </w:p>
        </w:tc>
        <w:tc>
          <w:tcPr>
            <w:tcW w:w="2060" w:type="dxa"/>
            <w:vAlign w:val="bottom"/>
          </w:tcPr>
          <w:p>
            <w:pPr>
              <w:spacing w:after="0"/>
              <w:rPr>
                <w:sz w:val="17"/>
                <w:szCs w:val="17"/>
                <w:color w:val="auto"/>
              </w:rPr>
            </w:pP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stockholders' equity  . . . . . . .</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505,761</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454,993</w:t>
            </w:r>
          </w:p>
        </w:tc>
      </w:tr>
      <w:tr>
        <w:trPr>
          <w:trHeight w:val="203"/>
        </w:trPr>
        <w:tc>
          <w:tcPr>
            <w:tcW w:w="464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Total liabilities and stockholders' equity</w:t>
            </w:r>
          </w:p>
        </w:tc>
        <w:tc>
          <w:tcPr>
            <w:tcW w:w="1680" w:type="dxa"/>
            <w:vAlign w:val="bottom"/>
          </w:tcPr>
          <w:p>
            <w:pPr>
              <w:jc w:val="right"/>
              <w:ind w:right="212"/>
              <w:spacing w:after="0" w:line="203" w:lineRule="exact"/>
              <w:rPr>
                <w:sz w:val="20"/>
                <w:szCs w:val="20"/>
                <w:color w:val="auto"/>
              </w:rPr>
            </w:pPr>
            <w:r>
              <w:rPr>
                <w:rFonts w:ascii="Courier New" w:cs="Courier New" w:eastAsia="Courier New" w:hAnsi="Courier New"/>
                <w:sz w:val="18"/>
                <w:szCs w:val="18"/>
                <w:color w:val="auto"/>
              </w:rPr>
              <w:t>$ 1,572,620</w:t>
            </w:r>
          </w:p>
        </w:tc>
        <w:tc>
          <w:tcPr>
            <w:tcW w:w="148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$ 1,517,786</w:t>
            </w:r>
          </w:p>
        </w:tc>
      </w:tr>
    </w:tbl>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accompanying notes to consolidated financial statements</w:t>
      </w:r>
    </w:p>
    <w:p>
      <w:pPr>
        <w:jc w:val="center"/>
        <w:ind w:right="2099"/>
        <w:spacing w:after="0" w:line="238" w:lineRule="auto"/>
        <w:rPr>
          <w:sz w:val="20"/>
          <w:szCs w:val="20"/>
          <w:color w:val="auto"/>
        </w:rPr>
      </w:pPr>
      <w:r>
        <w:rPr>
          <w:rFonts w:ascii="Courier New" w:cs="Courier New" w:eastAsia="Courier New" w:hAnsi="Courier New"/>
          <w:sz w:val="18"/>
          <w:szCs w:val="18"/>
          <w:color w:val="auto"/>
        </w:rPr>
        <w:t>are an integral part of these balance sheets.</w:t>
      </w:r>
    </w:p>
    <w:p>
      <w:pPr>
        <w:sectPr>
          <w:pgSz w:w="11900" w:h="16838" w:orient="portrait"/>
          <w:cols w:equalWidth="0" w:num="1">
            <w:col w:w="10219"/>
          </w:cols>
          <w:pgMar w:left="240" w:top="717" w:right="1440" w:bottom="1440" w:gutter="0" w:footer="0" w:header="0"/>
        </w:sectPr>
      </w:pPr>
    </w:p>
    <w:bookmarkStart w:id="4" w:name="page5"/>
    <w:bookmarkEnd w:id="4"/>
    <w:p>
      <w:pPr>
        <w:ind w:left="2640"/>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Consolidated Statements of Operations (Unaudited)</w:t>
      </w:r>
    </w:p>
    <w:p>
      <w:pPr>
        <w:ind w:left="2320"/>
        <w:spacing w:after="0" w:line="238" w:lineRule="auto"/>
        <w:rPr>
          <w:sz w:val="20"/>
          <w:szCs w:val="20"/>
          <w:color w:val="auto"/>
        </w:rPr>
      </w:pPr>
      <w:r>
        <w:rPr>
          <w:rFonts w:ascii="Courier New" w:cs="Courier New" w:eastAsia="Courier New" w:hAnsi="Courier New"/>
          <w:sz w:val="18"/>
          <w:szCs w:val="18"/>
          <w:color w:val="auto"/>
        </w:rPr>
        <w:t>(in thousands, except per share data)</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20" w:type="dxa"/>
            <w:vAlign w:val="bottom"/>
            <w:gridSpan w:val="2"/>
          </w:tcPr>
          <w:p>
            <w:pPr>
              <w:jc w:val="right"/>
              <w:ind w:right="552"/>
              <w:spacing w:after="0"/>
              <w:rPr>
                <w:sz w:val="20"/>
                <w:szCs w:val="20"/>
                <w:color w:val="auto"/>
              </w:rPr>
            </w:pPr>
            <w:r>
              <w:rPr>
                <w:rFonts w:ascii="Courier New" w:cs="Courier New" w:eastAsia="Courier New" w:hAnsi="Courier New"/>
                <w:sz w:val="18"/>
                <w:szCs w:val="18"/>
                <w:color w:val="auto"/>
              </w:rPr>
              <w:t>3 Months Ended</w:t>
            </w:r>
          </w:p>
        </w:tc>
        <w:tc>
          <w:tcPr>
            <w:tcW w:w="2640" w:type="dxa"/>
            <w:vAlign w:val="bottom"/>
            <w:gridSpan w:val="2"/>
          </w:tcPr>
          <w:p>
            <w:pPr>
              <w:jc w:val="right"/>
              <w:ind w:right="352"/>
              <w:spacing w:after="0"/>
              <w:rPr>
                <w:sz w:val="20"/>
                <w:szCs w:val="20"/>
                <w:color w:val="auto"/>
              </w:rPr>
            </w:pPr>
            <w:r>
              <w:rPr>
                <w:rFonts w:ascii="Courier New" w:cs="Courier New" w:eastAsia="Courier New" w:hAnsi="Courier New"/>
                <w:sz w:val="18"/>
                <w:szCs w:val="18"/>
                <w:color w:val="auto"/>
              </w:rPr>
              <w:t>6 Months Ended</w:t>
            </w:r>
          </w:p>
        </w:tc>
      </w:tr>
      <w:tr>
        <w:trPr>
          <w:trHeight w:val="203"/>
        </w:trPr>
        <w:tc>
          <w:tcPr>
            <w:tcW w:w="2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2420" w:type="dxa"/>
            <w:vAlign w:val="bottom"/>
            <w:gridSpan w:val="2"/>
          </w:tcPr>
          <w:p>
            <w:pPr>
              <w:jc w:val="right"/>
              <w:ind w:right="1072"/>
              <w:spacing w:after="0" w:line="203" w:lineRule="exact"/>
              <w:rPr>
                <w:sz w:val="20"/>
                <w:szCs w:val="20"/>
                <w:color w:val="auto"/>
              </w:rPr>
            </w:pPr>
            <w:r>
              <w:rPr>
                <w:rFonts w:ascii="Courier New" w:cs="Courier New" w:eastAsia="Courier New" w:hAnsi="Courier New"/>
                <w:sz w:val="18"/>
                <w:szCs w:val="18"/>
                <w:color w:val="auto"/>
              </w:rPr>
              <w:t>June 30,</w:t>
            </w:r>
          </w:p>
        </w:tc>
        <w:tc>
          <w:tcPr>
            <w:tcW w:w="2640" w:type="dxa"/>
            <w:vAlign w:val="bottom"/>
            <w:gridSpan w:val="2"/>
          </w:tcPr>
          <w:p>
            <w:pPr>
              <w:jc w:val="right"/>
              <w:ind w:right="772"/>
              <w:spacing w:after="0" w:line="203" w:lineRule="exact"/>
              <w:rPr>
                <w:sz w:val="20"/>
                <w:szCs w:val="20"/>
                <w:color w:val="auto"/>
              </w:rPr>
            </w:pPr>
            <w:r>
              <w:rPr>
                <w:rFonts w:ascii="Courier New" w:cs="Courier New" w:eastAsia="Courier New" w:hAnsi="Courier New"/>
                <w:sz w:val="18"/>
                <w:szCs w:val="18"/>
                <w:color w:val="auto"/>
              </w:rPr>
              <w:t>June 30,</w:t>
            </w:r>
          </w:p>
        </w:tc>
      </w:tr>
      <w:tr>
        <w:trPr>
          <w:trHeight w:val="203"/>
        </w:trPr>
        <w:tc>
          <w:tcPr>
            <w:tcW w:w="290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1000" w:type="dxa"/>
            <w:vAlign w:val="bottom"/>
          </w:tcPr>
          <w:p>
            <w:pPr>
              <w:ind w:left="100"/>
              <w:spacing w:after="0" w:line="203" w:lineRule="exact"/>
              <w:rPr>
                <w:sz w:val="20"/>
                <w:szCs w:val="20"/>
                <w:color w:val="auto"/>
              </w:rPr>
            </w:pPr>
            <w:r>
              <w:rPr>
                <w:rFonts w:ascii="Courier New" w:cs="Courier New" w:eastAsia="Courier New" w:hAnsi="Courier New"/>
                <w:sz w:val="18"/>
                <w:szCs w:val="18"/>
                <w:color w:val="auto"/>
              </w:rPr>
              <w:t>1996</w:t>
            </w:r>
          </w:p>
        </w:tc>
        <w:tc>
          <w:tcPr>
            <w:tcW w:w="1420" w:type="dxa"/>
            <w:vAlign w:val="bottom"/>
          </w:tcPr>
          <w:p>
            <w:pPr>
              <w:jc w:val="right"/>
              <w:ind w:right="552"/>
              <w:spacing w:after="0" w:line="203" w:lineRule="exact"/>
              <w:rPr>
                <w:sz w:val="20"/>
                <w:szCs w:val="20"/>
                <w:color w:val="auto"/>
              </w:rPr>
            </w:pPr>
            <w:r>
              <w:rPr>
                <w:rFonts w:ascii="Courier New" w:cs="Courier New" w:eastAsia="Courier New" w:hAnsi="Courier New"/>
                <w:sz w:val="18"/>
                <w:szCs w:val="18"/>
                <w:color w:val="auto"/>
              </w:rPr>
              <w:t>1995</w:t>
            </w:r>
          </w:p>
        </w:tc>
        <w:tc>
          <w:tcPr>
            <w:tcW w:w="15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rPr>
              <w:t>1996</w:t>
            </w:r>
          </w:p>
        </w:tc>
        <w:tc>
          <w:tcPr>
            <w:tcW w:w="1120" w:type="dxa"/>
            <w:vAlign w:val="bottom"/>
          </w:tcPr>
          <w:p>
            <w:pPr>
              <w:jc w:val="right"/>
              <w:ind w:right="352"/>
              <w:spacing w:after="0" w:line="203" w:lineRule="exact"/>
              <w:rPr>
                <w:sz w:val="20"/>
                <w:szCs w:val="20"/>
                <w:color w:val="auto"/>
              </w:rPr>
            </w:pPr>
            <w:r>
              <w:rPr>
                <w:rFonts w:ascii="Courier New" w:cs="Courier New" w:eastAsia="Courier New" w:hAnsi="Courier New"/>
                <w:sz w:val="18"/>
                <w:szCs w:val="18"/>
                <w:color w:val="auto"/>
              </w:rPr>
              <w:t>1995</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REVENUES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FROM SERVICES   . . . . .</w:t>
            </w: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$1,460,624</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$1,371,130</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$2,769,791</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$2,570,731</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COST AND EXPENSES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Cost of services  . . . .</w:t>
            </w:r>
          </w:p>
        </w:tc>
        <w:tc>
          <w:tcPr>
            <w:tcW w:w="1380" w:type="dxa"/>
            <w:vAlign w:val="bottom"/>
            <w:gridSpan w:val="2"/>
          </w:tcPr>
          <w:p>
            <w:pPr>
              <w:jc w:val="right"/>
              <w:ind w:right="172"/>
              <w:spacing w:after="0" w:line="203" w:lineRule="exact"/>
              <w:rPr>
                <w:sz w:val="20"/>
                <w:szCs w:val="20"/>
                <w:color w:val="auto"/>
              </w:rPr>
            </w:pPr>
            <w:r>
              <w:rPr>
                <w:rFonts w:ascii="Courier New" w:cs="Courier New" w:eastAsia="Courier New" w:hAnsi="Courier New"/>
                <w:sz w:val="18"/>
                <w:szCs w:val="18"/>
                <w:color w:val="auto"/>
              </w:rPr>
              <w:t>1,191,364</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1,125,409</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2,255,892</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2,108,686</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Selling and</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rPr>
              <w:t>administrative expenses .</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w w:val="95"/>
              </w:rPr>
              <w:t>218,612</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196,323</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427,773</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380,614</w:t>
            </w:r>
          </w:p>
        </w:tc>
      </w:tr>
      <w:tr>
        <w:trPr>
          <w:trHeight w:val="203"/>
        </w:trPr>
        <w:tc>
          <w:tcPr>
            <w:tcW w:w="2900" w:type="dxa"/>
            <w:vAlign w:val="bottom"/>
          </w:tcPr>
          <w:p>
            <w:pPr>
              <w:spacing w:after="0" w:line="203" w:lineRule="exact"/>
              <w:rPr>
                <w:sz w:val="20"/>
                <w:szCs w:val="20"/>
                <w:color w:val="auto"/>
              </w:rPr>
            </w:pPr>
            <w:r>
              <w:rPr>
                <w:rFonts w:ascii="Courier New" w:cs="Courier New" w:eastAsia="Courier New" w:hAnsi="Courier New"/>
                <w:sz w:val="18"/>
                <w:szCs w:val="18"/>
                <w:color w:val="auto"/>
                <w:w w:val="98"/>
              </w:rPr>
              <w:t>Interest and other (income)</w:t>
            </w:r>
          </w:p>
        </w:tc>
        <w:tc>
          <w:tcPr>
            <w:tcW w:w="38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1120" w:type="dxa"/>
            <w:vAlign w:val="bottom"/>
          </w:tcPr>
          <w:p>
            <w:pPr>
              <w:spacing w:after="0"/>
              <w:rPr>
                <w:sz w:val="17"/>
                <w:szCs w:val="17"/>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expenses, net .</w:t>
            </w:r>
          </w:p>
        </w:tc>
        <w:tc>
          <w:tcPr>
            <w:tcW w:w="380" w:type="dxa"/>
            <w:vAlign w:val="bottom"/>
          </w:tcPr>
          <w:p>
            <w:pPr>
              <w:spacing w:after="0"/>
              <w:rPr>
                <w:sz w:val="17"/>
                <w:szCs w:val="17"/>
                <w:color w:val="auto"/>
              </w:rPr>
            </w:pPr>
          </w:p>
        </w:tc>
        <w:tc>
          <w:tcPr>
            <w:tcW w:w="100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(8,773)</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3,562</w:t>
            </w:r>
          </w:p>
        </w:tc>
        <w:tc>
          <w:tcPr>
            <w:tcW w:w="1520" w:type="dxa"/>
            <w:vAlign w:val="bottom"/>
          </w:tcPr>
          <w:p>
            <w:pPr>
              <w:jc w:val="right"/>
              <w:ind w:right="72"/>
              <w:spacing w:after="0" w:line="203" w:lineRule="exact"/>
              <w:rPr>
                <w:sz w:val="20"/>
                <w:szCs w:val="20"/>
                <w:color w:val="auto"/>
              </w:rPr>
            </w:pPr>
            <w:r>
              <w:rPr>
                <w:rFonts w:ascii="Courier New" w:cs="Courier New" w:eastAsia="Courier New" w:hAnsi="Courier New"/>
                <w:sz w:val="18"/>
                <w:szCs w:val="18"/>
                <w:color w:val="auto"/>
              </w:rPr>
              <w:t>(8,984)</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6,024</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Earnings before income</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52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03"/>
        </w:trPr>
        <w:tc>
          <w:tcPr>
            <w:tcW w:w="2900" w:type="dxa"/>
            <w:vAlign w:val="bottom"/>
          </w:tcPr>
          <w:p>
            <w:pPr>
              <w:ind w:left="120"/>
              <w:spacing w:after="0" w:line="203" w:lineRule="exact"/>
              <w:rPr>
                <w:sz w:val="20"/>
                <w:szCs w:val="20"/>
                <w:color w:val="auto"/>
              </w:rPr>
            </w:pPr>
            <w:r>
              <w:rPr>
                <w:rFonts w:ascii="Courier New" w:cs="Courier New" w:eastAsia="Courier New" w:hAnsi="Courier New"/>
                <w:sz w:val="18"/>
                <w:szCs w:val="18"/>
                <w:color w:val="auto"/>
              </w:rPr>
              <w:t>taxes  . . . . . . .</w:t>
            </w:r>
          </w:p>
        </w:tc>
        <w:tc>
          <w:tcPr>
            <w:tcW w:w="380" w:type="dxa"/>
            <w:vAlign w:val="bottom"/>
          </w:tcPr>
          <w:p>
            <w:pPr>
              <w:spacing w:after="0"/>
              <w:rPr>
                <w:sz w:val="17"/>
                <w:szCs w:val="17"/>
                <w:color w:val="auto"/>
              </w:rPr>
            </w:pPr>
          </w:p>
        </w:tc>
        <w:tc>
          <w:tcPr>
            <w:tcW w:w="100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59,421</w:t>
            </w:r>
          </w:p>
        </w:tc>
        <w:tc>
          <w:tcPr>
            <w:tcW w:w="142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45,836</w:t>
            </w:r>
          </w:p>
        </w:tc>
        <w:tc>
          <w:tcPr>
            <w:tcW w:w="1520" w:type="dxa"/>
            <w:vAlign w:val="bottom"/>
          </w:tcPr>
          <w:p>
            <w:pPr>
              <w:jc w:val="right"/>
              <w:ind w:right="172"/>
              <w:spacing w:after="0" w:line="203" w:lineRule="exact"/>
              <w:rPr>
                <w:sz w:val="20"/>
                <w:szCs w:val="20"/>
                <w:color w:val="auto"/>
              </w:rPr>
            </w:pPr>
            <w:r>
              <w:rPr>
                <w:rFonts w:ascii="Courier New" w:cs="Courier New" w:eastAsia="Courier New" w:hAnsi="Courier New"/>
                <w:sz w:val="18"/>
                <w:szCs w:val="18"/>
                <w:color w:val="auto"/>
              </w:rPr>
              <w:t>95,110</w:t>
            </w:r>
          </w:p>
        </w:tc>
        <w:tc>
          <w:tcPr>
            <w:tcW w:w="112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75,407</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PROVISION FOR INCOME TAXES</w:t>
            </w:r>
          </w:p>
        </w:tc>
        <w:tc>
          <w:tcPr>
            <w:tcW w:w="38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20,819</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17,588</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33,313</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28,974</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Net earnings  . . . .</w:t>
            </w:r>
          </w:p>
        </w:tc>
        <w:tc>
          <w:tcPr>
            <w:tcW w:w="38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38,602</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$ 28,248</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$ 61,797</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$ 46,433</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Net earnings per share</w:t>
            </w:r>
          </w:p>
        </w:tc>
        <w:tc>
          <w:tcPr>
            <w:tcW w:w="38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.46</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.37</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.74</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.61</w:t>
            </w:r>
          </w:p>
        </w:tc>
      </w:tr>
      <w:tr>
        <w:trPr>
          <w:trHeight w:val="405"/>
        </w:trPr>
        <w:tc>
          <w:tcPr>
            <w:tcW w:w="2900" w:type="dxa"/>
            <w:vAlign w:val="bottom"/>
          </w:tcPr>
          <w:p>
            <w:pPr>
              <w:spacing w:after="0"/>
              <w:rPr>
                <w:sz w:val="20"/>
                <w:szCs w:val="20"/>
                <w:color w:val="auto"/>
              </w:rPr>
            </w:pPr>
            <w:r>
              <w:rPr>
                <w:rFonts w:ascii="Courier New" w:cs="Courier New" w:eastAsia="Courier New" w:hAnsi="Courier New"/>
                <w:sz w:val="18"/>
                <w:szCs w:val="18"/>
                <w:color w:val="auto"/>
              </w:rPr>
              <w:t>Dividends declared  . .</w:t>
            </w:r>
          </w:p>
        </w:tc>
        <w:tc>
          <w:tcPr>
            <w:tcW w:w="380" w:type="dxa"/>
            <w:vAlign w:val="bottom"/>
          </w:tcPr>
          <w:p>
            <w:pPr>
              <w:spacing w:after="0"/>
              <w:rPr>
                <w:sz w:val="24"/>
                <w:szCs w:val="24"/>
                <w:color w:val="auto"/>
              </w:rPr>
            </w:pP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.07</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 .06</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 .07</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 .06</w:t>
            </w:r>
          </w:p>
        </w:tc>
      </w:tr>
      <w:tr>
        <w:trPr>
          <w:trHeight w:val="405"/>
        </w:trPr>
        <w:tc>
          <w:tcPr>
            <w:tcW w:w="3280" w:type="dxa"/>
            <w:vAlign w:val="bottom"/>
            <w:gridSpan w:val="2"/>
          </w:tcPr>
          <w:p>
            <w:pPr>
              <w:spacing w:after="0"/>
              <w:rPr>
                <w:sz w:val="20"/>
                <w:szCs w:val="20"/>
                <w:color w:val="auto"/>
              </w:rPr>
            </w:pPr>
            <w:r>
              <w:rPr>
                <w:rFonts w:ascii="Courier New" w:cs="Courier New" w:eastAsia="Courier New" w:hAnsi="Courier New"/>
                <w:sz w:val="18"/>
                <w:szCs w:val="18"/>
                <w:color w:val="auto"/>
              </w:rPr>
              <w:t>Weighted average common shares</w:t>
            </w:r>
          </w:p>
        </w:tc>
        <w:tc>
          <w:tcPr>
            <w:tcW w:w="10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83,144</w:t>
            </w:r>
          </w:p>
        </w:tc>
        <w:tc>
          <w:tcPr>
            <w:tcW w:w="142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76,340</w:t>
            </w:r>
          </w:p>
        </w:tc>
        <w:tc>
          <w:tcPr>
            <w:tcW w:w="152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82,976</w:t>
            </w:r>
          </w:p>
        </w:tc>
        <w:tc>
          <w:tcPr>
            <w:tcW w:w="1120" w:type="dxa"/>
            <w:vAlign w:val="bottom"/>
          </w:tcPr>
          <w:p>
            <w:pPr>
              <w:jc w:val="right"/>
              <w:spacing w:after="0"/>
              <w:rPr>
                <w:sz w:val="20"/>
                <w:szCs w:val="20"/>
                <w:color w:val="auto"/>
              </w:rPr>
            </w:pPr>
            <w:r>
              <w:rPr>
                <w:rFonts w:ascii="Courier New" w:cs="Courier New" w:eastAsia="Courier New" w:hAnsi="Courier New"/>
                <w:sz w:val="18"/>
                <w:szCs w:val="18"/>
                <w:color w:val="auto"/>
              </w:rPr>
              <w:t>76,121</w:t>
            </w:r>
          </w:p>
        </w:tc>
      </w:tr>
      <w:tr>
        <w:trPr>
          <w:trHeight w:val="405"/>
        </w:trPr>
        <w:tc>
          <w:tcPr>
            <w:tcW w:w="3280" w:type="dxa"/>
            <w:vAlign w:val="bottom"/>
            <w:gridSpan w:val="2"/>
          </w:tcPr>
          <w:p>
            <w:pPr>
              <w:jc w:val="right"/>
              <w:spacing w:after="0"/>
              <w:rPr>
                <w:sz w:val="20"/>
                <w:szCs w:val="20"/>
                <w:color w:val="auto"/>
              </w:rPr>
            </w:pPr>
            <w:r>
              <w:rPr>
                <w:rFonts w:ascii="Courier New" w:cs="Courier New" w:eastAsia="Courier New" w:hAnsi="Courier New"/>
                <w:sz w:val="18"/>
                <w:szCs w:val="18"/>
                <w:color w:val="auto"/>
              </w:rPr>
              <w:t>The accompanying notes</w:t>
            </w:r>
          </w:p>
        </w:tc>
        <w:tc>
          <w:tcPr>
            <w:tcW w:w="3940" w:type="dxa"/>
            <w:vAlign w:val="bottom"/>
            <w:gridSpan w:val="3"/>
          </w:tcPr>
          <w:p>
            <w:pPr>
              <w:ind w:left="100"/>
              <w:spacing w:after="0"/>
              <w:rPr>
                <w:sz w:val="20"/>
                <w:szCs w:val="20"/>
                <w:color w:val="auto"/>
              </w:rPr>
            </w:pPr>
            <w:r>
              <w:rPr>
                <w:rFonts w:ascii="Courier New" w:cs="Courier New" w:eastAsia="Courier New" w:hAnsi="Courier New"/>
                <w:sz w:val="18"/>
                <w:szCs w:val="18"/>
                <w:color w:val="auto"/>
                <w:w w:val="98"/>
              </w:rPr>
              <w:t>to consolidated financial statements</w:t>
            </w:r>
          </w:p>
        </w:tc>
        <w:tc>
          <w:tcPr>
            <w:tcW w:w="1120" w:type="dxa"/>
            <w:vAlign w:val="bottom"/>
          </w:tcPr>
          <w:p>
            <w:pPr>
              <w:spacing w:after="0"/>
              <w:rPr>
                <w:sz w:val="24"/>
                <w:szCs w:val="24"/>
                <w:color w:val="auto"/>
              </w:rPr>
            </w:pPr>
          </w:p>
        </w:tc>
      </w:tr>
      <w:tr>
        <w:trPr>
          <w:trHeight w:val="203"/>
        </w:trPr>
        <w:tc>
          <w:tcPr>
            <w:tcW w:w="7220" w:type="dxa"/>
            <w:vAlign w:val="bottom"/>
            <w:gridSpan w:val="5"/>
          </w:tcPr>
          <w:p>
            <w:pPr>
              <w:ind w:left="1900"/>
              <w:spacing w:after="0" w:line="203" w:lineRule="exact"/>
              <w:rPr>
                <w:sz w:val="20"/>
                <w:szCs w:val="20"/>
                <w:color w:val="auto"/>
              </w:rPr>
            </w:pPr>
            <w:r>
              <w:rPr>
                <w:rFonts w:ascii="Courier New" w:cs="Courier New" w:eastAsia="Courier New" w:hAnsi="Courier New"/>
                <w:sz w:val="18"/>
                <w:szCs w:val="18"/>
                <w:color w:val="auto"/>
              </w:rPr>
              <w:t>are an integral part of these statements.</w:t>
            </w:r>
          </w:p>
        </w:tc>
        <w:tc>
          <w:tcPr>
            <w:tcW w:w="1120" w:type="dxa"/>
            <w:vAlign w:val="bottom"/>
          </w:tcPr>
          <w:p>
            <w:pPr>
              <w:spacing w:after="0"/>
              <w:rPr>
                <w:sz w:val="17"/>
                <w:szCs w:val="17"/>
                <w:color w:val="auto"/>
              </w:rPr>
            </w:pPr>
          </w:p>
        </w:tc>
      </w:tr>
    </w:tbl>
    <w:p>
      <w:pPr>
        <w:sectPr>
          <w:pgSz w:w="11900" w:h="16838" w:orient="portrait"/>
          <w:cols w:equalWidth="0" w:num="1">
            <w:col w:w="10219"/>
          </w:cols>
          <w:pgMar w:left="240" w:top="717" w:right="1440" w:bottom="1440" w:gutter="0" w:footer="0" w:header="0"/>
        </w:sectPr>
      </w:pPr>
    </w:p>
    <w:bookmarkStart w:id="5" w:name="page6"/>
    <w:bookmarkEnd w:id="5"/>
    <w:p>
      <w:pPr>
        <w:jc w:val="center"/>
        <w:ind w:right="1779"/>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0"/>
          <w:szCs w:val="20"/>
          <w:color w:val="auto"/>
        </w:rPr>
      </w:pPr>
    </w:p>
    <w:p>
      <w:pPr>
        <w:ind w:left="1700"/>
        <w:spacing w:after="0"/>
        <w:rPr>
          <w:sz w:val="20"/>
          <w:szCs w:val="20"/>
          <w:color w:val="auto"/>
        </w:rPr>
      </w:pPr>
      <w:r>
        <w:rPr>
          <w:rFonts w:ascii="Courier New" w:cs="Courier New" w:eastAsia="Courier New" w:hAnsi="Courier New"/>
          <w:sz w:val="18"/>
          <w:szCs w:val="18"/>
          <w:color w:val="auto"/>
        </w:rPr>
        <w:t>Consolidated Statements of Cash Flows (Unaudited)</w:t>
      </w:r>
    </w:p>
    <w:p>
      <w:pPr>
        <w:ind w:left="3380"/>
        <w:spacing w:after="0" w:line="238" w:lineRule="auto"/>
        <w:rPr>
          <w:sz w:val="20"/>
          <w:szCs w:val="20"/>
          <w:color w:val="auto"/>
        </w:rPr>
      </w:pPr>
      <w:r>
        <w:rPr>
          <w:rFonts w:ascii="Courier New" w:cs="Courier New" w:eastAsia="Courier New" w:hAnsi="Courier New"/>
          <w:sz w:val="18"/>
          <w:szCs w:val="18"/>
          <w:color w:val="auto"/>
        </w:rPr>
        <w:t>(in thousands)</w:t>
      </w:r>
    </w:p>
    <w:p>
      <w:pPr>
        <w:spacing w:after="0" w:line="202"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7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60" w:type="dxa"/>
            <w:vAlign w:val="bottom"/>
          </w:tcPr>
          <w:p>
            <w:pPr>
              <w:jc w:val="right"/>
              <w:spacing w:after="0"/>
              <w:rPr>
                <w:sz w:val="20"/>
                <w:szCs w:val="20"/>
                <w:color w:val="auto"/>
              </w:rPr>
            </w:pPr>
            <w:r>
              <w:rPr>
                <w:rFonts w:ascii="Courier New" w:cs="Courier New" w:eastAsia="Courier New" w:hAnsi="Courier New"/>
                <w:sz w:val="18"/>
                <w:szCs w:val="18"/>
                <w:color w:val="auto"/>
              </w:rPr>
              <w:t>6 Months Ended</w:t>
            </w:r>
          </w:p>
        </w:tc>
        <w:tc>
          <w:tcPr>
            <w:tcW w:w="9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60" w:type="dxa"/>
            <w:vAlign w:val="bottom"/>
          </w:tcPr>
          <w:p>
            <w:pPr>
              <w:jc w:val="right"/>
              <w:ind w:right="112"/>
              <w:spacing w:after="0" w:line="203" w:lineRule="exact"/>
              <w:rPr>
                <w:sz w:val="20"/>
                <w:szCs w:val="20"/>
                <w:color w:val="auto"/>
              </w:rPr>
            </w:pPr>
            <w:r>
              <w:rPr>
                <w:rFonts w:ascii="Courier New" w:cs="Courier New" w:eastAsia="Courier New" w:hAnsi="Courier New"/>
                <w:sz w:val="18"/>
                <w:szCs w:val="18"/>
                <w:color w:val="auto"/>
              </w:rPr>
              <w:t>June 30,</w:t>
            </w:r>
          </w:p>
        </w:tc>
        <w:tc>
          <w:tcPr>
            <w:tcW w:w="960" w:type="dxa"/>
            <w:vAlign w:val="bottom"/>
          </w:tcPr>
          <w:p>
            <w:pPr>
              <w:spacing w:after="0"/>
              <w:rPr>
                <w:sz w:val="17"/>
                <w:szCs w:val="17"/>
                <w:color w:val="auto"/>
              </w:rPr>
            </w:pPr>
          </w:p>
        </w:tc>
      </w:tr>
      <w:tr>
        <w:trPr>
          <w:trHeight w:val="203"/>
        </w:trPr>
        <w:tc>
          <w:tcPr>
            <w:tcW w:w="2700" w:type="dxa"/>
            <w:vAlign w:val="bottom"/>
          </w:tcPr>
          <w:p>
            <w:pPr>
              <w:spacing w:after="0"/>
              <w:rPr>
                <w:sz w:val="17"/>
                <w:szCs w:val="17"/>
                <w:color w:val="auto"/>
              </w:rPr>
            </w:pPr>
          </w:p>
        </w:tc>
        <w:tc>
          <w:tcPr>
            <w:tcW w:w="2420" w:type="dxa"/>
            <w:vAlign w:val="bottom"/>
          </w:tcPr>
          <w:p>
            <w:pPr>
              <w:spacing w:after="0"/>
              <w:rPr>
                <w:sz w:val="17"/>
                <w:szCs w:val="17"/>
                <w:color w:val="auto"/>
              </w:rPr>
            </w:pPr>
          </w:p>
        </w:tc>
        <w:tc>
          <w:tcPr>
            <w:tcW w:w="2260" w:type="dxa"/>
            <w:vAlign w:val="bottom"/>
          </w:tcPr>
          <w:p>
            <w:pPr>
              <w:jc w:val="right"/>
              <w:ind w:right="1492"/>
              <w:spacing w:after="0" w:line="203" w:lineRule="exact"/>
              <w:rPr>
                <w:sz w:val="20"/>
                <w:szCs w:val="20"/>
                <w:color w:val="auto"/>
              </w:rPr>
            </w:pPr>
            <w:r>
              <w:rPr>
                <w:rFonts w:ascii="Courier New" w:cs="Courier New" w:eastAsia="Courier New" w:hAnsi="Courier New"/>
                <w:sz w:val="18"/>
                <w:szCs w:val="18"/>
                <w:color w:val="auto"/>
              </w:rPr>
              <w:t>1996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1995</w:t>
            </w:r>
          </w:p>
        </w:tc>
      </w:tr>
      <w:tr>
        <w:trPr>
          <w:trHeight w:val="608"/>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OPERATING ACTIVITIES:</w:t>
            </w:r>
          </w:p>
        </w:tc>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earnings  . . . . . . . . . . . . . . .</w:t>
            </w:r>
          </w:p>
        </w:tc>
        <w:tc>
          <w:tcPr>
            <w:tcW w:w="22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$ 61,797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$ 46,433</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Adjustments to reconcile net earnings to</w:t>
            </w:r>
          </w:p>
        </w:tc>
        <w:tc>
          <w:tcPr>
            <w:tcW w:w="2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120" w:type="dxa"/>
            <w:vAlign w:val="bottom"/>
            <w:gridSpan w:val="2"/>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net cash provided by operating activities:</w:t>
            </w:r>
          </w:p>
        </w:tc>
        <w:tc>
          <w:tcPr>
            <w:tcW w:w="2260" w:type="dxa"/>
            <w:vAlign w:val="bottom"/>
          </w:tcPr>
          <w:p>
            <w:pPr>
              <w:spacing w:after="0"/>
              <w:rPr>
                <w:sz w:val="17"/>
                <w:szCs w:val="17"/>
                <w:color w:val="auto"/>
              </w:rPr>
            </w:pPr>
          </w:p>
        </w:tc>
        <w:tc>
          <w:tcPr>
            <w:tcW w:w="960" w:type="dxa"/>
            <w:vAlign w:val="bottom"/>
          </w:tcPr>
          <w:p>
            <w:pPr>
              <w:spacing w:after="0"/>
              <w:rPr>
                <w:sz w:val="17"/>
                <w:szCs w:val="17"/>
                <w:color w:val="auto"/>
              </w:rPr>
            </w:pP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Amortization of intangible assets  . . . . .</w:t>
            </w:r>
          </w:p>
        </w:tc>
        <w:tc>
          <w:tcPr>
            <w:tcW w:w="22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1,555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2,110</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Depreciation   . . . . . . . . . . . . . . .</w:t>
            </w:r>
          </w:p>
        </w:tc>
        <w:tc>
          <w:tcPr>
            <w:tcW w:w="22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15,378</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12,662</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Deferred income taxes  . . . . . . . . . . .</w:t>
            </w:r>
          </w:p>
        </w:tc>
        <w:tc>
          <w:tcPr>
            <w:tcW w:w="22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6,150</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(5,300)</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Provision for doubtful accounts  . . . . . .</w:t>
            </w:r>
          </w:p>
        </w:tc>
        <w:tc>
          <w:tcPr>
            <w:tcW w:w="2260" w:type="dxa"/>
            <w:vAlign w:val="bottom"/>
          </w:tcPr>
          <w:p>
            <w:pPr>
              <w:jc w:val="right"/>
              <w:ind w:right="1272"/>
              <w:spacing w:after="0" w:line="203" w:lineRule="exact"/>
              <w:rPr>
                <w:sz w:val="20"/>
                <w:szCs w:val="20"/>
                <w:color w:val="auto"/>
              </w:rPr>
            </w:pPr>
            <w:r>
              <w:rPr>
                <w:rFonts w:ascii="Courier New" w:cs="Courier New" w:eastAsia="Courier New" w:hAnsi="Courier New"/>
                <w:sz w:val="18"/>
                <w:szCs w:val="18"/>
                <w:color w:val="auto"/>
              </w:rPr>
              <w:t>5,862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6,513</w:t>
            </w:r>
          </w:p>
        </w:tc>
      </w:tr>
      <w:tr>
        <w:trPr>
          <w:trHeight w:val="405"/>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rPr>
              <w:t>Changes in operating assets and liabilities:</w:t>
            </w:r>
          </w:p>
        </w:tc>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Accounts receivable  . . . . . . . . . . . .</w:t>
            </w:r>
          </w:p>
        </w:tc>
        <w:tc>
          <w:tcPr>
            <w:tcW w:w="22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(94,743)</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w w:val="96"/>
              </w:rPr>
              <w:t>(110,487)</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assets  . . . . . . . . . . . . . . .</w:t>
            </w:r>
          </w:p>
        </w:tc>
        <w:tc>
          <w:tcPr>
            <w:tcW w:w="22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(19,432)</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1,309</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Other liabilities  . . . . . . . . . . . . .</w:t>
            </w:r>
          </w:p>
        </w:tc>
        <w:tc>
          <w:tcPr>
            <w:tcW w:w="22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28,851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32,157</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used in operating activities  . . . . .</w:t>
            </w:r>
          </w:p>
        </w:tc>
        <w:tc>
          <w:tcPr>
            <w:tcW w:w="22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5,418</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(14,603)</w:t>
            </w:r>
          </w:p>
        </w:tc>
      </w:tr>
      <w:tr>
        <w:trPr>
          <w:trHeight w:val="405"/>
        </w:trPr>
        <w:tc>
          <w:tcPr>
            <w:tcW w:w="2700" w:type="dxa"/>
            <w:vAlign w:val="bottom"/>
          </w:tcPr>
          <w:p>
            <w:pPr>
              <w:spacing w:after="0"/>
              <w:rPr>
                <w:sz w:val="20"/>
                <w:szCs w:val="20"/>
                <w:color w:val="auto"/>
              </w:rPr>
            </w:pPr>
            <w:r>
              <w:rPr>
                <w:rFonts w:ascii="Courier New" w:cs="Courier New" w:eastAsia="Courier New" w:hAnsi="Courier New"/>
                <w:sz w:val="18"/>
                <w:szCs w:val="18"/>
                <w:color w:val="auto"/>
                <w:w w:val="99"/>
              </w:rPr>
              <w:t>CASH FLOWS FROM INVESTING</w:t>
            </w:r>
          </w:p>
        </w:tc>
        <w:tc>
          <w:tcPr>
            <w:tcW w:w="2420" w:type="dxa"/>
            <w:vAlign w:val="bottom"/>
          </w:tcPr>
          <w:p>
            <w:pPr>
              <w:jc w:val="right"/>
              <w:ind w:right="1132"/>
              <w:spacing w:after="0"/>
              <w:rPr>
                <w:sz w:val="20"/>
                <w:szCs w:val="20"/>
                <w:color w:val="auto"/>
              </w:rPr>
            </w:pPr>
            <w:r>
              <w:rPr>
                <w:rFonts w:ascii="Courier New" w:cs="Courier New" w:eastAsia="Courier New" w:hAnsi="Courier New"/>
                <w:sz w:val="18"/>
                <w:szCs w:val="18"/>
                <w:color w:val="auto"/>
                <w:w w:val="99"/>
              </w:rPr>
              <w:t>ACTIVITIES:</w:t>
            </w:r>
          </w:p>
        </w:tc>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2700" w:type="dxa"/>
            <w:vAlign w:val="bottom"/>
          </w:tcPr>
          <w:p>
            <w:pPr>
              <w:spacing w:after="0" w:line="203" w:lineRule="exact"/>
              <w:rPr>
                <w:sz w:val="20"/>
                <w:szCs w:val="20"/>
                <w:color w:val="auto"/>
              </w:rPr>
            </w:pPr>
            <w:r>
              <w:rPr>
                <w:rFonts w:ascii="Courier New" w:cs="Courier New" w:eastAsia="Courier New" w:hAnsi="Courier New"/>
                <w:sz w:val="18"/>
                <w:szCs w:val="18"/>
                <w:color w:val="auto"/>
              </w:rPr>
              <w:t>Purchases of businesses</w:t>
            </w:r>
          </w:p>
        </w:tc>
        <w:tc>
          <w:tcPr>
            <w:tcW w:w="2420" w:type="dxa"/>
            <w:vAlign w:val="bottom"/>
          </w:tcPr>
          <w:p>
            <w:pPr>
              <w:jc w:val="right"/>
              <w:ind w:right="492"/>
              <w:spacing w:after="0" w:line="203" w:lineRule="exact"/>
              <w:rPr>
                <w:sz w:val="20"/>
                <w:szCs w:val="20"/>
                <w:color w:val="auto"/>
              </w:rPr>
            </w:pPr>
            <w:r>
              <w:rPr>
                <w:rFonts w:ascii="Courier New" w:cs="Courier New" w:eastAsia="Courier New" w:hAnsi="Courier New"/>
                <w:sz w:val="18"/>
                <w:szCs w:val="18"/>
                <w:color w:val="auto"/>
                <w:w w:val="99"/>
              </w:rPr>
              <w:t>. . . . . . . . .</w:t>
            </w:r>
          </w:p>
        </w:tc>
        <w:tc>
          <w:tcPr>
            <w:tcW w:w="22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(31,206)</w:t>
            </w:r>
          </w:p>
        </w:tc>
        <w:tc>
          <w:tcPr>
            <w:tcW w:w="960" w:type="dxa"/>
            <w:vAlign w:val="bottom"/>
          </w:tcPr>
          <w:p>
            <w:pPr>
              <w:jc w:val="right"/>
              <w:ind w:right="2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Purchases of property and equipment   . . .</w:t>
            </w:r>
          </w:p>
        </w:tc>
        <w:tc>
          <w:tcPr>
            <w:tcW w:w="22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(22,319)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(15,712)</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8"/>
              </w:rPr>
              <w:t>Proceeds from the sale of property and equipment</w:t>
            </w:r>
          </w:p>
        </w:tc>
        <w:tc>
          <w:tcPr>
            <w:tcW w:w="22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933</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1,018</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used in investing activities  . . . .</w:t>
            </w:r>
          </w:p>
        </w:tc>
        <w:tc>
          <w:tcPr>
            <w:tcW w:w="22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(52,592)</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(14,694)</w:t>
            </w:r>
          </w:p>
        </w:tc>
      </w:tr>
      <w:tr>
        <w:trPr>
          <w:trHeight w:val="405"/>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rPr>
              <w:t>CASH FLOWS FROM FINANCING ACTIVITIES:</w:t>
            </w:r>
          </w:p>
        </w:tc>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change in payable to banks  . . . . . .</w:t>
            </w:r>
          </w:p>
        </w:tc>
        <w:tc>
          <w:tcPr>
            <w:tcW w:w="22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(7,519)</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13,697</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Proceeds from long-term debt  . . . . . . .</w:t>
            </w:r>
          </w:p>
        </w:tc>
        <w:tc>
          <w:tcPr>
            <w:tcW w:w="22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21,614</w:t>
            </w:r>
          </w:p>
        </w:tc>
        <w:tc>
          <w:tcPr>
            <w:tcW w:w="960" w:type="dxa"/>
            <w:vAlign w:val="bottom"/>
          </w:tcPr>
          <w:p>
            <w:pPr>
              <w:jc w:val="right"/>
              <w:ind w:right="132"/>
              <w:spacing w:after="0" w:line="203" w:lineRule="exact"/>
              <w:rPr>
                <w:sz w:val="20"/>
                <w:szCs w:val="20"/>
                <w:color w:val="auto"/>
              </w:rPr>
            </w:pPr>
            <w:r>
              <w:rPr>
                <w:rFonts w:ascii="Courier New" w:cs="Courier New" w:eastAsia="Courier New" w:hAnsi="Courier New"/>
                <w:sz w:val="18"/>
                <w:szCs w:val="18"/>
                <w:color w:val="auto"/>
              </w:rPr>
              <w:t>--</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Repayment of long-term debt   . . . . . . .</w:t>
            </w:r>
          </w:p>
        </w:tc>
        <w:tc>
          <w:tcPr>
            <w:tcW w:w="22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(789)</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(8,425)</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Dividends paid  . . . . . . . . . . . . . .</w:t>
            </w:r>
          </w:p>
        </w:tc>
        <w:tc>
          <w:tcPr>
            <w:tcW w:w="22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(5,735)</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(4,507)</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provided by financing activities  . .</w:t>
            </w:r>
          </w:p>
        </w:tc>
        <w:tc>
          <w:tcPr>
            <w:tcW w:w="22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7,571</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765</w:t>
            </w:r>
          </w:p>
        </w:tc>
      </w:tr>
      <w:tr>
        <w:trPr>
          <w:trHeight w:val="405"/>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rPr>
              <w:t>Effect of exchange rate changes on cash   .</w:t>
            </w:r>
          </w:p>
        </w:tc>
        <w:tc>
          <w:tcPr>
            <w:tcW w:w="2260" w:type="dxa"/>
            <w:vAlign w:val="bottom"/>
          </w:tcPr>
          <w:p>
            <w:pPr>
              <w:jc w:val="right"/>
              <w:ind w:right="1072"/>
              <w:spacing w:after="0"/>
              <w:rPr>
                <w:sz w:val="20"/>
                <w:szCs w:val="20"/>
                <w:color w:val="auto"/>
              </w:rPr>
            </w:pPr>
            <w:r>
              <w:rPr>
                <w:rFonts w:ascii="Courier New" w:cs="Courier New" w:eastAsia="Courier New" w:hAnsi="Courier New"/>
                <w:sz w:val="18"/>
                <w:szCs w:val="18"/>
                <w:color w:val="auto"/>
              </w:rPr>
              <w:t>(5,784)</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2,890</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Net change in cash and cash equivalents . .</w:t>
            </w:r>
          </w:p>
        </w:tc>
        <w:tc>
          <w:tcPr>
            <w:tcW w:w="2260" w:type="dxa"/>
            <w:vAlign w:val="bottom"/>
          </w:tcPr>
          <w:p>
            <w:pPr>
              <w:jc w:val="right"/>
              <w:ind w:right="1072"/>
              <w:spacing w:after="0" w:line="203" w:lineRule="exact"/>
              <w:rPr>
                <w:sz w:val="20"/>
                <w:szCs w:val="20"/>
                <w:color w:val="auto"/>
              </w:rPr>
            </w:pPr>
            <w:r>
              <w:rPr>
                <w:rFonts w:ascii="Courier New" w:cs="Courier New" w:eastAsia="Courier New" w:hAnsi="Courier New"/>
                <w:sz w:val="18"/>
                <w:szCs w:val="18"/>
                <w:color w:val="auto"/>
              </w:rPr>
              <w:t>(45,387)</w:t>
            </w:r>
          </w:p>
        </w:tc>
        <w:tc>
          <w:tcPr>
            <w:tcW w:w="96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(25,642)</w:t>
            </w:r>
          </w:p>
        </w:tc>
      </w:tr>
      <w:tr>
        <w:trPr>
          <w:trHeight w:val="405"/>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rPr>
              <w:t>Cash and cash equivalents, beginning of period</w:t>
            </w:r>
          </w:p>
        </w:tc>
        <w:tc>
          <w:tcPr>
            <w:tcW w:w="2260" w:type="dxa"/>
            <w:vAlign w:val="bottom"/>
          </w:tcPr>
          <w:p>
            <w:pPr>
              <w:jc w:val="right"/>
              <w:ind w:right="1172"/>
              <w:spacing w:after="0"/>
              <w:rPr>
                <w:sz w:val="20"/>
                <w:szCs w:val="20"/>
                <w:color w:val="auto"/>
              </w:rPr>
            </w:pPr>
            <w:r>
              <w:rPr>
                <w:rFonts w:ascii="Courier New" w:cs="Courier New" w:eastAsia="Courier New" w:hAnsi="Courier New"/>
                <w:sz w:val="18"/>
                <w:szCs w:val="18"/>
                <w:color w:val="auto"/>
              </w:rPr>
              <w:t>142,773</w:t>
            </w:r>
          </w:p>
        </w:tc>
        <w:tc>
          <w:tcPr>
            <w:tcW w:w="960" w:type="dxa"/>
            <w:vAlign w:val="bottom"/>
          </w:tcPr>
          <w:p>
            <w:pPr>
              <w:jc w:val="right"/>
              <w:ind w:right="32"/>
              <w:spacing w:after="0"/>
              <w:rPr>
                <w:sz w:val="20"/>
                <w:szCs w:val="20"/>
                <w:color w:val="auto"/>
              </w:rPr>
            </w:pPr>
            <w:r>
              <w:rPr>
                <w:rFonts w:ascii="Courier New" w:cs="Courier New" w:eastAsia="Courier New" w:hAnsi="Courier New"/>
                <w:sz w:val="18"/>
                <w:szCs w:val="18"/>
                <w:color w:val="auto"/>
              </w:rPr>
              <w:t>82,049</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Cash and cash equivalents, end of period  .</w:t>
            </w:r>
          </w:p>
        </w:tc>
        <w:tc>
          <w:tcPr>
            <w:tcW w:w="22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$ 97,386</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$ 56,407</w:t>
            </w:r>
          </w:p>
        </w:tc>
      </w:tr>
      <w:tr>
        <w:trPr>
          <w:trHeight w:val="405"/>
        </w:trPr>
        <w:tc>
          <w:tcPr>
            <w:tcW w:w="5120" w:type="dxa"/>
            <w:vAlign w:val="bottom"/>
            <w:gridSpan w:val="2"/>
          </w:tcPr>
          <w:p>
            <w:pPr>
              <w:spacing w:after="0"/>
              <w:rPr>
                <w:sz w:val="20"/>
                <w:szCs w:val="20"/>
                <w:color w:val="auto"/>
              </w:rPr>
            </w:pPr>
            <w:r>
              <w:rPr>
                <w:rFonts w:ascii="Courier New" w:cs="Courier New" w:eastAsia="Courier New" w:hAnsi="Courier New"/>
                <w:sz w:val="18"/>
                <w:szCs w:val="18"/>
                <w:color w:val="auto"/>
              </w:rPr>
              <w:t>SUPPLEMENTAL CASH FLOW INFORMATION:</w:t>
            </w:r>
          </w:p>
        </w:tc>
        <w:tc>
          <w:tcPr>
            <w:tcW w:w="2260" w:type="dxa"/>
            <w:vAlign w:val="bottom"/>
          </w:tcPr>
          <w:p>
            <w:pPr>
              <w:spacing w:after="0"/>
              <w:rPr>
                <w:sz w:val="24"/>
                <w:szCs w:val="24"/>
                <w:color w:val="auto"/>
              </w:rPr>
            </w:pPr>
          </w:p>
        </w:tc>
        <w:tc>
          <w:tcPr>
            <w:tcW w:w="960" w:type="dxa"/>
            <w:vAlign w:val="bottom"/>
          </w:tcPr>
          <w:p>
            <w:pPr>
              <w:spacing w:after="0"/>
              <w:rPr>
                <w:sz w:val="24"/>
                <w:szCs w:val="24"/>
                <w:color w:val="auto"/>
              </w:rPr>
            </w:pP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Interest paid   . . . . . . . . . . . . . .</w:t>
            </w:r>
          </w:p>
        </w:tc>
        <w:tc>
          <w:tcPr>
            <w:tcW w:w="22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$ 5,507</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rPr>
              <w:t>$ 6,860</w:t>
            </w:r>
          </w:p>
        </w:tc>
      </w:tr>
      <w:tr>
        <w:trPr>
          <w:trHeight w:val="203"/>
        </w:trPr>
        <w:tc>
          <w:tcPr>
            <w:tcW w:w="512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rPr>
              <w:t>Income taxes paid   . . . . . . . . . . . .</w:t>
            </w:r>
          </w:p>
        </w:tc>
        <w:tc>
          <w:tcPr>
            <w:tcW w:w="2260" w:type="dxa"/>
            <w:vAlign w:val="bottom"/>
          </w:tcPr>
          <w:p>
            <w:pPr>
              <w:jc w:val="right"/>
              <w:ind w:right="1172"/>
              <w:spacing w:after="0" w:line="203" w:lineRule="exact"/>
              <w:rPr>
                <w:sz w:val="20"/>
                <w:szCs w:val="20"/>
                <w:color w:val="auto"/>
              </w:rPr>
            </w:pPr>
            <w:r>
              <w:rPr>
                <w:rFonts w:ascii="Courier New" w:cs="Courier New" w:eastAsia="Courier New" w:hAnsi="Courier New"/>
                <w:sz w:val="18"/>
                <w:szCs w:val="18"/>
                <w:color w:val="auto"/>
              </w:rPr>
              <w:t>$ 34,715</w:t>
            </w:r>
          </w:p>
        </w:tc>
        <w:tc>
          <w:tcPr>
            <w:tcW w:w="960" w:type="dxa"/>
            <w:vAlign w:val="bottom"/>
          </w:tcPr>
          <w:p>
            <w:pPr>
              <w:jc w:val="right"/>
              <w:ind w:right="32"/>
              <w:spacing w:after="0" w:line="203" w:lineRule="exact"/>
              <w:rPr>
                <w:sz w:val="20"/>
                <w:szCs w:val="20"/>
                <w:color w:val="auto"/>
              </w:rPr>
            </w:pPr>
            <w:r>
              <w:rPr>
                <w:rFonts w:ascii="Courier New" w:cs="Courier New" w:eastAsia="Courier New" w:hAnsi="Courier New"/>
                <w:sz w:val="18"/>
                <w:szCs w:val="18"/>
                <w:color w:val="auto"/>
                <w:w w:val="94"/>
              </w:rPr>
              <w:t>$ 42,294</w:t>
            </w:r>
          </w:p>
        </w:tc>
      </w:tr>
    </w:tbl>
    <w:p>
      <w:pPr>
        <w:spacing w:after="0" w:line="201" w:lineRule="exact"/>
        <w:rPr>
          <w:sz w:val="20"/>
          <w:szCs w:val="20"/>
          <w:color w:val="auto"/>
        </w:rPr>
      </w:pPr>
    </w:p>
    <w:p>
      <w:pPr>
        <w:jc w:val="center"/>
        <w:ind w:right="2099"/>
        <w:spacing w:after="0"/>
        <w:rPr>
          <w:sz w:val="20"/>
          <w:szCs w:val="20"/>
          <w:color w:val="auto"/>
        </w:rPr>
      </w:pPr>
      <w:r>
        <w:rPr>
          <w:rFonts w:ascii="Courier New" w:cs="Courier New" w:eastAsia="Courier New" w:hAnsi="Courier New"/>
          <w:sz w:val="18"/>
          <w:szCs w:val="18"/>
          <w:color w:val="auto"/>
        </w:rPr>
        <w:t>The accompanying notes to consolidated financial statements</w:t>
      </w:r>
    </w:p>
    <w:p>
      <w:pPr>
        <w:jc w:val="center"/>
        <w:ind w:right="2099"/>
        <w:spacing w:after="0" w:line="238" w:lineRule="auto"/>
        <w:rPr>
          <w:sz w:val="20"/>
          <w:szCs w:val="20"/>
          <w:color w:val="auto"/>
        </w:rPr>
      </w:pPr>
      <w:r>
        <w:rPr>
          <w:rFonts w:ascii="Courier New" w:cs="Courier New" w:eastAsia="Courier New" w:hAnsi="Courier New"/>
          <w:sz w:val="18"/>
          <w:szCs w:val="18"/>
          <w:color w:val="auto"/>
        </w:rPr>
        <w:t>are an integral part of these statements.</w:t>
      </w:r>
    </w:p>
    <w:p>
      <w:pPr>
        <w:sectPr>
          <w:pgSz w:w="11900" w:h="16838" w:orient="portrait"/>
          <w:cols w:equalWidth="0" w:num="1">
            <w:col w:w="10219"/>
          </w:cols>
          <w:pgMar w:left="240" w:top="717" w:right="1440" w:bottom="1440" w:gutter="0" w:footer="0" w:header="0"/>
        </w:sectPr>
      </w:pPr>
    </w:p>
    <w:bookmarkStart w:id="6" w:name="page7"/>
    <w:bookmarkEnd w:id="6"/>
    <w:p>
      <w:pPr>
        <w:ind w:left="2540"/>
        <w:spacing w:after="0"/>
        <w:rPr>
          <w:sz w:val="20"/>
          <w:szCs w:val="20"/>
          <w:color w:val="auto"/>
        </w:rPr>
      </w:pPr>
      <w:r>
        <w:rPr>
          <w:rFonts w:ascii="Courier New" w:cs="Courier New" w:eastAsia="Courier New" w:hAnsi="Courier New"/>
          <w:sz w:val="18"/>
          <w:szCs w:val="18"/>
          <w:color w:val="auto"/>
        </w:rPr>
        <w:t>MANPOWER INC. AND SUBSIDIARIES</w:t>
      </w:r>
    </w:p>
    <w:p>
      <w:pPr>
        <w:spacing w:after="0" w:line="201" w:lineRule="exact"/>
        <w:rPr>
          <w:sz w:val="20"/>
          <w:szCs w:val="20"/>
          <w:color w:val="auto"/>
        </w:rPr>
      </w:pPr>
    </w:p>
    <w:p>
      <w:pPr>
        <w:ind w:left="1160"/>
        <w:spacing w:after="0"/>
        <w:rPr>
          <w:sz w:val="20"/>
          <w:szCs w:val="20"/>
          <w:color w:val="auto"/>
        </w:rPr>
      </w:pPr>
      <w:r>
        <w:rPr>
          <w:rFonts w:ascii="Courier New" w:cs="Courier New" w:eastAsia="Courier New" w:hAnsi="Courier New"/>
          <w:sz w:val="18"/>
          <w:szCs w:val="18"/>
          <w:color w:val="auto"/>
        </w:rPr>
        <w:t>Notes to Consolidated Financial Statements (Unaudited)</w:t>
      </w:r>
    </w:p>
    <w:p>
      <w:pPr>
        <w:spacing w:after="0" w:line="201" w:lineRule="exact"/>
        <w:rPr>
          <w:sz w:val="20"/>
          <w:szCs w:val="20"/>
          <w:color w:val="auto"/>
        </w:rPr>
      </w:pPr>
    </w:p>
    <w:p>
      <w:pPr>
        <w:ind w:left="1480"/>
        <w:spacing w:after="0"/>
        <w:rPr>
          <w:sz w:val="20"/>
          <w:szCs w:val="20"/>
          <w:color w:val="auto"/>
        </w:rPr>
      </w:pPr>
      <w:r>
        <w:rPr>
          <w:rFonts w:ascii="Courier New" w:cs="Courier New" w:eastAsia="Courier New" w:hAnsi="Courier New"/>
          <w:sz w:val="18"/>
          <w:szCs w:val="18"/>
          <w:color w:val="auto"/>
        </w:rPr>
        <w:t>For the Six Months Ended June 30, 1996 and 1995</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(1)Basis of Presentation</w:t>
      </w:r>
    </w:p>
    <w:p>
      <w:pPr>
        <w:spacing w:after="0" w:line="4" w:lineRule="exact"/>
        <w:rPr>
          <w:sz w:val="20"/>
          <w:szCs w:val="20"/>
          <w:color w:val="auto"/>
        </w:rPr>
      </w:pPr>
    </w:p>
    <w:p>
      <w:pPr>
        <w:ind w:right="1879"/>
        <w:spacing w:after="0" w:line="271" w:lineRule="auto"/>
        <w:rPr>
          <w:sz w:val="20"/>
          <w:szCs w:val="20"/>
          <w:color w:val="auto"/>
        </w:rPr>
      </w:pPr>
      <w:r>
        <w:rPr>
          <w:rFonts w:ascii="Courier New" w:cs="Courier New" w:eastAsia="Courier New" w:hAnsi="Courier New"/>
          <w:sz w:val="16"/>
          <w:szCs w:val="16"/>
          <w:color w:val="auto"/>
        </w:rPr>
        <w:t>Certain information and footnote disclosures normally included in financial statements prepared in accordance with generally accepted accounting principals have been condensed or ommitted pursuant to the rules and regulations of the Securities and Exchange Commission, although the Company believes that the disclosures are adequate to make the information presented not misleading. These consolidated financial statements should be read in conjunction with the consolidated financial statements included in the Company's latest annual report on Form 10-K for the year ended December 31, 1995.</w:t>
      </w:r>
    </w:p>
    <w:p>
      <w:pPr>
        <w:spacing w:after="0" w:line="180"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(2)Accounting Policies</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Intangible assets consist primarily of trademarks and the excess of cost over the fair value of net assets acquired. Trademarks are amortized on a straight-line basis over their useful lives. The excess of cost over the fair value of net assets acquired is amortized on a straight-line basis over its useful life, estimated based on the facts and circumstances surrounding each individual acquisition, ranging from five to twenty years.</w:t>
      </w:r>
    </w:p>
    <w:p>
      <w:pPr>
        <w:spacing w:after="0" w:line="204"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(3)Operational Results</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The information furnished reflects all adjustments which, in the opinion of management, are necessary for a fair statement of the results of operations for the periods presented. Such adjustments are of a normal recurring nature.</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(4)Income Taxes</w:t>
      </w:r>
    </w:p>
    <w:p>
      <w:pPr>
        <w:spacing w:after="0" w:line="4" w:lineRule="exact"/>
        <w:rPr>
          <w:sz w:val="20"/>
          <w:szCs w:val="20"/>
          <w:color w:val="auto"/>
        </w:rPr>
      </w:pPr>
    </w:p>
    <w:p>
      <w:pPr>
        <w:ind w:right="2319"/>
        <w:spacing w:after="0" w:line="235" w:lineRule="auto"/>
        <w:rPr>
          <w:sz w:val="20"/>
          <w:szCs w:val="20"/>
          <w:color w:val="auto"/>
        </w:rPr>
      </w:pPr>
      <w:r>
        <w:rPr>
          <w:rFonts w:ascii="Courier New" w:cs="Courier New" w:eastAsia="Courier New" w:hAnsi="Courier New"/>
          <w:sz w:val="18"/>
          <w:szCs w:val="18"/>
          <w:color w:val="auto"/>
        </w:rPr>
        <w:t>The provision for income taxes has been computed using the estimated annual effective tax rate, based on currently available information.</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(5)Unsecured Revolving Credit Agreement</w:t>
      </w:r>
    </w:p>
    <w:p>
      <w:pPr>
        <w:spacing w:after="0" w:line="4" w:lineRule="exact"/>
        <w:rPr>
          <w:sz w:val="20"/>
          <w:szCs w:val="20"/>
          <w:color w:val="auto"/>
        </w:rPr>
      </w:pPr>
    </w:p>
    <w:p>
      <w:pPr>
        <w:ind w:right="1879"/>
        <w:spacing w:after="0" w:line="238" w:lineRule="auto"/>
        <w:rPr>
          <w:sz w:val="20"/>
          <w:szCs w:val="20"/>
          <w:color w:val="auto"/>
        </w:rPr>
      </w:pPr>
      <w:r>
        <w:rPr>
          <w:rFonts w:ascii="Courier New" w:cs="Courier New" w:eastAsia="Courier New" w:hAnsi="Courier New"/>
          <w:sz w:val="18"/>
          <w:szCs w:val="18"/>
          <w:color w:val="auto"/>
        </w:rPr>
        <w:t>On April 1, 1996, the Company entered into a $275 million unsecured revolving credit agreement which includes a $60 million commitment to be used exclusively for standby letters of credit. As of June 30, 1996, $17.5 million of Yen denominated borrowings is outstanding under this multicurrency facility. The interest rate and facility fee payable on the total line vary based upon the Company's financial performance, debt rating, and borrowing level, and are currently at LIBOR plus .225% and .125%, respectively. The facility matures on May 15, 1999, but may be extended for an additional two years with the lenders' consent. The agreement requires, among other things, that the Company comply with minimum tangible net worth levels and interest coverage and debt-to-capitalization ratios. This agreement replaced the Company's $240 million unsecured revolving credit agreement.</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(6)Dividend</w:t>
      </w:r>
    </w:p>
    <w:p>
      <w:pPr>
        <w:spacing w:after="0" w:line="4" w:lineRule="exact"/>
        <w:rPr>
          <w:sz w:val="20"/>
          <w:szCs w:val="20"/>
          <w:color w:val="auto"/>
        </w:rPr>
      </w:pPr>
    </w:p>
    <w:p>
      <w:pPr>
        <w:ind w:right="1879"/>
        <w:spacing w:after="0" w:line="236" w:lineRule="auto"/>
        <w:rPr>
          <w:sz w:val="20"/>
          <w:szCs w:val="20"/>
          <w:color w:val="auto"/>
        </w:rPr>
      </w:pPr>
      <w:r>
        <w:rPr>
          <w:rFonts w:ascii="Courier New" w:cs="Courier New" w:eastAsia="Courier New" w:hAnsi="Courier New"/>
          <w:sz w:val="18"/>
          <w:szCs w:val="18"/>
          <w:color w:val="auto"/>
        </w:rPr>
        <w:t>On April 29, 1996, the Company's Board of Directors declared a cash dividend of $.07 per share which was paid on June 14, 1996 to shareholders of record on May 24, 1996.</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2280" w:type="dxa"/>
            <w:vAlign w:val="bottom"/>
            <w:gridSpan w:val="2"/>
          </w:tcPr>
          <w:p>
            <w:pPr>
              <w:spacing w:after="0"/>
              <w:rPr>
                <w:sz w:val="20"/>
                <w:szCs w:val="20"/>
                <w:color w:val="auto"/>
              </w:rPr>
            </w:pPr>
            <w:r>
              <w:rPr>
                <w:rFonts w:ascii="Courier New" w:cs="Courier New" w:eastAsia="Courier New" w:hAnsi="Courier New"/>
                <w:sz w:val="18"/>
                <w:szCs w:val="18"/>
                <w:color w:val="auto"/>
                <w:w w:val="99"/>
              </w:rPr>
              <w:t>(7)Interest and Other</w:t>
            </w:r>
          </w:p>
        </w:tc>
        <w:tc>
          <w:tcPr>
            <w:tcW w:w="1260" w:type="dxa"/>
            <w:vAlign w:val="bottom"/>
          </w:tcPr>
          <w:p>
            <w:pPr>
              <w:ind w:left="40"/>
              <w:spacing w:after="0"/>
              <w:rPr>
                <w:sz w:val="20"/>
                <w:szCs w:val="20"/>
                <w:color w:val="auto"/>
              </w:rPr>
            </w:pPr>
            <w:r>
              <w:rPr>
                <w:rFonts w:ascii="Courier New" w:cs="Courier New" w:eastAsia="Courier New" w:hAnsi="Courier New"/>
                <w:sz w:val="18"/>
                <w:szCs w:val="18"/>
                <w:color w:val="auto"/>
              </w:rPr>
              <w:t>Expenses</w:t>
            </w:r>
          </w:p>
        </w:tc>
        <w:tc>
          <w:tcPr>
            <w:tcW w:w="116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203"/>
        </w:trPr>
        <w:tc>
          <w:tcPr>
            <w:tcW w:w="2280" w:type="dxa"/>
            <w:vAlign w:val="bottom"/>
            <w:gridSpan w:val="2"/>
          </w:tcPr>
          <w:p>
            <w:pPr>
              <w:spacing w:after="0" w:line="203" w:lineRule="exact"/>
              <w:rPr>
                <w:sz w:val="20"/>
                <w:szCs w:val="20"/>
                <w:color w:val="auto"/>
              </w:rPr>
            </w:pPr>
            <w:r>
              <w:rPr>
                <w:rFonts w:ascii="Courier New" w:cs="Courier New" w:eastAsia="Courier New" w:hAnsi="Courier New"/>
                <w:sz w:val="18"/>
                <w:szCs w:val="18"/>
                <w:color w:val="auto"/>
                <w:w w:val="99"/>
              </w:rPr>
              <w:t>In April, the Company</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recorded an</w:t>
            </w:r>
          </w:p>
        </w:tc>
        <w:tc>
          <w:tcPr>
            <w:tcW w:w="4100" w:type="dxa"/>
            <w:vAlign w:val="bottom"/>
            <w:gridSpan w:val="5"/>
          </w:tcPr>
          <w:p>
            <w:pPr>
              <w:ind w:left="40"/>
              <w:spacing w:after="0" w:line="203" w:lineRule="exact"/>
              <w:rPr>
                <w:sz w:val="20"/>
                <w:szCs w:val="20"/>
                <w:color w:val="auto"/>
              </w:rPr>
            </w:pPr>
            <w:r>
              <w:rPr>
                <w:rFonts w:ascii="Courier New" w:cs="Courier New" w:eastAsia="Courier New" w:hAnsi="Courier New"/>
                <w:sz w:val="18"/>
                <w:szCs w:val="18"/>
                <w:color w:val="auto"/>
                <w:w w:val="98"/>
              </w:rPr>
              <w:t>$8.5 million gain on proceeds received</w:t>
            </w:r>
          </w:p>
        </w:tc>
        <w:tc>
          <w:tcPr>
            <w:tcW w:w="8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from an</w:t>
            </w:r>
          </w:p>
        </w:tc>
      </w:tr>
      <w:tr>
        <w:trPr>
          <w:trHeight w:val="203"/>
        </w:trPr>
        <w:tc>
          <w:tcPr>
            <w:tcW w:w="4700" w:type="dxa"/>
            <w:vAlign w:val="bottom"/>
            <w:gridSpan w:val="4"/>
          </w:tcPr>
          <w:p>
            <w:pPr>
              <w:spacing w:after="0" w:line="203" w:lineRule="exact"/>
              <w:rPr>
                <w:sz w:val="20"/>
                <w:szCs w:val="20"/>
                <w:color w:val="auto"/>
              </w:rPr>
            </w:pPr>
            <w:r>
              <w:rPr>
                <w:rFonts w:ascii="Courier New" w:cs="Courier New" w:eastAsia="Courier New" w:hAnsi="Courier New"/>
                <w:sz w:val="18"/>
                <w:szCs w:val="18"/>
                <w:color w:val="auto"/>
                <w:w w:val="98"/>
              </w:rPr>
              <w:t>equity interest and note related to the sale</w:t>
            </w:r>
          </w:p>
        </w:tc>
        <w:tc>
          <w:tcPr>
            <w:tcW w:w="84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of Blue</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Arrow</w:t>
            </w:r>
          </w:p>
        </w:tc>
        <w:tc>
          <w:tcPr>
            <w:tcW w:w="10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Personnel</w:t>
            </w:r>
          </w:p>
        </w:tc>
        <w:tc>
          <w:tcPr>
            <w:tcW w:w="1220" w:type="dxa"/>
            <w:vAlign w:val="bottom"/>
            <w:gridSpan w:val="2"/>
          </w:tcPr>
          <w:p>
            <w:pPr>
              <w:ind w:left="60"/>
              <w:spacing w:after="0" w:line="203" w:lineRule="exact"/>
              <w:rPr>
                <w:sz w:val="20"/>
                <w:szCs w:val="20"/>
                <w:color w:val="auto"/>
              </w:rPr>
            </w:pPr>
            <w:r>
              <w:rPr>
                <w:rFonts w:ascii="Courier New" w:cs="Courier New" w:eastAsia="Courier New" w:hAnsi="Courier New"/>
                <w:sz w:val="18"/>
                <w:szCs w:val="18"/>
                <w:color w:val="auto"/>
              </w:rPr>
              <w:t>Services</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Limited in 1991.</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The</w:t>
            </w:r>
          </w:p>
        </w:tc>
        <w:tc>
          <w:tcPr>
            <w:tcW w:w="12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Company had</w:t>
            </w:r>
          </w:p>
        </w:tc>
        <w:tc>
          <w:tcPr>
            <w:tcW w:w="11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previously</w:t>
            </w:r>
          </w:p>
        </w:tc>
        <w:tc>
          <w:tcPr>
            <w:tcW w:w="252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9"/>
              </w:rPr>
              <w:t>deferred recognition of</w:t>
            </w:r>
          </w:p>
        </w:tc>
        <w:tc>
          <w:tcPr>
            <w:tcW w:w="42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w:t>
            </w:r>
          </w:p>
        </w:tc>
        <w:tc>
          <w:tcPr>
            <w:tcW w:w="800" w:type="dxa"/>
            <w:vAlign w:val="bottom"/>
          </w:tcPr>
          <w:p>
            <w:pPr>
              <w:jc w:val="right"/>
              <w:ind w:right="12"/>
              <w:spacing w:after="0" w:line="203" w:lineRule="exact"/>
              <w:rPr>
                <w:sz w:val="20"/>
                <w:szCs w:val="20"/>
                <w:color w:val="auto"/>
              </w:rPr>
            </w:pPr>
            <w:r>
              <w:rPr>
                <w:rFonts w:ascii="Courier New" w:cs="Courier New" w:eastAsia="Courier New" w:hAnsi="Courier New"/>
                <w:sz w:val="18"/>
                <w:szCs w:val="18"/>
                <w:color w:val="auto"/>
              </w:rPr>
              <w:t>equity</w:t>
            </w:r>
          </w:p>
        </w:tc>
      </w:tr>
      <w:tr>
        <w:trPr>
          <w:trHeight w:val="203"/>
        </w:trPr>
        <w:tc>
          <w:tcPr>
            <w:tcW w:w="1740" w:type="dxa"/>
            <w:vAlign w:val="bottom"/>
          </w:tcPr>
          <w:p>
            <w:pPr>
              <w:spacing w:after="0" w:line="203" w:lineRule="exact"/>
              <w:rPr>
                <w:sz w:val="20"/>
                <w:szCs w:val="20"/>
                <w:color w:val="auto"/>
              </w:rPr>
            </w:pPr>
            <w:r>
              <w:rPr>
                <w:rFonts w:ascii="Courier New" w:cs="Courier New" w:eastAsia="Courier New" w:hAnsi="Courier New"/>
                <w:sz w:val="18"/>
                <w:szCs w:val="18"/>
                <w:color w:val="auto"/>
                <w:w w:val="99"/>
              </w:rPr>
              <w:t>interest and the</w:t>
            </w:r>
          </w:p>
        </w:tc>
        <w:tc>
          <w:tcPr>
            <w:tcW w:w="54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note</w:t>
            </w:r>
          </w:p>
        </w:tc>
        <w:tc>
          <w:tcPr>
            <w:tcW w:w="3260" w:type="dxa"/>
            <w:vAlign w:val="bottom"/>
            <w:gridSpan w:val="3"/>
          </w:tcPr>
          <w:p>
            <w:pPr>
              <w:ind w:left="40"/>
              <w:spacing w:after="0" w:line="203" w:lineRule="exact"/>
              <w:rPr>
                <w:sz w:val="20"/>
                <w:szCs w:val="20"/>
                <w:color w:val="auto"/>
              </w:rPr>
            </w:pPr>
            <w:r>
              <w:rPr>
                <w:rFonts w:ascii="Courier New" w:cs="Courier New" w:eastAsia="Courier New" w:hAnsi="Courier New"/>
                <w:sz w:val="18"/>
                <w:szCs w:val="18"/>
                <w:color w:val="auto"/>
                <w:w w:val="98"/>
              </w:rPr>
              <w:t>due to uncertainties regarding</w:t>
            </w:r>
          </w:p>
        </w:tc>
        <w:tc>
          <w:tcPr>
            <w:tcW w:w="640" w:type="dxa"/>
            <w:vAlign w:val="bottom"/>
          </w:tcPr>
          <w:p>
            <w:pPr>
              <w:ind w:left="60"/>
              <w:spacing w:after="0" w:line="203" w:lineRule="exact"/>
              <w:rPr>
                <w:sz w:val="20"/>
                <w:szCs w:val="20"/>
                <w:color w:val="auto"/>
              </w:rPr>
            </w:pPr>
            <w:r>
              <w:rPr>
                <w:rFonts w:ascii="Courier New" w:cs="Courier New" w:eastAsia="Courier New" w:hAnsi="Courier New"/>
                <w:sz w:val="18"/>
                <w:szCs w:val="18"/>
                <w:color w:val="auto"/>
              </w:rPr>
              <w:t>their</w:t>
            </w:r>
          </w:p>
        </w:tc>
        <w:tc>
          <w:tcPr>
            <w:tcW w:w="2260" w:type="dxa"/>
            <w:vAlign w:val="bottom"/>
            <w:gridSpan w:val="3"/>
          </w:tcPr>
          <w:p>
            <w:pPr>
              <w:jc w:val="right"/>
              <w:spacing w:after="0" w:line="203" w:lineRule="exact"/>
              <w:rPr>
                <w:sz w:val="20"/>
                <w:szCs w:val="20"/>
                <w:color w:val="auto"/>
              </w:rPr>
            </w:pPr>
            <w:r>
              <w:rPr>
                <w:rFonts w:ascii="Courier New" w:cs="Courier New" w:eastAsia="Courier New" w:hAnsi="Courier New"/>
                <w:sz w:val="18"/>
                <w:szCs w:val="18"/>
                <w:color w:val="auto"/>
                <w:w w:val="98"/>
              </w:rPr>
              <w:t>eventual realization.</w:t>
            </w:r>
          </w:p>
        </w:tc>
      </w:tr>
    </w:tbl>
    <w:p>
      <w:pPr>
        <w:sectPr>
          <w:pgSz w:w="11900" w:h="16838" w:orient="portrait"/>
          <w:cols w:equalWidth="0" w:num="1">
            <w:col w:w="10219"/>
          </w:cols>
          <w:pgMar w:left="240" w:top="717" w:right="1440" w:bottom="1440" w:gutter="0" w:footer="0" w:header="0"/>
        </w:sectPr>
      </w:pPr>
    </w:p>
    <w:bookmarkStart w:id="7" w:name="page8"/>
    <w:bookmarkEnd w:id="7"/>
    <w:p>
      <w:pPr>
        <w:spacing w:after="0"/>
        <w:rPr>
          <w:sz w:val="20"/>
          <w:szCs w:val="20"/>
          <w:color w:val="auto"/>
        </w:rPr>
      </w:pPr>
      <w:r>
        <w:rPr>
          <w:rFonts w:ascii="Courier New" w:cs="Courier New" w:eastAsia="Courier New" w:hAnsi="Courier New"/>
          <w:sz w:val="18"/>
          <w:szCs w:val="18"/>
          <w:color w:val="auto"/>
        </w:rPr>
        <w:t>(8)Acquisitions of Businesses</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During the first six months of 1996, the Company acquired Teamwork Sverige AB, the largest employment services organization in Sweden, and several United States franchises. The consolidated financial statements include the operating results of each business from the date of acquisition. Pro forma results of operations have not been presented because the effects of these acquisitions were not significant. The total consideration for these acquisitions was $37.7 million.</w:t>
      </w:r>
    </w:p>
    <w:p>
      <w:pPr>
        <w:spacing w:after="0" w:line="211" w:lineRule="exact"/>
        <w:rPr>
          <w:sz w:val="20"/>
          <w:szCs w:val="20"/>
          <w:color w:val="auto"/>
        </w:rPr>
      </w:pPr>
    </w:p>
    <w:p>
      <w:pPr>
        <w:ind w:left="960" w:right="4099" w:hanging="947"/>
        <w:spacing w:after="0" w:line="235" w:lineRule="auto"/>
        <w:rPr>
          <w:sz w:val="20"/>
          <w:szCs w:val="20"/>
          <w:color w:val="auto"/>
        </w:rPr>
      </w:pPr>
      <w:r>
        <w:rPr>
          <w:rFonts w:ascii="Courier New" w:cs="Courier New" w:eastAsia="Courier New" w:hAnsi="Courier New"/>
          <w:sz w:val="18"/>
          <w:szCs w:val="18"/>
          <w:color w:val="auto"/>
        </w:rPr>
        <w:t>Item 2 - Management's Discussion and Analysis of Financial Condition and Results of Operations</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 - Three Months Ended June 30, 1996 and 1995</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Second quarter 1996 revenues increased 6.5% to $1,460.6 million. Revenues were negatively impacted 4.5% due to changes in currency exchange rates between years. Volume, as measured by billable hours of branch operations, increased 8.0% in the quarter. All of the Company's major markets experienced revenue increases, including the United States (14.3%), Manpower-United Kingdom (7.7% in Pound Sterling), and France (1.7% in French Francs). The low revenue growth rate in France was expected after the record revenue levels of 1995 and the economic slowdown in France which started in late 1995, and represents an improvement over the first quarter 1996 results.</w:t>
      </w:r>
    </w:p>
    <w:p>
      <w:pPr>
        <w:spacing w:after="0" w:line="214" w:lineRule="exact"/>
        <w:rPr>
          <w:sz w:val="20"/>
          <w:szCs w:val="20"/>
          <w:color w:val="auto"/>
        </w:rPr>
      </w:pPr>
    </w:p>
    <w:p>
      <w:pPr>
        <w:ind w:right="2099"/>
        <w:spacing w:after="0" w:line="275" w:lineRule="auto"/>
        <w:rPr>
          <w:sz w:val="20"/>
          <w:szCs w:val="20"/>
          <w:color w:val="auto"/>
        </w:rPr>
      </w:pPr>
      <w:r>
        <w:rPr>
          <w:rFonts w:ascii="Courier New" w:cs="Courier New" w:eastAsia="Courier New" w:hAnsi="Courier New"/>
          <w:sz w:val="16"/>
          <w:szCs w:val="16"/>
          <w:color w:val="auto"/>
        </w:rPr>
        <w:t>Cost of services, which consists of payroll and related expenses of temporary workers, decreased as a percentage of revenues to 81.6% in 1996 from 82.1% in 1995. This decrease is primarily attributable to a decrease in payroll tax and insurance costs in certain of the Company's major markets.</w:t>
      </w:r>
    </w:p>
    <w:p>
      <w:pPr>
        <w:spacing w:after="0" w:line="177"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Selling and administrative expenses increased as a percentage of revenue to</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15.0% in 1996 from 14.2% in 1995. This increase is primarily due to the decrease in revenues in France without a proportional decrease in expenses. Excluding the impact of changes in foreign currency, selling and administrative expenses increased 16.7% for the quarter.</w:t>
      </w:r>
    </w:p>
    <w:p>
      <w:pPr>
        <w:spacing w:after="0" w:line="207" w:lineRule="exact"/>
        <w:rPr>
          <w:sz w:val="20"/>
          <w:szCs w:val="20"/>
          <w:color w:val="auto"/>
        </w:rPr>
      </w:pPr>
    </w:p>
    <w:p>
      <w:pPr>
        <w:ind w:right="1779"/>
        <w:spacing w:after="0" w:line="238" w:lineRule="auto"/>
        <w:rPr>
          <w:sz w:val="20"/>
          <w:szCs w:val="20"/>
          <w:color w:val="auto"/>
        </w:rPr>
      </w:pPr>
      <w:r>
        <w:rPr>
          <w:rFonts w:ascii="Courier New" w:cs="Courier New" w:eastAsia="Courier New" w:hAnsi="Courier New"/>
          <w:sz w:val="18"/>
          <w:szCs w:val="18"/>
          <w:color w:val="auto"/>
        </w:rPr>
        <w:t>Net interest and other totaled $8.8 million of income in the second quarter of 1996 compared to $3.6 million of expense in the second quarter of 1995. During the second quarter of 1996, the Company recorded an $8.5 million gain on proceeds received from an equity interest and note related to the sale of Blue Arrow Personnel Services Limited in 1991. The Company had previously deferred recognition of the equity interest and the note due to uncertainties regarding their eventual realization. The remaining change in net interest and other income/expenses is primarily due to an increase in interest income, $2.0 million in the second quarter of 1996 compared to $1.3 million in the second quarter of 1995, and a reduction in interest expense, $1.5 million in the second quarter of 1996 compared to $3.5 million in 1995. The decrease in interest expense is due to lower worldwide borrowing levels as the Company converted its subordinated convertible debentures in October of 1995.</w:t>
      </w:r>
    </w:p>
    <w:p>
      <w:pPr>
        <w:spacing w:after="0" w:line="207"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provided income taxes at an estimated rate of 35% which is equal to the expected annual effective rate for 1996. The Company's effective income tax rate for 1995 was 38.5%.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Operating Results - Six Months Ended June 30, 1996 and 1995</w:t>
      </w:r>
    </w:p>
    <w:p>
      <w:pPr>
        <w:spacing w:after="0" w:line="4"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Revenues for the first six months of 1996 increased 7.7% to $2,769.8 million. Volume, as measured by billable hours of branch operations, increased 6.9% for the six month period. Major markets experiencing revenue increases included the United States (12.4%) and Manpower-United Kingdom (12.0% in Pound Sterling). France experienced a slight decrease in revenues (0.6% in French Francs) which was expected after the record revenue levels of 1995 and the economic slowdown in France which started in late 1995.</w:t>
      </w:r>
    </w:p>
    <w:p>
      <w:pPr>
        <w:spacing w:after="0" w:line="211"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Cost of services, which consists of payroll and related expenses of temporary workers, decreased as a percentage of revenues to 81.4% in 1996 from 82.0% in 1995. This decrease is primarily attributable to a decrease in payroll tax and insurance costs in certain of the Company's major markets.</w:t>
      </w:r>
    </w:p>
    <w:p>
      <w:pPr>
        <w:sectPr>
          <w:pgSz w:w="11900" w:h="16838" w:orient="portrait"/>
          <w:cols w:equalWidth="0" w:num="1">
            <w:col w:w="10219"/>
          </w:cols>
          <w:pgMar w:left="240" w:top="717" w:right="1440" w:bottom="1440" w:gutter="0" w:footer="0" w:header="0"/>
        </w:sectPr>
      </w:pPr>
    </w:p>
    <w:bookmarkStart w:id="8" w:name="page9"/>
    <w:bookmarkEnd w:id="8"/>
    <w:p>
      <w:pPr>
        <w:ind w:right="1879"/>
        <w:spacing w:after="0" w:line="237" w:lineRule="auto"/>
        <w:rPr>
          <w:sz w:val="20"/>
          <w:szCs w:val="20"/>
          <w:color w:val="auto"/>
        </w:rPr>
      </w:pPr>
      <w:r>
        <w:rPr>
          <w:rFonts w:ascii="Courier New" w:cs="Courier New" w:eastAsia="Courier New" w:hAnsi="Courier New"/>
          <w:sz w:val="18"/>
          <w:szCs w:val="18"/>
          <w:color w:val="auto"/>
        </w:rPr>
        <w:t>Selling and administrative expenses increased as a percentage of revenues to 15.4% in 1996 from 14.8% in 1995. This increase is primarily due to the decrease in revenues in France without a proportional decrease in expenses. Excluding the impact of changes in foreign currency, selling and administrative expenses increased 15.1% for the six month period.</w:t>
      </w: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Net interest and other totaled $9.0 million of income in the first six months of 1996 compared to $6.0 million of expense in the first six months of 1995. As discussed above, the Company recorded an $8.5 million gain in the second quarter of 1996. The remaining change is primarily due to an increase in interest income, which was $4.1 million in the first six months of 1996 compared to $2.6 million in the first six months of 1995, and a reduction in interest expense, $3.2 million in the first six months of 1996 compared to $6.7</w:t>
      </w:r>
    </w:p>
    <w:p>
      <w:pPr>
        <w:spacing w:after="0" w:line="1" w:lineRule="exact"/>
        <w:rPr>
          <w:sz w:val="20"/>
          <w:szCs w:val="20"/>
          <w:color w:val="auto"/>
        </w:rPr>
      </w:pPr>
    </w:p>
    <w:p>
      <w:pPr>
        <w:ind w:right="2199"/>
        <w:spacing w:after="0" w:line="236" w:lineRule="auto"/>
        <w:rPr>
          <w:sz w:val="20"/>
          <w:szCs w:val="20"/>
          <w:color w:val="auto"/>
        </w:rPr>
      </w:pPr>
      <w:r>
        <w:rPr>
          <w:rFonts w:ascii="Courier New" w:cs="Courier New" w:eastAsia="Courier New" w:hAnsi="Courier New"/>
          <w:sz w:val="18"/>
          <w:szCs w:val="18"/>
          <w:color w:val="auto"/>
        </w:rPr>
        <w:t>million in 1995. The decrease in interest expense is due to lower worldwide borrowing levels as the Company converted its subordinated convertible debentures in October of 1995.</w:t>
      </w:r>
    </w:p>
    <w:p>
      <w:pPr>
        <w:spacing w:after="0" w:line="209" w:lineRule="exact"/>
        <w:rPr>
          <w:sz w:val="20"/>
          <w:szCs w:val="20"/>
          <w:color w:val="auto"/>
        </w:rPr>
      </w:pPr>
    </w:p>
    <w:p>
      <w:pPr>
        <w:jc w:val="both"/>
        <w:ind w:right="1879"/>
        <w:spacing w:after="0" w:line="236" w:lineRule="auto"/>
        <w:rPr>
          <w:sz w:val="20"/>
          <w:szCs w:val="20"/>
          <w:color w:val="auto"/>
        </w:rPr>
      </w:pPr>
      <w:r>
        <w:rPr>
          <w:rFonts w:ascii="Courier New" w:cs="Courier New" w:eastAsia="Courier New" w:hAnsi="Courier New"/>
          <w:sz w:val="18"/>
          <w:szCs w:val="18"/>
          <w:color w:val="auto"/>
        </w:rPr>
        <w:t>The Company provided income taxes at an estimated rate of 35% which is equal to the expected annual effective rate of 1996. The Company's effective income tax rate for 1995 was 38.5%.</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Liquidity and Capital Resources</w:t>
      </w:r>
    </w:p>
    <w:p>
      <w:pPr>
        <w:spacing w:after="0" w:line="4" w:lineRule="exact"/>
        <w:rPr>
          <w:sz w:val="20"/>
          <w:szCs w:val="20"/>
          <w:color w:val="auto"/>
        </w:rPr>
      </w:pPr>
    </w:p>
    <w:p>
      <w:pPr>
        <w:ind w:right="1879"/>
        <w:spacing w:after="0" w:line="237" w:lineRule="auto"/>
        <w:rPr>
          <w:sz w:val="20"/>
          <w:szCs w:val="20"/>
          <w:color w:val="auto"/>
        </w:rPr>
      </w:pPr>
      <w:r>
        <w:rPr>
          <w:rFonts w:ascii="Courier New" w:cs="Courier New" w:eastAsia="Courier New" w:hAnsi="Courier New"/>
          <w:sz w:val="18"/>
          <w:szCs w:val="18"/>
          <w:color w:val="auto"/>
        </w:rPr>
        <w:t>Cash provided by operating activities was $5.4 million in the first six months of 1996 compared to cash used in operating activities of $14.6 million in the first six months of 1995. The change reflects the higher earnings level in 1996 offset by a larger increase in working capital requirements in the first six months of 1996 compared to the first six months of 1995. Cash provided by operating activities before working capital changes was $90.7 million in the first six months of 1996 compared to $62.4 million in 1995.</w:t>
      </w:r>
    </w:p>
    <w:p>
      <w:pPr>
        <w:spacing w:after="0" w:line="211" w:lineRule="exact"/>
        <w:rPr>
          <w:sz w:val="20"/>
          <w:szCs w:val="20"/>
          <w:color w:val="auto"/>
        </w:rPr>
      </w:pPr>
    </w:p>
    <w:p>
      <w:pPr>
        <w:ind w:right="1999"/>
        <w:spacing w:after="0" w:line="237" w:lineRule="auto"/>
        <w:rPr>
          <w:sz w:val="20"/>
          <w:szCs w:val="20"/>
          <w:color w:val="auto"/>
        </w:rPr>
      </w:pPr>
      <w:r>
        <w:rPr>
          <w:rFonts w:ascii="Courier New" w:cs="Courier New" w:eastAsia="Courier New" w:hAnsi="Courier New"/>
          <w:sz w:val="18"/>
          <w:szCs w:val="18"/>
          <w:color w:val="auto"/>
        </w:rPr>
        <w:t>During the first six months of 1996, the Company acquired Teamwork Sverige AB, the largest employment services organization in Sweden, and several United States franchises. The total cash consideration paid for these acquisitions was $31.2 million.</w:t>
      </w:r>
    </w:p>
    <w:p>
      <w:pPr>
        <w:spacing w:after="0" w:line="207"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The Company increased its capital expenditures to $22.3 million in the first six months of 1996 from $15.7 million during the first six months of 1995. These expenditures primarily consist of computer equipment and office furniture used in the branch office network.</w:t>
      </w:r>
    </w:p>
    <w:p>
      <w:pPr>
        <w:spacing w:after="0" w:line="207" w:lineRule="exact"/>
        <w:rPr>
          <w:sz w:val="20"/>
          <w:szCs w:val="20"/>
          <w:color w:val="auto"/>
        </w:rPr>
      </w:pPr>
    </w:p>
    <w:p>
      <w:pPr>
        <w:ind w:right="1879"/>
        <w:spacing w:after="0" w:line="279" w:lineRule="auto"/>
        <w:rPr>
          <w:sz w:val="20"/>
          <w:szCs w:val="20"/>
          <w:color w:val="auto"/>
        </w:rPr>
      </w:pPr>
      <w:r>
        <w:rPr>
          <w:rFonts w:ascii="Courier New" w:cs="Courier New" w:eastAsia="Courier New" w:hAnsi="Courier New"/>
          <w:sz w:val="16"/>
          <w:szCs w:val="16"/>
          <w:color w:val="auto"/>
        </w:rPr>
        <w:t>During the first six months of 1996, the Company had net additional borrowings of $13.3 million compared to $5.3 million in the first six months of 1995. The additional borrowings were primarily used to support working capital growth.</w:t>
      </w:r>
    </w:p>
    <w:p>
      <w:pPr>
        <w:spacing w:after="0" w:line="178" w:lineRule="exact"/>
        <w:rPr>
          <w:sz w:val="20"/>
          <w:szCs w:val="20"/>
          <w:color w:val="auto"/>
        </w:rPr>
      </w:pPr>
    </w:p>
    <w:p>
      <w:pPr>
        <w:ind w:right="1779"/>
        <w:spacing w:after="0" w:line="237" w:lineRule="auto"/>
        <w:rPr>
          <w:sz w:val="20"/>
          <w:szCs w:val="20"/>
          <w:color w:val="auto"/>
        </w:rPr>
      </w:pPr>
      <w:r>
        <w:rPr>
          <w:rFonts w:ascii="Courier New" w:cs="Courier New" w:eastAsia="Courier New" w:hAnsi="Courier New"/>
          <w:sz w:val="18"/>
          <w:szCs w:val="18"/>
          <w:color w:val="auto"/>
        </w:rPr>
        <w:t>Accounts receivable increased $56.0 million to $1,099.7 million at June 30, 1996 from $1,043.7 million at December 31, 1995. The change represents a $32.4 million decrease due to the change in foreign exchange rates offset by a general increase in receivables due to the increased sales levels in the Company's major markets.</w:t>
      </w:r>
    </w:p>
    <w:p>
      <w:pPr>
        <w:spacing w:after="0" w:line="209" w:lineRule="exact"/>
        <w:rPr>
          <w:sz w:val="20"/>
          <w:szCs w:val="20"/>
          <w:color w:val="auto"/>
        </w:rPr>
      </w:pPr>
    </w:p>
    <w:p>
      <w:pPr>
        <w:ind w:right="1779"/>
        <w:spacing w:after="0" w:line="236" w:lineRule="auto"/>
        <w:rPr>
          <w:sz w:val="20"/>
          <w:szCs w:val="20"/>
          <w:color w:val="auto"/>
        </w:rPr>
      </w:pPr>
      <w:r>
        <w:rPr>
          <w:rFonts w:ascii="Courier New" w:cs="Courier New" w:eastAsia="Courier New" w:hAnsi="Courier New"/>
          <w:sz w:val="18"/>
          <w:szCs w:val="18"/>
          <w:color w:val="auto"/>
        </w:rPr>
        <w:t>The Company continues to carry reserves related to the strategic restructuring plan started in 1989. No changes have been made to the reserve estimates during the first six months of 1996.</w:t>
      </w:r>
    </w:p>
    <w:p>
      <w:pPr>
        <w:spacing w:after="0" w:line="209" w:lineRule="exact"/>
        <w:rPr>
          <w:sz w:val="20"/>
          <w:szCs w:val="20"/>
          <w:color w:val="auto"/>
        </w:rPr>
      </w:pPr>
    </w:p>
    <w:p>
      <w:pPr>
        <w:ind w:right="1779"/>
        <w:spacing w:after="0" w:line="268" w:lineRule="auto"/>
        <w:rPr>
          <w:sz w:val="20"/>
          <w:szCs w:val="20"/>
          <w:color w:val="auto"/>
        </w:rPr>
      </w:pPr>
      <w:r>
        <w:rPr>
          <w:rFonts w:ascii="Courier New" w:cs="Courier New" w:eastAsia="Courier New" w:hAnsi="Courier New"/>
          <w:sz w:val="16"/>
          <w:szCs w:val="16"/>
          <w:color w:val="auto"/>
        </w:rPr>
        <w:t>On April 1, 1996, the Company entered into a $275 million unsecured revolving credit agreement which includes a $60 million commitment to be used exclusively for standby letters of credit. The interest rate and facility fee payable on the total line vary based upon the Company's financial performance, debt rating, and borrowing level, and are currently at LIBOR plus .225% and .125%, respectively. The facility matures on May 15, 1999, but may be extended for</w:t>
      </w:r>
    </w:p>
    <w:p>
      <w:pPr>
        <w:spacing w:after="0" w:line="1" w:lineRule="exact"/>
        <w:rPr>
          <w:sz w:val="20"/>
          <w:szCs w:val="20"/>
          <w:color w:val="auto"/>
        </w:rPr>
      </w:pPr>
    </w:p>
    <w:p>
      <w:pPr>
        <w:ind w:right="1879"/>
        <w:spacing w:after="0" w:line="275" w:lineRule="auto"/>
        <w:rPr>
          <w:sz w:val="20"/>
          <w:szCs w:val="20"/>
          <w:color w:val="auto"/>
        </w:rPr>
      </w:pPr>
      <w:r>
        <w:rPr>
          <w:rFonts w:ascii="Courier New" w:cs="Courier New" w:eastAsia="Courier New" w:hAnsi="Courier New"/>
          <w:sz w:val="16"/>
          <w:szCs w:val="16"/>
          <w:color w:val="auto"/>
        </w:rPr>
        <w:t>an additional two years with the lenders' consent. The agreement requires, among other things, that the Company comply with minimum tangible net worth levels and interest coverage and debt-to-capitalization ratios. This agreement replaced the Company's $240 million unsecured revolving credit agreement.</w:t>
      </w:r>
    </w:p>
    <w:p>
      <w:pPr>
        <w:spacing w:after="0" w:line="182" w:lineRule="exact"/>
        <w:rPr>
          <w:sz w:val="20"/>
          <w:szCs w:val="20"/>
          <w:color w:val="auto"/>
        </w:rPr>
      </w:pPr>
    </w:p>
    <w:p>
      <w:pPr>
        <w:ind w:right="2199"/>
        <w:spacing w:after="0" w:line="235" w:lineRule="auto"/>
        <w:rPr>
          <w:sz w:val="20"/>
          <w:szCs w:val="20"/>
          <w:color w:val="auto"/>
        </w:rPr>
      </w:pPr>
      <w:r>
        <w:rPr>
          <w:rFonts w:ascii="Courier New" w:cs="Courier New" w:eastAsia="Courier New" w:hAnsi="Courier New"/>
          <w:sz w:val="18"/>
          <w:szCs w:val="18"/>
          <w:color w:val="auto"/>
        </w:rPr>
        <w:t>As of June 30, 1996, the Company had borrowings of $17.5 million outstanding under its $275 million</w:t>
      </w:r>
    </w:p>
    <w:p>
      <w:pPr>
        <w:sectPr>
          <w:pgSz w:w="11900" w:h="16838" w:orient="portrait"/>
          <w:cols w:equalWidth="0" w:num="1">
            <w:col w:w="10219"/>
          </w:cols>
          <w:pgMar w:left="240" w:top="723" w:right="1440" w:bottom="1440" w:gutter="0" w:footer="0" w:header="0"/>
        </w:sectPr>
      </w:pPr>
    </w:p>
    <w:bookmarkStart w:id="9" w:name="page10"/>
    <w:bookmarkEnd w:id="9"/>
    <w:p>
      <w:pPr>
        <w:ind w:right="220"/>
        <w:spacing w:after="0" w:line="237" w:lineRule="auto"/>
        <w:rPr>
          <w:sz w:val="20"/>
          <w:szCs w:val="20"/>
          <w:color w:val="auto"/>
        </w:rPr>
      </w:pPr>
      <w:r>
        <w:rPr>
          <w:rFonts w:ascii="Courier New" w:cs="Courier New" w:eastAsia="Courier New" w:hAnsi="Courier New"/>
          <w:sz w:val="18"/>
          <w:szCs w:val="18"/>
          <w:color w:val="auto"/>
        </w:rPr>
        <w:t>U.S. revolving credit facility, and borrowings of $58.6 million outstanding under its U.S. commercial paper program. The commercial paper borrowings have been classified as long-term debt due to the availability to refinance them on a long-term basis under the revolving credit facility.</w:t>
      </w:r>
    </w:p>
    <w:p>
      <w:pPr>
        <w:spacing w:after="0" w:line="207"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In addition, the Company and some of its foreign subsidiaries maintain separate lines of credit with foreign financial institutions to meet short-term working capital needs. As of June 30, 1996, such lines totaled $167.1 million, of which $138.7 million was unused.</w:t>
      </w:r>
    </w:p>
    <w:p>
      <w:pPr>
        <w:spacing w:after="0" w:line="207" w:lineRule="exact"/>
        <w:rPr>
          <w:sz w:val="20"/>
          <w:szCs w:val="20"/>
          <w:color w:val="auto"/>
        </w:rPr>
      </w:pPr>
    </w:p>
    <w:p>
      <w:pPr>
        <w:jc w:val="both"/>
        <w:ind w:right="100"/>
        <w:spacing w:after="0" w:line="236" w:lineRule="auto"/>
        <w:rPr>
          <w:sz w:val="20"/>
          <w:szCs w:val="20"/>
          <w:color w:val="auto"/>
        </w:rPr>
      </w:pPr>
      <w:r>
        <w:rPr>
          <w:rFonts w:ascii="Courier New" w:cs="Courier New" w:eastAsia="Courier New" w:hAnsi="Courier New"/>
          <w:sz w:val="18"/>
          <w:szCs w:val="18"/>
          <w:color w:val="auto"/>
        </w:rPr>
        <w:t>On April 29, 1996, the Company's Board of Directors declared a cash dividend of $.07 per share which was paid on June 14, 1996 to shareholders of record on May 24, 1996.</w:t>
      </w:r>
    </w:p>
    <w:p>
      <w:pPr>
        <w:spacing w:after="0" w:line="203" w:lineRule="exact"/>
        <w:rPr>
          <w:sz w:val="20"/>
          <w:szCs w:val="20"/>
          <w:color w:val="auto"/>
        </w:rPr>
      </w:pPr>
    </w:p>
    <w:p>
      <w:pPr>
        <w:ind w:left="2320"/>
        <w:spacing w:after="0"/>
        <w:rPr>
          <w:sz w:val="20"/>
          <w:szCs w:val="20"/>
          <w:color w:val="auto"/>
        </w:rPr>
      </w:pPr>
      <w:r>
        <w:rPr>
          <w:rFonts w:ascii="Courier New" w:cs="Courier New" w:eastAsia="Courier New" w:hAnsi="Courier New"/>
          <w:sz w:val="18"/>
          <w:szCs w:val="18"/>
          <w:color w:val="auto"/>
        </w:rPr>
        <w:t>PART II - OTHER INFORMATION</w:t>
      </w:r>
    </w:p>
    <w:p>
      <w:pPr>
        <w:spacing w:after="0" w:line="201"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4 - Submission of Matters to a Vote of Security Holders</w:t>
      </w:r>
    </w:p>
    <w:p>
      <w:pPr>
        <w:spacing w:after="0" w:line="4" w:lineRule="exact"/>
        <w:rPr>
          <w:sz w:val="20"/>
          <w:szCs w:val="20"/>
          <w:color w:val="auto"/>
        </w:rPr>
      </w:pPr>
    </w:p>
    <w:p>
      <w:pPr>
        <w:spacing w:after="0" w:line="237" w:lineRule="auto"/>
        <w:rPr>
          <w:sz w:val="20"/>
          <w:szCs w:val="20"/>
          <w:color w:val="auto"/>
        </w:rPr>
      </w:pPr>
      <w:r>
        <w:rPr>
          <w:rFonts w:ascii="Courier New" w:cs="Courier New" w:eastAsia="Courier New" w:hAnsi="Courier New"/>
          <w:sz w:val="18"/>
          <w:szCs w:val="18"/>
          <w:color w:val="auto"/>
        </w:rPr>
        <w:t>On April 29, 1996, at the Company's Annual Meeting of Shareholders (the "Annual Meeting") the shareholders of the Company voted to: (1) elect three directors to serve until 1999 as Class III directors; (2) increase the number of shares authorized under the Manpower 1990 Employee Stock Purchase Plan; and (3) ratify the appointment of Arthur Andersen LLP as the Company's independent auditors for 1996. In addition, Ms. Audrey Freedman and Messrs. Mitchell S. Fromstein and Dennis Stevenson continued as Class I directors (term expiring 1997), and Messrs. J. Ira Harris, Newton N. Minow, and Gilbert Palay continued as Class II directors (term expiring 1998). The results of the proposals voted upon at the Annual Meeting are as follows: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640" w:type="dxa"/>
            <w:vAlign w:val="bottom"/>
          </w:tcPr>
          <w:p>
            <w:pPr>
              <w:spacing w:after="0"/>
              <w:rPr>
                <w:sz w:val="17"/>
                <w:szCs w:val="17"/>
                <w:color w:val="auto"/>
              </w:rPr>
            </w:pPr>
          </w:p>
        </w:tc>
        <w:tc>
          <w:tcPr>
            <w:tcW w:w="13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1620" w:type="dxa"/>
            <w:vAlign w:val="bottom"/>
          </w:tcPr>
          <w:p>
            <w:pPr>
              <w:spacing w:after="0"/>
              <w:rPr>
                <w:sz w:val="17"/>
                <w:szCs w:val="17"/>
                <w:color w:val="auto"/>
              </w:rPr>
            </w:pPr>
          </w:p>
        </w:tc>
        <w:tc>
          <w:tcPr>
            <w:tcW w:w="13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For</w:t>
            </w:r>
          </w:p>
        </w:tc>
        <w:tc>
          <w:tcPr>
            <w:tcW w:w="1260" w:type="dxa"/>
            <w:vAlign w:val="bottom"/>
          </w:tcPr>
          <w:p>
            <w:pPr>
              <w:jc w:val="right"/>
              <w:ind w:right="272"/>
              <w:spacing w:after="0"/>
              <w:rPr>
                <w:sz w:val="20"/>
                <w:szCs w:val="20"/>
                <w:color w:val="auto"/>
              </w:rPr>
            </w:pPr>
            <w:r>
              <w:rPr>
                <w:rFonts w:ascii="Courier New" w:cs="Courier New" w:eastAsia="Courier New" w:hAnsi="Courier New"/>
                <w:sz w:val="18"/>
                <w:szCs w:val="18"/>
                <w:color w:val="auto"/>
              </w:rPr>
              <w:t>Against</w:t>
            </w:r>
          </w:p>
        </w:tc>
        <w:tc>
          <w:tcPr>
            <w:tcW w:w="1320" w:type="dxa"/>
            <w:vAlign w:val="bottom"/>
          </w:tcPr>
          <w:p>
            <w:pPr>
              <w:ind w:left="380"/>
              <w:spacing w:after="0"/>
              <w:rPr>
                <w:sz w:val="20"/>
                <w:szCs w:val="20"/>
                <w:color w:val="auto"/>
              </w:rPr>
            </w:pPr>
            <w:r>
              <w:rPr>
                <w:rFonts w:ascii="Courier New" w:cs="Courier New" w:eastAsia="Courier New" w:hAnsi="Courier New"/>
                <w:sz w:val="18"/>
                <w:szCs w:val="18"/>
                <w:color w:val="auto"/>
              </w:rPr>
              <w:t>Withheld</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w w:val="96"/>
              </w:rPr>
              <w:t>1. a)</w:t>
            </w:r>
          </w:p>
        </w:tc>
        <w:tc>
          <w:tcPr>
            <w:tcW w:w="3680" w:type="dxa"/>
            <w:vAlign w:val="bottom"/>
            <w:gridSpan w:val="3"/>
          </w:tcPr>
          <w:p>
            <w:pPr>
              <w:ind w:left="100"/>
              <w:spacing w:after="0"/>
              <w:rPr>
                <w:sz w:val="20"/>
                <w:szCs w:val="20"/>
                <w:color w:val="auto"/>
              </w:rPr>
            </w:pPr>
            <w:r>
              <w:rPr>
                <w:rFonts w:ascii="Courier New" w:cs="Courier New" w:eastAsia="Courier New" w:hAnsi="Courier New"/>
                <w:sz w:val="18"/>
                <w:szCs w:val="18"/>
                <w:color w:val="auto"/>
              </w:rPr>
              <w:t>Election of Jon F. Chait</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66,779,698</w:t>
            </w:r>
          </w:p>
        </w:tc>
        <w:tc>
          <w:tcPr>
            <w:tcW w:w="1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ind w:left="380"/>
              <w:spacing w:after="0"/>
              <w:rPr>
                <w:sz w:val="20"/>
                <w:szCs w:val="20"/>
                <w:color w:val="auto"/>
              </w:rPr>
            </w:pPr>
            <w:r>
              <w:rPr>
                <w:rFonts w:ascii="Courier New" w:cs="Courier New" w:eastAsia="Courier New" w:hAnsi="Courier New"/>
                <w:sz w:val="18"/>
                <w:szCs w:val="18"/>
                <w:color w:val="auto"/>
                <w:w w:val="94"/>
              </w:rPr>
              <w:t>1,185,765</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b)</w:t>
            </w:r>
          </w:p>
        </w:tc>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Election of</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Dudley</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J. Godfrey Jr.</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66,774,326</w:t>
            </w:r>
          </w:p>
        </w:tc>
        <w:tc>
          <w:tcPr>
            <w:tcW w:w="1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ind w:left="380"/>
              <w:spacing w:after="0"/>
              <w:rPr>
                <w:sz w:val="20"/>
                <w:szCs w:val="20"/>
                <w:color w:val="auto"/>
              </w:rPr>
            </w:pPr>
            <w:r>
              <w:rPr>
                <w:rFonts w:ascii="Courier New" w:cs="Courier New" w:eastAsia="Courier New" w:hAnsi="Courier New"/>
                <w:sz w:val="18"/>
                <w:szCs w:val="18"/>
                <w:color w:val="auto"/>
                <w:w w:val="94"/>
              </w:rPr>
              <w:t>1,191,137</w:t>
            </w:r>
          </w:p>
        </w:tc>
      </w:tr>
      <w:tr>
        <w:trPr>
          <w:trHeight w:val="405"/>
        </w:trPr>
        <w:tc>
          <w:tcPr>
            <w:tcW w:w="640" w:type="dxa"/>
            <w:vAlign w:val="bottom"/>
          </w:tcPr>
          <w:p>
            <w:pPr>
              <w:jc w:val="right"/>
              <w:ind w:right="12"/>
              <w:spacing w:after="0"/>
              <w:rPr>
                <w:sz w:val="20"/>
                <w:szCs w:val="20"/>
                <w:color w:val="auto"/>
              </w:rPr>
            </w:pPr>
            <w:r>
              <w:rPr>
                <w:rFonts w:ascii="Courier New" w:cs="Courier New" w:eastAsia="Courier New" w:hAnsi="Courier New"/>
                <w:sz w:val="18"/>
                <w:szCs w:val="18"/>
                <w:color w:val="auto"/>
              </w:rPr>
              <w:t>c)</w:t>
            </w:r>
          </w:p>
        </w:tc>
        <w:tc>
          <w:tcPr>
            <w:tcW w:w="1320" w:type="dxa"/>
            <w:vAlign w:val="bottom"/>
          </w:tcPr>
          <w:p>
            <w:pPr>
              <w:ind w:left="100"/>
              <w:spacing w:after="0"/>
              <w:rPr>
                <w:sz w:val="20"/>
                <w:szCs w:val="20"/>
                <w:color w:val="auto"/>
              </w:rPr>
            </w:pPr>
            <w:r>
              <w:rPr>
                <w:rFonts w:ascii="Courier New" w:cs="Courier New" w:eastAsia="Courier New" w:hAnsi="Courier New"/>
                <w:sz w:val="18"/>
                <w:szCs w:val="18"/>
                <w:color w:val="auto"/>
              </w:rPr>
              <w:t>Election of</w:t>
            </w:r>
          </w:p>
        </w:tc>
        <w:tc>
          <w:tcPr>
            <w:tcW w:w="740" w:type="dxa"/>
            <w:vAlign w:val="bottom"/>
          </w:tcPr>
          <w:p>
            <w:pPr>
              <w:ind w:left="40"/>
              <w:spacing w:after="0"/>
              <w:rPr>
                <w:sz w:val="20"/>
                <w:szCs w:val="20"/>
                <w:color w:val="auto"/>
              </w:rPr>
            </w:pPr>
            <w:r>
              <w:rPr>
                <w:rFonts w:ascii="Courier New" w:cs="Courier New" w:eastAsia="Courier New" w:hAnsi="Courier New"/>
                <w:sz w:val="18"/>
                <w:szCs w:val="18"/>
                <w:color w:val="auto"/>
              </w:rPr>
              <w:t>Marvin</w:t>
            </w:r>
          </w:p>
        </w:tc>
        <w:tc>
          <w:tcPr>
            <w:tcW w:w="1620" w:type="dxa"/>
            <w:vAlign w:val="bottom"/>
          </w:tcPr>
          <w:p>
            <w:pPr>
              <w:ind w:left="40"/>
              <w:spacing w:after="0"/>
              <w:rPr>
                <w:sz w:val="20"/>
                <w:szCs w:val="20"/>
                <w:color w:val="auto"/>
              </w:rPr>
            </w:pPr>
            <w:r>
              <w:rPr>
                <w:rFonts w:ascii="Courier New" w:cs="Courier New" w:eastAsia="Courier New" w:hAnsi="Courier New"/>
                <w:sz w:val="18"/>
                <w:szCs w:val="18"/>
                <w:color w:val="auto"/>
              </w:rPr>
              <w:t>B. Goodman</w:t>
            </w:r>
          </w:p>
        </w:tc>
        <w:tc>
          <w:tcPr>
            <w:tcW w:w="1320" w:type="dxa"/>
            <w:vAlign w:val="bottom"/>
          </w:tcPr>
          <w:p>
            <w:pPr>
              <w:jc w:val="right"/>
              <w:ind w:right="72"/>
              <w:spacing w:after="0"/>
              <w:rPr>
                <w:sz w:val="20"/>
                <w:szCs w:val="20"/>
                <w:color w:val="auto"/>
              </w:rPr>
            </w:pPr>
            <w:r>
              <w:rPr>
                <w:rFonts w:ascii="Courier New" w:cs="Courier New" w:eastAsia="Courier New" w:hAnsi="Courier New"/>
                <w:sz w:val="18"/>
                <w:szCs w:val="18"/>
                <w:color w:val="auto"/>
              </w:rPr>
              <w:t>66,779,292</w:t>
            </w:r>
          </w:p>
        </w:tc>
        <w:tc>
          <w:tcPr>
            <w:tcW w:w="126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320" w:type="dxa"/>
            <w:vAlign w:val="bottom"/>
          </w:tcPr>
          <w:p>
            <w:pPr>
              <w:ind w:left="380"/>
              <w:spacing w:after="0"/>
              <w:rPr>
                <w:sz w:val="20"/>
                <w:szCs w:val="20"/>
                <w:color w:val="auto"/>
              </w:rPr>
            </w:pPr>
            <w:r>
              <w:rPr>
                <w:rFonts w:ascii="Courier New" w:cs="Courier New" w:eastAsia="Courier New" w:hAnsi="Courier New"/>
                <w:sz w:val="18"/>
                <w:szCs w:val="18"/>
                <w:color w:val="auto"/>
                <w:w w:val="94"/>
              </w:rPr>
              <w:t>1,186,171</w:t>
            </w:r>
          </w:p>
        </w:tc>
      </w:tr>
    </w:tbl>
    <w:p>
      <w:pPr>
        <w:spacing w:after="0" w:line="207" w:lineRule="exact"/>
        <w:rPr>
          <w:sz w:val="20"/>
          <w:szCs w:val="20"/>
          <w:color w:val="auto"/>
        </w:rPr>
      </w:pPr>
    </w:p>
    <w:p>
      <w:pPr>
        <w:ind w:left="320" w:right="4540" w:hanging="312"/>
        <w:spacing w:after="0" w:line="268" w:lineRule="auto"/>
        <w:tabs>
          <w:tab w:leader="none" w:pos="320" w:val="left"/>
        </w:tabs>
        <w:numPr>
          <w:ilvl w:val="0"/>
          <w:numId w:val="3"/>
        </w:numPr>
        <w:rPr>
          <w:rFonts w:ascii="Courier New" w:cs="Courier New" w:eastAsia="Courier New" w:hAnsi="Courier New"/>
          <w:sz w:val="16"/>
          <w:szCs w:val="16"/>
          <w:color w:val="auto"/>
        </w:rPr>
      </w:pPr>
      <w:r>
        <w:rPr>
          <w:rFonts w:ascii="Courier New" w:cs="Courier New" w:eastAsia="Courier New" w:hAnsi="Courier New"/>
          <w:sz w:val="16"/>
          <w:szCs w:val="16"/>
          <w:color w:val="auto"/>
        </w:rPr>
        <w:t>Increase the number of shares authorized under the Manpower 1990</w:t>
      </w:r>
    </w:p>
    <w:tbl>
      <w:tblPr>
        <w:tblLayout w:type="fixed"/>
        <w:tblInd w:w="0" w:type="dxa"/>
        <w:tblCellMar>
          <w:top w:w="0" w:type="dxa"/>
          <w:left w:w="0" w:type="dxa"/>
          <w:bottom w:w="0" w:type="dxa"/>
          <w:right w:w="0" w:type="dxa"/>
        </w:tblCellMar>
      </w:tblPr>
      <w:tr>
        <w:trPr>
          <w:trHeight w:val="199"/>
        </w:trPr>
        <w:tc>
          <w:tcPr>
            <w:tcW w:w="1860" w:type="dxa"/>
            <w:vAlign w:val="bottom"/>
          </w:tcPr>
          <w:p>
            <w:pPr>
              <w:ind w:left="320"/>
              <w:spacing w:after="0" w:line="198" w:lineRule="exact"/>
              <w:rPr>
                <w:sz w:val="20"/>
                <w:szCs w:val="20"/>
                <w:color w:val="auto"/>
              </w:rPr>
            </w:pPr>
            <w:r>
              <w:rPr>
                <w:rFonts w:ascii="Courier New" w:cs="Courier New" w:eastAsia="Courier New" w:hAnsi="Courier New"/>
                <w:sz w:val="18"/>
                <w:szCs w:val="18"/>
                <w:color w:val="auto"/>
              </w:rPr>
              <w:t>Employee Stock</w:t>
            </w:r>
          </w:p>
        </w:tc>
        <w:tc>
          <w:tcPr>
            <w:tcW w:w="2360" w:type="dxa"/>
            <w:vAlign w:val="bottom"/>
          </w:tcPr>
          <w:p>
            <w:pPr>
              <w:ind w:left="40"/>
              <w:spacing w:after="0" w:line="198" w:lineRule="exact"/>
              <w:rPr>
                <w:sz w:val="20"/>
                <w:szCs w:val="20"/>
                <w:color w:val="auto"/>
              </w:rPr>
            </w:pPr>
            <w:r>
              <w:rPr>
                <w:rFonts w:ascii="Courier New" w:cs="Courier New" w:eastAsia="Courier New" w:hAnsi="Courier New"/>
                <w:sz w:val="18"/>
                <w:szCs w:val="18"/>
                <w:color w:val="auto"/>
              </w:rPr>
              <w:t>Purchase Plan</w:t>
            </w:r>
          </w:p>
        </w:tc>
        <w:tc>
          <w:tcPr>
            <w:tcW w:w="1480" w:type="dxa"/>
            <w:vAlign w:val="bottom"/>
          </w:tcPr>
          <w:p>
            <w:pPr>
              <w:jc w:val="right"/>
              <w:ind w:right="132"/>
              <w:spacing w:after="0" w:line="198" w:lineRule="exact"/>
              <w:rPr>
                <w:sz w:val="20"/>
                <w:szCs w:val="20"/>
                <w:color w:val="auto"/>
              </w:rPr>
            </w:pPr>
            <w:r>
              <w:rPr>
                <w:rFonts w:ascii="Courier New" w:cs="Courier New" w:eastAsia="Courier New" w:hAnsi="Courier New"/>
                <w:sz w:val="18"/>
                <w:szCs w:val="18"/>
                <w:color w:val="auto"/>
              </w:rPr>
              <w:t>67,288,819</w:t>
            </w:r>
          </w:p>
        </w:tc>
        <w:tc>
          <w:tcPr>
            <w:tcW w:w="1520" w:type="dxa"/>
            <w:vAlign w:val="bottom"/>
          </w:tcPr>
          <w:p>
            <w:pPr>
              <w:jc w:val="right"/>
              <w:ind w:right="492"/>
              <w:spacing w:after="0" w:line="198" w:lineRule="exact"/>
              <w:rPr>
                <w:sz w:val="20"/>
                <w:szCs w:val="20"/>
                <w:color w:val="auto"/>
              </w:rPr>
            </w:pPr>
            <w:r>
              <w:rPr>
                <w:rFonts w:ascii="Courier New" w:cs="Courier New" w:eastAsia="Courier New" w:hAnsi="Courier New"/>
                <w:sz w:val="18"/>
                <w:szCs w:val="18"/>
                <w:color w:val="auto"/>
              </w:rPr>
              <w:t>523,130</w:t>
            </w:r>
          </w:p>
        </w:tc>
        <w:tc>
          <w:tcPr>
            <w:tcW w:w="800" w:type="dxa"/>
            <w:vAlign w:val="bottom"/>
          </w:tcPr>
          <w:p>
            <w:pPr>
              <w:jc w:val="right"/>
              <w:spacing w:after="0" w:line="198" w:lineRule="exact"/>
              <w:rPr>
                <w:sz w:val="20"/>
                <w:szCs w:val="20"/>
                <w:color w:val="auto"/>
              </w:rPr>
            </w:pPr>
            <w:r>
              <w:rPr>
                <w:rFonts w:ascii="Courier New" w:cs="Courier New" w:eastAsia="Courier New" w:hAnsi="Courier New"/>
                <w:sz w:val="18"/>
                <w:szCs w:val="18"/>
                <w:color w:val="auto"/>
              </w:rPr>
              <w:t>--</w:t>
            </w:r>
          </w:p>
        </w:tc>
      </w:tr>
      <w:tr>
        <w:trPr>
          <w:trHeight w:val="405"/>
        </w:trPr>
        <w:tc>
          <w:tcPr>
            <w:tcW w:w="4220" w:type="dxa"/>
            <w:vAlign w:val="bottom"/>
            <w:gridSpan w:val="2"/>
          </w:tcPr>
          <w:p>
            <w:pPr>
              <w:spacing w:after="0"/>
              <w:rPr>
                <w:sz w:val="20"/>
                <w:szCs w:val="20"/>
                <w:color w:val="auto"/>
              </w:rPr>
            </w:pPr>
            <w:r>
              <w:rPr>
                <w:rFonts w:ascii="Courier New" w:cs="Courier New" w:eastAsia="Courier New" w:hAnsi="Courier New"/>
                <w:sz w:val="18"/>
                <w:szCs w:val="18"/>
                <w:color w:val="auto"/>
              </w:rPr>
              <w:t>3. Ratification of Arthur Andersen LLP</w:t>
            </w:r>
          </w:p>
        </w:tc>
        <w:tc>
          <w:tcPr>
            <w:tcW w:w="1480" w:type="dxa"/>
            <w:vAlign w:val="bottom"/>
          </w:tcPr>
          <w:p>
            <w:pPr>
              <w:jc w:val="right"/>
              <w:ind w:right="132"/>
              <w:spacing w:after="0"/>
              <w:rPr>
                <w:sz w:val="20"/>
                <w:szCs w:val="20"/>
                <w:color w:val="auto"/>
              </w:rPr>
            </w:pPr>
            <w:r>
              <w:rPr>
                <w:rFonts w:ascii="Courier New" w:cs="Courier New" w:eastAsia="Courier New" w:hAnsi="Courier New"/>
                <w:sz w:val="18"/>
                <w:szCs w:val="18"/>
                <w:color w:val="auto"/>
              </w:rPr>
              <w:t>67,235,602</w:t>
            </w:r>
          </w:p>
        </w:tc>
        <w:tc>
          <w:tcPr>
            <w:tcW w:w="152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28,288</w:t>
            </w:r>
          </w:p>
        </w:tc>
        <w:tc>
          <w:tcPr>
            <w:tcW w:w="800" w:type="dxa"/>
            <w:vAlign w:val="bottom"/>
          </w:tcPr>
          <w:p>
            <w:pPr>
              <w:jc w:val="right"/>
              <w:spacing w:after="0"/>
              <w:rPr>
                <w:sz w:val="20"/>
                <w:szCs w:val="20"/>
                <w:color w:val="auto"/>
              </w:rPr>
            </w:pPr>
            <w:r>
              <w:rPr>
                <w:rFonts w:ascii="Courier New" w:cs="Courier New" w:eastAsia="Courier New" w:hAnsi="Courier New"/>
                <w:sz w:val="18"/>
                <w:szCs w:val="18"/>
                <w:color w:val="auto"/>
              </w:rPr>
              <w:t>--</w:t>
            </w:r>
          </w:p>
        </w:tc>
      </w:tr>
      <w:tr>
        <w:trPr>
          <w:trHeight w:val="203"/>
        </w:trPr>
        <w:tc>
          <w:tcPr>
            <w:tcW w:w="1860" w:type="dxa"/>
            <w:vAlign w:val="bottom"/>
          </w:tcPr>
          <w:p>
            <w:pPr>
              <w:ind w:left="320"/>
              <w:spacing w:after="0" w:line="203" w:lineRule="exact"/>
              <w:rPr>
                <w:sz w:val="20"/>
                <w:szCs w:val="20"/>
                <w:color w:val="auto"/>
              </w:rPr>
            </w:pPr>
            <w:r>
              <w:rPr>
                <w:rFonts w:ascii="Courier New" w:cs="Courier New" w:eastAsia="Courier New" w:hAnsi="Courier New"/>
                <w:sz w:val="18"/>
                <w:szCs w:val="18"/>
                <w:color w:val="auto"/>
              </w:rPr>
              <w:t>as independent</w:t>
            </w:r>
          </w:p>
        </w:tc>
        <w:tc>
          <w:tcPr>
            <w:tcW w:w="2360" w:type="dxa"/>
            <w:vAlign w:val="bottom"/>
          </w:tcPr>
          <w:p>
            <w:pPr>
              <w:ind w:left="40"/>
              <w:spacing w:after="0" w:line="203" w:lineRule="exact"/>
              <w:rPr>
                <w:sz w:val="20"/>
                <w:szCs w:val="20"/>
                <w:color w:val="auto"/>
              </w:rPr>
            </w:pPr>
            <w:r>
              <w:rPr>
                <w:rFonts w:ascii="Courier New" w:cs="Courier New" w:eastAsia="Courier New" w:hAnsi="Courier New"/>
                <w:sz w:val="18"/>
                <w:szCs w:val="18"/>
                <w:color w:val="auto"/>
              </w:rPr>
              <w:t>auditors.</w:t>
            </w:r>
          </w:p>
        </w:tc>
        <w:tc>
          <w:tcPr>
            <w:tcW w:w="1480" w:type="dxa"/>
            <w:vAlign w:val="bottom"/>
          </w:tcPr>
          <w:p>
            <w:pPr>
              <w:spacing w:after="0"/>
              <w:rPr>
                <w:sz w:val="17"/>
                <w:szCs w:val="17"/>
                <w:color w:val="auto"/>
              </w:rPr>
            </w:pPr>
          </w:p>
        </w:tc>
        <w:tc>
          <w:tcPr>
            <w:tcW w:w="1520" w:type="dxa"/>
            <w:vAlign w:val="bottom"/>
          </w:tcPr>
          <w:p>
            <w:pPr>
              <w:spacing w:after="0"/>
              <w:rPr>
                <w:sz w:val="17"/>
                <w:szCs w:val="17"/>
                <w:color w:val="auto"/>
              </w:rPr>
            </w:pPr>
          </w:p>
        </w:tc>
        <w:tc>
          <w:tcPr>
            <w:tcW w:w="800" w:type="dxa"/>
            <w:vAlign w:val="bottom"/>
          </w:tcPr>
          <w:p>
            <w:pPr>
              <w:spacing w:after="0"/>
              <w:rPr>
                <w:sz w:val="17"/>
                <w:szCs w:val="17"/>
                <w:color w:val="auto"/>
              </w:rPr>
            </w:pPr>
          </w:p>
        </w:tc>
      </w:tr>
    </w:tbl>
    <w:p>
      <w:pPr>
        <w:spacing w:after="0" w:line="200" w:lineRule="exact"/>
        <w:rPr>
          <w:sz w:val="20"/>
          <w:szCs w:val="20"/>
          <w:color w:val="auto"/>
        </w:rPr>
      </w:pPr>
    </w:p>
    <w:p>
      <w:pPr>
        <w:spacing w:after="0" w:line="200" w:lineRule="exact"/>
        <w:rPr>
          <w:sz w:val="20"/>
          <w:szCs w:val="20"/>
          <w:color w:val="auto"/>
        </w:rPr>
      </w:pPr>
    </w:p>
    <w:p>
      <w:pPr>
        <w:spacing w:after="0" w:line="206"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5 - Other Information</w:t>
      </w:r>
    </w:p>
    <w:p>
      <w:pPr>
        <w:spacing w:after="0" w:line="4" w:lineRule="exact"/>
        <w:rPr>
          <w:sz w:val="20"/>
          <w:szCs w:val="20"/>
          <w:color w:val="auto"/>
        </w:rPr>
      </w:pPr>
    </w:p>
    <w:p>
      <w:pPr>
        <w:ind w:right="220"/>
        <w:spacing w:after="0" w:line="237" w:lineRule="auto"/>
        <w:rPr>
          <w:sz w:val="20"/>
          <w:szCs w:val="20"/>
          <w:color w:val="auto"/>
        </w:rPr>
      </w:pPr>
      <w:r>
        <w:rPr>
          <w:rFonts w:ascii="Courier New" w:cs="Courier New" w:eastAsia="Courier New" w:hAnsi="Courier New"/>
          <w:sz w:val="18"/>
          <w:szCs w:val="18"/>
          <w:color w:val="auto"/>
        </w:rPr>
        <w:t>On July 1, 1996, Manpower Wisconsin Inc., (formerly Manpower International Inc.), a wholly-owned operating subsidiary of Manpower Inc., merged with and into Manpower Inc. Accordingly, in addition to serving as a holding company for the Company's subsidiaries, the Company now conducts certain United States operations directly.</w:t>
      </w: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Item 6 - Exhibits and Reports on Form 8-K</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Exhibits - none</w:t>
      </w:r>
    </w:p>
    <w:p>
      <w:pPr>
        <w:ind w:left="540" w:hanging="532"/>
        <w:spacing w:after="0" w:line="238" w:lineRule="auto"/>
        <w:tabs>
          <w:tab w:leader="none" w:pos="540" w:val="left"/>
        </w:tabs>
        <w:numPr>
          <w:ilvl w:val="0"/>
          <w:numId w:val="4"/>
        </w:numPr>
        <w:rPr>
          <w:rFonts w:ascii="Courier New" w:cs="Courier New" w:eastAsia="Courier New" w:hAnsi="Courier New"/>
          <w:sz w:val="18"/>
          <w:szCs w:val="18"/>
          <w:color w:val="auto"/>
        </w:rPr>
      </w:pPr>
      <w:r>
        <w:rPr>
          <w:rFonts w:ascii="Courier New" w:cs="Courier New" w:eastAsia="Courier New" w:hAnsi="Courier New"/>
          <w:sz w:val="18"/>
          <w:szCs w:val="18"/>
          <w:color w:val="auto"/>
        </w:rPr>
        <w:t>Reports on Form 8-K - None</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04"/>
        </w:trPr>
        <w:tc>
          <w:tcPr>
            <w:tcW w:w="1100" w:type="dxa"/>
            <w:vAlign w:val="bottom"/>
          </w:tcPr>
          <w:p>
            <w:pPr>
              <w:spacing w:after="0"/>
              <w:rPr>
                <w:sz w:val="17"/>
                <w:szCs w:val="17"/>
                <w:color w:val="auto"/>
              </w:rPr>
            </w:pPr>
          </w:p>
        </w:tc>
        <w:tc>
          <w:tcPr>
            <w:tcW w:w="1100" w:type="dxa"/>
            <w:vAlign w:val="bottom"/>
          </w:tcPr>
          <w:p>
            <w:pPr>
              <w:jc w:val="right"/>
              <w:ind w:right="12"/>
              <w:spacing w:after="0"/>
              <w:rPr>
                <w:sz w:val="20"/>
                <w:szCs w:val="20"/>
                <w:color w:val="auto"/>
              </w:rPr>
            </w:pPr>
            <w:r>
              <w:rPr>
                <w:rFonts w:ascii="Courier New" w:cs="Courier New" w:eastAsia="Courier New" w:hAnsi="Courier New"/>
                <w:sz w:val="18"/>
                <w:szCs w:val="18"/>
                <w:color w:val="auto"/>
              </w:rPr>
              <w:t>Broker</w:t>
            </w:r>
          </w:p>
        </w:tc>
      </w:tr>
      <w:tr>
        <w:trPr>
          <w:trHeight w:val="203"/>
        </w:trPr>
        <w:tc>
          <w:tcPr>
            <w:tcW w:w="1100" w:type="dxa"/>
            <w:vAlign w:val="bottom"/>
          </w:tcPr>
          <w:p>
            <w:pPr>
              <w:jc w:val="right"/>
              <w:ind w:right="272"/>
              <w:spacing w:after="0" w:line="203" w:lineRule="exact"/>
              <w:rPr>
                <w:sz w:val="20"/>
                <w:szCs w:val="20"/>
                <w:color w:val="auto"/>
              </w:rPr>
            </w:pPr>
            <w:r>
              <w:rPr>
                <w:rFonts w:ascii="Courier New" w:cs="Courier New" w:eastAsia="Courier New" w:hAnsi="Courier New"/>
                <w:sz w:val="18"/>
                <w:szCs w:val="18"/>
                <w:color w:val="auto"/>
                <w:w w:val="95"/>
              </w:rPr>
              <w:t>Abstain</w:t>
            </w:r>
          </w:p>
        </w:tc>
        <w:tc>
          <w:tcPr>
            <w:tcW w:w="1100" w:type="dxa"/>
            <w:vAlign w:val="bottom"/>
          </w:tcPr>
          <w:p>
            <w:pPr>
              <w:jc w:val="right"/>
              <w:spacing w:after="0" w:line="203" w:lineRule="exact"/>
              <w:rPr>
                <w:sz w:val="20"/>
                <w:szCs w:val="20"/>
                <w:color w:val="auto"/>
              </w:rPr>
            </w:pPr>
            <w:r>
              <w:rPr>
                <w:rFonts w:ascii="Courier New" w:cs="Courier New" w:eastAsia="Courier New" w:hAnsi="Courier New"/>
                <w:sz w:val="18"/>
                <w:szCs w:val="18"/>
                <w:color w:val="auto"/>
              </w:rPr>
              <w:t>Non-Vote</w:t>
            </w:r>
          </w:p>
        </w:tc>
      </w:tr>
      <w:tr>
        <w:trPr>
          <w:trHeight w:val="405"/>
        </w:trPr>
        <w:tc>
          <w:tcPr>
            <w:tcW w:w="11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405"/>
        </w:trPr>
        <w:tc>
          <w:tcPr>
            <w:tcW w:w="11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405"/>
        </w:trPr>
        <w:tc>
          <w:tcPr>
            <w:tcW w:w="1100" w:type="dxa"/>
            <w:vAlign w:val="bottom"/>
          </w:tcPr>
          <w:p>
            <w:pPr>
              <w:jc w:val="right"/>
              <w:ind w:right="492"/>
              <w:spacing w:after="0"/>
              <w:rPr>
                <w:sz w:val="20"/>
                <w:szCs w:val="20"/>
                <w:color w:val="auto"/>
              </w:rPr>
            </w:pPr>
            <w:r>
              <w:rPr>
                <w:rFonts w:ascii="Courier New" w:cs="Courier New" w:eastAsia="Courier New" w:hAnsi="Courier New"/>
                <w:sz w:val="18"/>
                <w:szCs w:val="18"/>
                <w:color w:val="auto"/>
              </w:rPr>
              <w:t>--</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810"/>
        </w:trPr>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153,514</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r>
        <w:trPr>
          <w:trHeight w:val="405"/>
        </w:trPr>
        <w:tc>
          <w:tcPr>
            <w:tcW w:w="1100" w:type="dxa"/>
            <w:vAlign w:val="bottom"/>
          </w:tcPr>
          <w:p>
            <w:pPr>
              <w:jc w:val="right"/>
              <w:ind w:right="172"/>
              <w:spacing w:after="0"/>
              <w:rPr>
                <w:sz w:val="20"/>
                <w:szCs w:val="20"/>
                <w:color w:val="auto"/>
              </w:rPr>
            </w:pPr>
            <w:r>
              <w:rPr>
                <w:rFonts w:ascii="Courier New" w:cs="Courier New" w:eastAsia="Courier New" w:hAnsi="Courier New"/>
                <w:sz w:val="18"/>
                <w:szCs w:val="18"/>
                <w:color w:val="auto"/>
              </w:rPr>
              <w:t>28,886</w:t>
            </w:r>
          </w:p>
        </w:tc>
        <w:tc>
          <w:tcPr>
            <w:tcW w:w="1100" w:type="dxa"/>
            <w:vAlign w:val="bottom"/>
          </w:tcPr>
          <w:p>
            <w:pPr>
              <w:jc w:val="right"/>
              <w:ind w:right="112"/>
              <w:spacing w:after="0"/>
              <w:rPr>
                <w:sz w:val="20"/>
                <w:szCs w:val="20"/>
                <w:color w:val="auto"/>
              </w:rPr>
            </w:pPr>
            <w:r>
              <w:rPr>
                <w:rFonts w:ascii="Courier New" w:cs="Courier New" w:eastAsia="Courier New" w:hAnsi="Courier New"/>
                <w:sz w:val="18"/>
                <w:szCs w:val="18"/>
                <w:color w:val="auto"/>
              </w:rPr>
              <w:t>--</w:t>
            </w:r>
          </w:p>
        </w:tc>
      </w:tr>
    </w:tbl>
    <w:p>
      <w:pPr>
        <w:sectPr>
          <w:pgSz w:w="11900" w:h="16838" w:orient="portrait"/>
          <w:cols w:equalWidth="0" w:num="2">
            <w:col w:w="8440" w:space="420"/>
            <w:col w:w="2200"/>
          </w:cols>
          <w:pgMar w:left="240" w:top="723" w:right="599" w:bottom="1440" w:gutter="0" w:footer="0" w:header="0"/>
        </w:sectPr>
      </w:pPr>
    </w:p>
    <w:bookmarkStart w:id="10" w:name="page11"/>
    <w:bookmarkEnd w:id="10"/>
    <w:p>
      <w:pPr>
        <w:ind w:left="3380"/>
        <w:spacing w:after="0"/>
        <w:rPr>
          <w:sz w:val="20"/>
          <w:szCs w:val="20"/>
          <w:color w:val="auto"/>
        </w:rPr>
      </w:pPr>
      <w:r>
        <w:rPr>
          <w:rFonts w:ascii="Courier New" w:cs="Courier New" w:eastAsia="Courier New" w:hAnsi="Courier New"/>
          <w:sz w:val="18"/>
          <w:szCs w:val="18"/>
          <w:color w:val="auto"/>
        </w:rPr>
        <w:t>SIGNATURES</w:t>
      </w:r>
    </w:p>
    <w:p>
      <w:pPr>
        <w:spacing w:after="0" w:line="200" w:lineRule="exact"/>
        <w:rPr>
          <w:sz w:val="20"/>
          <w:szCs w:val="20"/>
          <w:color w:val="auto"/>
        </w:rPr>
      </w:pPr>
    </w:p>
    <w:p>
      <w:pPr>
        <w:spacing w:after="0" w:line="209" w:lineRule="exact"/>
        <w:rPr>
          <w:sz w:val="20"/>
          <w:szCs w:val="20"/>
          <w:color w:val="auto"/>
        </w:rPr>
      </w:pPr>
    </w:p>
    <w:p>
      <w:pPr>
        <w:jc w:val="both"/>
        <w:ind w:right="2619"/>
        <w:spacing w:after="0" w:line="236" w:lineRule="auto"/>
        <w:rPr>
          <w:sz w:val="20"/>
          <w:szCs w:val="20"/>
          <w:color w:val="auto"/>
        </w:rPr>
      </w:pPr>
      <w:r>
        <w:rPr>
          <w:rFonts w:ascii="Courier New" w:cs="Courier New" w:eastAsia="Courier New" w:hAnsi="Courier New"/>
          <w:sz w:val="18"/>
          <w:szCs w:val="18"/>
          <w:color w:val="auto"/>
        </w:rPr>
        <w:t>Pursuant to the requirements of the Securities Exchange Act of 1934, the Registrant has duly caused this report to be signed on its behalf by the undersigned thereunto duly authorized.</w:t>
      </w:r>
    </w:p>
    <w:p>
      <w:pPr>
        <w:spacing w:after="0" w:line="200" w:lineRule="exact"/>
        <w:rPr>
          <w:sz w:val="20"/>
          <w:szCs w:val="20"/>
          <w:color w:val="auto"/>
        </w:rPr>
      </w:pPr>
    </w:p>
    <w:p>
      <w:pPr>
        <w:spacing w:after="0" w:line="206" w:lineRule="exact"/>
        <w:rPr>
          <w:sz w:val="20"/>
          <w:szCs w:val="20"/>
          <w:color w:val="auto"/>
        </w:rPr>
      </w:pPr>
    </w:p>
    <w:p>
      <w:pPr>
        <w:ind w:left="4860"/>
        <w:spacing w:after="0"/>
        <w:rPr>
          <w:sz w:val="20"/>
          <w:szCs w:val="20"/>
          <w:color w:val="auto"/>
        </w:rPr>
      </w:pPr>
      <w:r>
        <w:rPr>
          <w:rFonts w:ascii="Courier New" w:cs="Courier New" w:eastAsia="Courier New" w:hAnsi="Courier New"/>
          <w:sz w:val="18"/>
          <w:szCs w:val="18"/>
          <w:color w:val="auto"/>
        </w:rPr>
        <w:t>MANPOWER INC.</w:t>
      </w:r>
    </w:p>
    <w:p>
      <w:pPr>
        <w:ind w:left="4860"/>
        <w:spacing w:after="0" w:line="238" w:lineRule="auto"/>
        <w:rPr>
          <w:sz w:val="20"/>
          <w:szCs w:val="20"/>
          <w:color w:val="auto"/>
        </w:rPr>
      </w:pPr>
      <w:r>
        <w:rPr>
          <w:rFonts w:ascii="Courier New" w:cs="Courier New" w:eastAsia="Courier New" w:hAnsi="Courier New"/>
          <w:sz w:val="18"/>
          <w:szCs w:val="18"/>
          <w:color w:val="auto"/>
        </w:rPr>
        <w:t>-------------</w:t>
      </w:r>
    </w:p>
    <w:p>
      <w:pPr>
        <w:ind w:left="4860"/>
        <w:spacing w:after="0"/>
        <w:rPr>
          <w:sz w:val="20"/>
          <w:szCs w:val="20"/>
          <w:color w:val="auto"/>
        </w:rPr>
      </w:pPr>
      <w:r>
        <w:rPr>
          <w:rFonts w:ascii="Courier New" w:cs="Courier New" w:eastAsia="Courier New" w:hAnsi="Courier New"/>
          <w:sz w:val="18"/>
          <w:szCs w:val="18"/>
          <w:color w:val="auto"/>
        </w:rPr>
        <w:t>(Registrant)</w:t>
      </w:r>
    </w:p>
    <w:p>
      <w:pPr>
        <w:spacing w:after="0" w:line="200" w:lineRule="exact"/>
        <w:rPr>
          <w:sz w:val="20"/>
          <w:szCs w:val="20"/>
          <w:color w:val="auto"/>
        </w:rPr>
      </w:pPr>
    </w:p>
    <w:p>
      <w:pPr>
        <w:spacing w:after="0" w:line="203" w:lineRule="exact"/>
        <w:rPr>
          <w:sz w:val="20"/>
          <w:szCs w:val="20"/>
          <w:color w:val="auto"/>
        </w:rPr>
      </w:pPr>
    </w:p>
    <w:p>
      <w:pPr>
        <w:spacing w:after="0"/>
        <w:rPr>
          <w:sz w:val="20"/>
          <w:szCs w:val="20"/>
          <w:color w:val="auto"/>
        </w:rPr>
      </w:pPr>
      <w:r>
        <w:rPr>
          <w:rFonts w:ascii="Courier New" w:cs="Courier New" w:eastAsia="Courier New" w:hAnsi="Courier New"/>
          <w:sz w:val="18"/>
          <w:szCs w:val="18"/>
          <w:color w:val="auto"/>
        </w:rPr>
        <w:t>Date: August 13, 1996</w:t>
      </w:r>
    </w:p>
    <w:p>
      <w:pPr>
        <w:ind w:left="4740"/>
        <w:spacing w:after="0" w:line="238" w:lineRule="auto"/>
        <w:rPr>
          <w:sz w:val="20"/>
          <w:szCs w:val="20"/>
          <w:color w:val="auto"/>
        </w:rPr>
      </w:pPr>
      <w:r>
        <w:rPr>
          <w:rFonts w:ascii="Courier New" w:cs="Courier New" w:eastAsia="Courier New" w:hAnsi="Courier New"/>
          <w:sz w:val="18"/>
          <w:szCs w:val="18"/>
          <w:color w:val="auto"/>
        </w:rPr>
        <w:t>/s/ Michael J. Van Handel</w:t>
      </w:r>
    </w:p>
    <w:p>
      <w:pPr>
        <w:spacing w:after="0" w:line="5"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Michael J. Van Handel</w:t>
      </w:r>
    </w:p>
    <w:p>
      <w:pPr>
        <w:spacing w:after="0" w:line="4" w:lineRule="exact"/>
        <w:rPr>
          <w:sz w:val="20"/>
          <w:szCs w:val="20"/>
          <w:color w:val="auto"/>
        </w:rPr>
      </w:pPr>
    </w:p>
    <w:p>
      <w:pPr>
        <w:ind w:left="4740"/>
        <w:spacing w:after="0"/>
        <w:rPr>
          <w:sz w:val="20"/>
          <w:szCs w:val="20"/>
          <w:color w:val="auto"/>
        </w:rPr>
      </w:pPr>
      <w:r>
        <w:rPr>
          <w:rFonts w:ascii="Courier New" w:cs="Courier New" w:eastAsia="Courier New" w:hAnsi="Courier New"/>
          <w:sz w:val="16"/>
          <w:szCs w:val="16"/>
          <w:color w:val="auto"/>
        </w:rPr>
        <w:t>Vice President Chief Accounting</w:t>
      </w:r>
    </w:p>
    <w:p>
      <w:pPr>
        <w:spacing w:after="0" w:line="16" w:lineRule="exact"/>
        <w:rPr>
          <w:sz w:val="20"/>
          <w:szCs w:val="20"/>
          <w:color w:val="auto"/>
        </w:rPr>
      </w:pPr>
    </w:p>
    <w:p>
      <w:pPr>
        <w:ind w:left="4740"/>
        <w:spacing w:after="0"/>
        <w:rPr>
          <w:sz w:val="20"/>
          <w:szCs w:val="20"/>
          <w:color w:val="auto"/>
        </w:rPr>
      </w:pPr>
      <w:r>
        <w:rPr>
          <w:rFonts w:ascii="Courier New" w:cs="Courier New" w:eastAsia="Courier New" w:hAnsi="Courier New"/>
          <w:sz w:val="18"/>
          <w:szCs w:val="18"/>
          <w:color w:val="auto"/>
        </w:rPr>
        <w:t>Officer &amp; Treasurer</w:t>
      </w:r>
    </w:p>
    <w:p>
      <w:pPr>
        <w:ind w:left="4740"/>
        <w:spacing w:after="0" w:line="238" w:lineRule="auto"/>
        <w:rPr>
          <w:sz w:val="20"/>
          <w:szCs w:val="20"/>
          <w:color w:val="auto"/>
        </w:rPr>
      </w:pPr>
      <w:r>
        <w:rPr>
          <w:rFonts w:ascii="Courier New" w:cs="Courier New" w:eastAsia="Courier New" w:hAnsi="Courier New"/>
          <w:sz w:val="18"/>
          <w:szCs w:val="18"/>
          <w:color w:val="auto"/>
        </w:rPr>
        <w:t>(Signing on behalf of the</w:t>
      </w:r>
    </w:p>
    <w:p>
      <w:pPr>
        <w:ind w:left="4860"/>
        <w:spacing w:after="0"/>
        <w:rPr>
          <w:sz w:val="20"/>
          <w:szCs w:val="20"/>
          <w:color w:val="auto"/>
        </w:rPr>
      </w:pPr>
      <w:r>
        <w:rPr>
          <w:rFonts w:ascii="Courier New" w:cs="Courier New" w:eastAsia="Courier New" w:hAnsi="Courier New"/>
          <w:sz w:val="18"/>
          <w:szCs w:val="18"/>
          <w:color w:val="auto"/>
        </w:rPr>
        <w:t>Registrant and as Principal</w:t>
      </w:r>
    </w:p>
    <w:p>
      <w:pPr>
        <w:ind w:left="4860"/>
        <w:spacing w:after="0" w:line="237" w:lineRule="auto"/>
        <w:rPr>
          <w:sz w:val="20"/>
          <w:szCs w:val="20"/>
          <w:color w:val="auto"/>
        </w:rPr>
      </w:pPr>
      <w:r>
        <w:rPr>
          <w:rFonts w:ascii="Courier New" w:cs="Courier New" w:eastAsia="Courier New" w:hAnsi="Courier New"/>
          <w:sz w:val="18"/>
          <w:szCs w:val="18"/>
          <w:color w:val="auto"/>
        </w:rPr>
        <w:t>Accounting Officer)</w:t>
      </w:r>
    </w:p>
    <w:sectPr>
      <w:pgSz w:w="11900" w:h="16838" w:orient="portrait"/>
      <w:cols w:equalWidth="0" w:num="1">
        <w:col w:w="10219"/>
      </w:cols>
      <w:pgMar w:left="240" w:top="717"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upperLetter"/>
      <w:start w:val="24"/>
    </w:lvl>
  </w:abstractNum>
  <w:abstractNum w:abstractNumId="1">
    <w:nsid w:val="19495CFF"/>
    <w:multiLevelType w:val="hybridMultilevel"/>
    <w:lvl w:ilvl="0">
      <w:lvlJc w:val="left"/>
      <w:lvlText w:val="["/>
      <w:numFmt w:val="bullet"/>
      <w:start w:val="1"/>
    </w:lvl>
  </w:abstractNum>
  <w:abstractNum w:abstractNumId="2">
    <w:nsid w:val="2AE8944A"/>
    <w:multiLevelType w:val="hybridMultilevel"/>
    <w:lvl w:ilvl="0">
      <w:lvlJc w:val="left"/>
      <w:lvlText w:val="%1."/>
      <w:numFmt w:val="decimal"/>
      <w:start w:val="2"/>
    </w:lvl>
  </w:abstractNum>
  <w:abstractNum w:abstractNumId="3">
    <w:nsid w:val="625558EC"/>
    <w:multiLevelType w:val="hybridMultilevel"/>
    <w:lvl w:ilvl="0">
      <w:lvlJc w:val="left"/>
      <w:lvlText w:val="(%1)"/>
      <w:numFmt w:val="lowerLetter"/>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2019-12-12T07:16:47Z</dcterms:created>
  <dcterms:modified xsi:type="dcterms:W3CDTF">2019-12-12T07:16:47Z</dcterms:modified>
</cp:coreProperties>
</file>