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January 30, 2025</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82"/>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9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165"/>
        </w:trPr>
        <w:tc>
          <w:tcPr>
            <w:tcW w:w="37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r>
      <w:tr>
        <w:trPr>
          <w:trHeight w:val="161"/>
        </w:trPr>
        <w:tc>
          <w:tcPr>
            <w:tcW w:w="374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7"/>
              </w:rPr>
              <w:t>Trading Symbol(s)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5"/>
        </w:trPr>
        <w:tc>
          <w:tcPr>
            <w:tcW w:w="374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MAN</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61"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633095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4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On January 30, 2025, we issued a press release announcing our results of operations for the three and twelve months ended December 31, 2024 and 2023.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19"/>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6"/>
        </w:trPr>
        <w:tc>
          <w:tcPr>
            <w:tcW w:w="20" w:type="dxa"/>
            <w:vAlign w:val="bottom"/>
          </w:tcPr>
          <w:p>
            <w:pPr>
              <w:spacing w:after="0"/>
              <w:rPr>
                <w:sz w:val="12"/>
                <w:szCs w:val="12"/>
                <w:color w:val="auto"/>
              </w:rPr>
            </w:pPr>
          </w:p>
        </w:tc>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8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Press Release dated January 30, 2025</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Presentation materials for January 30, 2025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20" w:type="dxa"/>
            <w:vAlign w:val="bottom"/>
            <w:tcBorders>
              <w:right w:val="single" w:sz="8" w:color="0000EE"/>
            </w:tcBorders>
            <w:gridSpan w:val="2"/>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5"/>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33"/>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9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Dated:January 30, 2025</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56"/>
        </w:trPr>
        <w:tc>
          <w:tcPr>
            <w:tcW w:w="720" w:type="dxa"/>
            <w:vAlign w:val="bottom"/>
          </w:tcPr>
          <w:p>
            <w:pPr>
              <w:spacing w:after="0"/>
              <w:rPr>
                <w:sz w:val="13"/>
                <w:szCs w:val="13"/>
                <w:color w:val="auto"/>
              </w:rPr>
            </w:pPr>
          </w:p>
        </w:tc>
        <w:tc>
          <w:tcPr>
            <w:tcW w:w="4500" w:type="dxa"/>
            <w:vAlign w:val="bottom"/>
            <w:tcBorders>
              <w:top w:val="single" w:sz="8" w:color="auto"/>
            </w:tcBorders>
          </w:tcPr>
          <w:p>
            <w:pPr>
              <w:spacing w:after="0"/>
              <w:rPr>
                <w:sz w:val="13"/>
                <w:szCs w:val="13"/>
                <w:color w:val="auto"/>
              </w:rPr>
            </w:pPr>
          </w:p>
        </w:tc>
        <w:tc>
          <w:tcPr>
            <w:tcW w:w="860" w:type="dxa"/>
            <w:vAlign w:val="bottom"/>
          </w:tcPr>
          <w:p>
            <w:pPr>
              <w:ind w:left="280"/>
              <w:spacing w:after="0" w:line="156"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3"/>
                <w:szCs w:val="13"/>
                <w:color w:val="auto"/>
              </w:rPr>
            </w:pPr>
          </w:p>
        </w:tc>
        <w:tc>
          <w:tcPr>
            <w:tcW w:w="50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John T. McGinnis</w:t>
            </w:r>
          </w:p>
        </w:tc>
      </w:tr>
      <w:tr>
        <w:trPr>
          <w:trHeight w:val="189"/>
        </w:trPr>
        <w:tc>
          <w:tcPr>
            <w:tcW w:w="7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44"/>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
        <w:spacing w:after="0"/>
        <w:tabs>
          <w:tab w:leader="none" w:pos="6765"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194" w:lineRule="exact"/>
        <w:rPr>
          <w:sz w:val="20"/>
          <w:szCs w:val="20"/>
          <w:color w:val="auto"/>
        </w:rPr>
      </w:pPr>
    </w:p>
    <w:p>
      <w:pPr>
        <w:ind w:left="6785"/>
        <w:spacing w:after="0"/>
        <w:rPr>
          <w:sz w:val="20"/>
          <w:szCs w:val="20"/>
          <w:color w:val="auto"/>
        </w:rPr>
      </w:pPr>
      <w:r>
        <w:rPr>
          <w:rFonts w:ascii="Arial" w:cs="Arial" w:eastAsia="Arial" w:hAnsi="Arial"/>
          <w:sz w:val="15"/>
          <w:szCs w:val="15"/>
          <w:color w:val="auto"/>
        </w:rPr>
        <w:t>Haley Jones</w:t>
      </w:r>
    </w:p>
    <w:p>
      <w:pPr>
        <w:spacing w:after="0" w:line="25" w:lineRule="exact"/>
        <w:rPr>
          <w:sz w:val="20"/>
          <w:szCs w:val="20"/>
          <w:color w:val="auto"/>
        </w:rPr>
      </w:pPr>
    </w:p>
    <w:p>
      <w:pPr>
        <w:ind w:left="6785"/>
        <w:spacing w:after="0"/>
        <w:rPr>
          <w:sz w:val="20"/>
          <w:szCs w:val="20"/>
          <w:color w:val="auto"/>
        </w:rPr>
      </w:pPr>
      <w:r>
        <w:rPr>
          <w:rFonts w:ascii="Arial" w:cs="Arial" w:eastAsia="Arial" w:hAnsi="Arial"/>
          <w:sz w:val="15"/>
          <w:szCs w:val="15"/>
          <w:color w:val="auto"/>
        </w:rPr>
        <w:t>+1.414.906.6804</w:t>
      </w:r>
    </w:p>
    <w:p>
      <w:pPr>
        <w:spacing w:after="0" w:line="17" w:lineRule="exact"/>
        <w:rPr>
          <w:sz w:val="20"/>
          <w:szCs w:val="20"/>
          <w:color w:val="auto"/>
        </w:rPr>
      </w:pPr>
    </w:p>
    <w:p>
      <w:pPr>
        <w:ind w:left="6785"/>
        <w:spacing w:after="0"/>
        <w:rPr>
          <w:sz w:val="20"/>
          <w:szCs w:val="20"/>
          <w:color w:val="auto"/>
        </w:rPr>
      </w:pPr>
      <w:r>
        <w:rPr>
          <w:rFonts w:ascii="Arial" w:cs="Arial" w:eastAsia="Arial" w:hAnsi="Arial"/>
          <w:sz w:val="15"/>
          <w:szCs w:val="15"/>
          <w:u w:val="single" w:color="auto"/>
          <w:color w:val="0000FF"/>
        </w:rPr>
        <w:t>haley.jones@manpowergroup.com</w:t>
      </w:r>
    </w:p>
    <w:p>
      <w:pPr>
        <w:spacing w:after="0" w:line="229"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4</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Quarter 2024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$4.4 billion (-5% as reported, -3% constant currency)</w:t>
      </w:r>
    </w:p>
    <w:p>
      <w:pPr>
        <w:spacing w:after="0" w:line="83" w:lineRule="exact"/>
        <w:rPr>
          <w:rFonts w:ascii="Times New Roman" w:cs="Times New Roman" w:eastAsia="Times New Roman" w:hAnsi="Times New Roman"/>
          <w:sz w:val="17"/>
          <w:szCs w:val="17"/>
          <w:color w:val="auto"/>
        </w:rPr>
      </w:pPr>
    </w:p>
    <w:p>
      <w:pPr>
        <w:ind w:left="1125"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Regional trends largely unchanged as Europe and North America experienced a challenging environment while Asia Pacific and Latin America saw good demand</w:t>
      </w:r>
    </w:p>
    <w:p>
      <w:pPr>
        <w:spacing w:after="0" w:line="29"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17.2%. Staffing margins remained solid with slight decrease from mix; permanent recruitment largely stable at lower levels across most major markets</w:t>
      </w:r>
    </w:p>
    <w:p>
      <w:pPr>
        <w:spacing w:after="0" w:line="2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SG&amp;A reductions partially offset gross profit declines during the quarter</w:t>
      </w:r>
    </w:p>
    <w:p>
      <w:pPr>
        <w:spacing w:after="0" w:line="109" w:lineRule="exact"/>
        <w:rPr>
          <w:rFonts w:ascii="Times New Roman" w:cs="Times New Roman" w:eastAsia="Times New Roman" w:hAnsi="Times New Roman"/>
          <w:sz w:val="17"/>
          <w:szCs w:val="17"/>
          <w:color w:val="auto"/>
        </w:rPr>
      </w:pPr>
    </w:p>
    <w:p>
      <w:pPr>
        <w:ind w:left="1125" w:hanging="375"/>
        <w:spacing w:after="0" w:line="225"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cash provided by operating activities</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during the quarter with a three-day reduction in Days Sales Outstanding at year end; $34 million of common stock repurchased</w:t>
      </w:r>
    </w:p>
    <w:p>
      <w:pPr>
        <w:spacing w:after="0" w:line="148" w:lineRule="exact"/>
        <w:rPr>
          <w:sz w:val="20"/>
          <w:szCs w:val="20"/>
          <w:color w:val="auto"/>
        </w:rPr>
      </w:pPr>
    </w:p>
    <w:p>
      <w:pPr>
        <w:jc w:val="both"/>
        <w:ind w:left="5"/>
        <w:spacing w:after="0"/>
        <w:rPr>
          <w:sz w:val="20"/>
          <w:szCs w:val="20"/>
          <w:color w:val="auto"/>
        </w:rPr>
      </w:pPr>
      <w:r>
        <w:rPr>
          <w:rFonts w:ascii="Arial" w:cs="Arial" w:eastAsia="Arial" w:hAnsi="Arial"/>
          <w:sz w:val="17"/>
          <w:szCs w:val="17"/>
          <w:b w:val="1"/>
          <w:bCs w:val="1"/>
          <w:color w:val="auto"/>
        </w:rPr>
        <w:t xml:space="preserve">MILWAUKEE, January 30, 2025 – </w:t>
      </w:r>
      <w:r>
        <w:rPr>
          <w:rFonts w:ascii="Arial" w:cs="Arial" w:eastAsia="Arial" w:hAnsi="Arial"/>
          <w:sz w:val="17"/>
          <w:szCs w:val="17"/>
          <w:color w:val="auto"/>
        </w:rPr>
        <w:t>ManpowerGroup (NYSE: MAN) today reported net earnings of $0.47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2024 compared to net losses of $1.73 per diluted share in the prior year period. Net earnings in the quarter were $ 22.5 million compared to net losses of $84.5 million a year earlier. Revenues for the fourth quarter were $4.4 billion, a 5% decrease from the prior year period.</w:t>
      </w:r>
    </w:p>
    <w:p>
      <w:pPr>
        <w:spacing w:after="0" w:line="188" w:lineRule="exact"/>
        <w:rPr>
          <w:sz w:val="20"/>
          <w:szCs w:val="20"/>
          <w:color w:val="auto"/>
        </w:rPr>
      </w:pPr>
    </w:p>
    <w:p>
      <w:pPr>
        <w:ind w:left="5" w:right="100" w:firstLine="751"/>
        <w:spacing w:after="0" w:line="213" w:lineRule="auto"/>
        <w:rPr>
          <w:sz w:val="20"/>
          <w:szCs w:val="20"/>
          <w:color w:val="auto"/>
        </w:rPr>
      </w:pPr>
      <w:r>
        <w:rPr>
          <w:rFonts w:ascii="Arial" w:cs="Arial" w:eastAsia="Arial" w:hAnsi="Arial"/>
          <w:sz w:val="17"/>
          <w:szCs w:val="17"/>
          <w:color w:val="auto"/>
        </w:rPr>
        <w:t>The current year quarter included restructuring costs, pension settlements and net losses from the sale of our Austria business, which will be operated as a franchise going forward, which reduced earnings per share by $ 0.55 in the fourth quarter. Excluding these charges, earnings per share was $1.02 per diluted share in the quarter representing a decrease of 27% in constant currency.</w:t>
      </w:r>
      <w:r>
        <w:rPr>
          <w:rFonts w:ascii="Arial" w:cs="Arial" w:eastAsia="Arial" w:hAnsi="Arial"/>
          <w:sz w:val="23"/>
          <w:szCs w:val="23"/>
          <w:color w:val="auto"/>
          <w:vertAlign w:val="superscript"/>
        </w:rPr>
        <w:t>2</w:t>
      </w:r>
    </w:p>
    <w:p>
      <w:pPr>
        <w:spacing w:after="0" w:line="2" w:lineRule="exact"/>
        <w:rPr>
          <w:sz w:val="20"/>
          <w:szCs w:val="20"/>
          <w:color w:val="auto"/>
        </w:rPr>
      </w:pPr>
    </w:p>
    <w:p>
      <w:pPr>
        <w:ind w:left="5" w:right="40" w:firstLine="751"/>
        <w:spacing w:after="0" w:line="219" w:lineRule="auto"/>
        <w:rPr>
          <w:sz w:val="20"/>
          <w:szCs w:val="20"/>
          <w:color w:val="auto"/>
        </w:rPr>
      </w:pPr>
      <w:r>
        <w:rPr>
          <w:rFonts w:ascii="Arial" w:cs="Arial" w:eastAsia="Arial" w:hAnsi="Arial"/>
          <w:sz w:val="17"/>
          <w:szCs w:val="17"/>
          <w:color w:val="auto"/>
        </w:rPr>
        <w:t>Financial results in the quarter were also impacted by the U.S. dollar relative to foreign currencies compared to the prior year period.</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On a constant currency basis, revenues decreased 3% compared to the prior year period.</w:t>
      </w:r>
    </w:p>
    <w:p>
      <w:pPr>
        <w:spacing w:after="0" w:line="200" w:lineRule="exact"/>
        <w:rPr>
          <w:sz w:val="20"/>
          <w:szCs w:val="20"/>
          <w:color w:val="auto"/>
        </w:rPr>
      </w:pPr>
    </w:p>
    <w:p>
      <w:pPr>
        <w:spacing w:after="0" w:line="334" w:lineRule="exact"/>
        <w:rPr>
          <w:sz w:val="20"/>
          <w:szCs w:val="20"/>
          <w:color w:val="auto"/>
        </w:rPr>
      </w:pPr>
    </w:p>
    <w:p>
      <w:pPr>
        <w:ind w:left="125" w:hanging="125"/>
        <w:spacing w:after="0"/>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Cash provided by operating activities equaled $247 million and, including capital expenditures, Free Cash Flow represented $236 million in the quarter.</w:t>
      </w:r>
    </w:p>
    <w:p>
      <w:pPr>
        <w:ind w:left="125" w:hanging="125"/>
        <w:spacing w:after="0" w:line="200" w:lineRule="auto"/>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prior year period included various adjustments which reduced earnings per share by $3.18 which are also excluded when determining the year over year adjusted trend.</w:t>
      </w:r>
    </w:p>
    <w:p>
      <w:pPr>
        <w:ind w:left="125" w:hanging="125"/>
        <w:spacing w:after="0" w:line="201" w:lineRule="auto"/>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fourth quarter earnings per share guidance estimated a negative 1 cent foreign currency impact and the actual impact was worse at a negative 4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472440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4" w:name="page5"/>
    <w:bookmarkEnd w:id="4"/>
    <w:p>
      <w:pPr>
        <w:jc w:val="both"/>
        <w:ind w:left="5" w:right="20" w:firstLine="327"/>
        <w:spacing w:after="0" w:line="239" w:lineRule="auto"/>
        <w:rPr>
          <w:sz w:val="20"/>
          <w:szCs w:val="20"/>
          <w:color w:val="auto"/>
        </w:rPr>
      </w:pPr>
      <w:r>
        <w:rPr>
          <w:rFonts w:ascii="Arial" w:cs="Arial" w:eastAsia="Arial" w:hAnsi="Arial"/>
          <w:sz w:val="17"/>
          <w:szCs w:val="17"/>
          <w:color w:val="auto"/>
        </w:rPr>
        <w:t xml:space="preserve">Jonas Prising, ManpowerGroup Chair &amp; CEO, said, “The operating conditions experienced across our regions came in largely as expected during the quarter with relatively stable activity at lower levels across North America and Europe and good demand elsewhere. We took additional cost actions during the quarter, primarily in some of our most challenged European markets. Looking back at full year 2024, although difficult market conditions weighed heavily on our financial results, we competed well in many markets as a result of our </w:t>
      </w:r>
      <w:r>
        <w:rPr>
          <w:rFonts w:ascii="Arial" w:cs="Arial" w:eastAsia="Arial" w:hAnsi="Arial"/>
          <w:sz w:val="17"/>
          <w:szCs w:val="17"/>
          <w:i w:val="1"/>
          <w:iCs w:val="1"/>
          <w:color w:val="auto"/>
        </w:rPr>
        <w:t>Winning in the Market</w:t>
      </w:r>
      <w:r>
        <w:rPr>
          <w:rFonts w:ascii="Arial" w:cs="Arial" w:eastAsia="Arial" w:hAnsi="Arial"/>
          <w:sz w:val="17"/>
          <w:szCs w:val="17"/>
          <w:color w:val="auto"/>
        </w:rPr>
        <w:t xml:space="preserve"> focus. We also made significant progress advancing our global transformation initiatives during 2024 and look forward to continuing our progress in 2025.</w:t>
      </w:r>
    </w:p>
    <w:p>
      <w:pPr>
        <w:spacing w:after="0" w:line="1" w:lineRule="exact"/>
        <w:rPr>
          <w:sz w:val="20"/>
          <w:szCs w:val="20"/>
          <w:color w:val="auto"/>
        </w:rPr>
      </w:pPr>
    </w:p>
    <w:p>
      <w:pPr>
        <w:jc w:val="both"/>
        <w:ind w:left="5" w:right="20" w:firstLine="751"/>
        <w:spacing w:after="0" w:line="232" w:lineRule="auto"/>
        <w:rPr>
          <w:sz w:val="20"/>
          <w:szCs w:val="20"/>
          <w:color w:val="auto"/>
        </w:rPr>
      </w:pPr>
      <w:r>
        <w:rPr>
          <w:rFonts w:ascii="Arial" w:cs="Arial" w:eastAsia="Arial" w:hAnsi="Arial"/>
          <w:sz w:val="17"/>
          <w:szCs w:val="17"/>
          <w:color w:val="auto"/>
        </w:rPr>
        <w:t>We anticipate diluted earnings per share in the first quarter will be between $0.47 and $0.57, which includes an estimated unfavorable currency impact of 6 cents and a 36% effective tax rate.”</w:t>
      </w:r>
    </w:p>
    <w:p>
      <w:pPr>
        <w:spacing w:after="0" w:line="1" w:lineRule="exact"/>
        <w:rPr>
          <w:sz w:val="20"/>
          <w:szCs w:val="20"/>
          <w:color w:val="auto"/>
        </w:rPr>
      </w:pPr>
    </w:p>
    <w:p>
      <w:pPr>
        <w:jc w:val="both"/>
        <w:ind w:left="5" w:firstLine="751"/>
        <w:spacing w:after="0" w:line="223" w:lineRule="auto"/>
        <w:rPr>
          <w:sz w:val="20"/>
          <w:szCs w:val="20"/>
          <w:color w:val="auto"/>
        </w:rPr>
      </w:pPr>
      <w:r>
        <w:rPr>
          <w:rFonts w:ascii="Arial" w:cs="Arial" w:eastAsia="Arial" w:hAnsi="Arial"/>
          <w:sz w:val="17"/>
          <w:szCs w:val="17"/>
          <w:color w:val="auto"/>
        </w:rPr>
        <w:t>Net earnings for the year ended December 31, 2024 were $145.1 million, or net earnings of $3.01 per diluted share compared to net earnings of $88.8 million, or net earnings of $1.76 per diluted share in the prior year, respectively. The full year period included restructuring costs, run-off losses related to the Proservia Germany business, pension settlements, and Argentina hyperinflationary related non-cash currency translation losses which reduced earnings per share by $ 1.54. Excluding the net impact of these charges, earnings per share for the year was $4.55 per diluted share representing a decrease of 21% in constant currency.</w:t>
      </w:r>
      <w:r>
        <w:rPr>
          <w:rFonts w:ascii="Arial" w:cs="Arial" w:eastAsia="Arial" w:hAnsi="Arial"/>
          <w:sz w:val="23"/>
          <w:szCs w:val="23"/>
          <w:color w:val="auto"/>
          <w:vertAlign w:val="superscript"/>
        </w:rPr>
        <w:t>4</w:t>
      </w:r>
      <w:r>
        <w:rPr>
          <w:rFonts w:ascii="Arial" w:cs="Arial" w:eastAsia="Arial" w:hAnsi="Arial"/>
          <w:sz w:val="17"/>
          <w:szCs w:val="17"/>
          <w:color w:val="auto"/>
        </w:rPr>
        <w:t xml:space="preserve"> Revenues for the year were $17.9 billion, representing a decrease of 6% compared to the prior year or a decrease of 3% in constant currency. Earnings per share for the year were negatively impacted by 20 cents due to changes in foreign currencies compared to the prior year.</w:t>
      </w:r>
    </w:p>
    <w:p>
      <w:pPr>
        <w:spacing w:after="0" w:line="1" w:lineRule="exact"/>
        <w:rPr>
          <w:sz w:val="20"/>
          <w:szCs w:val="20"/>
          <w:color w:val="auto"/>
        </w:rPr>
      </w:pPr>
    </w:p>
    <w:p>
      <w:pPr>
        <w:jc w:val="both"/>
        <w:ind w:left="5" w:firstLine="738"/>
        <w:spacing w:after="0" w:line="232" w:lineRule="auto"/>
        <w:rPr>
          <w:sz w:val="20"/>
          <w:szCs w:val="20"/>
          <w:color w:val="auto"/>
        </w:rPr>
      </w:pPr>
      <w:r>
        <w:rPr>
          <w:rFonts w:ascii="Arial" w:cs="Arial" w:eastAsia="Arial" w:hAnsi="Arial"/>
          <w:sz w:val="17"/>
          <w:szCs w:val="17"/>
          <w:color w:val="auto"/>
        </w:rPr>
        <w:t>In conjunction with its fourth quarter earnings release, ManpowerGroup will broadcast its conference call live over the Internet on January 30, 2025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745"/>
        <w:spacing w:after="0"/>
        <w:rPr>
          <w:sz w:val="20"/>
          <w:szCs w:val="20"/>
          <w:color w:val="auto"/>
        </w:rPr>
      </w:pPr>
      <w:r>
        <w:rPr>
          <w:rFonts w:ascii="Arial" w:cs="Arial" w:eastAsia="Arial" w:hAnsi="Arial"/>
          <w:sz w:val="17"/>
          <w:szCs w:val="17"/>
          <w:color w:val="auto"/>
        </w:rPr>
        <w:t>Supplemental financial information referenced in the conference call can be found at http://investor.manpowergroup.com/.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5" w:hanging="125"/>
        <w:spacing w:after="0"/>
        <w:tabs>
          <w:tab w:leader="none" w:pos="125"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prior year period included various adjustments which reduced earnings per share by $4.28 which are also excluded when determining the year over year adjusted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592455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7"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2024 ManpowerGroup was named one of the World's Most Ethical Companies for the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time – all confirming our position as the brand of choice for in-demand talent. For more information, visit www.manpowergroup.com.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statements, including statements regarding global economic and geopolitical uncertainty, trends in labor demand and the future strengthening of such demand, financial outlook, the outlook for our business in regions in which we operate as well as key countries within those regions, and the Company’s strategic initiatives and technology investments, including transformation programs and the positioning of future growth for our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2023, which information is incorporated herein by reference.</w:t>
      </w:r>
    </w:p>
    <w:p>
      <w:pPr>
        <w:spacing w:after="0" w:line="149"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608330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 w:name="page7"/>
    <w:bookmarkEnd w:id="6"/>
    <w:p>
      <w:pPr>
        <w:jc w:val="center"/>
        <w:ind w:right="-4"/>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8"/>
              </w:rPr>
              <w:t>Three Months Ended December 31</w:t>
            </w:r>
          </w:p>
        </w:tc>
        <w:tc>
          <w:tcPr>
            <w:tcW w:w="9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gridSpan w:val="3"/>
          </w:tcPr>
          <w:p>
            <w:pPr>
              <w:ind w:left="1000"/>
              <w:spacing w:after="0" w:line="181" w:lineRule="exact"/>
              <w:rPr>
                <w:sz w:val="20"/>
                <w:szCs w:val="20"/>
                <w:color w:val="auto"/>
              </w:rPr>
            </w:pPr>
            <w:r>
              <w:rPr>
                <w:rFonts w:ascii="Times New Roman" w:cs="Times New Roman" w:eastAsia="Times New Roman" w:hAnsi="Times New Roman"/>
                <w:sz w:val="16"/>
                <w:szCs w:val="16"/>
                <w:b w:val="1"/>
                <w:bCs w:val="1"/>
                <w:color w:val="auto"/>
                <w:w w:val="97"/>
              </w:rPr>
              <w:t>% Variance</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3"/>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5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980" w:type="dxa"/>
            <w:vAlign w:val="bottom"/>
          </w:tcPr>
          <w:p>
            <w:pPr>
              <w:jc w:val="right"/>
              <w:ind w:right="241"/>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80" w:type="dxa"/>
            <w:vAlign w:val="bottom"/>
          </w:tcPr>
          <w:p>
            <w:pPr>
              <w:spacing w:after="0"/>
              <w:rPr>
                <w:sz w:val="14"/>
                <w:szCs w:val="14"/>
                <w:color w:val="auto"/>
              </w:rPr>
            </w:pPr>
          </w:p>
        </w:tc>
      </w:tr>
      <w:tr>
        <w:trPr>
          <w:trHeight w:val="208"/>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6"/>
          </w:tcPr>
          <w:p>
            <w:pPr>
              <w:jc w:val="center"/>
              <w:ind w:right="640"/>
              <w:spacing w:after="0" w:line="181" w:lineRule="exact"/>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9"/>
        </w:trPr>
        <w:tc>
          <w:tcPr>
            <w:tcW w:w="536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 xml:space="preserve">Revenues from services </w:t>
            </w:r>
            <w:r>
              <w:rPr>
                <w:rFonts w:ascii="Times New Roman" w:cs="Times New Roman" w:eastAsia="Times New Roman" w:hAnsi="Times New Roman"/>
                <w:sz w:val="21"/>
                <w:szCs w:val="21"/>
                <w:color w:val="auto"/>
                <w:vertAlign w:val="superscript"/>
              </w:rPr>
              <w:t>(a)</w:t>
            </w:r>
          </w:p>
        </w:tc>
        <w:tc>
          <w:tcPr>
            <w:tcW w:w="28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4,399.7</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4,630.5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-2.9 %</w:t>
            </w: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-2.5 %</w:t>
            </w:r>
          </w:p>
        </w:tc>
      </w:tr>
      <w:tr>
        <w:trPr>
          <w:trHeight w:val="181"/>
        </w:trPr>
        <w:tc>
          <w:tcPr>
            <w:tcW w:w="53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755.1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810.7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-6.9 %</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-4.9 %</w:t>
            </w:r>
          </w:p>
        </w:tc>
      </w:tr>
      <w:tr>
        <w:trPr>
          <w:trHeight w:val="173"/>
        </w:trPr>
        <w:tc>
          <w:tcPr>
            <w:tcW w:w="5360" w:type="dxa"/>
            <w:vAlign w:val="bottom"/>
          </w:tcPr>
          <w:p>
            <w:pPr>
              <w:ind w:left="80"/>
              <w:spacing w:after="0" w:line="173" w:lineRule="exact"/>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6"/>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excluding goodwill impairment charge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-13.6 %</w:t>
            </w:r>
          </w:p>
        </w:tc>
        <w:tc>
          <w:tcPr>
            <w:tcW w:w="4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-12.0 %</w:t>
            </w:r>
          </w:p>
        </w:tc>
      </w:tr>
      <w:tr>
        <w:trPr>
          <w:trHeight w:val="189"/>
        </w:trPr>
        <w:tc>
          <w:tcPr>
            <w:tcW w:w="5360" w:type="dxa"/>
            <w:vAlign w:val="bottom"/>
            <w:tcBorders>
              <w:bottom w:val="single" w:sz="8" w:color="CFF0FC"/>
            </w:tcBorders>
            <w:shd w:val="clear" w:color="auto" w:fill="CFF0FC"/>
          </w:tcPr>
          <w:p>
            <w:pPr>
              <w:ind w:left="80"/>
              <w:spacing w:after="0" w:line="190" w:lineRule="exact"/>
              <w:rPr>
                <w:sz w:val="20"/>
                <w:szCs w:val="20"/>
                <w:color w:val="auto"/>
              </w:rPr>
            </w:pPr>
            <w:r>
              <w:rPr>
                <w:rFonts w:ascii="Times New Roman" w:cs="Times New Roman" w:eastAsia="Times New Roman" w:hAnsi="Times New Roman"/>
                <w:sz w:val="16"/>
                <w:szCs w:val="16"/>
                <w:color w:val="auto"/>
              </w:rPr>
              <w:t xml:space="preserve">Goodwill impairment charge </w:t>
            </w:r>
            <w:r>
              <w:rPr>
                <w:rFonts w:ascii="Times New Roman" w:cs="Times New Roman" w:eastAsia="Times New Roman" w:hAnsi="Times New Roman"/>
                <w:sz w:val="21"/>
                <w:szCs w:val="21"/>
                <w:color w:val="auto"/>
                <w:vertAlign w:val="superscript"/>
              </w:rPr>
              <w:t>(b)</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820" w:type="dxa"/>
            <w:vAlign w:val="bottom"/>
            <w:tcBorders>
              <w:bottom w:val="single" w:sz="8" w:color="CFF0FC"/>
            </w:tcBorders>
            <w:gridSpan w:val="3"/>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r>
      <w:tr>
        <w:trPr>
          <w:trHeight w:val="181"/>
        </w:trPr>
        <w:tc>
          <w:tcPr>
            <w:tcW w:w="53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686.9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850.2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-19.2 %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-17.7 %</w:t>
            </w:r>
          </w:p>
        </w:tc>
      </w:tr>
      <w:tr>
        <w:trPr>
          <w:trHeight w:val="181"/>
        </w:trPr>
        <w:tc>
          <w:tcPr>
            <w:tcW w:w="53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Operating profit (loss)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(39.5 )</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272.6 %</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280.2 %</w:t>
            </w: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32.1 %</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1"/>
        </w:trPr>
        <w:tc>
          <w:tcPr>
            <w:tcW w:w="53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Earnings (loss) before income taxes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(55.0 )</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186.9 %</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196.4 %</w:t>
            </w: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-14.8 %</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53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Net earnings (loss)</w:t>
            </w:r>
          </w:p>
        </w:tc>
        <w:tc>
          <w:tcPr>
            <w:tcW w:w="28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22.5</w:t>
            </w:r>
          </w:p>
        </w:tc>
        <w:tc>
          <w:tcPr>
            <w:tcW w:w="240" w:type="dxa"/>
            <w:vAlign w:val="bottom"/>
            <w:gridSpan w:val="2"/>
            <w:shd w:val="clear" w:color="auto" w:fill="CFF0FC"/>
          </w:tcPr>
          <w:p>
            <w:pPr>
              <w:spacing w:after="0"/>
              <w:rPr>
                <w:sz w:val="17"/>
                <w:szCs w:val="17"/>
                <w:color w:val="auto"/>
              </w:rPr>
            </w:pPr>
          </w:p>
        </w:tc>
        <w:tc>
          <w:tcPr>
            <w:tcW w:w="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(84.5 )</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126.6 %</w:t>
            </w:r>
          </w:p>
        </w:tc>
        <w:tc>
          <w:tcPr>
            <w:tcW w:w="4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129.5 %</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65"/>
        </w:trPr>
        <w:tc>
          <w:tcPr>
            <w:tcW w:w="53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earnings (loss) per share - basic</w:t>
            </w:r>
          </w:p>
        </w:tc>
        <w:tc>
          <w:tcPr>
            <w:tcW w:w="28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0.48</w:t>
            </w:r>
          </w:p>
        </w:tc>
        <w:tc>
          <w:tcPr>
            <w:tcW w:w="240" w:type="dxa"/>
            <w:vAlign w:val="bottom"/>
            <w:gridSpan w:val="2"/>
          </w:tcPr>
          <w:p>
            <w:pPr>
              <w:spacing w:after="0"/>
              <w:rPr>
                <w:sz w:val="14"/>
                <w:szCs w:val="14"/>
                <w:color w:val="auto"/>
              </w:rPr>
            </w:pPr>
          </w:p>
        </w:tc>
        <w:tc>
          <w:tcPr>
            <w:tcW w:w="1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(1.73 )</w:t>
            </w:r>
          </w:p>
        </w:tc>
        <w:tc>
          <w:tcPr>
            <w:tcW w:w="120" w:type="dxa"/>
            <w:vAlign w:val="bottom"/>
          </w:tcPr>
          <w:p>
            <w:pPr>
              <w:spacing w:after="0"/>
              <w:rPr>
                <w:sz w:val="14"/>
                <w:szCs w:val="14"/>
                <w:color w:val="auto"/>
              </w:rPr>
            </w:pPr>
          </w:p>
        </w:tc>
        <w:tc>
          <w:tcPr>
            <w:tcW w:w="1420" w:type="dxa"/>
            <w:vAlign w:val="bottom"/>
            <w:gridSpan w:val="2"/>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127.5 %</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536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Net earnings (loss) per share - diluted</w:t>
            </w:r>
          </w:p>
        </w:tc>
        <w:tc>
          <w:tcPr>
            <w:tcW w:w="280" w:type="dxa"/>
            <w:vAlign w:val="bottom"/>
            <w:shd w:val="clear" w:color="auto" w:fill="CFF0FC"/>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0.47</w:t>
            </w:r>
          </w:p>
        </w:tc>
        <w:tc>
          <w:tcPr>
            <w:tcW w:w="380" w:type="dxa"/>
            <w:vAlign w:val="bottom"/>
            <w:gridSpan w:val="3"/>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(1.73 )</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127.2 %</w:t>
            </w:r>
          </w:p>
        </w:tc>
        <w:tc>
          <w:tcPr>
            <w:tcW w:w="4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130.1 %</w:t>
            </w:r>
          </w:p>
        </w:tc>
      </w:tr>
      <w:tr>
        <w:trPr>
          <w:trHeight w:val="165"/>
        </w:trPr>
        <w:tc>
          <w:tcPr>
            <w:tcW w:w="536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47.2</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48.7</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gridSpan w:val="2"/>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-3.2 %</w:t>
            </w:r>
          </w:p>
        </w:tc>
        <w:tc>
          <w:tcPr>
            <w:tcW w:w="40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536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47.7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48.7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gridSpan w:val="2"/>
            <w:shd w:val="clear" w:color="auto" w:fill="CFF0FC"/>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-2.1 %</w:t>
            </w:r>
          </w:p>
        </w:tc>
        <w:tc>
          <w:tcPr>
            <w:tcW w:w="4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-1343660</wp:posOffset>
            </wp:positionV>
            <wp:extent cx="673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-1343660</wp:posOffset>
            </wp:positionV>
            <wp:extent cx="67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-592455</wp:posOffset>
            </wp:positionV>
            <wp:extent cx="673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-577850</wp:posOffset>
            </wp:positionV>
            <wp:extent cx="67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-592455</wp:posOffset>
            </wp:positionV>
            <wp:extent cx="673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-577850</wp:posOffset>
            </wp:positionV>
            <wp:extent cx="67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-307340</wp:posOffset>
            </wp:positionV>
            <wp:extent cx="67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-292100</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-307340</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-292100</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-21590</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-6985</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-21590</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-6985</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jc w:val="both"/>
        <w:ind w:left="505" w:right="20" w:hanging="505"/>
        <w:spacing w:after="0" w:line="247" w:lineRule="auto"/>
        <w:tabs>
          <w:tab w:leader="none" w:pos="5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$3.8 million for both the three months ended December 31, 2024 and 2023, respectively. These fees are primarily based on revenues generated by the franchise offices, which were $278.1 million and $251.5 million for the three months ended December 31, 2024 and 2023, respectively.</w:t>
      </w:r>
    </w:p>
    <w:p>
      <w:pPr>
        <w:ind w:left="505" w:hanging="505"/>
        <w:spacing w:after="0"/>
        <w:tabs>
          <w:tab w:leader="none" w:pos="5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three months ended December 31, 2023 is related to our investment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605790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0" w:right="319" w:bottom="1440" w:gutter="0" w:footer="0" w:header="0"/>
        </w:sectPr>
      </w:pPr>
    </w:p>
    <w:bookmarkStart w:id="7" w:name="page8"/>
    <w:bookmarkEnd w:id="7"/>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(In millions)</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8"/>
              </w:rPr>
              <w:t>Three Months Ended December 31</w:t>
            </w:r>
          </w:p>
        </w:tc>
        <w:tc>
          <w:tcPr>
            <w:tcW w:w="9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gridSpan w:val="3"/>
          </w:tcPr>
          <w:p>
            <w:pPr>
              <w:ind w:left="1000"/>
              <w:spacing w:after="0" w:line="181" w:lineRule="exact"/>
              <w:rPr>
                <w:sz w:val="20"/>
                <w:szCs w:val="20"/>
                <w:color w:val="auto"/>
              </w:rPr>
            </w:pPr>
            <w:r>
              <w:rPr>
                <w:rFonts w:ascii="Times New Roman" w:cs="Times New Roman" w:eastAsia="Times New Roman" w:hAnsi="Times New Roman"/>
                <w:sz w:val="16"/>
                <w:szCs w:val="16"/>
                <w:b w:val="1"/>
                <w:bCs w:val="1"/>
                <w:color w:val="auto"/>
                <w:w w:val="97"/>
              </w:rPr>
              <w:t>% Variance</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(a)</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820" w:type="dxa"/>
            <w:vAlign w:val="bottom"/>
            <w:gridSpan w:val="3"/>
          </w:tcPr>
          <w:p>
            <w:pPr>
              <w:jc w:val="center"/>
              <w:ind w:right="5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98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6"/>
          </w:tcPr>
          <w:p>
            <w:pPr>
              <w:jc w:val="center"/>
              <w:ind w:right="640"/>
              <w:spacing w:after="0" w:line="181" w:lineRule="exact"/>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340"/>
              <w:spacing w:after="0" w:line="190" w:lineRule="exact"/>
              <w:rPr>
                <w:sz w:val="20"/>
                <w:szCs w:val="20"/>
                <w:color w:val="auto"/>
              </w:rPr>
            </w:pPr>
            <w:r>
              <w:rPr>
                <w:rFonts w:ascii="Times New Roman" w:cs="Times New Roman" w:eastAsia="Times New Roman" w:hAnsi="Times New Roman"/>
                <w:sz w:val="16"/>
                <w:szCs w:val="16"/>
                <w:color w:val="auto"/>
              </w:rPr>
              <w:t xml:space="preserve">United States </w:t>
            </w:r>
            <w:r>
              <w:rPr>
                <w:rFonts w:ascii="Times New Roman" w:cs="Times New Roman" w:eastAsia="Times New Roman" w:hAnsi="Times New Roman"/>
                <w:sz w:val="21"/>
                <w:szCs w:val="21"/>
                <w:color w:val="auto"/>
                <w:vertAlign w:val="superscript"/>
              </w:rPr>
              <w:t>(b)</w:t>
            </w:r>
          </w:p>
        </w:tc>
        <w:tc>
          <w:tcPr>
            <w:tcW w:w="28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691.8</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1,073.6</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1,074.6</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-0.1 %</w:t>
            </w:r>
          </w:p>
        </w:tc>
        <w:tc>
          <w:tcPr>
            <w:tcW w:w="4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181"/>
        </w:trPr>
        <w:tc>
          <w:tcPr>
            <w:tcW w:w="53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-6.2 %</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0.7 %</w:t>
            </w:r>
          </w:p>
        </w:tc>
        <w:tc>
          <w:tcPr>
            <w:tcW w:w="4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2,043.4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2,111.8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-3.2 %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181"/>
        </w:trPr>
        <w:tc>
          <w:tcPr>
            <w:tcW w:w="536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768.4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913.7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-15.9 %</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189"/>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4,407.4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4,652.3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(7.7 )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(21.8 )</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4,399.7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4,630.5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-5.0 %</w:t>
            </w:r>
          </w:p>
        </w:tc>
        <w:tc>
          <w:tcPr>
            <w:tcW w:w="4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165"/>
        </w:trPr>
        <w:tc>
          <w:tcPr>
            <w:tcW w:w="53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Operating Unit Profit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-4.8 %</w:t>
            </w:r>
          </w:p>
        </w:tc>
        <w:tc>
          <w:tcPr>
            <w:tcW w:w="4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-4.5 %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181"/>
        </w:trPr>
        <w:tc>
          <w:tcPr>
            <w:tcW w:w="536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-20.1 %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-19.8 %</w:t>
            </w: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-20.5 %</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-20.1 %</w:t>
            </w: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75.2</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90.8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-17.2 %</w:t>
            </w:r>
          </w:p>
        </w:tc>
        <w:tc>
          <w:tcPr>
            <w:tcW w:w="4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-17.1 %</w:t>
            </w:r>
          </w:p>
        </w:tc>
        <w:tc>
          <w:tcPr>
            <w:tcW w:w="0" w:type="dxa"/>
            <w:vAlign w:val="bottom"/>
          </w:tcPr>
          <w:p>
            <w:pPr>
              <w:spacing w:after="0"/>
              <w:rPr>
                <w:sz w:val="1"/>
                <w:szCs w:val="1"/>
                <w:color w:val="auto"/>
              </w:rPr>
            </w:pPr>
          </w:p>
        </w:tc>
      </w:tr>
      <w:tr>
        <w:trPr>
          <w:trHeight w:val="181"/>
        </w:trPr>
        <w:tc>
          <w:tcPr>
            <w:tcW w:w="53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(16.5 )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(81.4 )</w:t>
            </w: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79.7 %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78.3 %</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-27.0 %</w:t>
            </w:r>
          </w:p>
        </w:tc>
        <w:tc>
          <w:tcPr>
            <w:tcW w:w="4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-28.3 %</w:t>
            </w: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(32.5 )</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(42.9 )</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 xml:space="preserve">Goodwill impairment charge </w:t>
            </w:r>
            <w:r>
              <w:rPr>
                <w:rFonts w:ascii="Times New Roman" w:cs="Times New Roman" w:eastAsia="Times New Roman" w:hAnsi="Times New Roman"/>
                <w:sz w:val="21"/>
                <w:szCs w:val="21"/>
                <w:color w:val="auto"/>
                <w:vertAlign w:val="superscript"/>
              </w:rPr>
              <w:t>(c)</w:t>
            </w:r>
          </w:p>
        </w:tc>
        <w:tc>
          <w:tcPr>
            <w:tcW w:w="2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6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Operating profit (loss)</w:t>
            </w:r>
          </w:p>
        </w:tc>
        <w:tc>
          <w:tcPr>
            <w:tcW w:w="2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(39.5 )</w:t>
            </w: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272.6 %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280.2 %</w:t>
            </w: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 xml:space="preserve">Interest and other expenses, net </w:t>
            </w:r>
            <w:r>
              <w:rPr>
                <w:rFonts w:ascii="Times New Roman" w:cs="Times New Roman" w:eastAsia="Times New Roman" w:hAnsi="Times New Roman"/>
                <w:sz w:val="21"/>
                <w:szCs w:val="21"/>
                <w:color w:val="auto"/>
                <w:vertAlign w:val="superscript"/>
              </w:rPr>
              <w:t>(d)</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(20.5 )</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6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Earnings (loss) before income taxes</w:t>
            </w:r>
          </w:p>
        </w:tc>
        <w:tc>
          <w:tcPr>
            <w:tcW w:w="28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(55.0 )</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-3626485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-3626485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-3138170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-3138170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-2635250</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-2635250</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-2379980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-2364740</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-2379980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-2364740</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-1877060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-1877060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-1133475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-1133475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-885825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-885825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-397510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-397510</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-149860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-149860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ind w:left="506" w:right="220" w:hanging="506"/>
        <w:spacing w:after="0" w:line="258" w:lineRule="auto"/>
        <w:tabs>
          <w:tab w:leader="none" w:pos="36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our reportable segment, United States, is now adjusted to exclude Puerto Rico. All previously reported results have been restated to conform to the current year presentation.</w:t>
      </w:r>
    </w:p>
    <w:p>
      <w:pPr>
        <w:ind w:left="506" w:right="340" w:hanging="506"/>
        <w:spacing w:after="0" w:line="246" w:lineRule="auto"/>
        <w:tabs>
          <w:tab w:leader="none" w:pos="37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$2.6 million and $3.0 million for the three months ended December 31, 2024 and 2023, respectively. These fees are primarily based on revenues generated by the franchise offices, which were $89.7 million and $99.0 million for the three months ended December 31, 2024 and 2023, respectively.</w:t>
      </w:r>
    </w:p>
    <w:p>
      <w:pPr>
        <w:spacing w:after="0" w:line="1" w:lineRule="exact"/>
        <w:rPr>
          <w:rFonts w:ascii="Times New Roman" w:cs="Times New Roman" w:eastAsia="Times New Roman" w:hAnsi="Times New Roman"/>
          <w:sz w:val="16"/>
          <w:szCs w:val="16"/>
          <w:color w:val="auto"/>
        </w:rPr>
      </w:pPr>
    </w:p>
    <w:p>
      <w:pPr>
        <w:ind w:left="306" w:hanging="306"/>
        <w:spacing w:after="0"/>
        <w:tabs>
          <w:tab w:leader="none" w:pos="30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three months ended December 31, 2023 is related to our investment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485775</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880" w:right="319" w:bottom="1440" w:gutter="0" w:footer="0" w:header="0"/>
        </w:sectPr>
      </w:pPr>
    </w:p>
    <w:bookmarkStart w:id="8" w:name="page9"/>
    <w:bookmarkEnd w:id="8"/>
    <w:p>
      <w:pPr>
        <w:ind w:left="386" w:hanging="386"/>
        <w:spacing w:after="0"/>
        <w:tabs>
          <w:tab w:leader="none" w:pos="38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22"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r>
      <w:tr>
        <w:trPr>
          <w:trHeight w:val="181"/>
        </w:trPr>
        <w:tc>
          <w:tcPr>
            <w:tcW w:w="7360" w:type="dxa"/>
            <w:vAlign w:val="bottom"/>
            <w:shd w:val="clear" w:color="auto" w:fill="CFF0FC"/>
          </w:tcPr>
          <w:p>
            <w:pPr>
              <w:ind w:left="320"/>
              <w:spacing w:after="0" w:line="181" w:lineRule="exact"/>
              <w:rPr>
                <w:sz w:val="20"/>
                <w:szCs w:val="20"/>
                <w:color w:val="auto"/>
              </w:rPr>
            </w:pPr>
            <w:r>
              <w:rPr>
                <w:rFonts w:ascii="Times New Roman" w:cs="Times New Roman" w:eastAsia="Times New Roman" w:hAnsi="Times New Roman"/>
                <w:sz w:val="16"/>
                <w:szCs w:val="16"/>
                <w:color w:val="auto"/>
              </w:rPr>
              <w:t>Interest expense</w:t>
            </w:r>
          </w:p>
        </w:tc>
        <w:tc>
          <w:tcPr>
            <w:tcW w:w="1240" w:type="dxa"/>
            <w:vAlign w:val="bottom"/>
            <w:shd w:val="clear" w:color="auto" w:fill="CFF0FC"/>
          </w:tcPr>
          <w:p>
            <w:pPr>
              <w:jc w:val="right"/>
              <w:ind w:right="10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FF0FC"/>
          </w:tcPr>
          <w:p>
            <w:pPr>
              <w:spacing w:after="0"/>
              <w:rPr>
                <w:sz w:val="15"/>
                <w:szCs w:val="15"/>
                <w:color w:val="auto"/>
              </w:rPr>
            </w:pPr>
          </w:p>
        </w:tc>
      </w:tr>
      <w:tr>
        <w:trPr>
          <w:trHeight w:val="189"/>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(8.9 )</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r>
      <w:tr>
        <w:trPr>
          <w:trHeight w:val="189"/>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Foreign exchange loss</w:t>
            </w:r>
          </w:p>
        </w:tc>
        <w:tc>
          <w:tcPr>
            <w:tcW w:w="12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Miscellaneous income</w:t>
            </w:r>
          </w:p>
        </w:tc>
        <w:tc>
          <w:tcPr>
            <w:tcW w:w="1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(2.4 )</w:t>
            </w:r>
          </w:p>
        </w:tc>
      </w:tr>
      <w:tr>
        <w:trPr>
          <w:trHeight w:val="221"/>
        </w:trPr>
        <w:tc>
          <w:tcPr>
            <w:tcW w:w="7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949"/>
        </w:trPr>
        <w:tc>
          <w:tcPr>
            <w:tcW w:w="7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-652780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-637540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-652780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-637540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880" w:right="319" w:bottom="1440" w:gutter="0" w:footer="0" w:header="0"/>
        </w:sectPr>
      </w:pPr>
    </w:p>
    <w:bookmarkStart w:id="9" w:name="page10"/>
    <w:bookmarkEnd w:id="9"/>
    <w:p>
      <w:pPr>
        <w:jc w:val="center"/>
        <w:ind w:right="-4"/>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w w:val="97"/>
              </w:rPr>
              <w:t>% Variance</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3"/>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left="261"/>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41"/>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80" w:type="dxa"/>
            <w:vAlign w:val="bottom"/>
          </w:tcPr>
          <w:p>
            <w:pPr>
              <w:spacing w:after="0"/>
              <w:rPr>
                <w:sz w:val="14"/>
                <w:szCs w:val="14"/>
                <w:color w:val="auto"/>
              </w:rPr>
            </w:pPr>
          </w:p>
        </w:tc>
      </w:tr>
      <w:tr>
        <w:trPr>
          <w:trHeight w:val="208"/>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4"/>
          </w:tcPr>
          <w:p>
            <w:pPr>
              <w:jc w:val="center"/>
              <w:ind w:left="61"/>
              <w:spacing w:after="0" w:line="181" w:lineRule="exact"/>
              <w:rPr>
                <w:sz w:val="20"/>
                <w:szCs w:val="20"/>
                <w:color w:val="auto"/>
              </w:rPr>
            </w:pPr>
            <w:r>
              <w:rPr>
                <w:rFonts w:ascii="Times New Roman" w:cs="Times New Roman" w:eastAsia="Times New Roman" w:hAnsi="Times New Roman"/>
                <w:sz w:val="16"/>
                <w:szCs w:val="16"/>
                <w:color w:val="auto"/>
                <w:w w:val="98"/>
              </w:rPr>
              <w:t>(Unaudited)</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9"/>
        </w:trPr>
        <w:tc>
          <w:tcPr>
            <w:tcW w:w="536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 xml:space="preserve">Revenues from services </w:t>
            </w:r>
            <w:r>
              <w:rPr>
                <w:rFonts w:ascii="Times New Roman" w:cs="Times New Roman" w:eastAsia="Times New Roman" w:hAnsi="Times New Roman"/>
                <w:sz w:val="21"/>
                <w:szCs w:val="21"/>
                <w:color w:val="auto"/>
                <w:vertAlign w:val="superscript"/>
              </w:rPr>
              <w:t>(a)</w:t>
            </w:r>
          </w:p>
        </w:tc>
        <w:tc>
          <w:tcPr>
            <w:tcW w:w="28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17,853.9</w:t>
            </w:r>
          </w:p>
        </w:tc>
        <w:tc>
          <w:tcPr>
            <w:tcW w:w="520" w:type="dxa"/>
            <w:vAlign w:val="bottom"/>
            <w:gridSpan w:val="3"/>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18,914.5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-5.6 %</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-3.4 %</w:t>
            </w: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r>
      <w:tr>
        <w:trPr>
          <w:trHeight w:val="181"/>
        </w:trPr>
        <w:tc>
          <w:tcPr>
            <w:tcW w:w="53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3,086.8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3,358.0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-8.1 %</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-6.2 %</w:t>
            </w:r>
          </w:p>
        </w:tc>
      </w:tr>
      <w:tr>
        <w:trPr>
          <w:trHeight w:val="173"/>
        </w:trPr>
        <w:tc>
          <w:tcPr>
            <w:tcW w:w="53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6"/>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excluding goodwill impairment charge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-8.7 %</w:t>
            </w:r>
          </w:p>
        </w:tc>
        <w:tc>
          <w:tcPr>
            <w:tcW w:w="4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-7.1 %</w:t>
            </w:r>
          </w:p>
        </w:tc>
      </w:tr>
      <w:tr>
        <w:trPr>
          <w:trHeight w:val="189"/>
        </w:trPr>
        <w:tc>
          <w:tcPr>
            <w:tcW w:w="5360" w:type="dxa"/>
            <w:vAlign w:val="bottom"/>
            <w:tcBorders>
              <w:bottom w:val="single" w:sz="8" w:color="CFF0FC"/>
            </w:tcBorders>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 xml:space="preserve">Goodwill impairment charge </w:t>
            </w:r>
            <w:r>
              <w:rPr>
                <w:rFonts w:ascii="Times New Roman" w:cs="Times New Roman" w:eastAsia="Times New Roman" w:hAnsi="Times New Roman"/>
                <w:sz w:val="21"/>
                <w:szCs w:val="21"/>
                <w:color w:val="auto"/>
                <w:vertAlign w:val="superscript"/>
              </w:rPr>
              <w:t>(b)</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r>
      <w:tr>
        <w:trPr>
          <w:trHeight w:val="181"/>
        </w:trPr>
        <w:tc>
          <w:tcPr>
            <w:tcW w:w="53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2,780.8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3,102.2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w w:val="94"/>
              </w:rPr>
              <w:t>-10.4 %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-8.8 %</w:t>
            </w:r>
          </w:p>
        </w:tc>
      </w:tr>
      <w:tr>
        <w:trPr>
          <w:trHeight w:val="181"/>
        </w:trPr>
        <w:tc>
          <w:tcPr>
            <w:tcW w:w="53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306.0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255.8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19.6 %</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25.2 %</w:t>
            </w: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1"/>
        </w:trPr>
        <w:tc>
          <w:tcPr>
            <w:tcW w:w="53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256.8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205.9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24.7 %</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31.1 %</w:t>
            </w: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-4.6 %</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1"/>
        </w:trPr>
        <w:tc>
          <w:tcPr>
            <w:tcW w:w="5360" w:type="dxa"/>
            <w:vAlign w:val="bottom"/>
            <w:tcBorders>
              <w:bottom w:val="single" w:sz="8" w:color="CFF0FC"/>
            </w:tcBorders>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145.1</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63.5 %</w:t>
            </w:r>
          </w:p>
        </w:tc>
        <w:tc>
          <w:tcPr>
            <w:tcW w:w="4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71.8 %</w:t>
            </w:r>
          </w:p>
        </w:tc>
      </w:tr>
      <w:tr>
        <w:trPr>
          <w:trHeight w:val="165"/>
        </w:trPr>
        <w:tc>
          <w:tcPr>
            <w:tcW w:w="53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3.04</w:t>
            </w:r>
          </w:p>
        </w:tc>
        <w:tc>
          <w:tcPr>
            <w:tcW w:w="520" w:type="dxa"/>
            <w:vAlign w:val="bottom"/>
            <w:gridSpan w:val="3"/>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gridSpan w:val="2"/>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70.4 %</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536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shd w:val="clear" w:color="auto" w:fill="CFF0FC"/>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3.01</w:t>
            </w:r>
          </w:p>
        </w:tc>
        <w:tc>
          <w:tcPr>
            <w:tcW w:w="520" w:type="dxa"/>
            <w:vAlign w:val="bottom"/>
            <w:gridSpan w:val="3"/>
            <w:shd w:val="clear" w:color="auto" w:fill="CFF0FC"/>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70.6 %</w:t>
            </w:r>
          </w:p>
        </w:tc>
        <w:tc>
          <w:tcPr>
            <w:tcW w:w="4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79.3 %</w:t>
            </w:r>
          </w:p>
        </w:tc>
      </w:tr>
      <w:tr>
        <w:trPr>
          <w:trHeight w:val="165"/>
        </w:trPr>
        <w:tc>
          <w:tcPr>
            <w:tcW w:w="536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47.8</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520" w:type="dxa"/>
            <w:vAlign w:val="bottom"/>
            <w:tcBorders>
              <w:top w:val="single" w:sz="8" w:color="CFF0FC"/>
            </w:tcBorders>
            <w:gridSpan w:val="2"/>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-4.1 %</w:t>
            </w:r>
          </w:p>
        </w:tc>
        <w:tc>
          <w:tcPr>
            <w:tcW w:w="40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536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gridSpan w:val="2"/>
            <w:shd w:val="clear" w:color="auto" w:fill="CFF0FC"/>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-4.2 %</w:t>
            </w:r>
          </w:p>
        </w:tc>
        <w:tc>
          <w:tcPr>
            <w:tcW w:w="4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-1343660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-1343660</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-592455</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-577850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-592455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-577850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-307340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-292100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-307340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-292100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-21590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-6985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-21590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-6985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jc w:val="both"/>
        <w:ind w:left="505" w:hanging="505"/>
        <w:spacing w:after="0" w:line="247" w:lineRule="auto"/>
        <w:tabs>
          <w:tab w:leader="none" w:pos="50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$14.4 million and $14.8 million for the years ended December 31, 2024 and 2023, respectively. These fees are primarily based on revenues generated by the franchise offices, which were $1,125.5 million and $995.8 million for the years ended December 31, 2024 and 2023, respectively.</w:t>
      </w:r>
    </w:p>
    <w:p>
      <w:pPr>
        <w:ind w:left="505" w:hanging="505"/>
        <w:spacing w:after="0"/>
        <w:tabs>
          <w:tab w:leader="none" w:pos="50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year ended December 31, 2023 is related to our investment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605790</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0" w:right="319" w:bottom="1440" w:gutter="0" w:footer="0" w:header="0"/>
        </w:sectPr>
      </w:pPr>
    </w:p>
    <w:bookmarkStart w:id="10" w:name="page11"/>
    <w:bookmarkEnd w:id="10"/>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(In millions)</w:t>
      </w:r>
    </w:p>
    <w:p>
      <w:pPr>
        <w:spacing w:after="0" w:line="228"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9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gridSpan w:val="3"/>
          </w:tcPr>
          <w:p>
            <w:pPr>
              <w:ind w:left="1000"/>
              <w:spacing w:after="0" w:line="181" w:lineRule="exact"/>
              <w:rPr>
                <w:sz w:val="20"/>
                <w:szCs w:val="20"/>
                <w:color w:val="auto"/>
              </w:rPr>
            </w:pPr>
            <w:r>
              <w:rPr>
                <w:rFonts w:ascii="Times New Roman" w:cs="Times New Roman" w:eastAsia="Times New Roman" w:hAnsi="Times New Roman"/>
                <w:sz w:val="16"/>
                <w:szCs w:val="16"/>
                <w:b w:val="1"/>
                <w:bCs w:val="1"/>
                <w:color w:val="auto"/>
                <w:w w:val="97"/>
              </w:rPr>
              <w:t>% Variance</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(a)</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820" w:type="dxa"/>
            <w:vAlign w:val="bottom"/>
            <w:gridSpan w:val="3"/>
          </w:tcPr>
          <w:p>
            <w:pPr>
              <w:jc w:val="center"/>
              <w:ind w:right="5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98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6"/>
          </w:tcPr>
          <w:p>
            <w:pPr>
              <w:jc w:val="center"/>
              <w:ind w:right="740"/>
              <w:spacing w:after="0" w:line="181" w:lineRule="exact"/>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340"/>
              <w:spacing w:after="0" w:line="190" w:lineRule="exact"/>
              <w:rPr>
                <w:sz w:val="20"/>
                <w:szCs w:val="20"/>
                <w:color w:val="auto"/>
              </w:rPr>
            </w:pPr>
            <w:r>
              <w:rPr>
                <w:rFonts w:ascii="Times New Roman" w:cs="Times New Roman" w:eastAsia="Times New Roman" w:hAnsi="Times New Roman"/>
                <w:sz w:val="16"/>
                <w:szCs w:val="16"/>
                <w:color w:val="auto"/>
              </w:rPr>
              <w:t xml:space="preserve">United States </w:t>
            </w:r>
            <w:r>
              <w:rPr>
                <w:rFonts w:ascii="Times New Roman" w:cs="Times New Roman" w:eastAsia="Times New Roman" w:hAnsi="Times New Roman"/>
                <w:sz w:val="21"/>
                <w:szCs w:val="21"/>
                <w:color w:val="auto"/>
                <w:vertAlign w:val="superscript"/>
              </w:rPr>
              <w:t>(b)</w:t>
            </w:r>
          </w:p>
        </w:tc>
        <w:tc>
          <w:tcPr>
            <w:tcW w:w="28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2,766.6</w:t>
            </w:r>
          </w:p>
        </w:tc>
        <w:tc>
          <w:tcPr>
            <w:tcW w:w="10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2,866.2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-3.5 %</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15.2 %</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4,224.9</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4,414.8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-4.3 %</w:t>
            </w:r>
          </w:p>
        </w:tc>
        <w:tc>
          <w:tcPr>
            <w:tcW w:w="4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181"/>
        </w:trPr>
        <w:tc>
          <w:tcPr>
            <w:tcW w:w="53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4,618.4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4,867.1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-5.1 %</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1,939.4</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-0.9 %</w:t>
            </w:r>
          </w:p>
        </w:tc>
        <w:tc>
          <w:tcPr>
            <w:tcW w:w="4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8,218.3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8,515.3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-3.5 %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181"/>
        </w:trPr>
        <w:tc>
          <w:tcPr>
            <w:tcW w:w="536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3,304.3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3,748.0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-11.8 %</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189"/>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17,908.8</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19,000.4</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(54.9 )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(85.9 )</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17,853.9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18,914.5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-5.6 %</w:t>
            </w:r>
          </w:p>
        </w:tc>
        <w:tc>
          <w:tcPr>
            <w:tcW w:w="4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165"/>
        </w:trPr>
        <w:tc>
          <w:tcPr>
            <w:tcW w:w="53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Operating Unit Profit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6"/>
                <w:szCs w:val="16"/>
                <w:color w:val="auto"/>
              </w:rPr>
            </w:pP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-10.3 %</w:t>
            </w:r>
          </w:p>
        </w:tc>
        <w:tc>
          <w:tcPr>
            <w:tcW w:w="4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165.6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-14.5 %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181"/>
        </w:trPr>
        <w:tc>
          <w:tcPr>
            <w:tcW w:w="536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-19.4 %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-19.4 %</w:t>
            </w: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-9.3 %</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189"/>
        </w:trPr>
        <w:tc>
          <w:tcPr>
            <w:tcW w:w="5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-12.5 %</w:t>
            </w:r>
          </w:p>
        </w:tc>
        <w:tc>
          <w:tcPr>
            <w:tcW w:w="4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304.1</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357.7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-15.0 %</w:t>
            </w:r>
          </w:p>
        </w:tc>
        <w:tc>
          <w:tcPr>
            <w:tcW w:w="4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181"/>
        </w:trPr>
        <w:tc>
          <w:tcPr>
            <w:tcW w:w="53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(44.6 )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(116.7 )</w:t>
            </w: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61.8 %</w:t>
            </w:r>
          </w:p>
        </w:tc>
        <w:tc>
          <w:tcPr>
            <w:tcW w:w="4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60.9 %</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-9.7 %</w:t>
            </w:r>
          </w:p>
        </w:tc>
        <w:tc>
          <w:tcPr>
            <w:tcW w:w="4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499.2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(146.1 )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(153.7 )</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 xml:space="preserve">Goodwill impairment charge </w:t>
            </w:r>
            <w:r>
              <w:rPr>
                <w:rFonts w:ascii="Times New Roman" w:cs="Times New Roman" w:eastAsia="Times New Roman" w:hAnsi="Times New Roman"/>
                <w:sz w:val="21"/>
                <w:szCs w:val="21"/>
                <w:color w:val="auto"/>
                <w:vertAlign w:val="superscript"/>
              </w:rPr>
              <w:t>(c)</w:t>
            </w:r>
          </w:p>
        </w:tc>
        <w:tc>
          <w:tcPr>
            <w:tcW w:w="2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(32.7 )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(34.6 )</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60" w:type="dxa"/>
            <w:vAlign w:val="bottom"/>
            <w:tcBorders>
              <w:top w:val="single" w:sz="8" w:color="CFF0FC"/>
            </w:tcBorders>
          </w:tcPr>
          <w:p>
            <w:pPr>
              <w:ind w:left="220"/>
              <w:spacing w:after="0" w:line="181" w:lineRule="exact"/>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306.0</w:t>
            </w: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255.8</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20" w:type="dxa"/>
            <w:vAlign w:val="bottom"/>
            <w:tcBorders>
              <w:top w:val="single" w:sz="8" w:color="CFF0FC"/>
            </w:tcBorders>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19.6 %</w:t>
            </w:r>
          </w:p>
        </w:tc>
        <w:tc>
          <w:tcPr>
            <w:tcW w:w="400" w:type="dxa"/>
            <w:vAlign w:val="bottom"/>
            <w:tcBorders>
              <w:top w:val="single" w:sz="8" w:color="CFF0FC"/>
            </w:tcBorders>
          </w:tcPr>
          <w:p>
            <w:pPr>
              <w:spacing w:after="0"/>
              <w:rPr>
                <w:sz w:val="15"/>
                <w:szCs w:val="15"/>
                <w:color w:val="auto"/>
              </w:rPr>
            </w:pPr>
          </w:p>
        </w:tc>
        <w:tc>
          <w:tcPr>
            <w:tcW w:w="1160" w:type="dxa"/>
            <w:vAlign w:val="bottom"/>
            <w:tcBorders>
              <w:top w:val="single" w:sz="8" w:color="CFF0FC"/>
            </w:tcBorders>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25.2 %</w:t>
            </w: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 xml:space="preserve">Interest and other expenses, net </w:t>
            </w:r>
            <w:r>
              <w:rPr>
                <w:rFonts w:ascii="Times New Roman" w:cs="Times New Roman" w:eastAsia="Times New Roman" w:hAnsi="Times New Roman"/>
                <w:sz w:val="21"/>
                <w:szCs w:val="21"/>
                <w:color w:val="auto"/>
                <w:vertAlign w:val="superscript"/>
              </w:rPr>
              <w:t>(d)</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(49.2 )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(49.9 )</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6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-3615055</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-3615055</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-3126740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-3126740</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-2623820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-2623820</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-2368550</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-2353310</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-2368550</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-2353310</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-1864995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-1864995</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-1122045</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-1122045</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-873760</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-873760</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-386080</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-386080</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-137795</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-137795</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-10160</wp:posOffset>
            </wp:positionV>
            <wp:extent cx="17119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1960" cy="7620"/>
                    </a:xfrm>
                    <a:prstGeom prst="rect">
                      <a:avLst/>
                    </a:prstGeom>
                    <a:noFill/>
                  </pic:spPr>
                </pic:pic>
              </a:graphicData>
            </a:graphic>
          </wp:anchor>
        </w:drawing>
      </w:r>
    </w:p>
    <w:p>
      <w:pPr>
        <w:ind w:left="506" w:right="220" w:hanging="506"/>
        <w:spacing w:after="0" w:line="258" w:lineRule="auto"/>
        <w:tabs>
          <w:tab w:leader="none" w:pos="36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our reportable segment, United States, is now adjusted to exclude Puerto Rico. All previously reported results have been restated to conform to the current year presentation.</w:t>
      </w:r>
    </w:p>
    <w:p>
      <w:pPr>
        <w:ind w:left="506" w:right="60" w:hanging="506"/>
        <w:spacing w:after="0" w:line="246" w:lineRule="auto"/>
        <w:tabs>
          <w:tab w:leader="none" w:pos="37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$10.7 million and $11.9 million for the years ended December 31, 2024 and 2023, respectively. These fees are primarily based on revenues generated by the franchise offices, which were $368.1 million and $397.7 million for the years ended December 31, 2024 and 2023, respectively.</w:t>
      </w:r>
    </w:p>
    <w:p>
      <w:pPr>
        <w:spacing w:after="0" w:line="1" w:lineRule="exact"/>
        <w:rPr>
          <w:rFonts w:ascii="Times New Roman" w:cs="Times New Roman" w:eastAsia="Times New Roman" w:hAnsi="Times New Roman"/>
          <w:sz w:val="16"/>
          <w:szCs w:val="16"/>
          <w:color w:val="auto"/>
        </w:rPr>
      </w:pPr>
    </w:p>
    <w:p>
      <w:pPr>
        <w:ind w:left="306" w:hanging="306"/>
        <w:spacing w:after="0"/>
        <w:tabs>
          <w:tab w:leader="none" w:pos="30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year ended December 31, 2023 is related to our investment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-725170</wp:posOffset>
            </wp:positionV>
            <wp:extent cx="17119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196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485775</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880" w:right="319" w:bottom="1440" w:gutter="0" w:footer="0" w:header="0"/>
        </w:sectPr>
      </w:pPr>
    </w:p>
    <w:bookmarkStart w:id="11" w:name="page12"/>
    <w:bookmarkEnd w:id="11"/>
    <w:p>
      <w:pPr>
        <w:ind w:left="386" w:hanging="386"/>
        <w:spacing w:after="0"/>
        <w:tabs>
          <w:tab w:leader="none" w:pos="38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22"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r>
      <w:tr>
        <w:trPr>
          <w:trHeight w:val="181"/>
        </w:trPr>
        <w:tc>
          <w:tcPr>
            <w:tcW w:w="7360" w:type="dxa"/>
            <w:vAlign w:val="bottom"/>
            <w:shd w:val="clear" w:color="auto" w:fill="CFF0FC"/>
          </w:tcPr>
          <w:p>
            <w:pPr>
              <w:ind w:left="320"/>
              <w:spacing w:after="0" w:line="181" w:lineRule="exact"/>
              <w:rPr>
                <w:sz w:val="20"/>
                <w:szCs w:val="20"/>
                <w:color w:val="auto"/>
              </w:rPr>
            </w:pPr>
            <w:r>
              <w:rPr>
                <w:rFonts w:ascii="Times New Roman" w:cs="Times New Roman" w:eastAsia="Times New Roman" w:hAnsi="Times New Roman"/>
                <w:sz w:val="16"/>
                <w:szCs w:val="16"/>
                <w:color w:val="auto"/>
              </w:rPr>
              <w:t>Interest expense</w:t>
            </w:r>
          </w:p>
        </w:tc>
        <w:tc>
          <w:tcPr>
            <w:tcW w:w="1220" w:type="dxa"/>
            <w:vAlign w:val="bottom"/>
            <w:shd w:val="clear" w:color="auto" w:fill="CFF0FC"/>
          </w:tcPr>
          <w:p>
            <w:pPr>
              <w:jc w:val="right"/>
              <w:ind w:right="10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79.7</w:t>
            </w:r>
          </w:p>
        </w:tc>
        <w:tc>
          <w:tcPr>
            <w:tcW w:w="120" w:type="dxa"/>
            <w:vAlign w:val="bottom"/>
            <w:shd w:val="clear" w:color="auto" w:fill="CFF0FC"/>
          </w:tcPr>
          <w:p>
            <w:pPr>
              <w:spacing w:after="0"/>
              <w:rPr>
                <w:sz w:val="15"/>
                <w:szCs w:val="15"/>
                <w:color w:val="auto"/>
              </w:rPr>
            </w:pPr>
          </w:p>
        </w:tc>
      </w:tr>
      <w:tr>
        <w:trPr>
          <w:trHeight w:val="189"/>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(33.3 )</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(34.2 )</w:t>
            </w:r>
          </w:p>
        </w:tc>
      </w:tr>
      <w:tr>
        <w:trPr>
          <w:trHeight w:val="189"/>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Foreign exchange loss</w:t>
            </w:r>
          </w:p>
        </w:tc>
        <w:tc>
          <w:tcPr>
            <w:tcW w:w="12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Miscellaneous income</w:t>
            </w:r>
          </w:p>
        </w:tc>
        <w:tc>
          <w:tcPr>
            <w:tcW w:w="12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(13.7 )</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(17.4 )</w:t>
            </w:r>
          </w:p>
        </w:tc>
      </w:tr>
      <w:tr>
        <w:trPr>
          <w:trHeight w:val="221"/>
        </w:trPr>
        <w:tc>
          <w:tcPr>
            <w:tcW w:w="73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949"/>
        </w:trPr>
        <w:tc>
          <w:tcPr>
            <w:tcW w:w="7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-652780</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-637540</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-652780</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-637540</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880" w:right="319" w:bottom="1440" w:gutter="0" w:footer="0" w:header="0"/>
        </w:sectPr>
      </w:pPr>
    </w:p>
    <w:bookmarkStart w:id="12" w:name="page13"/>
    <w:bookmarkEnd w:id="12"/>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81"/>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(Unaudited)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4,830.0</w:t>
            </w:r>
          </w:p>
        </w:tc>
        <w:tc>
          <w:tcPr>
            <w:tcW w:w="120" w:type="dxa"/>
            <w:vAlign w:val="bottom"/>
          </w:tcPr>
          <w:p>
            <w:pPr>
              <w:spacing w:after="0"/>
              <w:rPr>
                <w:sz w:val="16"/>
                <w:szCs w:val="16"/>
                <w:color w:val="auto"/>
              </w:rPr>
            </w:pPr>
          </w:p>
        </w:tc>
      </w:tr>
      <w:tr>
        <w:trPr>
          <w:trHeight w:val="189"/>
        </w:trPr>
        <w:tc>
          <w:tcPr>
            <w:tcW w:w="7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360" w:type="dxa"/>
            <w:vAlign w:val="bottom"/>
          </w:tcPr>
          <w:p>
            <w:pPr>
              <w:ind w:left="38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5"/>
                <w:szCs w:val="15"/>
                <w:color w:val="auto"/>
              </w:rPr>
            </w:pPr>
          </w:p>
        </w:tc>
        <w:tc>
          <w:tcPr>
            <w:tcW w:w="1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4,970.3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5,572.1</w:t>
            </w:r>
          </w:p>
        </w:tc>
        <w:tc>
          <w:tcPr>
            <w:tcW w:w="120" w:type="dxa"/>
            <w:vAlign w:val="bottom"/>
          </w:tcPr>
          <w:p>
            <w:pPr>
              <w:spacing w:after="0"/>
              <w:rPr>
                <w:sz w:val="15"/>
                <w:szCs w:val="15"/>
                <w:color w:val="auto"/>
              </w:rPr>
            </w:pPr>
          </w:p>
        </w:tc>
      </w:tr>
      <w:tr>
        <w:trPr>
          <w:trHeight w:val="18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Pr>
          <w:p>
            <w:pPr>
              <w:spacing w:after="0"/>
              <w:rPr>
                <w:sz w:val="16"/>
                <w:szCs w:val="16"/>
                <w:color w:val="auto"/>
              </w:rPr>
            </w:pPr>
          </w:p>
        </w:tc>
      </w:tr>
      <w:tr>
        <w:trPr>
          <w:trHeight w:val="189"/>
        </w:trPr>
        <w:tc>
          <w:tcPr>
            <w:tcW w:w="7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360" w:type="dxa"/>
            <w:vAlign w:val="bottom"/>
          </w:tcPr>
          <w:p>
            <w:pPr>
              <w:ind w:left="380"/>
              <w:spacing w:after="0" w:line="181" w:lineRule="exact"/>
              <w:rPr>
                <w:sz w:val="20"/>
                <w:szCs w:val="20"/>
                <w:color w:val="auto"/>
              </w:rPr>
            </w:pPr>
            <w:r>
              <w:rPr>
                <w:rFonts w:ascii="Times New Roman" w:cs="Times New Roman" w:eastAsia="Times New Roman" w:hAnsi="Times New Roman"/>
                <w:sz w:val="16"/>
                <w:szCs w:val="16"/>
                <w:color w:val="auto"/>
              </w:rPr>
              <w:t>Total other assets</w:t>
            </w:r>
          </w:p>
        </w:tc>
        <w:tc>
          <w:tcPr>
            <w:tcW w:w="260" w:type="dxa"/>
            <w:vAlign w:val="bottom"/>
          </w:tcPr>
          <w:p>
            <w:pPr>
              <w:spacing w:after="0"/>
              <w:rPr>
                <w:sz w:val="15"/>
                <w:szCs w:val="15"/>
                <w:color w:val="auto"/>
              </w:rPr>
            </w:pPr>
          </w:p>
        </w:tc>
        <w:tc>
          <w:tcPr>
            <w:tcW w:w="1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3,112.3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3,128.2</w:t>
            </w:r>
          </w:p>
        </w:tc>
        <w:tc>
          <w:tcPr>
            <w:tcW w:w="120" w:type="dxa"/>
            <w:vAlign w:val="bottom"/>
          </w:tcPr>
          <w:p>
            <w:pPr>
              <w:spacing w:after="0"/>
              <w:rPr>
                <w:sz w:val="15"/>
                <w:szCs w:val="15"/>
                <w:color w:val="auto"/>
              </w:rPr>
            </w:pPr>
          </w:p>
        </w:tc>
      </w:tr>
      <w:tr>
        <w:trPr>
          <w:trHeight w:val="18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20" w:type="dxa"/>
            <w:vAlign w:val="bottom"/>
          </w:tcPr>
          <w:p>
            <w:pPr>
              <w:spacing w:after="0"/>
              <w:rPr>
                <w:sz w:val="16"/>
                <w:szCs w:val="16"/>
                <w:color w:val="auto"/>
              </w:rPr>
            </w:pPr>
          </w:p>
        </w:tc>
      </w:tr>
      <w:tr>
        <w:trPr>
          <w:trHeight w:val="189"/>
        </w:trPr>
        <w:tc>
          <w:tcPr>
            <w:tcW w:w="7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360" w:type="dxa"/>
            <w:vAlign w:val="bottom"/>
          </w:tcPr>
          <w:p>
            <w:pPr>
              <w:ind w:left="380"/>
              <w:spacing w:after="0" w:line="181" w:lineRule="exact"/>
              <w:rPr>
                <w:sz w:val="20"/>
                <w:szCs w:val="20"/>
                <w:color w:val="auto"/>
              </w:rPr>
            </w:pPr>
            <w:r>
              <w:rPr>
                <w:rFonts w:ascii="Times New Roman" w:cs="Times New Roman" w:eastAsia="Times New Roman" w:hAnsi="Times New Roman"/>
                <w:sz w:val="16"/>
                <w:szCs w:val="16"/>
                <w:color w:val="auto"/>
              </w:rPr>
              <w:t>Net property and equipment</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129.9</w:t>
            </w:r>
          </w:p>
        </w:tc>
        <w:tc>
          <w:tcPr>
            <w:tcW w:w="120" w:type="dxa"/>
            <w:vAlign w:val="bottom"/>
          </w:tcPr>
          <w:p>
            <w:pPr>
              <w:spacing w:after="0"/>
              <w:rPr>
                <w:sz w:val="15"/>
                <w:szCs w:val="15"/>
                <w:color w:val="auto"/>
              </w:rPr>
            </w:pPr>
          </w:p>
        </w:tc>
      </w:tr>
      <w:tr>
        <w:trPr>
          <w:trHeight w:val="221"/>
        </w:trPr>
        <w:tc>
          <w:tcPr>
            <w:tcW w:w="7360" w:type="dxa"/>
            <w:vAlign w:val="bottom"/>
            <w:shd w:val="clear" w:color="auto" w:fill="CFF0FC"/>
          </w:tcPr>
          <w:p>
            <w:pPr>
              <w:ind w:left="78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8,201.0</w:t>
            </w: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8,830.2</w:t>
            </w:r>
          </w:p>
        </w:tc>
        <w:tc>
          <w:tcPr>
            <w:tcW w:w="120" w:type="dxa"/>
            <w:vAlign w:val="bottom"/>
            <w:shd w:val="clear" w:color="auto" w:fill="CFF0FC"/>
          </w:tcPr>
          <w:p>
            <w:pPr>
              <w:spacing w:after="0"/>
              <w:rPr>
                <w:sz w:val="19"/>
                <w:szCs w:val="19"/>
                <w:color w:val="auto"/>
              </w:rPr>
            </w:pPr>
          </w:p>
        </w:tc>
      </w:tr>
      <w:tr>
        <w:trPr>
          <w:trHeight w:val="165"/>
        </w:trPr>
        <w:tc>
          <w:tcPr>
            <w:tcW w:w="736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2,612.9</w:t>
            </w:r>
          </w:p>
        </w:tc>
        <w:tc>
          <w:tcPr>
            <w:tcW w:w="1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2,723.0</w:t>
            </w: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tcPr>
          <w:p>
            <w:pPr>
              <w:spacing w:after="0"/>
              <w:rPr>
                <w:sz w:val="16"/>
                <w:szCs w:val="16"/>
                <w:color w:val="auto"/>
              </w:rPr>
            </w:pPr>
          </w:p>
        </w:tc>
      </w:tr>
      <w:tr>
        <w:trPr>
          <w:trHeight w:val="189"/>
        </w:trPr>
        <w:tc>
          <w:tcPr>
            <w:tcW w:w="7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360" w:type="dxa"/>
            <w:vAlign w:val="bottom"/>
          </w:tcPr>
          <w:p>
            <w:pPr>
              <w:ind w:left="50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5"/>
                <w:szCs w:val="15"/>
                <w:color w:val="auto"/>
              </w:rPr>
            </w:pPr>
          </w:p>
        </w:tc>
        <w:tc>
          <w:tcPr>
            <w:tcW w:w="1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4,437.1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4,799.7</w:t>
            </w:r>
          </w:p>
        </w:tc>
        <w:tc>
          <w:tcPr>
            <w:tcW w:w="120" w:type="dxa"/>
            <w:vAlign w:val="bottom"/>
          </w:tcPr>
          <w:p>
            <w:pPr>
              <w:spacing w:after="0"/>
              <w:rPr>
                <w:sz w:val="15"/>
                <w:szCs w:val="15"/>
                <w:color w:val="auto"/>
              </w:rPr>
            </w:pPr>
          </w:p>
        </w:tc>
      </w:tr>
      <w:tr>
        <w:trPr>
          <w:trHeight w:val="18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w:t>
            </w: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20" w:type="dxa"/>
            <w:vAlign w:val="bottom"/>
          </w:tcPr>
          <w:p>
            <w:pPr>
              <w:spacing w:after="0"/>
              <w:rPr>
                <w:sz w:val="16"/>
                <w:szCs w:val="16"/>
                <w:color w:val="auto"/>
              </w:rPr>
            </w:pPr>
          </w:p>
        </w:tc>
      </w:tr>
      <w:tr>
        <w:trPr>
          <w:trHeight w:val="181"/>
        </w:trPr>
        <w:tc>
          <w:tcPr>
            <w:tcW w:w="7360" w:type="dxa"/>
            <w:vAlign w:val="bottom"/>
            <w:shd w:val="clear" w:color="auto" w:fill="CFF0FC"/>
          </w:tcPr>
          <w:p>
            <w:pPr>
              <w:ind w:left="500"/>
              <w:spacing w:after="0" w:line="181" w:lineRule="exact"/>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1,637.0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1,796.4</w:t>
            </w:r>
          </w:p>
        </w:tc>
        <w:tc>
          <w:tcPr>
            <w:tcW w:w="120" w:type="dxa"/>
            <w:vAlign w:val="bottom"/>
            <w:shd w:val="clear" w:color="auto" w:fill="CFF0FC"/>
          </w:tcPr>
          <w:p>
            <w:pPr>
              <w:spacing w:after="0"/>
              <w:rPr>
                <w:sz w:val="15"/>
                <w:szCs w:val="15"/>
                <w:color w:val="auto"/>
              </w:rPr>
            </w:pP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3,813.0</w:t>
            </w: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(443.0 )</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(466.0 )</w:t>
            </w:r>
          </w:p>
        </w:tc>
      </w:tr>
      <w:tr>
        <w:trPr>
          <w:trHeight w:val="189"/>
        </w:trPr>
        <w:tc>
          <w:tcPr>
            <w:tcW w:w="7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Treasury stock, at cost</w:t>
            </w:r>
          </w:p>
        </w:tc>
        <w:tc>
          <w:tcPr>
            <w:tcW w:w="260" w:type="dxa"/>
            <w:vAlign w:val="bottom"/>
          </w:tcPr>
          <w:p>
            <w:pPr>
              <w:spacing w:after="0"/>
              <w:rPr>
                <w:sz w:val="16"/>
                <w:szCs w:val="16"/>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(4,791.4 )</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(4,639.8 )</w:t>
            </w:r>
          </w:p>
        </w:tc>
      </w:tr>
      <w:tr>
        <w:trPr>
          <w:trHeight w:val="181"/>
        </w:trPr>
        <w:tc>
          <w:tcPr>
            <w:tcW w:w="7360" w:type="dxa"/>
            <w:vAlign w:val="bottom"/>
            <w:tcBorders>
              <w:bottom w:val="single" w:sz="8" w:color="CFF0FC"/>
            </w:tcBorders>
            <w:shd w:val="clear" w:color="auto" w:fill="CFF0FC"/>
          </w:tcPr>
          <w:p>
            <w:pPr>
              <w:jc w:val="right"/>
              <w:ind w:right="4121"/>
              <w:spacing w:after="0" w:line="181" w:lineRule="exact"/>
              <w:rPr>
                <w:sz w:val="20"/>
                <w:szCs w:val="20"/>
                <w:color w:val="auto"/>
              </w:rPr>
            </w:pPr>
            <w:r>
              <w:rPr>
                <w:rFonts w:ascii="Times New Roman" w:cs="Times New Roman" w:eastAsia="Times New Roman" w:hAnsi="Times New Roman"/>
                <w:sz w:val="16"/>
                <w:szCs w:val="16"/>
                <w:color w:val="auto"/>
              </w:rPr>
              <w:t>Total ManpowerGroup shareholders' equity</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5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2,125.2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4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2,223.3</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736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5"/>
                <w:szCs w:val="15"/>
                <w:color w:val="auto"/>
              </w:rPr>
            </w:pPr>
          </w:p>
        </w:tc>
      </w:tr>
      <w:tr>
        <w:trPr>
          <w:trHeight w:val="181"/>
        </w:trPr>
        <w:tc>
          <w:tcPr>
            <w:tcW w:w="7360" w:type="dxa"/>
            <w:vAlign w:val="bottom"/>
            <w:tcBorders>
              <w:bottom w:val="single" w:sz="8" w:color="CFF0FC"/>
            </w:tcBorders>
            <w:shd w:val="clear" w:color="auto" w:fill="CFF0FC"/>
          </w:tcPr>
          <w:p>
            <w:pPr>
              <w:ind w:left="540"/>
              <w:spacing w:after="0" w:line="181" w:lineRule="exact"/>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2,126.9</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2,234.1</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7360" w:type="dxa"/>
            <w:vAlign w:val="bottom"/>
          </w:tcPr>
          <w:p>
            <w:pPr>
              <w:jc w:val="right"/>
              <w:ind w:right="4101"/>
              <w:spacing w:after="0" w:line="181" w:lineRule="exact"/>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8,201.0</w:t>
            </w:r>
          </w:p>
        </w:tc>
        <w:tc>
          <w:tcPr>
            <w:tcW w:w="100" w:type="dxa"/>
            <w:vAlign w:val="bottom"/>
          </w:tcPr>
          <w:p>
            <w:pPr>
              <w:spacing w:after="0"/>
              <w:rPr>
                <w:sz w:val="15"/>
                <w:szCs w:val="15"/>
                <w:color w:val="auto"/>
              </w:rPr>
            </w:pPr>
          </w:p>
        </w:tc>
        <w:tc>
          <w:tcPr>
            <w:tcW w:w="50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8,830.2</w:t>
            </w:r>
          </w:p>
        </w:tc>
        <w:tc>
          <w:tcPr>
            <w:tcW w:w="120" w:type="dxa"/>
            <w:vAlign w:val="bottom"/>
          </w:tcPr>
          <w:p>
            <w:pPr>
              <w:spacing w:after="0"/>
              <w:rPr>
                <w:sz w:val="15"/>
                <w:szCs w:val="15"/>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49"/>
        </w:trPr>
        <w:tc>
          <w:tcPr>
            <w:tcW w:w="7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5786755</wp:posOffset>
            </wp:positionH>
            <wp:positionV relativeFrom="paragraph">
              <wp:posOffset>-5196205</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-5196205</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-4467860</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-4467860</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-3979545</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-3979545</wp:posOffset>
            </wp:positionV>
            <wp:extent cx="673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-3724275</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-3709035</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-3724275</wp:posOffset>
            </wp:positionV>
            <wp:extent cx="673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-3709035</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-2740660</wp:posOffset>
            </wp:positionV>
            <wp:extent cx="673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-2740660</wp:posOffset>
            </wp:positionV>
            <wp:extent cx="673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-1035685</wp:posOffset>
            </wp:positionV>
            <wp:extent cx="673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-1035685</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-780415</wp:posOffset>
            </wp:positionV>
            <wp:extent cx="673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-780415</wp:posOffset>
            </wp:positionV>
            <wp:extent cx="673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3" w:name="page14"/>
    <w:bookmarkEnd w:id="13"/>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76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7620" w:type="dxa"/>
            <w:vAlign w:val="bottom"/>
          </w:tcPr>
          <w:p>
            <w:pPr>
              <w:spacing w:after="0"/>
              <w:rPr>
                <w:sz w:val="15"/>
                <w:szCs w:val="15"/>
                <w:color w:val="auto"/>
              </w:rPr>
            </w:pPr>
          </w:p>
        </w:tc>
        <w:tc>
          <w:tcPr>
            <w:tcW w:w="108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81"/>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r>
      <w:tr>
        <w:trPr>
          <w:trHeight w:val="181"/>
        </w:trPr>
        <w:tc>
          <w:tcPr>
            <w:tcW w:w="7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(Unaudited)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108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00" w:type="dxa"/>
            <w:vAlign w:val="bottom"/>
          </w:tcPr>
          <w:p>
            <w:pPr>
              <w:spacing w:after="0"/>
              <w:rPr>
                <w:sz w:val="16"/>
                <w:szCs w:val="16"/>
                <w:color w:val="auto"/>
              </w:rPr>
            </w:pP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tcPr>
          <w:p>
            <w:pPr>
              <w:spacing w:after="0"/>
              <w:rPr>
                <w:sz w:val="16"/>
                <w:szCs w:val="16"/>
                <w:color w:val="auto"/>
              </w:rPr>
            </w:pPr>
          </w:p>
        </w:tc>
      </w:tr>
      <w:tr>
        <w:trPr>
          <w:trHeight w:val="189"/>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16"/>
                <w:szCs w:val="16"/>
                <w:color w:val="auto"/>
              </w:rPr>
            </w:pPr>
          </w:p>
        </w:tc>
      </w:tr>
      <w:tr>
        <w:trPr>
          <w:trHeight w:val="189"/>
        </w:trPr>
        <w:tc>
          <w:tcPr>
            <w:tcW w:w="7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Loss on sales of subsidiaries, net</w:t>
            </w: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6"/>
                <w:szCs w:val="16"/>
                <w:color w:val="auto"/>
              </w:rPr>
            </w:pPr>
          </w:p>
        </w:tc>
      </w:tr>
      <w:tr>
        <w:trPr>
          <w:trHeight w:val="189"/>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Non-cash goodwill and other impairment charges</w:t>
            </w:r>
          </w:p>
        </w:tc>
        <w:tc>
          <w:tcPr>
            <w:tcW w:w="10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16"/>
                <w:szCs w:val="16"/>
                <w:color w:val="auto"/>
              </w:rPr>
            </w:pPr>
          </w:p>
        </w:tc>
      </w:tr>
      <w:tr>
        <w:trPr>
          <w:trHeight w:val="189"/>
        </w:trPr>
        <w:tc>
          <w:tcPr>
            <w:tcW w:w="7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Deferred income taxes</w:t>
            </w:r>
          </w:p>
        </w:tc>
        <w:tc>
          <w:tcPr>
            <w:tcW w:w="10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(32.4 )</w:t>
            </w: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(20.6 )</w:t>
            </w:r>
          </w:p>
        </w:tc>
      </w:tr>
      <w:tr>
        <w:trPr>
          <w:trHeight w:val="189"/>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6"/>
                <w:szCs w:val="16"/>
                <w:color w:val="auto"/>
              </w:rPr>
            </w:pPr>
          </w:p>
        </w:tc>
      </w:tr>
      <w:tr>
        <w:trPr>
          <w:trHeight w:val="189"/>
        </w:trPr>
        <w:tc>
          <w:tcPr>
            <w:tcW w:w="7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FF0FC"/>
          </w:tcPr>
          <w:p>
            <w:pPr>
              <w:spacing w:after="0"/>
              <w:rPr>
                <w:sz w:val="16"/>
                <w:szCs w:val="16"/>
                <w:color w:val="auto"/>
              </w:rPr>
            </w:pPr>
          </w:p>
        </w:tc>
      </w:tr>
      <w:tr>
        <w:trPr>
          <w:trHeight w:val="189"/>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shd w:val="clear" w:color="auto" w:fill="CFF0FC"/>
          </w:tcPr>
          <w:p>
            <w:pPr>
              <w:spacing w:after="0"/>
              <w:rPr>
                <w:sz w:val="16"/>
                <w:szCs w:val="16"/>
                <w:color w:val="auto"/>
              </w:rPr>
            </w:pPr>
          </w:p>
        </w:tc>
      </w:tr>
      <w:tr>
        <w:trPr>
          <w:trHeight w:val="189"/>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(131.8 )</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(45.2 )</w:t>
            </w:r>
          </w:p>
        </w:tc>
      </w:tr>
      <w:tr>
        <w:trPr>
          <w:trHeight w:val="189"/>
        </w:trPr>
        <w:tc>
          <w:tcPr>
            <w:tcW w:w="7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(144.7 )</w:t>
            </w:r>
          </w:p>
        </w:tc>
      </w:tr>
      <w:tr>
        <w:trPr>
          <w:trHeight w:val="189"/>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10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(79.6 )</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(103.2 )</w:t>
            </w:r>
          </w:p>
        </w:tc>
      </w:tr>
      <w:tr>
        <w:trPr>
          <w:trHeight w:val="181"/>
        </w:trPr>
        <w:tc>
          <w:tcPr>
            <w:tcW w:w="7620" w:type="dxa"/>
            <w:vAlign w:val="bottom"/>
            <w:tcBorders>
              <w:bottom w:val="single" w:sz="8" w:color="CFF0FC"/>
            </w:tcBorders>
            <w:shd w:val="clear" w:color="auto" w:fill="CFF0FC"/>
          </w:tcPr>
          <w:p>
            <w:pPr>
              <w:ind w:left="900"/>
              <w:spacing w:after="0" w:line="181" w:lineRule="exact"/>
              <w:rPr>
                <w:sz w:val="20"/>
                <w:szCs w:val="20"/>
                <w:color w:val="auto"/>
              </w:rPr>
            </w:pPr>
            <w:r>
              <w:rPr>
                <w:rFonts w:ascii="Times New Roman" w:cs="Times New Roman" w:eastAsia="Times New Roman" w:hAnsi="Times New Roman"/>
                <w:sz w:val="16"/>
                <w:szCs w:val="16"/>
                <w:color w:val="auto"/>
              </w:rPr>
              <w:t>Cash provided by operating activities</w:t>
            </w:r>
          </w:p>
        </w:tc>
        <w:tc>
          <w:tcPr>
            <w:tcW w:w="1080" w:type="dxa"/>
            <w:vAlign w:val="bottom"/>
            <w:tcBorders>
              <w:top w:val="single" w:sz="8" w:color="auto"/>
              <w:bottom w:val="single" w:sz="8" w:color="auto"/>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309.2</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348.2</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762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10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(51.1 )</w:t>
            </w: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(78.2 )</w:t>
            </w: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0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Impact to cash resulting from sales of subsidiaries</w:t>
            </w:r>
          </w:p>
        </w:tc>
        <w:tc>
          <w:tcPr>
            <w:tcW w:w="10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(14.6 )</w:t>
            </w: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the sales of subsidiaries and property and equipment</w:t>
            </w: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6"/>
                <w:szCs w:val="16"/>
                <w:color w:val="auto"/>
              </w:rPr>
            </w:pPr>
          </w:p>
        </w:tc>
      </w:tr>
      <w:tr>
        <w:trPr>
          <w:trHeight w:val="181"/>
        </w:trPr>
        <w:tc>
          <w:tcPr>
            <w:tcW w:w="7620" w:type="dxa"/>
            <w:vAlign w:val="bottom"/>
            <w:shd w:val="clear" w:color="auto" w:fill="CFF0FC"/>
          </w:tcPr>
          <w:p>
            <w:pPr>
              <w:ind w:left="900"/>
              <w:spacing w:after="0" w:line="181" w:lineRule="exact"/>
              <w:rPr>
                <w:sz w:val="20"/>
                <w:szCs w:val="20"/>
                <w:color w:val="auto"/>
              </w:rPr>
            </w:pPr>
            <w:r>
              <w:rPr>
                <w:rFonts w:ascii="Times New Roman" w:cs="Times New Roman" w:eastAsia="Times New Roman" w:hAnsi="Times New Roman"/>
                <w:sz w:val="16"/>
                <w:szCs w:val="16"/>
                <w:color w:val="auto"/>
              </w:rPr>
              <w:t>Cash used in investing activities</w:t>
            </w:r>
          </w:p>
        </w:tc>
        <w:tc>
          <w:tcPr>
            <w:tcW w:w="10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(68.2 )</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(74.1 )</w:t>
            </w:r>
          </w:p>
        </w:tc>
      </w:tr>
      <w:tr>
        <w:trPr>
          <w:trHeight w:val="181"/>
        </w:trPr>
        <w:tc>
          <w:tcPr>
            <w:tcW w:w="762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89"/>
        </w:trPr>
        <w:tc>
          <w:tcPr>
            <w:tcW w:w="7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(12.8 )</w:t>
            </w: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r>
      <w:tr>
        <w:trPr>
          <w:trHeight w:val="189"/>
        </w:trPr>
        <w:tc>
          <w:tcPr>
            <w:tcW w:w="7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0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(4.4 )</w:t>
            </w: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10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6"/>
                <w:szCs w:val="16"/>
                <w:color w:val="auto"/>
              </w:rPr>
            </w:pP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10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(0.6 )</w:t>
            </w:r>
          </w:p>
        </w:tc>
      </w:tr>
      <w:tr>
        <w:trPr>
          <w:trHeight w:val="189"/>
        </w:trPr>
        <w:tc>
          <w:tcPr>
            <w:tcW w:w="7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0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(10.4 )</w:t>
            </w: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(140.0 )</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(179.8 )</w:t>
            </w:r>
          </w:p>
        </w:tc>
      </w:tr>
      <w:tr>
        <w:trPr>
          <w:trHeight w:val="189"/>
        </w:trPr>
        <w:tc>
          <w:tcPr>
            <w:tcW w:w="7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10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(145.8 )</w:t>
            </w: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(144.3 )</w:t>
            </w:r>
          </w:p>
        </w:tc>
      </w:tr>
      <w:tr>
        <w:trPr>
          <w:trHeight w:val="20"/>
        </w:trPr>
        <w:tc>
          <w:tcPr>
            <w:tcW w:w="76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1"/>
        </w:trPr>
        <w:tc>
          <w:tcPr>
            <w:tcW w:w="7620" w:type="dxa"/>
            <w:vAlign w:val="bottom"/>
          </w:tcPr>
          <w:p>
            <w:pPr>
              <w:ind w:left="900"/>
              <w:spacing w:after="0" w:line="181" w:lineRule="exact"/>
              <w:rPr>
                <w:sz w:val="20"/>
                <w:szCs w:val="20"/>
                <w:color w:val="auto"/>
              </w:rPr>
            </w:pPr>
            <w:r>
              <w:rPr>
                <w:rFonts w:ascii="Times New Roman" w:cs="Times New Roman" w:eastAsia="Times New Roman" w:hAnsi="Times New Roman"/>
                <w:sz w:val="16"/>
                <w:szCs w:val="16"/>
                <w:color w:val="auto"/>
              </w:rPr>
              <w:t>Cash used in financing activities</w:t>
            </w:r>
          </w:p>
        </w:tc>
        <w:tc>
          <w:tcPr>
            <w:tcW w:w="1080" w:type="dxa"/>
            <w:vAlign w:val="bottom"/>
          </w:tcPr>
          <w:p>
            <w:pPr>
              <w:spacing w:after="0"/>
              <w:rPr>
                <w:sz w:val="15"/>
                <w:szCs w:val="15"/>
                <w:color w:val="auto"/>
              </w:rPr>
            </w:pPr>
          </w:p>
        </w:tc>
        <w:tc>
          <w:tcPr>
            <w:tcW w:w="64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(282.4 )</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(349.5 )</w:t>
            </w:r>
          </w:p>
        </w:tc>
      </w:tr>
      <w:tr>
        <w:trPr>
          <w:trHeight w:val="20"/>
        </w:trPr>
        <w:tc>
          <w:tcPr>
            <w:tcW w:w="7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76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Effect of exchange rate changes on cash</w:t>
            </w:r>
          </w:p>
        </w:tc>
        <w:tc>
          <w:tcPr>
            <w:tcW w:w="10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(30.5 )</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FF0FC"/>
          </w:tcPr>
          <w:p>
            <w:pPr>
              <w:spacing w:after="0"/>
              <w:rPr>
                <w:sz w:val="15"/>
                <w:szCs w:val="15"/>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1"/>
        </w:trPr>
        <w:tc>
          <w:tcPr>
            <w:tcW w:w="76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Change in cash and cash equivalents</w:t>
            </w:r>
          </w:p>
        </w:tc>
        <w:tc>
          <w:tcPr>
            <w:tcW w:w="1080" w:type="dxa"/>
            <w:vAlign w:val="bottom"/>
          </w:tcPr>
          <w:p>
            <w:pPr>
              <w:spacing w:after="0"/>
              <w:rPr>
                <w:sz w:val="15"/>
                <w:szCs w:val="15"/>
                <w:color w:val="auto"/>
              </w:rPr>
            </w:pPr>
          </w:p>
        </w:tc>
        <w:tc>
          <w:tcPr>
            <w:tcW w:w="64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(71.9 )</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(57.7 )</w:t>
            </w:r>
          </w:p>
        </w:tc>
      </w:tr>
      <w:tr>
        <w:trPr>
          <w:trHeight w:val="189"/>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6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Cash and cash equivalents, end of period</w:t>
            </w:r>
          </w:p>
        </w:tc>
        <w:tc>
          <w:tcPr>
            <w:tcW w:w="1080" w:type="dxa"/>
            <w:vAlign w:val="bottom"/>
          </w:tcPr>
          <w:p>
            <w:pPr>
              <w:jc w:val="right"/>
              <w:ind w:right="9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509.4</w:t>
            </w:r>
          </w:p>
        </w:tc>
        <w:tc>
          <w:tcPr>
            <w:tcW w:w="100" w:type="dxa"/>
            <w:vAlign w:val="bottom"/>
          </w:tcPr>
          <w:p>
            <w:pPr>
              <w:spacing w:after="0"/>
              <w:rPr>
                <w:sz w:val="15"/>
                <w:szCs w:val="15"/>
                <w:color w:val="auto"/>
              </w:rPr>
            </w:pPr>
          </w:p>
        </w:tc>
        <w:tc>
          <w:tcPr>
            <w:tcW w:w="6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581.3</w:t>
            </w:r>
          </w:p>
        </w:tc>
        <w:tc>
          <w:tcPr>
            <w:tcW w:w="120" w:type="dxa"/>
            <w:vAlign w:val="bottom"/>
          </w:tcPr>
          <w:p>
            <w:pPr>
              <w:spacing w:after="0"/>
              <w:rPr>
                <w:sz w:val="15"/>
                <w:szCs w:val="15"/>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49"/>
        </w:trPr>
        <w:tc>
          <w:tcPr>
            <w:tcW w:w="76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-3228340</wp:posOffset>
            </wp:positionV>
            <wp:extent cx="673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-3228340</wp:posOffset>
            </wp:positionV>
            <wp:extent cx="7493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-2492375</wp:posOffset>
            </wp:positionV>
            <wp:extent cx="673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-2492375</wp:posOffset>
            </wp:positionV>
            <wp:extent cx="7493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-1283335</wp:posOffset>
            </wp:positionV>
            <wp:extent cx="673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-1283335</wp:posOffset>
            </wp:positionV>
            <wp:extent cx="7493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-1028065</wp:posOffset>
            </wp:positionV>
            <wp:extent cx="673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-1028065</wp:posOffset>
            </wp:positionV>
            <wp:extent cx="7493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-780415</wp:posOffset>
            </wp:positionV>
            <wp:extent cx="673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-780415</wp:posOffset>
            </wp:positionV>
            <wp:extent cx="7493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2025-01-30T06:48:30Z</dcterms:created>
  <dcterms:modified xsi:type="dcterms:W3CDTF">2025-01-30T06:48:30Z</dcterms:modified>
</cp:coreProperties>
</file>