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5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1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1159"/>
        <w:spacing w:after="0"/>
        <w:rPr>
          <w:sz w:val="20"/>
          <w:szCs w:val="20"/>
          <w:color w:val="auto"/>
        </w:rPr>
      </w:pPr>
      <w:r>
        <w:rPr>
          <w:rFonts w:ascii="Arial" w:cs="Arial" w:eastAsia="Arial" w:hAnsi="Arial"/>
          <w:sz w:val="27"/>
          <w:szCs w:val="27"/>
          <w:b w:val="1"/>
          <w:bCs w:val="1"/>
          <w:color w:val="auto"/>
        </w:rPr>
        <w:t>FORM 8-K</w:t>
      </w:r>
    </w:p>
    <w:p>
      <w:pPr>
        <w:spacing w:after="0" w:line="218"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ind w:right="-115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20" w:lineRule="exact"/>
        <w:rPr>
          <w:sz w:val="24"/>
          <w:szCs w:val="24"/>
          <w:color w:val="auto"/>
        </w:rPr>
      </w:pPr>
    </w:p>
    <w:p>
      <w:pPr>
        <w:jc w:val="center"/>
        <w:ind w:right="-1159"/>
        <w:spacing w:after="0"/>
        <w:rPr>
          <w:sz w:val="20"/>
          <w:szCs w:val="20"/>
          <w:color w:val="auto"/>
        </w:rPr>
      </w:pPr>
      <w:r>
        <w:rPr>
          <w:rFonts w:ascii="Arial" w:cs="Arial" w:eastAsia="Arial" w:hAnsi="Arial"/>
          <w:sz w:val="15"/>
          <w:szCs w:val="15"/>
          <w:color w:val="auto"/>
        </w:rPr>
        <w:t>Date of Report (Date of earliest event reported): July 21, 2010</w:t>
      </w:r>
    </w:p>
    <w:p>
      <w:pPr>
        <w:spacing w:after="0" w:line="190" w:lineRule="exact"/>
        <w:rPr>
          <w:sz w:val="24"/>
          <w:szCs w:val="24"/>
          <w:color w:val="auto"/>
        </w:rPr>
      </w:pPr>
    </w:p>
    <w:p>
      <w:pPr>
        <w:ind w:left="4160"/>
        <w:spacing w:after="0"/>
        <w:rPr>
          <w:sz w:val="20"/>
          <w:szCs w:val="20"/>
          <w:color w:val="auto"/>
        </w:rPr>
      </w:pPr>
      <w:r>
        <w:rPr>
          <w:rFonts w:ascii="Arial" w:cs="Arial" w:eastAsia="Arial" w:hAnsi="Arial"/>
          <w:sz w:val="37"/>
          <w:szCs w:val="37"/>
          <w:b w:val="1"/>
          <w:bCs w:val="1"/>
          <w:color w:val="auto"/>
        </w:rPr>
        <w:t>MANPOWER INC.</w:t>
      </w:r>
    </w:p>
    <w:p>
      <w:pPr>
        <w:spacing w:after="0" w:line="35"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60"/>
          </w:cols>
          <w:pgMar w:left="240" w:top="400" w:right="1399" w:bottom="1440" w:gutter="0" w:footer="0" w:header="0"/>
        </w:sectPr>
      </w:pPr>
    </w:p>
    <w:p>
      <w:pPr>
        <w:spacing w:after="0" w:line="383" w:lineRule="exact"/>
        <w:rPr>
          <w:sz w:val="24"/>
          <w:szCs w:val="24"/>
          <w:color w:val="auto"/>
        </w:rPr>
      </w:pPr>
    </w:p>
    <w:p>
      <w:pPr>
        <w:jc w:val="center"/>
        <w:ind w:left="1160"/>
        <w:spacing w:after="0"/>
        <w:rPr>
          <w:sz w:val="20"/>
          <w:szCs w:val="20"/>
          <w:color w:val="auto"/>
        </w:rPr>
      </w:pPr>
      <w:r>
        <w:rPr>
          <w:rFonts w:ascii="Arial" w:cs="Arial" w:eastAsia="Arial" w:hAnsi="Arial"/>
          <w:sz w:val="15"/>
          <w:szCs w:val="15"/>
          <w:b w:val="1"/>
          <w:bCs w:val="1"/>
          <w:color w:val="auto"/>
        </w:rPr>
        <w:t>Wisconsin</w:t>
      </w:r>
    </w:p>
    <w:p>
      <w:pPr>
        <w:spacing w:after="0" w:line="25"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1-10686</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340"/>
        <w:spacing w:after="0"/>
        <w:rPr>
          <w:sz w:val="20"/>
          <w:szCs w:val="20"/>
          <w:color w:val="auto"/>
        </w:rPr>
      </w:pPr>
      <w:r>
        <w:rPr>
          <w:rFonts w:ascii="Arial" w:cs="Arial" w:eastAsia="Arial" w:hAnsi="Arial"/>
          <w:sz w:val="15"/>
          <w:szCs w:val="15"/>
          <w:b w:val="1"/>
          <w:bCs w:val="1"/>
          <w:color w:val="auto"/>
        </w:rPr>
        <w:t>39-1672779</w:t>
      </w:r>
    </w:p>
    <w:p>
      <w:pPr>
        <w:spacing w:after="0" w:line="25" w:lineRule="exact"/>
        <w:rPr>
          <w:sz w:val="24"/>
          <w:szCs w:val="24"/>
          <w:color w:val="auto"/>
        </w:rPr>
      </w:pPr>
    </w:p>
    <w:p>
      <w:pPr>
        <w:jc w:val="center"/>
        <w:ind w:right="360"/>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160" w:space="720"/>
            <w:col w:w="2560"/>
          </w:cols>
          <w:pgMar w:left="240" w:top="400" w:right="1399" w:bottom="1440" w:gutter="0" w:footer="0" w:header="0"/>
          <w:type w:val="continuous"/>
        </w:sectPr>
      </w:pPr>
    </w:p>
    <w:p>
      <w:pPr>
        <w:spacing w:after="0" w:line="219"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100 Manpower Place</w:t>
      </w:r>
    </w:p>
    <w:p>
      <w:pPr>
        <w:spacing w:after="0" w:line="25"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Milwaukee, Wisconsin</w:t>
      </w:r>
    </w:p>
    <w:p>
      <w:pPr>
        <w:spacing w:after="0" w:line="10" w:lineRule="exact"/>
        <w:rPr>
          <w:sz w:val="24"/>
          <w:szCs w:val="24"/>
          <w:color w:val="auto"/>
        </w:rPr>
      </w:pPr>
    </w:p>
    <w:p>
      <w:pPr>
        <w:jc w:val="center"/>
        <w:ind w:right="1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53212</w:t>
      </w:r>
    </w:p>
    <w:p>
      <w:pPr>
        <w:spacing w:after="0" w:line="2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840" w:space="720"/>
            <w:col w:w="2700"/>
          </w:cols>
          <w:pgMar w:left="240" w:top="400" w:right="1399" w:bottom="1440" w:gutter="0" w:footer="0" w:header="0"/>
          <w:type w:val="continuous"/>
        </w:sectPr>
      </w:pPr>
    </w:p>
    <w:p>
      <w:pPr>
        <w:spacing w:after="0" w:line="17" w:lineRule="exact"/>
        <w:rPr>
          <w:sz w:val="24"/>
          <w:szCs w:val="24"/>
          <w:color w:val="auto"/>
        </w:rPr>
      </w:pPr>
    </w:p>
    <w:p>
      <w:pPr>
        <w:ind w:left="3620"/>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420"/>
        <w:spacing w:after="0"/>
        <w:rPr>
          <w:sz w:val="20"/>
          <w:szCs w:val="20"/>
          <w:color w:val="auto"/>
        </w:rPr>
      </w:pPr>
      <w:r>
        <w:rPr>
          <w:rFonts w:ascii="Arial" w:cs="Arial" w:eastAsia="Arial" w:hAnsi="Arial"/>
          <w:sz w:val="15"/>
          <w:szCs w:val="15"/>
          <w:color w:val="auto"/>
        </w:rPr>
        <w:t>Written communications pursuant to Rule 425 under the Securities Act (17 CFR 230.425)</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Soliciting material pursuant to Rule 14a-12 under the Securities Act (17 CFR 240.14a-12)</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14d-2(b) under the Exchange Act (17 CFR 240.14d-2(b))</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199390</wp:posOffset>
            </wp:positionV>
            <wp:extent cx="727329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60"/>
          </w:cols>
          <w:pgMar w:left="240" w:top="400" w:right="1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20" w:lineRule="exact"/>
        <w:rPr>
          <w:sz w:val="20"/>
          <w:szCs w:val="20"/>
          <w:color w:val="auto"/>
        </w:rPr>
      </w:pPr>
    </w:p>
    <w:p>
      <w:pPr>
        <w:ind w:right="20" w:firstLine="549"/>
        <w:spacing w:after="0" w:line="284" w:lineRule="auto"/>
        <w:rPr>
          <w:sz w:val="20"/>
          <w:szCs w:val="20"/>
          <w:color w:val="auto"/>
        </w:rPr>
      </w:pPr>
      <w:r>
        <w:rPr>
          <w:rFonts w:ascii="Arial" w:cs="Arial" w:eastAsia="Arial" w:hAnsi="Arial"/>
          <w:sz w:val="15"/>
          <w:szCs w:val="15"/>
          <w:color w:val="auto"/>
        </w:rPr>
        <w:t>On July 21, 2010, we issued a press release announcing our results of operations for the three- and six- month periods ended June 30, 2010. A copy of the press release is attached hereto as Exhibit 99.1 and is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00" w:type="dxa"/>
            <w:vAlign w:val="bottom"/>
            <w:gridSpan w:val="2"/>
          </w:tcPr>
          <w:p>
            <w:pPr>
              <w:jc w:val="right"/>
              <w:ind w:right="584"/>
              <w:spacing w:after="0"/>
              <w:rPr>
                <w:sz w:val="20"/>
                <w:szCs w:val="20"/>
                <w:color w:val="auto"/>
              </w:rPr>
            </w:pPr>
            <w:r>
              <w:rPr>
                <w:rFonts w:ascii="Arial" w:cs="Arial" w:eastAsia="Arial" w:hAnsi="Arial"/>
                <w:sz w:val="15"/>
                <w:szCs w:val="15"/>
                <w:b w:val="1"/>
                <w:bCs w:val="1"/>
                <w:color w:val="auto"/>
                <w:w w:val="90"/>
              </w:rPr>
              <w:t>Item 9.01.</w:t>
            </w:r>
          </w:p>
        </w:tc>
        <w:tc>
          <w:tcPr>
            <w:tcW w:w="140" w:type="dxa"/>
            <w:vAlign w:val="bottom"/>
          </w:tcPr>
          <w:p>
            <w:pPr>
              <w:spacing w:after="0"/>
              <w:rPr>
                <w:sz w:val="17"/>
                <w:szCs w:val="17"/>
                <w:color w:val="auto"/>
              </w:rPr>
            </w:pPr>
          </w:p>
        </w:tc>
        <w:tc>
          <w:tcPr>
            <w:tcW w:w="5420" w:type="dxa"/>
            <w:vAlign w:val="bottom"/>
          </w:tcPr>
          <w:p>
            <w:pPr>
              <w:ind w:left="40"/>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tc>
        <w:tc>
          <w:tcPr>
            <w:tcW w:w="4580" w:type="dxa"/>
            <w:vAlign w:val="bottom"/>
          </w:tcPr>
          <w:p>
            <w:pPr>
              <w:spacing w:after="0"/>
              <w:rPr>
                <w:sz w:val="17"/>
                <w:szCs w:val="17"/>
                <w:color w:val="auto"/>
              </w:rPr>
            </w:pPr>
          </w:p>
        </w:tc>
      </w:tr>
      <w:tr>
        <w:trPr>
          <w:trHeight w:val="391"/>
        </w:trPr>
        <w:tc>
          <w:tcPr>
            <w:tcW w:w="20" w:type="dxa"/>
            <w:vAlign w:val="bottom"/>
          </w:tcPr>
          <w:p>
            <w:pPr>
              <w:spacing w:after="0"/>
              <w:rPr>
                <w:sz w:val="24"/>
                <w:szCs w:val="24"/>
                <w:color w:val="auto"/>
              </w:rPr>
            </w:pP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Exhibit No.</w:t>
            </w:r>
          </w:p>
        </w:tc>
        <w:tc>
          <w:tcPr>
            <w:tcW w:w="14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c>
          <w:tcPr>
            <w:tcW w:w="45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280" w:type="dxa"/>
            <w:vAlign w:val="bottom"/>
          </w:tcPr>
          <w:p>
            <w:pPr>
              <w:jc w:val="right"/>
              <w:ind w:right="404"/>
              <w:spacing w:after="0"/>
              <w:rPr>
                <w:sz w:val="20"/>
                <w:szCs w:val="20"/>
                <w:color w:val="auto"/>
              </w:rPr>
            </w:pPr>
            <w:r>
              <w:rPr>
                <w:rFonts w:ascii="Arial" w:cs="Arial" w:eastAsia="Arial" w:hAnsi="Arial"/>
                <w:sz w:val="15"/>
                <w:szCs w:val="15"/>
                <w:color w:val="auto"/>
              </w:rPr>
              <w:t>99.1</w:t>
            </w:r>
          </w:p>
        </w:tc>
        <w:tc>
          <w:tcPr>
            <w:tcW w:w="14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Press Release dated July 21, 2010</w:t>
            </w:r>
          </w:p>
        </w:tc>
        <w:tc>
          <w:tcPr>
            <w:tcW w:w="4580" w:type="dxa"/>
            <w:vAlign w:val="bottom"/>
          </w:tcPr>
          <w:p>
            <w:pPr>
              <w:spacing w:after="0"/>
              <w:rPr>
                <w:sz w:val="14"/>
                <w:szCs w:val="14"/>
                <w:color w:val="auto"/>
              </w:rPr>
            </w:pPr>
          </w:p>
        </w:tc>
      </w:tr>
      <w:tr>
        <w:trPr>
          <w:trHeight w:val="194"/>
        </w:trPr>
        <w:tc>
          <w:tcPr>
            <w:tcW w:w="1300" w:type="dxa"/>
            <w:vAlign w:val="bottom"/>
            <w:gridSpan w:val="2"/>
          </w:tcPr>
          <w:p>
            <w:pPr>
              <w:jc w:val="right"/>
              <w:ind w:right="404"/>
              <w:spacing w:after="0"/>
              <w:rPr>
                <w:sz w:val="20"/>
                <w:szCs w:val="20"/>
                <w:color w:val="auto"/>
              </w:rPr>
            </w:pPr>
            <w:r>
              <w:rPr>
                <w:rFonts w:ascii="Arial" w:cs="Arial" w:eastAsia="Arial" w:hAnsi="Arial"/>
                <w:sz w:val="15"/>
                <w:szCs w:val="15"/>
                <w:color w:val="auto"/>
              </w:rPr>
              <w:t>99.2</w:t>
            </w:r>
          </w:p>
        </w:tc>
        <w:tc>
          <w:tcPr>
            <w:tcW w:w="14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Presentation materials for July 21, 2010 conference call</w:t>
            </w:r>
          </w:p>
        </w:tc>
        <w:tc>
          <w:tcPr>
            <w:tcW w:w="458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5"/>
          <w:szCs w:val="15"/>
          <w:b w:val="1"/>
          <w:bCs w:val="1"/>
          <w:color w:val="auto"/>
        </w:rPr>
        <w:t>SIGNATURES</w:t>
      </w:r>
    </w:p>
    <w:p>
      <w:pPr>
        <w:spacing w:after="0" w:line="220"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MANPOWER INC.</w:t>
      </w:r>
    </w:p>
    <w:p>
      <w:pPr>
        <w:spacing w:after="0" w:line="193"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5"/>
          <w:szCs w:val="15"/>
          <w:color w:val="auto"/>
        </w:rPr>
        <w:t>Dated: July 21,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13335</wp:posOffset>
            </wp:positionV>
            <wp:extent cx="204025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255" cy="14605"/>
                    </a:xfrm>
                    <a:prstGeom prst="rect">
                      <a:avLst/>
                    </a:prstGeom>
                    <a:noFill/>
                  </pic:spPr>
                </pic:pic>
              </a:graphicData>
            </a:graphic>
          </wp:anchor>
        </w:drawing>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Executive Vice President and</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272415</wp:posOffset>
            </wp:positionV>
            <wp:extent cx="727329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000"/>
          </w:cols>
          <w:pgMar w:left="240" w:top="331" w:right="659" w:bottom="1440" w:gutter="0" w:footer="0" w:header="0"/>
        </w:sectPr>
      </w:pPr>
    </w:p>
    <w:bookmarkStart w:id="3" w:name="page4"/>
    <w:bookmarkEnd w:id="3"/>
    <w:p>
      <w:pPr>
        <w:ind w:left="5120"/>
        <w:spacing w:after="0"/>
        <w:rPr>
          <w:sz w:val="20"/>
          <w:szCs w:val="20"/>
          <w:color w:val="auto"/>
        </w:rPr>
      </w:pPr>
      <w:r>
        <w:rPr>
          <w:rFonts w:ascii="Arial" w:cs="Arial" w:eastAsia="Arial" w:hAnsi="Arial"/>
          <w:sz w:val="15"/>
          <w:szCs w:val="15"/>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Exhibit No.</w:t>
            </w:r>
          </w:p>
        </w:tc>
        <w:tc>
          <w:tcPr>
            <w:tcW w:w="14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r>
      <w:tr>
        <w:trPr>
          <w:trHeight w:val="172"/>
        </w:trPr>
        <w:tc>
          <w:tcPr>
            <w:tcW w:w="1300" w:type="dxa"/>
            <w:vAlign w:val="bottom"/>
          </w:tcPr>
          <w:p>
            <w:pPr>
              <w:jc w:val="right"/>
              <w:ind w:right="404"/>
              <w:spacing w:after="0"/>
              <w:rPr>
                <w:sz w:val="20"/>
                <w:szCs w:val="20"/>
                <w:color w:val="auto"/>
              </w:rPr>
            </w:pPr>
            <w:r>
              <w:rPr>
                <w:rFonts w:ascii="Arial" w:cs="Arial" w:eastAsia="Arial" w:hAnsi="Arial"/>
                <w:sz w:val="15"/>
                <w:szCs w:val="15"/>
                <w:color w:val="auto"/>
              </w:rPr>
              <w:t>99.1</w:t>
            </w:r>
          </w:p>
        </w:tc>
        <w:tc>
          <w:tcPr>
            <w:tcW w:w="14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Press Release dated July 21, 2010</w:t>
            </w:r>
          </w:p>
        </w:tc>
      </w:tr>
      <w:tr>
        <w:trPr>
          <w:trHeight w:val="194"/>
        </w:trPr>
        <w:tc>
          <w:tcPr>
            <w:tcW w:w="1300" w:type="dxa"/>
            <w:vAlign w:val="bottom"/>
          </w:tcPr>
          <w:p>
            <w:pPr>
              <w:jc w:val="right"/>
              <w:ind w:right="404"/>
              <w:spacing w:after="0"/>
              <w:rPr>
                <w:sz w:val="20"/>
                <w:szCs w:val="20"/>
                <w:color w:val="auto"/>
              </w:rPr>
            </w:pPr>
            <w:r>
              <w:rPr>
                <w:rFonts w:ascii="Arial" w:cs="Arial" w:eastAsia="Arial" w:hAnsi="Arial"/>
                <w:sz w:val="15"/>
                <w:szCs w:val="15"/>
                <w:color w:val="auto"/>
              </w:rPr>
              <w:t>99.2</w:t>
            </w:r>
          </w:p>
        </w:tc>
        <w:tc>
          <w:tcPr>
            <w:tcW w:w="14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Presentation materials for July 21, 2010 conference call</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980440" cy="90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0440" cy="90741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4220" w:space="720"/>
            <w:col w:w="6500"/>
          </w:cols>
          <w:pgMar w:left="240" w:top="116" w:right="21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 Reports 2</w:t>
      </w:r>
      <w:r>
        <w:rPr>
          <w:rFonts w:ascii="Arial" w:cs="Arial" w:eastAsia="Arial" w:hAnsi="Arial"/>
          <w:sz w:val="9"/>
          <w:szCs w:val="9"/>
          <w:b w:val="1"/>
          <w:bCs w:val="1"/>
          <w:color w:val="auto"/>
        </w:rPr>
        <w:t>ND</w:t>
      </w:r>
      <w:r>
        <w:rPr>
          <w:rFonts w:ascii="Arial" w:cs="Arial" w:eastAsia="Arial" w:hAnsi="Arial"/>
          <w:sz w:val="14"/>
          <w:szCs w:val="14"/>
          <w:b w:val="1"/>
          <w:bCs w:val="1"/>
          <w:color w:val="auto"/>
        </w:rPr>
        <w:t xml:space="preserve"> Quarter and First Half 2010 Results</w:t>
      </w:r>
    </w:p>
    <w:p>
      <w:pPr>
        <w:sectPr>
          <w:pgSz w:w="11900" w:h="16838" w:orient="portrait"/>
          <w:cols w:equalWidth="0" w:num="1">
            <w:col w:w="11440"/>
          </w:cols>
          <w:pgMar w:left="240" w:top="116" w:right="21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both"/>
        <w:ind w:right="120" w:firstLine="564"/>
        <w:spacing w:after="0" w:line="269" w:lineRule="auto"/>
        <w:rPr>
          <w:sz w:val="20"/>
          <w:szCs w:val="20"/>
          <w:color w:val="auto"/>
        </w:rPr>
      </w:pPr>
      <w:r>
        <w:rPr>
          <w:rFonts w:ascii="Arial" w:cs="Arial" w:eastAsia="Arial" w:hAnsi="Arial"/>
          <w:sz w:val="15"/>
          <w:szCs w:val="15"/>
          <w:color w:val="auto"/>
        </w:rPr>
        <w:t>MILWAUKEE, WI, USA, July 21, 2010 – Manpower Inc. (NYSE: MAN) today reported that earnings per diluted share for the three months ended June 30, 2010 were 40 cents compared to 21 cents in the prior year period. Net earnings in the quarter were $32.7 million compared to $16.3 million a year earlier. Revenues for the second quarter were $4.6 billion, an increase of 21 percent from the year earlier period, or an increase of 24 percent in constant currency.</w:t>
      </w:r>
    </w:p>
    <w:p>
      <w:pPr>
        <w:spacing w:after="0" w:line="152"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auto"/>
        </w:rPr>
        <w:t>Second quarter 2010 results include the COMSYS acquisition which was completed on April 5, 2010. Revenue growth on an organic basis, excluding the impact of COMSYS was 16%, or 19% on a constant currency basis. Second quarter results also include an unfavorable impact from currency of 2 cents per diluted share.</w:t>
      </w:r>
    </w:p>
    <w:p>
      <w:pPr>
        <w:spacing w:after="0" w:line="163"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Manpower Inc. Chairman and Chief Executive Officer Jeffrey A. Joerres said, “The improving secular trends are continuing as companies across all major geographies are adding flexible talent to their organizations.</w:t>
      </w:r>
    </w:p>
    <w:p>
      <w:pPr>
        <w:spacing w:after="0" w:line="163"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“We are constantly monitoring the economic trends and their potential uncertainties; however, we have not felt any slowdown as we enter the third quarter. Our investments in infrastructure, key initiatives, and an outstanding team were the prime accelerants to the strong performance in the second quarter. Germany, Sweden, U.K., U.S., Canada, Mexico, France and Italy all had extremely strong revenue growth throughout the quarter.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integration of COMSYS into our U.S. Professional staffing business is well ahead of schedule, and revenue growth is exceeding expectations.</w:t>
      </w:r>
    </w:p>
    <w:p>
      <w:pPr>
        <w:spacing w:after="0" w:line="216" w:lineRule="exact"/>
        <w:rPr>
          <w:sz w:val="20"/>
          <w:szCs w:val="20"/>
          <w:color w:val="auto"/>
        </w:rPr>
      </w:pPr>
    </w:p>
    <w:p>
      <w:pPr>
        <w:ind w:right="240"/>
        <w:spacing w:after="0" w:line="284" w:lineRule="auto"/>
        <w:rPr>
          <w:sz w:val="20"/>
          <w:szCs w:val="20"/>
          <w:color w:val="auto"/>
        </w:rPr>
      </w:pPr>
      <w:r>
        <w:rPr>
          <w:rFonts w:ascii="Arial" w:cs="Arial" w:eastAsia="Arial" w:hAnsi="Arial"/>
          <w:sz w:val="15"/>
          <w:szCs w:val="15"/>
          <w:color w:val="auto"/>
        </w:rPr>
        <w:t>“We are anticipating the third quarter of 2010 diluted earnings per share to be in the range of 41 cents to 51 cents, which includes an estimated unfavorable currency impact of 4 cents,” Joerres stated.</w:t>
      </w:r>
    </w:p>
    <w:p>
      <w:pPr>
        <w:spacing w:after="0" w:line="163"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Earnings per diluted share for the six months ended June 30, 2010 were 44 cents compared to 18 cents per diluted share in 2009. Net earnings were $35.5 million compared to $14.5 million in the prior year. Revenues for the six-month period were $8.7 billion, an increase of 17 percent from the prior year or 15 percent in constant currency. Foreign currency exchange rates had a favorable impact of 1 cent for the six-month period.</w:t>
      </w:r>
    </w:p>
    <w:p>
      <w:pPr>
        <w:spacing w:after="0" w:line="175"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auto"/>
        </w:rPr>
        <w:t>In conjunction with its second quarter earnings release, Manpower will broadcast its conference call live over the Internet on July 21, 2010 at 7:30 a.m. CDT (8:30 a.m. EDT). Interested parties are invited to listen to the webcast and view the presentation by logging on to http://investor.manpower.com.</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Supplemental financial information referenced in the conference call can be found at </w:t>
      </w:r>
      <w:r>
        <w:rPr>
          <w:rFonts w:ascii="Arial" w:cs="Arial" w:eastAsia="Arial" w:hAnsi="Arial"/>
          <w:sz w:val="15"/>
          <w:szCs w:val="15"/>
          <w:u w:val="single" w:color="auto"/>
          <w:color w:val="auto"/>
        </w:rPr>
        <w:t>http://investor.manpower.com</w:t>
      </w:r>
      <w:r>
        <w:rPr>
          <w:rFonts w:ascii="Arial" w:cs="Arial" w:eastAsia="Arial" w:hAnsi="Arial"/>
          <w:sz w:val="15"/>
          <w:szCs w:val="15"/>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25"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Manpower Inc. (NYSE: MAN) is a world leader in innovative workforce solutions; creating and delivering services that enable its clients to win in the changing world of work. With over 60 years of experience, Manpower offers employers a range of services and solutions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This news release contains statements, including statements regarding economic trends and future profitability,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2009, which information is incorporated herein by reference.</w:t>
      </w:r>
    </w:p>
    <w:p>
      <w:pPr>
        <w:spacing w:after="0" w:line="179"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151130</wp:posOffset>
            </wp:positionV>
            <wp:extent cx="727329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5" w:name="page6"/>
    <w:bookmarkEnd w:id="5"/>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Results of Operations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 except per share data)</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5"/>
                <w:szCs w:val="15"/>
                <w:b w:val="1"/>
                <w:bCs w:val="1"/>
                <w:color w:val="auto"/>
                <w:w w:val="92"/>
              </w:rPr>
              <w:t>Three Months Ended June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780"/>
              <w:spacing w:after="0" w:line="169" w:lineRule="exact"/>
              <w:rPr>
                <w:sz w:val="20"/>
                <w:szCs w:val="20"/>
                <w:color w:val="auto"/>
              </w:rPr>
            </w:pPr>
            <w:r>
              <w:rPr>
                <w:rFonts w:ascii="Arial" w:cs="Arial" w:eastAsia="Arial" w:hAnsi="Arial"/>
                <w:sz w:val="15"/>
                <w:szCs w:val="15"/>
                <w:b w:val="1"/>
                <w:bCs w:val="1"/>
                <w:color w:val="auto"/>
                <w:w w:val="95"/>
              </w:rPr>
              <w:t>Amount</w:t>
            </w:r>
          </w:p>
        </w:tc>
        <w:tc>
          <w:tcPr>
            <w:tcW w:w="88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4"/>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left="64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 (b)</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4,585.6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3,793.5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Cost of services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3,788.6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3,101.2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22.2%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692.3</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717.9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673.3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6.6%</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314.9%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10.8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before income taxes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712.1%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736.2%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(8.1)</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earnings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16.3</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99.7%</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Net earnings per share - basic</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0.40</w:t>
            </w:r>
          </w:p>
        </w:tc>
        <w:tc>
          <w:tcPr>
            <w:tcW w:w="3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0.21</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90.5%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earnings per share - diluted</w:t>
            </w:r>
          </w:p>
        </w:tc>
        <w:tc>
          <w:tcPr>
            <w:tcW w:w="240" w:type="dxa"/>
            <w:vAlign w:val="bottom"/>
            <w:shd w:val="clear" w:color="auto" w:fill="CCEEFF"/>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0.40</w:t>
            </w:r>
          </w:p>
        </w:tc>
        <w:tc>
          <w:tcPr>
            <w:tcW w:w="3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0.21</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90.5%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157.0%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Weighted average shares - basic</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78.3</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 diluted</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78.8</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9" w:right="600" w:hanging="9"/>
        <w:spacing w:after="0" w:line="321" w:lineRule="auto"/>
        <w:tabs>
          <w:tab w:leader="none" w:pos="21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$5.8 million for the three months ended June 30, 2010 and 2009. These fees are primarily based on revenues generated by the franchise offices, which were $237.3 million and $174.1 million for the three months ended June 30, 2010 and 2009, respectively.</w:t>
      </w:r>
    </w:p>
    <w:p>
      <w:pPr>
        <w:spacing w:after="0" w:line="118" w:lineRule="exact"/>
        <w:rPr>
          <w:rFonts w:ascii="Arial" w:cs="Arial" w:eastAsia="Arial" w:hAnsi="Arial"/>
          <w:sz w:val="14"/>
          <w:szCs w:val="14"/>
          <w:color w:val="auto"/>
        </w:rPr>
      </w:pPr>
    </w:p>
    <w:p>
      <w:pPr>
        <w:ind w:left="209" w:hanging="209"/>
        <w:spacing w:after="0"/>
        <w:tabs>
          <w:tab w:leader="none" w:pos="209"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27329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532" w:right="219" w:bottom="1440" w:gutter="0" w:footer="0" w:header="0"/>
        </w:sectPr>
      </w:pPr>
    </w:p>
    <w:bookmarkStart w:id="6" w:name="page7"/>
    <w:bookmarkEnd w:id="6"/>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Operating Unit Results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5"/>
                <w:szCs w:val="15"/>
                <w:b w:val="1"/>
                <w:bCs w:val="1"/>
                <w:color w:val="auto"/>
                <w:w w:val="92"/>
              </w:rPr>
              <w:t>Three Months Ended June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left="64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686.0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374.3</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83.3%</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306.1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220.7</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38.6%</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30.9%</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595.0</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66.7%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63.9%</w:t>
            </w:r>
          </w:p>
        </w:tc>
      </w:tr>
      <w:tr>
        <w:trPr>
          <w:trHeight w:val="183"/>
        </w:trPr>
        <w:tc>
          <w:tcPr>
            <w:tcW w:w="20" w:type="dxa"/>
            <w:vAlign w:val="bottom"/>
          </w:tcPr>
          <w:p>
            <w:pPr>
              <w:spacing w:after="0"/>
              <w:rPr>
                <w:sz w:val="15"/>
                <w:szCs w:val="15"/>
                <w:color w:val="auto"/>
              </w:rPr>
            </w:pPr>
          </w:p>
        </w:tc>
        <w:tc>
          <w:tcPr>
            <w:tcW w:w="6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1,100.1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14.2%</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22.6%</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EMEA: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230.1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20.6%</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1,433.7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1,255.9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14.2%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18.0%</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1,486.0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18.4%</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505.7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406.2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24.5%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15.4%</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158.1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-37.8%</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48.1</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-15.8%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-15.8%</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4,585.6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3,793.5</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23.7%</w:t>
            </w: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tcBorders>
          </w:tcPr>
          <w:p>
            <w:pPr>
              <w:spacing w:after="0" w:line="169" w:lineRule="exact"/>
              <w:rPr>
                <w:sz w:val="20"/>
                <w:szCs w:val="20"/>
                <w:color w:val="auto"/>
              </w:rPr>
            </w:pPr>
            <w:r>
              <w:rPr>
                <w:rFonts w:ascii="Arial" w:cs="Arial" w:eastAsia="Arial" w:hAnsi="Arial"/>
                <w:sz w:val="15"/>
                <w:szCs w:val="15"/>
                <w:color w:val="auto"/>
              </w:rPr>
              <w:t>Operating Unit (Loss) Profit:</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9.6</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(5.8)</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121.6%</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110.0%</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6"/>
                <w:szCs w:val="16"/>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139.8%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168.6%</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EMEA: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6.8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99.5%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115.3%</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237.3%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215.1%</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42.3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-81.5%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-81.7%</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(10.2)</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87.8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37.8</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Reclassification of French business tax</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314.9%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331.0%</w:t>
            </w: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(10.8)</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Earnings before income taxes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55" w:lineRule="exact"/>
        <w:rPr>
          <w:sz w:val="20"/>
          <w:szCs w:val="20"/>
          <w:color w:val="auto"/>
        </w:rPr>
      </w:pPr>
    </w:p>
    <w:p>
      <w:pPr>
        <w:ind w:left="9" w:right="140" w:hanging="9"/>
        <w:spacing w:after="0" w:line="269" w:lineRule="auto"/>
        <w:tabs>
          <w:tab w:leader="none" w:pos="213"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United States results include the results of COMSYS IT Partners, Inc., which was acquired on April 5, 2010. United States revenues from services include fees received from our franchise offices of $3.4 million and $2.4 million for the three months ended June 30, 2010 and 2009, respectively. These fees are primarily based on revenues generated by the franchise offices, which were $155.8 million and $107.2 million for the three months ended June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193" w:lineRule="exact"/>
        <w:rPr>
          <w:rFonts w:ascii="Arial" w:cs="Arial" w:eastAsia="Arial" w:hAnsi="Arial"/>
          <w:sz w:val="15"/>
          <w:szCs w:val="15"/>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6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b w:val="1"/>
                <w:bCs w:val="1"/>
                <w:color w:val="auto"/>
              </w:rPr>
              <w:t>2009</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13.9</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(3.2)</w:t>
            </w: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exchange losses</w:t>
            </w: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1.0</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Miscellaneous income, net</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(0.9)</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10.8</w:t>
            </w:r>
          </w:p>
        </w:tc>
      </w:tr>
      <w:tr>
        <w:trPr>
          <w:trHeight w:val="416"/>
        </w:trPr>
        <w:tc>
          <w:tcPr>
            <w:tcW w:w="60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9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532" w:right="219" w:bottom="1440" w:gutter="0" w:footer="0" w:header="0"/>
        </w:sectPr>
      </w:pPr>
    </w:p>
    <w:bookmarkStart w:id="7" w:name="page8"/>
    <w:bookmarkEnd w:id="7"/>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Results of Operations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 except per share data)</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5"/>
                <w:szCs w:val="15"/>
                <w:b w:val="1"/>
                <w:bCs w:val="1"/>
                <w:color w:val="auto"/>
                <w:w w:val="92"/>
              </w:rPr>
              <w:t>Six Months Ended June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780"/>
              <w:spacing w:after="0" w:line="169" w:lineRule="exact"/>
              <w:rPr>
                <w:sz w:val="20"/>
                <w:szCs w:val="20"/>
                <w:color w:val="auto"/>
              </w:rPr>
            </w:pPr>
            <w:r>
              <w:rPr>
                <w:rFonts w:ascii="Arial" w:cs="Arial" w:eastAsia="Arial" w:hAnsi="Arial"/>
                <w:sz w:val="15"/>
                <w:szCs w:val="15"/>
                <w:b w:val="1"/>
                <w:bCs w:val="1"/>
                <w:color w:val="auto"/>
                <w:w w:val="95"/>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4"/>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60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 (b)</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8,684.9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7,436.5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16.8%</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Cost of services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7,186.4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6,078.5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18.2%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1,498.5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1,358.0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1,386.8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1,337.6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447.6%</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22.7</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9.4%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(16.8)</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earnings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143.9%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Net earnings per share - basic</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0.44</w:t>
            </w: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0.19</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131.6%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earnings per share - diluted</w:t>
            </w:r>
          </w:p>
        </w:tc>
        <w:tc>
          <w:tcPr>
            <w:tcW w:w="240" w:type="dxa"/>
            <w:vAlign w:val="bottom"/>
            <w:shd w:val="clear" w:color="auto" w:fill="CCEEFF"/>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0.44</w:t>
            </w:r>
          </w:p>
        </w:tc>
        <w:tc>
          <w:tcPr>
            <w:tcW w:w="3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0.18</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144.4%</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264.9%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Weighted average shares - basic</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78.2</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 diluted</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78.6</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9" w:right="340" w:hanging="9"/>
        <w:spacing w:after="0" w:line="364" w:lineRule="auto"/>
        <w:tabs>
          <w:tab w:leader="none" w:pos="216"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$10.4 million and $10.9 million for the six months ended June 30, 2010 and 2009, respectively. These fees are primarily based on revenues generated by the franchise offices, which were $431.2 million and $333.0 million for the six months ended June 30, 2010 and 2009, respectively.</w:t>
      </w:r>
    </w:p>
    <w:p>
      <w:pPr>
        <w:spacing w:after="0" w:line="95" w:lineRule="exact"/>
        <w:rPr>
          <w:rFonts w:ascii="Arial" w:cs="Arial" w:eastAsia="Arial" w:hAnsi="Arial"/>
          <w:sz w:val="13"/>
          <w:szCs w:val="13"/>
          <w:color w:val="auto"/>
        </w:rPr>
      </w:pPr>
    </w:p>
    <w:p>
      <w:pPr>
        <w:ind w:left="209" w:hanging="209"/>
        <w:spacing w:after="0"/>
        <w:tabs>
          <w:tab w:leader="none" w:pos="209"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27329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532" w:right="219" w:bottom="1440" w:gutter="0" w:footer="0" w:header="0"/>
        </w:sectPr>
      </w:pPr>
    </w:p>
    <w:bookmarkStart w:id="8" w:name="page9"/>
    <w:bookmarkEnd w:id="8"/>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Operating Unit Results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5"/>
                <w:szCs w:val="15"/>
                <w:b w:val="1"/>
                <w:bCs w:val="1"/>
                <w:color w:val="auto"/>
                <w:w w:val="92"/>
              </w:rPr>
              <w:t>Six Months Ended June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60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1,128.1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748.1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50.8%</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50.8%</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600.6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439.9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36.5%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26.9%</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1,728.7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1,188.0</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41.9%</w:t>
            </w:r>
          </w:p>
        </w:tc>
      </w:tr>
      <w:tr>
        <w:trPr>
          <w:trHeight w:val="183"/>
        </w:trPr>
        <w:tc>
          <w:tcPr>
            <w:tcW w:w="20" w:type="dxa"/>
            <w:vAlign w:val="bottom"/>
          </w:tcPr>
          <w:p>
            <w:pPr>
              <w:spacing w:after="0"/>
              <w:rPr>
                <w:sz w:val="15"/>
                <w:szCs w:val="15"/>
                <w:color w:val="auto"/>
              </w:rPr>
            </w:pPr>
          </w:p>
        </w:tc>
        <w:tc>
          <w:tcPr>
            <w:tcW w:w="6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2,363.4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2,057.0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16.4%</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EMEA: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450.5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10.7%</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2,813.3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2,514.7</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9.2%</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3,306.3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2,965.2</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9.4%</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1,003.2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831.4</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20.7%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10.2%</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294.1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-33.2%</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81.2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100.8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-19.5%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-19.5%</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8,684.9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7,436.5</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16.8%</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14.6%</w:t>
            </w: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tcBorders>
          </w:tcPr>
          <w:p>
            <w:pPr>
              <w:spacing w:after="0" w:line="169" w:lineRule="exact"/>
              <w:rPr>
                <w:sz w:val="20"/>
                <w:szCs w:val="20"/>
                <w:color w:val="auto"/>
              </w:rPr>
            </w:pPr>
            <w:r>
              <w:rPr>
                <w:rFonts w:ascii="Arial" w:cs="Arial" w:eastAsia="Arial" w:hAnsi="Arial"/>
                <w:sz w:val="15"/>
                <w:szCs w:val="15"/>
                <w:color w:val="auto"/>
              </w:rPr>
              <w:t>Operating Unit (Loss) Profit:</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(20.3)</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8.7</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110.2%</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97.4%</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(11.6)</w:t>
            </w:r>
          </w:p>
        </w:tc>
        <w:tc>
          <w:tcPr>
            <w:tcW w:w="260" w:type="dxa"/>
            <w:vAlign w:val="bottom"/>
          </w:tcPr>
          <w:p>
            <w:pPr>
              <w:spacing w:after="0"/>
              <w:rPr>
                <w:sz w:val="16"/>
                <w:szCs w:val="16"/>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5.2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96.2%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122.1%</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EMEA: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8.2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148.6%</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157.7%</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(10.3)</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57.0%</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41.9%</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71.4</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-71.5%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-72.1%</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(17.7)</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133.1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60.8</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(40.4)</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Reclassification of French business tax</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447.6%</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441.4%</w:t>
            </w: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(22.7)</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55" w:lineRule="exact"/>
        <w:rPr>
          <w:sz w:val="20"/>
          <w:szCs w:val="20"/>
          <w:color w:val="auto"/>
        </w:rPr>
      </w:pPr>
    </w:p>
    <w:p>
      <w:pPr>
        <w:ind w:left="9" w:right="340" w:hanging="9"/>
        <w:spacing w:after="0" w:line="269" w:lineRule="auto"/>
        <w:tabs>
          <w:tab w:leader="none" w:pos="21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United States results include the results of COMSYS IT Partners, Inc., which was acquired on April 5, 2010. United States, revenues from services include fees received from our franchise offices of $5.9 million and $4.4 million for the six months ended June 30, 2010 and 2009, respectively. These fees are primarily based on revenues generated by the franchise offices, which were $288.0 million and $202.1 million for the years ended June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193" w:lineRule="exact"/>
        <w:rPr>
          <w:rFonts w:ascii="Arial" w:cs="Arial" w:eastAsia="Arial" w:hAnsi="Arial"/>
          <w:sz w:val="15"/>
          <w:szCs w:val="15"/>
          <w:color w:val="auto"/>
        </w:rPr>
      </w:pPr>
    </w:p>
    <w:p>
      <w:pPr>
        <w:ind w:left="249" w:hanging="249"/>
        <w:spacing w:after="0"/>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6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b w:val="1"/>
                <w:bCs w:val="1"/>
                <w:color w:val="auto"/>
              </w:rPr>
              <w:t>2009</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23.6</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27.0</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(7.6)</w:t>
            </w: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exchange losses</w:t>
            </w: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1.5</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Miscellaneous expenses, net</w:t>
            </w: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color w:val="auto"/>
              </w:rPr>
              <w:t>1.8</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24.8</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22.7</w:t>
            </w:r>
          </w:p>
        </w:tc>
      </w:tr>
      <w:tr>
        <w:trPr>
          <w:trHeight w:val="416"/>
        </w:trPr>
        <w:tc>
          <w:tcPr>
            <w:tcW w:w="60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9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Jun.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7"/>
              </w:rPr>
              <w:t>Dec. 31</w:t>
            </w:r>
          </w:p>
        </w:tc>
      </w:tr>
      <w:tr>
        <w:trPr>
          <w:trHeight w:val="200"/>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7"/>
                <w:szCs w:val="17"/>
                <w:color w:val="auto"/>
              </w:rPr>
            </w:pPr>
          </w:p>
        </w:tc>
      </w:tr>
      <w:tr>
        <w:trPr>
          <w:trHeight w:val="183"/>
        </w:trPr>
        <w:tc>
          <w:tcPr>
            <w:tcW w:w="8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5"/>
                <w:szCs w:val="15"/>
                <w:color w:val="auto"/>
              </w:rPr>
              <w:t>(Unaudited)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552.5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1,014.6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3,415.7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3,070.8</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Prepaid expenses and other assets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Future income tax benefits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67.4</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4,332.4</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Goodwill and other intangible assets, net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1,732.3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1,357.5</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347.5</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1,705.0</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Land, buildings, leasehold improvements and equipment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703.6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527.2</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property and equipment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176.4</w:t>
            </w:r>
          </w:p>
        </w:tc>
      </w:tr>
      <w:tr>
        <w:trPr>
          <w:trHeight w:val="23"/>
        </w:trPr>
        <w:tc>
          <w:tcPr>
            <w:tcW w:w="8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6,427.9</w:t>
            </w:r>
          </w:p>
        </w:tc>
        <w:tc>
          <w:tcPr>
            <w:tcW w:w="12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6,213.8</w:t>
            </w:r>
          </w:p>
        </w:tc>
      </w:tr>
      <w:tr>
        <w:trPr>
          <w:trHeight w:val="20"/>
        </w:trPr>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8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LIABILITIES AND SHAREHOLDERS' EQUITY</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1,193.4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944.4</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Employee compensation payable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184.6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187.8</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Accrued liabilities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465.9</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Accrued payroll taxes and insurance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543.9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572.0</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Value added taxes payable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391.2</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Short-term borrowings and current maturities of long-term debt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41.7</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2,603.0</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Long-term debt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715.6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long-term liabilities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358.7</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1,074.3</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Common stock</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2,758.9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2,544.2</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1,114.5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1,109.6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Accumulated other comprehensive (loss) income</w:t>
            </w: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106.9</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Treasury stock, at cost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(1,226.0)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(1,225.2)</w:t>
            </w:r>
          </w:p>
        </w:tc>
      </w:tr>
      <w:tr>
        <w:trPr>
          <w:trHeight w:val="23"/>
        </w:trPr>
        <w:tc>
          <w:tcPr>
            <w:tcW w:w="8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220"/>
              <w:spacing w:after="0"/>
              <w:rPr>
                <w:sz w:val="20"/>
                <w:szCs w:val="20"/>
                <w:color w:val="auto"/>
              </w:rPr>
            </w:pPr>
            <w:r>
              <w:rPr>
                <w:rFonts w:ascii="Arial" w:cs="Arial" w:eastAsia="Arial" w:hAnsi="Arial"/>
                <w:sz w:val="15"/>
                <w:szCs w:val="15"/>
                <w:color w:val="auto"/>
              </w:rPr>
              <w:t>Total shareholders' equity</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2,628.4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2,536.5</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8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liabilities and shareholders' equity</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6,427.9</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6,213.8</w:t>
            </w:r>
          </w:p>
        </w:tc>
      </w:tr>
      <w:tr>
        <w:trPr>
          <w:trHeight w:val="496"/>
        </w:trPr>
        <w:tc>
          <w:tcPr>
            <w:tcW w:w="880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Statements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5"/>
                <w:szCs w:val="15"/>
                <w:b w:val="1"/>
                <w:bCs w:val="1"/>
                <w:color w:val="auto"/>
                <w:w w:val="92"/>
              </w:rPr>
              <w:t>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left="484"/>
              <w:spacing w:after="0"/>
              <w:rPr>
                <w:sz w:val="20"/>
                <w:szCs w:val="20"/>
                <w:color w:val="auto"/>
              </w:rPr>
            </w:pPr>
            <w:r>
              <w:rPr>
                <w:rFonts w:ascii="Arial" w:cs="Arial" w:eastAsia="Arial" w:hAnsi="Arial"/>
                <w:sz w:val="15"/>
                <w:szCs w:val="15"/>
                <w:b w:val="1"/>
                <w:bCs w:val="1"/>
                <w:color w:val="auto"/>
                <w:w w:val="89"/>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4"/>
          </w:tcPr>
          <w:p>
            <w:pPr>
              <w:jc w:val="center"/>
              <w:ind w:left="484"/>
              <w:spacing w:after="0"/>
              <w:rPr>
                <w:sz w:val="20"/>
                <w:szCs w:val="20"/>
                <w:color w:val="auto"/>
              </w:rPr>
            </w:pPr>
            <w:r>
              <w:rPr>
                <w:rFonts w:ascii="Arial" w:cs="Arial" w:eastAsia="Arial" w:hAnsi="Arial"/>
                <w:sz w:val="15"/>
                <w:szCs w:val="15"/>
                <w:color w:val="auto"/>
                <w:w w:val="94"/>
              </w:rPr>
              <w:t>(Unaudited)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Net earnings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35.5</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income taxes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Provision for doubtful accounts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Share-based compensation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Excess tax benefit on exercise of stock options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(480.1)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759.5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Other liabilities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(394.5)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(used in) provided by operating activities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Acquisitions of businesses, net of cash acquired</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the sale of property and equipment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tcPr>
          <w:p>
            <w:pPr>
              <w:ind w:left="420"/>
              <w:spacing w:after="0"/>
              <w:rPr>
                <w:sz w:val="20"/>
                <w:szCs w:val="20"/>
                <w:color w:val="auto"/>
              </w:rPr>
            </w:pPr>
            <w:r>
              <w:rPr>
                <w:rFonts w:ascii="Arial" w:cs="Arial" w:eastAsia="Arial" w:hAnsi="Arial"/>
                <w:sz w:val="15"/>
                <w:szCs w:val="15"/>
                <w:color w:val="auto"/>
              </w:rPr>
              <w:t>Cash used in investing activities</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(284.1)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Net change in short-term borrowings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long-term debt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Repayments of long-term debt</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(200.6)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share-based awards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Excess tax benefit on exercise of stock options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Dividends paid</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20"/>
              <w:spacing w:after="0"/>
              <w:rPr>
                <w:sz w:val="20"/>
                <w:szCs w:val="20"/>
                <w:color w:val="auto"/>
              </w:rPr>
            </w:pPr>
            <w:r>
              <w:rPr>
                <w:rFonts w:ascii="Arial" w:cs="Arial" w:eastAsia="Arial" w:hAnsi="Arial"/>
                <w:sz w:val="15"/>
                <w:szCs w:val="15"/>
                <w:color w:val="auto"/>
              </w:rPr>
              <w:t>Cash used in financing activities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Change in cash and cash equivalents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(462.1)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233.3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874.0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Cash and cash equivalents, end of period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552.5</w:t>
            </w:r>
          </w:p>
        </w:tc>
        <w:tc>
          <w:tcPr>
            <w:tcW w:w="12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6"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149860</wp:posOffset>
            </wp:positionV>
            <wp:extent cx="6969760" cy="522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326" w:lineRule="exact"/>
        <w:rPr>
          <w:sz w:val="20"/>
          <w:szCs w:val="20"/>
          <w:color w:val="auto"/>
        </w:rPr>
      </w:pPr>
    </w:p>
    <w:p>
      <w:pPr>
        <w:ind w:left="7480"/>
        <w:spacing w:after="0"/>
        <w:rPr>
          <w:sz w:val="20"/>
          <w:szCs w:val="20"/>
          <w:color w:val="auto"/>
        </w:rPr>
      </w:pPr>
      <w:r>
        <w:rPr>
          <w:rFonts w:ascii="Arial" w:cs="Arial" w:eastAsia="Arial" w:hAnsi="Arial"/>
          <w:sz w:val="24"/>
          <w:szCs w:val="24"/>
          <w:color w:val="FFFFFF"/>
        </w:rPr>
        <w:t>Manpower Inc.</w:t>
      </w:r>
    </w:p>
    <w:p>
      <w:pPr>
        <w:spacing w:after="0" w:line="78" w:lineRule="exact"/>
        <w:rPr>
          <w:sz w:val="20"/>
          <w:szCs w:val="20"/>
          <w:color w:val="auto"/>
        </w:rPr>
      </w:pPr>
    </w:p>
    <w:p>
      <w:pPr>
        <w:ind w:left="6940"/>
        <w:spacing w:after="0"/>
        <w:rPr>
          <w:sz w:val="20"/>
          <w:szCs w:val="20"/>
          <w:color w:val="auto"/>
        </w:rPr>
      </w:pPr>
      <w:r>
        <w:rPr>
          <w:rFonts w:ascii="Arial" w:cs="Arial" w:eastAsia="Arial" w:hAnsi="Arial"/>
          <w:sz w:val="24"/>
          <w:szCs w:val="24"/>
          <w:color w:val="FFFFFF"/>
        </w:rPr>
        <w:t>2010 2</w:t>
      </w:r>
      <w:r>
        <w:rPr>
          <w:rFonts w:ascii="Arial" w:cs="Arial" w:eastAsia="Arial" w:hAnsi="Arial"/>
          <w:sz w:val="17"/>
          <w:szCs w:val="17"/>
          <w:color w:val="FFFFFF"/>
        </w:rPr>
        <w:t>nd</w:t>
      </w:r>
      <w:r>
        <w:rPr>
          <w:rFonts w:ascii="Arial" w:cs="Arial" w:eastAsia="Arial" w:hAnsi="Arial"/>
          <w:sz w:val="24"/>
          <w:szCs w:val="24"/>
          <w:color w:val="FFFFFF"/>
        </w:rPr>
        <w:t xml:space="preserve"> Quarter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24"/>
          <w:szCs w:val="24"/>
          <w:color w:val="FFFFFF"/>
        </w:rPr>
        <w:t>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180"/>
        <w:spacing w:after="0"/>
        <w:tabs>
          <w:tab w:leader="none" w:pos="8900" w:val="left"/>
        </w:tabs>
        <w:rPr>
          <w:sz w:val="20"/>
          <w:szCs w:val="20"/>
          <w:color w:val="auto"/>
        </w:rPr>
      </w:pPr>
      <w:r>
        <w:rPr>
          <w:rFonts w:ascii="Arial" w:cs="Arial" w:eastAsia="Arial" w:hAnsi="Arial"/>
          <w:sz w:val="24"/>
          <w:szCs w:val="24"/>
          <w:color w:val="6698C2"/>
        </w:rPr>
        <w:t>2010</w:t>
        <w:tab/>
        <w:t>July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2372360</wp:posOffset>
            </wp:positionV>
            <wp:extent cx="727329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2</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Forward-Looking Statement</w:t>
      </w:r>
    </w:p>
    <w:p>
      <w:pPr>
        <w:spacing w:after="0" w:line="200" w:lineRule="exact"/>
        <w:rPr>
          <w:sz w:val="20"/>
          <w:szCs w:val="20"/>
          <w:color w:val="auto"/>
        </w:rPr>
      </w:pPr>
    </w:p>
    <w:p>
      <w:pPr>
        <w:spacing w:after="0" w:line="289" w:lineRule="exact"/>
        <w:rPr>
          <w:sz w:val="20"/>
          <w:szCs w:val="20"/>
          <w:color w:val="auto"/>
        </w:rPr>
      </w:pPr>
    </w:p>
    <w:p>
      <w:pPr>
        <w:ind w:left="400" w:right="4380"/>
        <w:spacing w:after="0" w:line="249" w:lineRule="auto"/>
        <w:rPr>
          <w:sz w:val="20"/>
          <w:szCs w:val="20"/>
          <w:color w:val="auto"/>
        </w:rPr>
      </w:pPr>
      <w:r>
        <w:rPr>
          <w:rFonts w:ascii="Arial" w:cs="Arial" w:eastAsia="Arial" w:hAnsi="Arial"/>
          <w:sz w:val="24"/>
          <w:szCs w:val="24"/>
          <w:color w:val="auto"/>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Company’s Annual Report on Form 10-K dated December 31, 2009,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1599565</wp:posOffset>
            </wp:positionV>
            <wp:extent cx="727329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20"/>
          </w:cols>
          <w:pgMar w:left="1240" w:top="375" w:right="1039" w:bottom="1440" w:gutter="0" w:footer="0" w:header="0"/>
        </w:sectPr>
      </w:pPr>
    </w:p>
    <w:bookmarkStart w:id="13" w:name="page14"/>
    <w:bookmarkEnd w:id="13"/>
    <w:tbl>
      <w:tblPr>
        <w:tblLayout w:type="fixed"/>
        <w:tblInd w:w="1205"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3</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105"/>
        <w:spacing w:after="0"/>
        <w:rPr>
          <w:sz w:val="20"/>
          <w:szCs w:val="20"/>
          <w:color w:val="auto"/>
        </w:rPr>
      </w:pPr>
      <w:r>
        <w:rPr>
          <w:rFonts w:ascii="Arial" w:cs="Arial" w:eastAsia="Arial" w:hAnsi="Arial"/>
          <w:sz w:val="40"/>
          <w:szCs w:val="40"/>
          <w:color w:val="5F81AA"/>
        </w:rPr>
        <w:t>Consolidated Financial Highlights</w:t>
      </w:r>
    </w:p>
    <w:p>
      <w:pPr>
        <w:spacing w:after="0" w:line="200" w:lineRule="exact"/>
        <w:rPr>
          <w:sz w:val="20"/>
          <w:szCs w:val="20"/>
          <w:color w:val="auto"/>
        </w:rPr>
      </w:pPr>
    </w:p>
    <w:p>
      <w:pPr>
        <w:spacing w:after="0" w:line="308" w:lineRule="exact"/>
        <w:rPr>
          <w:sz w:val="20"/>
          <w:szCs w:val="20"/>
          <w:color w:val="auto"/>
        </w:rPr>
      </w:pPr>
    </w:p>
    <w:p>
      <w:pPr>
        <w:ind w:left="4125"/>
        <w:spacing w:after="0"/>
        <w:rPr>
          <w:sz w:val="20"/>
          <w:szCs w:val="20"/>
          <w:color w:val="auto"/>
        </w:rPr>
      </w:pPr>
      <w:r>
        <w:rPr>
          <w:rFonts w:ascii="Arial" w:cs="Arial" w:eastAsia="Arial" w:hAnsi="Arial"/>
          <w:sz w:val="40"/>
          <w:szCs w:val="40"/>
          <w:b w:val="1"/>
          <w:bCs w:val="1"/>
          <w:color w:val="auto"/>
        </w:rPr>
        <w:t>Q1 Highlights</w:t>
      </w:r>
    </w:p>
    <w:p>
      <w:pPr>
        <w:sectPr>
          <w:pgSz w:w="11900" w:h="16838" w:orient="portrait"/>
          <w:cols w:equalWidth="0" w:num="1">
            <w:col w:w="9685"/>
          </w:cols>
          <w:pgMar w:left="1175" w:top="375" w:right="1039" w:bottom="1440" w:gutter="0" w:footer="0" w:header="0"/>
        </w:sectPr>
      </w:pPr>
    </w:p>
    <w:p>
      <w:pPr>
        <w:spacing w:after="0" w:line="258" w:lineRule="exact"/>
        <w:rPr>
          <w:sz w:val="20"/>
          <w:szCs w:val="20"/>
          <w:color w:val="auto"/>
        </w:rPr>
      </w:pPr>
    </w:p>
    <w:p>
      <w:pPr>
        <w:ind w:left="1805"/>
        <w:spacing w:after="0"/>
        <w:rPr>
          <w:sz w:val="20"/>
          <w:szCs w:val="20"/>
          <w:color w:val="auto"/>
        </w:rPr>
      </w:pPr>
      <w:r>
        <w:rPr>
          <w:rFonts w:ascii="Arial" w:cs="Arial" w:eastAsia="Arial" w:hAnsi="Arial"/>
          <w:sz w:val="37"/>
          <w:szCs w:val="37"/>
          <w:color w:val="auto"/>
        </w:rPr>
        <w:t>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37"/>
          <w:szCs w:val="37"/>
          <w:color w:val="auto"/>
        </w:rPr>
        <w:t>24% CC</w:t>
      </w:r>
    </w:p>
    <w:p>
      <w:pPr>
        <w:spacing w:after="0" w:line="181" w:lineRule="exact"/>
        <w:rPr>
          <w:sz w:val="20"/>
          <w:szCs w:val="20"/>
          <w:color w:val="auto"/>
        </w:rPr>
      </w:pPr>
    </w:p>
    <w:p>
      <w:pPr>
        <w:ind w:left="1585"/>
        <w:spacing w:after="0"/>
        <w:rPr>
          <w:sz w:val="20"/>
          <w:szCs w:val="20"/>
          <w:color w:val="auto"/>
        </w:rPr>
      </w:pPr>
      <w:r>
        <w:rPr>
          <w:rFonts w:ascii="Arial" w:cs="Arial" w:eastAsia="Arial" w:hAnsi="Arial"/>
          <w:sz w:val="37"/>
          <w:szCs w:val="37"/>
          <w:color w:val="auto"/>
        </w:rPr>
        <w:t>90 bps</w:t>
      </w:r>
    </w:p>
    <w:p>
      <w:pPr>
        <w:spacing w:after="0" w:line="295" w:lineRule="exact"/>
        <w:rPr>
          <w:sz w:val="20"/>
          <w:szCs w:val="20"/>
          <w:color w:val="auto"/>
        </w:rPr>
      </w:pPr>
    </w:p>
    <w:p>
      <w:pPr>
        <w:ind w:left="1585"/>
        <w:spacing w:after="0"/>
        <w:rPr>
          <w:sz w:val="20"/>
          <w:szCs w:val="20"/>
          <w:color w:val="auto"/>
        </w:rPr>
      </w:pPr>
      <w:r>
        <w:rPr>
          <w:rFonts w:ascii="Arial" w:cs="Arial" w:eastAsia="Arial" w:hAnsi="Arial"/>
          <w:sz w:val="37"/>
          <w:szCs w:val="37"/>
          <w:color w:val="auto"/>
        </w:rPr>
        <w:t>315%</w:t>
      </w:r>
    </w:p>
    <w:p>
      <w:pPr>
        <w:spacing w:after="0" w:line="20" w:lineRule="exact"/>
        <w:rPr>
          <w:sz w:val="20"/>
          <w:szCs w:val="20"/>
          <w:color w:val="auto"/>
        </w:rPr>
      </w:pPr>
    </w:p>
    <w:p>
      <w:pPr>
        <w:ind w:left="1245"/>
        <w:spacing w:after="0"/>
        <w:rPr>
          <w:sz w:val="20"/>
          <w:szCs w:val="20"/>
          <w:color w:val="auto"/>
        </w:rPr>
      </w:pPr>
      <w:r>
        <w:rPr>
          <w:rFonts w:ascii="Arial" w:cs="Arial" w:eastAsia="Arial" w:hAnsi="Arial"/>
          <w:sz w:val="37"/>
          <w:szCs w:val="37"/>
          <w:color w:val="auto"/>
        </w:rPr>
        <w:t>331% CC</w:t>
      </w:r>
    </w:p>
    <w:p>
      <w:pPr>
        <w:spacing w:after="0" w:line="272" w:lineRule="exact"/>
        <w:rPr>
          <w:sz w:val="20"/>
          <w:szCs w:val="20"/>
          <w:color w:val="auto"/>
        </w:rPr>
      </w:pPr>
    </w:p>
    <w:p>
      <w:pPr>
        <w:ind w:left="1405"/>
        <w:spacing w:after="0"/>
        <w:rPr>
          <w:sz w:val="20"/>
          <w:szCs w:val="20"/>
          <w:color w:val="auto"/>
        </w:rPr>
      </w:pPr>
      <w:r>
        <w:rPr>
          <w:rFonts w:ascii="Arial" w:cs="Arial" w:eastAsia="Arial" w:hAnsi="Arial"/>
          <w:sz w:val="37"/>
          <w:szCs w:val="37"/>
          <w:color w:val="auto"/>
        </w:rPr>
        <w:t>120 bps</w:t>
      </w:r>
    </w:p>
    <w:p>
      <w:pPr>
        <w:spacing w:after="0" w:line="272" w:lineRule="exact"/>
        <w:rPr>
          <w:sz w:val="20"/>
          <w:szCs w:val="20"/>
          <w:color w:val="auto"/>
        </w:rPr>
      </w:pPr>
    </w:p>
    <w:p>
      <w:pPr>
        <w:ind w:left="1485"/>
        <w:spacing w:after="0"/>
        <w:rPr>
          <w:sz w:val="20"/>
          <w:szCs w:val="20"/>
          <w:color w:val="auto"/>
        </w:rPr>
      </w:pPr>
      <w:r>
        <w:rPr>
          <w:rFonts w:ascii="Arial" w:cs="Arial" w:eastAsia="Arial" w:hAnsi="Arial"/>
          <w:sz w:val="37"/>
          <w:szCs w:val="37"/>
          <w:color w:val="auto"/>
        </w:rPr>
        <w:t>90%</w:t>
      </w:r>
    </w:p>
    <w:p>
      <w:pPr>
        <w:spacing w:after="0" w:line="32" w:lineRule="exact"/>
        <w:rPr>
          <w:sz w:val="20"/>
          <w:szCs w:val="20"/>
          <w:color w:val="auto"/>
        </w:rPr>
      </w:pPr>
    </w:p>
    <w:p>
      <w:pPr>
        <w:ind w:left="1265"/>
        <w:spacing w:after="0"/>
        <w:rPr>
          <w:sz w:val="20"/>
          <w:szCs w:val="20"/>
          <w:color w:val="auto"/>
        </w:rPr>
      </w:pPr>
      <w:r>
        <w:rPr>
          <w:rFonts w:ascii="Arial" w:cs="Arial" w:eastAsia="Arial" w:hAnsi="Arial"/>
          <w:sz w:val="36"/>
          <w:szCs w:val="36"/>
          <w:color w:val="auto"/>
        </w:rPr>
        <w:t>157% CC</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20" w:right="2040"/>
        <w:spacing w:after="0" w:line="450" w:lineRule="auto"/>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$4.6B</w:t>
      </w:r>
      <w:r>
        <w:rPr>
          <w:rFonts w:ascii="Arial" w:cs="Arial" w:eastAsia="Arial" w:hAnsi="Arial"/>
          <w:sz w:val="40"/>
          <w:szCs w:val="40"/>
          <w:b w:val="1"/>
          <w:bCs w:val="1"/>
          <w:color w:val="auto"/>
        </w:rPr>
        <w:t xml:space="preserve"> Gross Margin </w:t>
      </w:r>
      <w:r>
        <w:rPr>
          <w:rFonts w:ascii="Arial" w:cs="Arial" w:eastAsia="Arial" w:hAnsi="Arial"/>
          <w:sz w:val="42"/>
          <w:szCs w:val="42"/>
          <w:b w:val="1"/>
          <w:bCs w:val="1"/>
          <w:color w:val="D47C18"/>
        </w:rPr>
        <w:t>17.4%</w:t>
      </w:r>
      <w:r>
        <w:rPr>
          <w:rFonts w:ascii="Arial" w:cs="Arial" w:eastAsia="Arial" w:hAnsi="Arial"/>
          <w:sz w:val="40"/>
          <w:szCs w:val="40"/>
          <w:b w:val="1"/>
          <w:bCs w:val="1"/>
          <w:color w:val="auto"/>
        </w:rPr>
        <w:t xml:space="preserve"> Operating Profit </w:t>
      </w:r>
      <w:r>
        <w:rPr>
          <w:rFonts w:ascii="Arial" w:cs="Arial" w:eastAsia="Arial" w:hAnsi="Arial"/>
          <w:sz w:val="42"/>
          <w:szCs w:val="42"/>
          <w:b w:val="1"/>
          <w:bCs w:val="1"/>
          <w:color w:val="D47C18"/>
        </w:rPr>
        <w:t>$79M</w:t>
      </w:r>
      <w:r>
        <w:rPr>
          <w:rFonts w:ascii="Arial" w:cs="Arial" w:eastAsia="Arial" w:hAnsi="Arial"/>
          <w:sz w:val="33"/>
          <w:szCs w:val="33"/>
          <w:b w:val="1"/>
          <w:bCs w:val="1"/>
          <w:color w:val="D47C18"/>
          <w:vertAlign w:val="superscript"/>
        </w:rPr>
        <w:t>(1)</w:t>
      </w:r>
      <w:r>
        <w:rPr>
          <w:rFonts w:ascii="Arial" w:cs="Arial" w:eastAsia="Arial" w:hAnsi="Arial"/>
          <w:sz w:val="40"/>
          <w:szCs w:val="40"/>
          <w:b w:val="1"/>
          <w:bCs w:val="1"/>
          <w:color w:val="auto"/>
        </w:rPr>
        <w:t xml:space="preserve"> OP Margin </w:t>
      </w:r>
      <w:r>
        <w:rPr>
          <w:rFonts w:ascii="Arial" w:cs="Arial" w:eastAsia="Arial" w:hAnsi="Arial"/>
          <w:sz w:val="42"/>
          <w:szCs w:val="42"/>
          <w:b w:val="1"/>
          <w:bCs w:val="1"/>
          <w:color w:val="D47C18"/>
        </w:rPr>
        <w:t>1.7%</w:t>
      </w:r>
    </w:p>
    <w:p>
      <w:pPr>
        <w:spacing w:after="0" w:line="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 xml:space="preserve">EPS </w:t>
      </w:r>
      <w:r>
        <w:rPr>
          <w:rFonts w:ascii="Arial" w:cs="Arial" w:eastAsia="Arial" w:hAnsi="Arial"/>
          <w:sz w:val="42"/>
          <w:szCs w:val="42"/>
          <w:b w:val="1"/>
          <w:bCs w:val="1"/>
          <w:color w:val="D47C18"/>
        </w:rPr>
        <w:t>$.40</w:t>
      </w:r>
    </w:p>
    <w:p>
      <w:pPr>
        <w:spacing w:after="0" w:line="489" w:lineRule="exact"/>
        <w:rPr>
          <w:sz w:val="20"/>
          <w:szCs w:val="20"/>
          <w:color w:val="auto"/>
        </w:rPr>
      </w:pPr>
    </w:p>
    <w:p>
      <w:pPr>
        <w:sectPr>
          <w:pgSz w:w="11900" w:h="16838" w:orient="portrait"/>
          <w:cols w:equalWidth="0" w:num="2">
            <w:col w:w="2845" w:space="280"/>
            <w:col w:w="6560"/>
          </w:cols>
          <w:pgMar w:left="1175" w:top="375" w:right="1039" w:bottom="1440" w:gutter="0" w:footer="0" w:header="0"/>
          <w:type w:val="continuous"/>
        </w:sectPr>
      </w:pPr>
    </w:p>
    <w:p>
      <w:pPr>
        <w:ind w:left="205" w:hanging="205"/>
        <w:spacing w:after="0"/>
        <w:tabs>
          <w:tab w:leader="none" w:pos="205"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2009 results include reorganization charges of $13M.</w:t>
      </w:r>
    </w:p>
    <w:p>
      <w:pPr>
        <w:spacing w:after="0" w:line="34" w:lineRule="exact"/>
        <w:rPr>
          <w:sz w:val="20"/>
          <w:szCs w:val="20"/>
          <w:color w:val="auto"/>
        </w:rPr>
      </w:pPr>
    </w:p>
    <w:p>
      <w:pPr>
        <w:ind w:left="25" w:right="540"/>
        <w:spacing w:after="0" w:line="276" w:lineRule="auto"/>
        <w:rPr>
          <w:sz w:val="20"/>
          <w:szCs w:val="20"/>
          <w:color w:val="auto"/>
        </w:rPr>
      </w:pPr>
      <w:r>
        <w:rPr>
          <w:rFonts w:ascii="Arial" w:cs="Arial" w:eastAsia="Arial" w:hAnsi="Arial"/>
          <w:sz w:val="16"/>
          <w:szCs w:val="16"/>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296545</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85"/>
          </w:cols>
          <w:pgMar w:left="1175" w:top="375" w:right="1039" w:bottom="1440" w:gutter="0" w:footer="0" w:header="0"/>
          <w:type w:val="continuous"/>
        </w:sectPr>
      </w:pPr>
    </w:p>
    <w:bookmarkStart w:id="14" w:name="page15"/>
    <w:bookmarkEnd w:id="14"/>
    <w:tbl>
      <w:tblPr>
        <w:tblLayout w:type="fixed"/>
        <w:tblInd w:w="96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4</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color w:val="5F81AA"/>
        </w:rPr>
        <w:t>Consolidated Gross Margin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4209415</wp:posOffset>
            </wp:positionV>
            <wp:extent cx="72732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440"/>
          </w:cols>
          <w:pgMar w:left="1420" w:top="375" w:right="1039" w:bottom="1440" w:gutter="0" w:footer="0" w:header="0"/>
        </w:sectPr>
      </w:pPr>
    </w:p>
    <w:bookmarkStart w:id="15" w:name="page16"/>
    <w:bookmarkEnd w:id="15"/>
    <w:tbl>
      <w:tblPr>
        <w:tblLayout w:type="fixed"/>
        <w:tblInd w:w="110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5</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40"/>
          <w:szCs w:val="40"/>
          <w:color w:val="5F81AA"/>
        </w:rPr>
        <w:t>Americas Segment</w:t>
      </w:r>
    </w:p>
    <w:p>
      <w:pPr>
        <w:spacing w:after="0"/>
        <w:rPr>
          <w:sz w:val="20"/>
          <w:szCs w:val="20"/>
          <w:color w:val="auto"/>
        </w:rPr>
      </w:pPr>
      <w:r>
        <w:rPr>
          <w:rFonts w:ascii="Arial" w:cs="Arial" w:eastAsia="Arial" w:hAnsi="Arial"/>
          <w:sz w:val="30"/>
          <w:szCs w:val="30"/>
          <w:color w:val="5F81AA"/>
        </w:rPr>
        <w:t>(22% of Revenue)</w:t>
      </w:r>
    </w:p>
    <w:p>
      <w:pPr>
        <w:spacing w:after="0" w:line="319" w:lineRule="exact"/>
        <w:rPr>
          <w:sz w:val="20"/>
          <w:szCs w:val="20"/>
          <w:color w:val="auto"/>
        </w:rPr>
      </w:pPr>
    </w:p>
    <w:tbl>
      <w:tblPr>
        <w:tblLayout w:type="fixed"/>
        <w:tblInd w:w="1480" w:type="dxa"/>
        <w:tblCellMar>
          <w:top w:w="0" w:type="dxa"/>
          <w:left w:w="0" w:type="dxa"/>
          <w:bottom w:w="0" w:type="dxa"/>
          <w:right w:w="0" w:type="dxa"/>
        </w:tblCellMar>
      </w:tblPr>
      <w:tr>
        <w:trPr>
          <w:trHeight w:val="530"/>
        </w:trPr>
        <w:tc>
          <w:tcPr>
            <w:tcW w:w="1660" w:type="dxa"/>
            <w:vAlign w:val="bottom"/>
          </w:tcPr>
          <w:p>
            <w:pPr>
              <w:spacing w:after="0"/>
              <w:rPr>
                <w:sz w:val="24"/>
                <w:szCs w:val="24"/>
                <w:color w:val="auto"/>
              </w:rPr>
            </w:pPr>
          </w:p>
        </w:tc>
        <w:tc>
          <w:tcPr>
            <w:tcW w:w="4800" w:type="dxa"/>
            <w:vAlign w:val="bottom"/>
          </w:tcPr>
          <w:p>
            <w:pPr>
              <w:ind w:left="120"/>
              <w:spacing w:after="0"/>
              <w:rPr>
                <w:sz w:val="20"/>
                <w:szCs w:val="20"/>
                <w:color w:val="auto"/>
              </w:rPr>
            </w:pPr>
            <w:r>
              <w:rPr>
                <w:rFonts w:ascii="Arial" w:cs="Arial" w:eastAsia="Arial" w:hAnsi="Arial"/>
                <w:sz w:val="40"/>
                <w:szCs w:val="40"/>
                <w:b w:val="1"/>
                <w:bCs w:val="1"/>
                <w:color w:val="auto"/>
                <w:w w:val="96"/>
              </w:rPr>
              <w:t xml:space="preserve">Q2 Financial Highlights </w:t>
            </w:r>
            <w:r>
              <w:rPr>
                <w:rFonts w:ascii="Arial" w:cs="Arial" w:eastAsia="Arial" w:hAnsi="Arial"/>
                <w:sz w:val="33"/>
                <w:szCs w:val="33"/>
                <w:b w:val="1"/>
                <w:bCs w:val="1"/>
                <w:color w:val="D47C18"/>
                <w:w w:val="96"/>
                <w:vertAlign w:val="superscript"/>
              </w:rPr>
              <w:t>(1)</w:t>
            </w:r>
          </w:p>
        </w:tc>
        <w:tc>
          <w:tcPr>
            <w:tcW w:w="0" w:type="dxa"/>
            <w:vAlign w:val="bottom"/>
          </w:tcPr>
          <w:p>
            <w:pPr>
              <w:spacing w:after="0"/>
              <w:rPr>
                <w:sz w:val="1"/>
                <w:szCs w:val="1"/>
                <w:color w:val="auto"/>
              </w:rPr>
            </w:pPr>
          </w:p>
        </w:tc>
      </w:tr>
      <w:tr>
        <w:trPr>
          <w:trHeight w:val="636"/>
        </w:trPr>
        <w:tc>
          <w:tcPr>
            <w:tcW w:w="1660" w:type="dxa"/>
            <w:vAlign w:val="bottom"/>
          </w:tcPr>
          <w:p>
            <w:pPr>
              <w:ind w:left="460"/>
              <w:spacing w:after="0"/>
              <w:rPr>
                <w:sz w:val="20"/>
                <w:szCs w:val="20"/>
                <w:color w:val="auto"/>
              </w:rPr>
            </w:pPr>
            <w:r>
              <w:rPr>
                <w:rFonts w:ascii="Arial" w:cs="Arial" w:eastAsia="Arial" w:hAnsi="Arial"/>
                <w:sz w:val="37"/>
                <w:szCs w:val="37"/>
                <w:color w:val="auto"/>
              </w:rPr>
              <w:t>67%</w:t>
            </w:r>
            <w:r>
              <w:rPr>
                <w:rFonts w:ascii="Arial" w:cs="Arial" w:eastAsia="Arial" w:hAnsi="Arial"/>
                <w:sz w:val="37"/>
                <w:szCs w:val="37"/>
                <w:b w:val="1"/>
                <w:bCs w:val="1"/>
                <w:color w:val="D47C18"/>
                <w:vertAlign w:val="superscript"/>
              </w:rPr>
              <w:t>(2)</w:t>
            </w:r>
          </w:p>
        </w:tc>
        <w:tc>
          <w:tcPr>
            <w:tcW w:w="4800" w:type="dxa"/>
            <w:vAlign w:val="bottom"/>
            <w:vMerge w:val="restart"/>
          </w:tcPr>
          <w:p>
            <w:pPr>
              <w:ind w:left="26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$992M</w:t>
            </w:r>
          </w:p>
        </w:tc>
        <w:tc>
          <w:tcPr>
            <w:tcW w:w="0" w:type="dxa"/>
            <w:vAlign w:val="bottom"/>
          </w:tcPr>
          <w:p>
            <w:pPr>
              <w:spacing w:after="0"/>
              <w:rPr>
                <w:sz w:val="1"/>
                <w:szCs w:val="1"/>
                <w:color w:val="auto"/>
              </w:rPr>
            </w:pPr>
          </w:p>
        </w:tc>
      </w:tr>
      <w:tr>
        <w:trPr>
          <w:trHeight w:val="149"/>
        </w:trPr>
        <w:tc>
          <w:tcPr>
            <w:tcW w:w="1660" w:type="dxa"/>
            <w:vAlign w:val="bottom"/>
          </w:tcPr>
          <w:p>
            <w:pPr>
              <w:jc w:val="right"/>
              <w:spacing w:after="0" w:line="149" w:lineRule="exact"/>
              <w:rPr>
                <w:sz w:val="20"/>
                <w:szCs w:val="20"/>
                <w:color w:val="auto"/>
              </w:rPr>
            </w:pPr>
            <w:r>
              <w:rPr>
                <w:rFonts w:ascii="Arial" w:cs="Arial" w:eastAsia="Arial" w:hAnsi="Arial"/>
                <w:sz w:val="17"/>
                <w:szCs w:val="17"/>
                <w:b w:val="1"/>
                <w:bCs w:val="1"/>
                <w:color w:val="D47C18"/>
              </w:rPr>
              <w:t>(2)</w:t>
            </w: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1660" w:type="dxa"/>
            <w:vAlign w:val="bottom"/>
          </w:tcPr>
          <w:p>
            <w:pPr>
              <w:jc w:val="right"/>
              <w:ind w:right="134"/>
              <w:spacing w:after="0"/>
              <w:rPr>
                <w:sz w:val="20"/>
                <w:szCs w:val="20"/>
                <w:color w:val="auto"/>
              </w:rPr>
            </w:pPr>
            <w:r>
              <w:rPr>
                <w:rFonts w:ascii="Arial" w:cs="Arial" w:eastAsia="Arial" w:hAnsi="Arial"/>
                <w:sz w:val="37"/>
                <w:szCs w:val="37"/>
                <w:color w:val="auto"/>
                <w:w w:val="97"/>
              </w:rPr>
              <w:t>64% CC</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660" w:type="dxa"/>
            <w:vAlign w:val="bottom"/>
          </w:tcPr>
          <w:p>
            <w:pPr>
              <w:ind w:left="500"/>
              <w:spacing w:after="0"/>
              <w:rPr>
                <w:sz w:val="20"/>
                <w:szCs w:val="20"/>
                <w:color w:val="auto"/>
              </w:rPr>
            </w:pPr>
            <w:r>
              <w:rPr>
                <w:rFonts w:ascii="Arial" w:cs="Arial" w:eastAsia="Arial" w:hAnsi="Arial"/>
                <w:sz w:val="37"/>
                <w:szCs w:val="37"/>
                <w:color w:val="auto"/>
              </w:rPr>
              <w:t>N/A</w:t>
            </w:r>
          </w:p>
        </w:tc>
        <w:tc>
          <w:tcPr>
            <w:tcW w:w="4800" w:type="dxa"/>
            <w:vAlign w:val="bottom"/>
            <w:vMerge w:val="restart"/>
          </w:tcPr>
          <w:p>
            <w:pPr>
              <w:ind w:left="28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$18M</w:t>
            </w:r>
          </w:p>
        </w:tc>
        <w:tc>
          <w:tcPr>
            <w:tcW w:w="0" w:type="dxa"/>
            <w:vAlign w:val="bottom"/>
          </w:tcPr>
          <w:p>
            <w:pPr>
              <w:spacing w:after="0"/>
              <w:rPr>
                <w:sz w:val="1"/>
                <w:szCs w:val="1"/>
                <w:color w:val="auto"/>
              </w:rPr>
            </w:pPr>
          </w:p>
        </w:tc>
      </w:tr>
      <w:tr>
        <w:trPr>
          <w:trHeight w:val="235"/>
        </w:trPr>
        <w:tc>
          <w:tcPr>
            <w:tcW w:w="1660" w:type="dxa"/>
            <w:vAlign w:val="bottom"/>
            <w:vMerge w:val="restart"/>
          </w:tcPr>
          <w:p>
            <w:pPr>
              <w:ind w:left="500"/>
              <w:spacing w:after="0"/>
              <w:rPr>
                <w:sz w:val="20"/>
                <w:szCs w:val="20"/>
                <w:color w:val="auto"/>
              </w:rPr>
            </w:pPr>
            <w:r>
              <w:rPr>
                <w:rFonts w:ascii="Arial" w:cs="Arial" w:eastAsia="Arial" w:hAnsi="Arial"/>
                <w:sz w:val="37"/>
                <w:szCs w:val="37"/>
                <w:color w:val="auto"/>
              </w:rPr>
              <w:t>N/A</w:t>
            </w:r>
          </w:p>
        </w:tc>
        <w:tc>
          <w:tcPr>
            <w:tcW w:w="4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6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1"/>
        </w:trPr>
        <w:tc>
          <w:tcPr>
            <w:tcW w:w="1660" w:type="dxa"/>
            <w:vAlign w:val="bottom"/>
          </w:tcPr>
          <w:p>
            <w:pPr>
              <w:jc w:val="right"/>
              <w:ind w:right="134"/>
              <w:spacing w:after="0"/>
              <w:rPr>
                <w:sz w:val="20"/>
                <w:szCs w:val="20"/>
                <w:color w:val="auto"/>
              </w:rPr>
            </w:pPr>
            <w:r>
              <w:rPr>
                <w:rFonts w:ascii="Arial" w:cs="Arial" w:eastAsia="Arial" w:hAnsi="Arial"/>
                <w:sz w:val="37"/>
                <w:szCs w:val="37"/>
                <w:color w:val="auto"/>
              </w:rPr>
              <w:t>210 bps</w:t>
            </w:r>
          </w:p>
        </w:tc>
        <w:tc>
          <w:tcPr>
            <w:tcW w:w="4800" w:type="dxa"/>
            <w:vAlign w:val="bottom"/>
          </w:tcPr>
          <w:p>
            <w:pPr>
              <w:ind w:left="26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80" w:right="1080" w:hanging="279"/>
        <w:spacing w:after="0" w:line="207" w:lineRule="auto"/>
        <w:tabs>
          <w:tab w:leader="none" w:pos="353" w:val="left"/>
        </w:tabs>
        <w:numPr>
          <w:ilvl w:val="0"/>
          <w:numId w:val="6"/>
        </w:numPr>
        <w:rPr>
          <w:rFonts w:ascii="Arial" w:cs="Arial" w:eastAsia="Arial" w:hAnsi="Arial"/>
          <w:sz w:val="26"/>
          <w:szCs w:val="26"/>
          <w:color w:val="auto"/>
          <w:vertAlign w:val="superscript"/>
        </w:rPr>
      </w:pPr>
      <w:r>
        <w:rPr>
          <w:rFonts w:ascii="Arial" w:cs="Arial" w:eastAsia="Arial" w:hAnsi="Arial"/>
          <w:sz w:val="18"/>
          <w:szCs w:val="18"/>
          <w:color w:val="auto"/>
        </w:rPr>
        <w:t>Included in these amounts is the US, which had revenue of $686M (+83%) and OUP of $10M. On an organic basis, US revenue was $504M (+35%) and OUP was $10M.</w:t>
      </w:r>
    </w:p>
    <w:p>
      <w:pPr>
        <w:spacing w:after="0" w:line="67" w:lineRule="exact"/>
        <w:rPr>
          <w:rFonts w:ascii="Arial" w:cs="Arial" w:eastAsia="Arial" w:hAnsi="Arial"/>
          <w:sz w:val="26"/>
          <w:szCs w:val="26"/>
          <w:color w:val="auto"/>
          <w:vertAlign w:val="superscript"/>
        </w:rPr>
      </w:pPr>
    </w:p>
    <w:p>
      <w:pPr>
        <w:ind w:left="300" w:hanging="199"/>
        <w:spacing w:after="0"/>
        <w:tabs>
          <w:tab w:leader="none" w:pos="3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On an organic basis, Americas revenue increased 36% in USD (33% in CC).</w:t>
      </w:r>
    </w:p>
    <w:p>
      <w:pPr>
        <w:spacing w:after="0" w:line="184" w:lineRule="exact"/>
        <w:rPr>
          <w:sz w:val="20"/>
          <w:szCs w:val="20"/>
          <w:color w:val="auto"/>
        </w:rPr>
      </w:pPr>
    </w:p>
    <w:p>
      <w:pPr>
        <w:ind w:left="100" w:right="1120"/>
        <w:spacing w:after="0" w:line="270" w:lineRule="auto"/>
        <w:rPr>
          <w:sz w:val="20"/>
          <w:szCs w:val="20"/>
          <w:color w:val="auto"/>
        </w:rPr>
      </w:pPr>
      <w:r>
        <w:rPr>
          <w:rFonts w:ascii="Arial" w:cs="Arial" w:eastAsia="Arial" w:hAnsi="Arial"/>
          <w:sz w:val="21"/>
          <w:szCs w:val="21"/>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287020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580"/>
          </w:cols>
          <w:pgMar w:left="1280" w:top="375" w:right="1039" w:bottom="1440" w:gutter="0" w:footer="0" w:header="0"/>
        </w:sectPr>
      </w:pPr>
    </w:p>
    <w:bookmarkStart w:id="16" w:name="page17"/>
    <w:bookmarkEnd w:id="16"/>
    <w:tbl>
      <w:tblPr>
        <w:tblLayout w:type="fixed"/>
        <w:tblInd w:w="1251"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6</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51"/>
        <w:spacing w:after="0"/>
        <w:rPr>
          <w:sz w:val="20"/>
          <w:szCs w:val="20"/>
          <w:color w:val="auto"/>
        </w:rPr>
      </w:pPr>
      <w:r>
        <w:rPr>
          <w:rFonts w:ascii="Arial" w:cs="Arial" w:eastAsia="Arial" w:hAnsi="Arial"/>
          <w:sz w:val="40"/>
          <w:szCs w:val="40"/>
          <w:color w:val="5F81AA"/>
        </w:rPr>
        <w:t>Americas - Q2 Revenue Growth YoY</w:t>
      </w:r>
    </w:p>
    <w:p>
      <w:pPr>
        <w:spacing w:after="0" w:line="190" w:lineRule="exact"/>
        <w:rPr>
          <w:sz w:val="20"/>
          <w:szCs w:val="20"/>
          <w:color w:val="auto"/>
        </w:rPr>
      </w:pPr>
    </w:p>
    <w:p>
      <w:pPr>
        <w:ind w:left="211" w:right="8000" w:firstLine="6"/>
        <w:spacing w:after="0" w:line="234" w:lineRule="auto"/>
        <w:tabs>
          <w:tab w:leader="none" w:pos="478" w:val="left"/>
        </w:tabs>
        <w:numPr>
          <w:ilvl w:val="0"/>
          <w:numId w:val="7"/>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2" w:lineRule="exact"/>
        <w:rPr>
          <w:sz w:val="20"/>
          <w:szCs w:val="20"/>
          <w:color w:val="auto"/>
        </w:rPr>
      </w:pPr>
    </w:p>
    <w:p>
      <w:pPr>
        <w:ind w:left="2911"/>
        <w:spacing w:after="0"/>
        <w:rPr>
          <w:sz w:val="20"/>
          <w:szCs w:val="20"/>
          <w:color w:val="auto"/>
        </w:rPr>
      </w:pPr>
      <w:r>
        <w:rPr>
          <w:rFonts w:ascii="Arial" w:cs="Arial" w:eastAsia="Arial" w:hAnsi="Arial"/>
          <w:sz w:val="17"/>
          <w:szCs w:val="17"/>
          <w:b w:val="1"/>
          <w:bCs w:val="1"/>
          <w:color w:val="D47C18"/>
        </w:rPr>
        <w:t>(1)</w:t>
      </w:r>
    </w:p>
    <w:p>
      <w:pPr>
        <w:spacing w:after="0" w:line="6" w:lineRule="exact"/>
        <w:rPr>
          <w:sz w:val="20"/>
          <w:szCs w:val="20"/>
          <w:color w:val="auto"/>
        </w:rPr>
      </w:pPr>
    </w:p>
    <w:p>
      <w:pPr>
        <w:ind w:left="411"/>
        <w:spacing w:after="0"/>
        <w:rPr>
          <w:sz w:val="20"/>
          <w:szCs w:val="20"/>
          <w:color w:val="auto"/>
        </w:rPr>
      </w:pPr>
      <w:r>
        <w:rPr>
          <w:rFonts w:ascii="Arial" w:cs="Arial" w:eastAsia="Arial" w:hAnsi="Arial"/>
          <w:sz w:val="27"/>
          <w:szCs w:val="27"/>
          <w:b w:val="1"/>
          <w:bCs w:val="1"/>
          <w:color w:val="D47C18"/>
        </w:rPr>
        <w:t>69%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1"/>
        <w:spacing w:after="0"/>
        <w:rPr>
          <w:sz w:val="20"/>
          <w:szCs w:val="20"/>
          <w:color w:val="auto"/>
        </w:rPr>
      </w:pPr>
      <w:r>
        <w:rPr>
          <w:rFonts w:ascii="Arial" w:cs="Arial" w:eastAsia="Arial" w:hAnsi="Arial"/>
          <w:sz w:val="27"/>
          <w:szCs w:val="27"/>
          <w:b w:val="1"/>
          <w:bCs w:val="1"/>
          <w:color w:val="D47C18"/>
        </w:rPr>
        <w:t>11%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1"/>
        <w:spacing w:after="0"/>
        <w:rPr>
          <w:sz w:val="20"/>
          <w:szCs w:val="20"/>
          <w:color w:val="auto"/>
        </w:rPr>
      </w:pPr>
      <w:r>
        <w:rPr>
          <w:rFonts w:ascii="Arial" w:cs="Arial" w:eastAsia="Arial" w:hAnsi="Arial"/>
          <w:sz w:val="27"/>
          <w:szCs w:val="27"/>
          <w:b w:val="1"/>
          <w:bCs w:val="1"/>
          <w:color w:val="D47C18"/>
        </w:rPr>
        <w:t>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1"/>
        <w:spacing w:after="0"/>
        <w:rPr>
          <w:sz w:val="20"/>
          <w:szCs w:val="20"/>
          <w:color w:val="auto"/>
        </w:rPr>
      </w:pPr>
      <w:r>
        <w:rPr>
          <w:rFonts w:ascii="Arial" w:cs="Arial" w:eastAsia="Arial" w:hAnsi="Arial"/>
          <w:sz w:val="27"/>
          <w:szCs w:val="27"/>
          <w:b w:val="1"/>
          <w:bCs w:val="1"/>
          <w:color w:val="D47C18"/>
        </w:rPr>
        <w:t>14%</w:t>
      </w:r>
    </w:p>
    <w:p>
      <w:pPr>
        <w:sectPr>
          <w:pgSz w:w="11900" w:h="16838" w:orient="portrait"/>
          <w:cols w:equalWidth="0" w:num="1">
            <w:col w:w="9731"/>
          </w:cols>
          <w:pgMar w:left="1129" w:top="37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51"/>
        <w:spacing w:after="0"/>
        <w:rPr>
          <w:sz w:val="20"/>
          <w:szCs w:val="20"/>
          <w:color w:val="auto"/>
        </w:rPr>
      </w:pPr>
      <w:r>
        <w:rPr>
          <w:rFonts w:ascii="Arial" w:cs="Arial" w:eastAsia="Arial" w:hAnsi="Arial"/>
          <w:sz w:val="21"/>
          <w:szCs w:val="21"/>
          <w:b w:val="1"/>
          <w:bCs w:val="1"/>
          <w:color w:val="auto"/>
        </w:rPr>
        <w:t>Revenue</w:t>
      </w:r>
    </w:p>
    <w:p>
      <w:pPr>
        <w:spacing w:after="0" w:line="36" w:lineRule="exact"/>
        <w:rPr>
          <w:sz w:val="20"/>
          <w:szCs w:val="20"/>
          <w:color w:val="auto"/>
        </w:rPr>
      </w:pPr>
    </w:p>
    <w:p>
      <w:pPr>
        <w:ind w:left="3531"/>
        <w:spacing w:after="0"/>
        <w:rPr>
          <w:sz w:val="20"/>
          <w:szCs w:val="20"/>
          <w:color w:val="auto"/>
        </w:rPr>
      </w:pPr>
      <w:r>
        <w:rPr>
          <w:rFonts w:ascii="Arial" w:cs="Arial" w:eastAsia="Arial" w:hAnsi="Arial"/>
          <w:sz w:val="21"/>
          <w:szCs w:val="21"/>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Growth - CC</w:t>
      </w:r>
    </w:p>
    <w:p>
      <w:pPr>
        <w:spacing w:after="0" w:line="278" w:lineRule="exact"/>
        <w:rPr>
          <w:sz w:val="20"/>
          <w:szCs w:val="20"/>
          <w:color w:val="auto"/>
        </w:rPr>
      </w:pPr>
    </w:p>
    <w:p>
      <w:pPr>
        <w:sectPr>
          <w:pgSz w:w="11900" w:h="16838" w:orient="portrait"/>
          <w:cols w:equalWidth="0" w:num="2">
            <w:col w:w="4511" w:space="720"/>
            <w:col w:w="4500"/>
          </w:cols>
          <w:pgMar w:left="1129" w:top="375" w:right="1039" w:bottom="1440" w:gutter="0" w:footer="0" w:header="0"/>
          <w:type w:val="continuous"/>
        </w:sectPr>
      </w:pPr>
    </w:p>
    <w:p>
      <w:pPr>
        <w:ind w:left="251" w:hanging="251"/>
        <w:spacing w:after="0" w:line="215" w:lineRule="auto"/>
        <w:tabs>
          <w:tab w:leader="none" w:pos="251" w:val="left"/>
        </w:tabs>
        <w:numPr>
          <w:ilvl w:val="0"/>
          <w:numId w:val="8"/>
        </w:numPr>
        <w:rPr>
          <w:rFonts w:ascii="Arial" w:cs="Arial" w:eastAsia="Arial" w:hAnsi="Arial"/>
          <w:sz w:val="26"/>
          <w:szCs w:val="26"/>
          <w:color w:val="auto"/>
          <w:vertAlign w:val="superscript"/>
        </w:rPr>
      </w:pPr>
      <w:r>
        <w:rPr>
          <w:rFonts w:ascii="Arial" w:cs="Arial" w:eastAsia="Arial" w:hAnsi="Arial"/>
          <w:sz w:val="18"/>
          <w:szCs w:val="18"/>
          <w:color w:val="auto"/>
        </w:rPr>
        <w:t>On an organic basis, US revenue was $504M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493395</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731"/>
          </w:cols>
          <w:pgMar w:left="1129" w:top="375" w:right="1039" w:bottom="1440" w:gutter="0" w:footer="0" w:header="0"/>
          <w:type w:val="continuous"/>
        </w:sectPr>
      </w:pPr>
    </w:p>
    <w:bookmarkStart w:id="17" w:name="page18"/>
    <w:bookmarkEnd w:id="17"/>
    <w:tbl>
      <w:tblPr>
        <w:tblLayout w:type="fixed"/>
        <w:tblInd w:w="21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7</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40"/>
          <w:szCs w:val="40"/>
          <w:color w:val="5F81AA"/>
        </w:rPr>
        <w:t>France Segment</w:t>
      </w:r>
    </w:p>
    <w:p>
      <w:pPr>
        <w:ind w:left="1040"/>
        <w:spacing w:after="0"/>
        <w:rPr>
          <w:sz w:val="20"/>
          <w:szCs w:val="20"/>
          <w:color w:val="auto"/>
        </w:rPr>
      </w:pPr>
      <w:r>
        <w:rPr>
          <w:rFonts w:ascii="Arial" w:cs="Arial" w:eastAsia="Arial" w:hAnsi="Arial"/>
          <w:sz w:val="30"/>
          <w:szCs w:val="30"/>
          <w:color w:val="5F81AA"/>
        </w:rPr>
        <w:t>(27% of Revenue)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380"/>
        <w:spacing w:after="0"/>
        <w:rPr>
          <w:sz w:val="20"/>
          <w:szCs w:val="20"/>
          <w:color w:val="auto"/>
        </w:rPr>
      </w:pPr>
      <w:r>
        <w:rPr>
          <w:rFonts w:ascii="Arial" w:cs="Arial" w:eastAsia="Arial" w:hAnsi="Arial"/>
          <w:sz w:val="40"/>
          <w:szCs w:val="40"/>
          <w:b w:val="1"/>
          <w:bCs w:val="1"/>
          <w:color w:val="auto"/>
        </w:rPr>
        <w:t>Q2 Financial Highlights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280" w:type="dxa"/>
            <w:vAlign w:val="bottom"/>
          </w:tcPr>
          <w:p>
            <w:pPr>
              <w:jc w:val="center"/>
              <w:ind w:left="2117"/>
              <w:spacing w:after="0"/>
              <w:rPr>
                <w:sz w:val="20"/>
                <w:szCs w:val="20"/>
                <w:color w:val="auto"/>
              </w:rPr>
            </w:pPr>
            <w:r>
              <w:rPr>
                <w:rFonts w:ascii="Arial" w:cs="Arial" w:eastAsia="Arial" w:hAnsi="Arial"/>
                <w:sz w:val="37"/>
                <w:szCs w:val="37"/>
                <w:color w:val="auto"/>
                <w:w w:val="99"/>
              </w:rPr>
              <w:t>14%</w:t>
            </w:r>
          </w:p>
        </w:tc>
        <w:tc>
          <w:tcPr>
            <w:tcW w:w="716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$1.3B</w:t>
            </w:r>
          </w:p>
        </w:tc>
        <w:tc>
          <w:tcPr>
            <w:tcW w:w="0" w:type="dxa"/>
            <w:vAlign w:val="bottom"/>
          </w:tcPr>
          <w:p>
            <w:pPr>
              <w:spacing w:after="0"/>
              <w:rPr>
                <w:sz w:val="1"/>
                <w:szCs w:val="1"/>
                <w:color w:val="auto"/>
              </w:rPr>
            </w:pPr>
          </w:p>
        </w:tc>
      </w:tr>
      <w:tr>
        <w:trPr>
          <w:trHeight w:val="247"/>
        </w:trPr>
        <w:tc>
          <w:tcPr>
            <w:tcW w:w="4280" w:type="dxa"/>
            <w:vAlign w:val="bottom"/>
            <w:vMerge w:val="restart"/>
          </w:tcPr>
          <w:p>
            <w:pPr>
              <w:jc w:val="center"/>
              <w:ind w:left="2037"/>
              <w:spacing w:after="0"/>
              <w:rPr>
                <w:sz w:val="20"/>
                <w:szCs w:val="20"/>
                <w:color w:val="auto"/>
              </w:rPr>
            </w:pPr>
            <w:r>
              <w:rPr>
                <w:rFonts w:ascii="Arial" w:cs="Arial" w:eastAsia="Arial" w:hAnsi="Arial"/>
                <w:sz w:val="37"/>
                <w:szCs w:val="37"/>
                <w:color w:val="auto"/>
                <w:w w:val="99"/>
              </w:rPr>
              <w:t>23%</w:t>
            </w:r>
          </w:p>
        </w:tc>
        <w:tc>
          <w:tcPr>
            <w:tcW w:w="7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80" w:type="dxa"/>
            <w:vAlign w:val="bottom"/>
            <w:vMerge w:val="continue"/>
          </w:tcPr>
          <w:p>
            <w:pPr>
              <w:spacing w:after="0"/>
              <w:rPr>
                <w:sz w:val="16"/>
                <w:szCs w:val="16"/>
                <w:color w:val="auto"/>
              </w:rPr>
            </w:pPr>
          </w:p>
        </w:tc>
        <w:tc>
          <w:tcPr>
            <w:tcW w:w="7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280" w:type="dxa"/>
            <w:vAlign w:val="bottom"/>
          </w:tcPr>
          <w:p>
            <w:pPr>
              <w:jc w:val="center"/>
              <w:ind w:left="2037"/>
              <w:spacing w:after="0" w:line="330" w:lineRule="exact"/>
              <w:rPr>
                <w:sz w:val="20"/>
                <w:szCs w:val="20"/>
                <w:color w:val="auto"/>
              </w:rPr>
            </w:pPr>
            <w:r>
              <w:rPr>
                <w:rFonts w:ascii="Arial" w:cs="Arial" w:eastAsia="Arial" w:hAnsi="Arial"/>
                <w:sz w:val="37"/>
                <w:szCs w:val="37"/>
                <w:color w:val="auto"/>
              </w:rPr>
              <w:t>CC</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280" w:type="dxa"/>
            <w:vAlign w:val="bottom"/>
          </w:tcPr>
          <w:p>
            <w:pPr>
              <w:jc w:val="center"/>
              <w:ind w:left="2077"/>
              <w:spacing w:after="0" w:line="343" w:lineRule="exact"/>
              <w:rPr>
                <w:sz w:val="20"/>
                <w:szCs w:val="20"/>
                <w:color w:val="auto"/>
              </w:rPr>
            </w:pPr>
            <w:r>
              <w:rPr>
                <w:rFonts w:ascii="Arial" w:cs="Arial" w:eastAsia="Arial" w:hAnsi="Arial"/>
                <w:sz w:val="37"/>
                <w:szCs w:val="37"/>
                <w:color w:val="auto"/>
                <w:w w:val="99"/>
              </w:rPr>
              <w:t>140%</w:t>
            </w:r>
          </w:p>
        </w:tc>
        <w:tc>
          <w:tcPr>
            <w:tcW w:w="7160" w:type="dxa"/>
            <w:vAlign w:val="bottom"/>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$10M</w:t>
            </w:r>
          </w:p>
        </w:tc>
        <w:tc>
          <w:tcPr>
            <w:tcW w:w="0" w:type="dxa"/>
            <w:vAlign w:val="bottom"/>
          </w:tcPr>
          <w:p>
            <w:pPr>
              <w:spacing w:after="0"/>
              <w:rPr>
                <w:sz w:val="1"/>
                <w:szCs w:val="1"/>
                <w:color w:val="auto"/>
              </w:rPr>
            </w:pPr>
          </w:p>
        </w:tc>
      </w:tr>
      <w:tr>
        <w:trPr>
          <w:trHeight w:val="265"/>
        </w:trPr>
        <w:tc>
          <w:tcPr>
            <w:tcW w:w="4280" w:type="dxa"/>
            <w:vAlign w:val="bottom"/>
            <w:vMerge w:val="restart"/>
          </w:tcPr>
          <w:p>
            <w:pPr>
              <w:jc w:val="center"/>
              <w:ind w:left="2037"/>
              <w:spacing w:after="0"/>
              <w:rPr>
                <w:sz w:val="20"/>
                <w:szCs w:val="20"/>
                <w:color w:val="auto"/>
              </w:rPr>
            </w:pPr>
            <w:r>
              <w:rPr>
                <w:rFonts w:ascii="Arial" w:cs="Arial" w:eastAsia="Arial" w:hAnsi="Arial"/>
                <w:sz w:val="37"/>
                <w:szCs w:val="37"/>
                <w:color w:val="auto"/>
                <w:w w:val="99"/>
              </w:rPr>
              <w:t>169% CC</w:t>
            </w:r>
          </w:p>
        </w:tc>
        <w:tc>
          <w:tcPr>
            <w:tcW w:w="7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7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2"/>
        </w:trPr>
        <w:tc>
          <w:tcPr>
            <w:tcW w:w="4280" w:type="dxa"/>
            <w:vAlign w:val="bottom"/>
          </w:tcPr>
          <w:p>
            <w:pPr>
              <w:jc w:val="center"/>
              <w:ind w:left="1997"/>
              <w:spacing w:after="0"/>
              <w:rPr>
                <w:sz w:val="20"/>
                <w:szCs w:val="20"/>
                <w:color w:val="auto"/>
              </w:rPr>
            </w:pPr>
            <w:r>
              <w:rPr>
                <w:rFonts w:ascii="Arial" w:cs="Arial" w:eastAsia="Arial" w:hAnsi="Arial"/>
                <w:sz w:val="37"/>
                <w:szCs w:val="37"/>
                <w:color w:val="auto"/>
              </w:rPr>
              <w:t>40</w:t>
            </w:r>
          </w:p>
        </w:tc>
        <w:tc>
          <w:tcPr>
            <w:tcW w:w="7160" w:type="dxa"/>
            <w:vAlign w:val="bottom"/>
          </w:tcPr>
          <w:p>
            <w:pPr>
              <w:ind w:left="24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0.8%</w:t>
            </w:r>
          </w:p>
        </w:tc>
        <w:tc>
          <w:tcPr>
            <w:tcW w:w="0" w:type="dxa"/>
            <w:vAlign w:val="bottom"/>
          </w:tcPr>
          <w:p>
            <w:pPr>
              <w:spacing w:after="0"/>
              <w:rPr>
                <w:sz w:val="1"/>
                <w:szCs w:val="1"/>
                <w:color w:val="auto"/>
              </w:rPr>
            </w:pPr>
          </w:p>
        </w:tc>
      </w:tr>
      <w:tr>
        <w:trPr>
          <w:trHeight w:val="441"/>
        </w:trPr>
        <w:tc>
          <w:tcPr>
            <w:tcW w:w="4280" w:type="dxa"/>
            <w:vAlign w:val="bottom"/>
          </w:tcPr>
          <w:p>
            <w:pPr>
              <w:jc w:val="center"/>
              <w:ind w:left="1997"/>
              <w:spacing w:after="0"/>
              <w:rPr>
                <w:sz w:val="20"/>
                <w:szCs w:val="20"/>
                <w:color w:val="auto"/>
              </w:rPr>
            </w:pPr>
            <w:r>
              <w:rPr>
                <w:rFonts w:ascii="Arial" w:cs="Arial" w:eastAsia="Arial" w:hAnsi="Arial"/>
                <w:sz w:val="37"/>
                <w:szCs w:val="37"/>
                <w:color w:val="auto"/>
                <w:w w:val="97"/>
              </w:rPr>
              <w:t>bps</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1"/>
        </w:trPr>
        <w:tc>
          <w:tcPr>
            <w:tcW w:w="4280" w:type="dxa"/>
            <w:vAlign w:val="bottom"/>
            <w:tcBorders>
              <w:bottom w:val="single" w:sz="8" w:color="808080"/>
            </w:tcBorders>
          </w:tcPr>
          <w:p>
            <w:pPr>
              <w:spacing w:after="0"/>
              <w:rPr>
                <w:sz w:val="24"/>
                <w:szCs w:val="24"/>
                <w:color w:val="auto"/>
              </w:rPr>
            </w:pPr>
          </w:p>
        </w:tc>
        <w:tc>
          <w:tcPr>
            <w:tcW w:w="7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18" w:name="page19"/>
    <w:bookmarkEnd w:id="18"/>
    <w:tbl>
      <w:tblPr>
        <w:tblLayout w:type="fixed"/>
        <w:tblInd w:w="110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8</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9580"/>
          </w:cols>
          <w:pgMar w:left="1280" w:top="375" w:right="1039" w:bottom="1440" w:gutter="0" w:footer="0" w:header="0"/>
        </w:sect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color w:val="5F81AA"/>
        </w:rPr>
        <w:t>EMEA Segment</w:t>
      </w:r>
    </w:p>
    <w:p>
      <w:pPr>
        <w:spacing w:after="0"/>
        <w:rPr>
          <w:sz w:val="20"/>
          <w:szCs w:val="20"/>
          <w:color w:val="auto"/>
        </w:rPr>
      </w:pPr>
      <w:r>
        <w:rPr>
          <w:rFonts w:ascii="Arial" w:cs="Arial" w:eastAsia="Arial" w:hAnsi="Arial"/>
          <w:sz w:val="30"/>
          <w:szCs w:val="30"/>
          <w:color w:val="5F81AA"/>
        </w:rPr>
        <w:t>(37%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0"/>
        <w:spacing w:after="0"/>
        <w:rPr>
          <w:sz w:val="20"/>
          <w:szCs w:val="20"/>
          <w:color w:val="auto"/>
        </w:rPr>
      </w:pPr>
      <w:r>
        <w:rPr>
          <w:rFonts w:ascii="Arial" w:cs="Arial" w:eastAsia="Arial" w:hAnsi="Arial"/>
          <w:sz w:val="37"/>
          <w:szCs w:val="37"/>
          <w:color w:val="auto"/>
        </w:rPr>
        <w:t>14%</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36"/>
          <w:szCs w:val="36"/>
          <w:color w:val="auto"/>
        </w:rPr>
        <w:t>18% CC</w:t>
      </w:r>
    </w:p>
    <w:p>
      <w:pPr>
        <w:spacing w:after="0" w:line="283" w:lineRule="exact"/>
        <w:rPr>
          <w:sz w:val="20"/>
          <w:szCs w:val="20"/>
          <w:color w:val="auto"/>
        </w:rPr>
      </w:pPr>
    </w:p>
    <w:p>
      <w:pPr>
        <w:ind w:left="1840"/>
        <w:spacing w:after="0"/>
        <w:rPr>
          <w:sz w:val="20"/>
          <w:szCs w:val="20"/>
          <w:color w:val="auto"/>
        </w:rPr>
      </w:pPr>
      <w:r>
        <w:rPr>
          <w:rFonts w:ascii="Arial" w:cs="Arial" w:eastAsia="Arial" w:hAnsi="Arial"/>
          <w:sz w:val="37"/>
          <w:szCs w:val="37"/>
          <w:color w:val="auto"/>
        </w:rPr>
        <w:t>N/A</w:t>
      </w:r>
    </w:p>
    <w:p>
      <w:pPr>
        <w:spacing w:after="0" w:line="20" w:lineRule="exact"/>
        <w:rPr>
          <w:sz w:val="20"/>
          <w:szCs w:val="20"/>
          <w:color w:val="auto"/>
        </w:rPr>
      </w:pPr>
    </w:p>
    <w:p>
      <w:pPr>
        <w:ind w:left="1880"/>
        <w:spacing w:after="0"/>
        <w:rPr>
          <w:sz w:val="20"/>
          <w:szCs w:val="20"/>
          <w:color w:val="auto"/>
        </w:rPr>
      </w:pPr>
      <w:r>
        <w:rPr>
          <w:rFonts w:ascii="Arial" w:cs="Arial" w:eastAsia="Arial" w:hAnsi="Arial"/>
          <w:sz w:val="37"/>
          <w:szCs w:val="37"/>
          <w:color w:val="auto"/>
        </w:rPr>
        <w:t>N/A</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37"/>
          <w:szCs w:val="37"/>
          <w:color w:val="auto"/>
        </w:rPr>
        <w:t>250 bps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 xml:space="preserve">Q2 Financial Highlights </w:t>
      </w:r>
      <w:r>
        <w:rPr>
          <w:rFonts w:ascii="Arial" w:cs="Arial" w:eastAsia="Arial" w:hAnsi="Arial"/>
          <w:sz w:val="31"/>
          <w:szCs w:val="31"/>
          <w:b w:val="1"/>
          <w:bCs w:val="1"/>
          <w:color w:val="D47C18"/>
          <w:vertAlign w:val="superscript"/>
        </w:rPr>
        <w:t>(1)</w:t>
      </w: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$1.7B</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$43M</w:t>
      </w:r>
      <w:r>
        <w:rPr>
          <w:rFonts w:ascii="Arial" w:cs="Arial" w:eastAsia="Arial" w:hAnsi="Arial"/>
          <w:sz w:val="40"/>
          <w:szCs w:val="40"/>
          <w:b w:val="1"/>
          <w:bCs w:val="1"/>
          <w:color w:val="auto"/>
        </w:rPr>
        <w:t xml:space="preserve"> </w:t>
      </w:r>
      <w:r>
        <w:rPr>
          <w:rFonts w:ascii="Arial" w:cs="Arial" w:eastAsia="Arial" w:hAnsi="Arial"/>
          <w:sz w:val="33"/>
          <w:szCs w:val="33"/>
          <w:b w:val="1"/>
          <w:bCs w:val="1"/>
          <w:color w:val="D47C18"/>
          <w:vertAlign w:val="superscript"/>
        </w:rPr>
        <w:t>(2)</w:t>
      </w: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2.5%</w:t>
      </w:r>
    </w:p>
    <w:p>
      <w:pPr>
        <w:spacing w:after="0" w:line="240" w:lineRule="exact"/>
        <w:rPr>
          <w:sz w:val="20"/>
          <w:szCs w:val="20"/>
          <w:color w:val="auto"/>
        </w:rPr>
      </w:pPr>
    </w:p>
    <w:p>
      <w:pPr>
        <w:sectPr>
          <w:pgSz w:w="11900" w:h="16838" w:orient="portrait"/>
          <w:cols w:equalWidth="0" w:num="2">
            <w:col w:w="2880" w:space="380"/>
            <w:col w:w="6320"/>
          </w:cols>
          <w:pgMar w:left="1280" w:top="37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right="860" w:hanging="225"/>
        <w:spacing w:after="0" w:line="207" w:lineRule="auto"/>
        <w:tabs>
          <w:tab w:leader="none" w:pos="322" w:val="left"/>
        </w:tabs>
        <w:numPr>
          <w:ilvl w:val="0"/>
          <w:numId w:val="9"/>
        </w:numPr>
        <w:rPr>
          <w:rFonts w:ascii="Arial" w:cs="Arial" w:eastAsia="Arial" w:hAnsi="Arial"/>
          <w:sz w:val="26"/>
          <w:szCs w:val="26"/>
          <w:b w:val="1"/>
          <w:bCs w:val="1"/>
          <w:color w:val="auto"/>
          <w:vertAlign w:val="superscript"/>
        </w:rPr>
      </w:pPr>
      <w:r>
        <w:rPr>
          <w:rFonts w:ascii="Arial" w:cs="Arial" w:eastAsia="Arial" w:hAnsi="Arial"/>
          <w:sz w:val="18"/>
          <w:szCs w:val="18"/>
          <w:color w:val="auto"/>
        </w:rPr>
        <w:t>Included in these amounts is Italy, which had revenue of $259M (+12% in USD, 21% in CC) and OUP of $14M (+99% in USD, +115% in CC).</w:t>
      </w:r>
    </w:p>
    <w:p>
      <w:pPr>
        <w:spacing w:after="0" w:line="101" w:lineRule="exact"/>
        <w:rPr>
          <w:rFonts w:ascii="Arial" w:cs="Arial" w:eastAsia="Arial" w:hAnsi="Arial"/>
          <w:sz w:val="26"/>
          <w:szCs w:val="26"/>
          <w:b w:val="1"/>
          <w:bCs w:val="1"/>
          <w:color w:val="auto"/>
          <w:vertAlign w:val="superscript"/>
        </w:rPr>
      </w:pPr>
    </w:p>
    <w:p>
      <w:pPr>
        <w:ind w:left="260" w:hanging="194"/>
        <w:spacing w:after="0"/>
        <w:tabs>
          <w:tab w:leader="none" w:pos="260" w:val="left"/>
        </w:tabs>
        <w:numPr>
          <w:ilvl w:val="1"/>
          <w:numId w:val="9"/>
        </w:numPr>
        <w:rPr>
          <w:rFonts w:ascii="Arial" w:cs="Arial" w:eastAsia="Arial" w:hAnsi="Arial"/>
          <w:sz w:val="23"/>
          <w:szCs w:val="23"/>
          <w:b w:val="1"/>
          <w:bCs w:val="1"/>
          <w:color w:val="auto"/>
          <w:vertAlign w:val="superscript"/>
        </w:rPr>
      </w:pPr>
      <w:r>
        <w:rPr>
          <w:rFonts w:ascii="Arial" w:cs="Arial" w:eastAsia="Arial" w:hAnsi="Arial"/>
          <w:sz w:val="17"/>
          <w:szCs w:val="17"/>
          <w:color w:val="auto"/>
        </w:rPr>
        <w:t>2009 includes reorganization charges of $5.5M.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558165</wp:posOffset>
            </wp:positionV>
            <wp:extent cx="727329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580"/>
          </w:cols>
          <w:pgMar w:left="1280" w:top="375" w:right="1039" w:bottom="1440" w:gutter="0" w:footer="0" w:header="0"/>
          <w:type w:val="continuous"/>
        </w:sectPr>
      </w:pPr>
    </w:p>
    <w:bookmarkStart w:id="19" w:name="page20"/>
    <w:bookmarkEnd w:id="19"/>
    <w:tbl>
      <w:tblPr>
        <w:tblLayout w:type="fixed"/>
        <w:tblInd w:w="21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380" w:type="dxa"/>
            <w:vAlign w:val="bottom"/>
          </w:tcPr>
          <w:p>
            <w:pPr>
              <w:jc w:val="right"/>
              <w:spacing w:after="0"/>
              <w:rPr>
                <w:sz w:val="20"/>
                <w:szCs w:val="20"/>
                <w:color w:val="auto"/>
              </w:rPr>
            </w:pPr>
            <w:r>
              <w:rPr>
                <w:rFonts w:ascii="Arial" w:cs="Arial" w:eastAsia="Arial" w:hAnsi="Arial"/>
                <w:sz w:val="17"/>
                <w:szCs w:val="17"/>
                <w:color w:val="FFFFFF"/>
              </w:rPr>
              <w:t>9</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380" w:type="dxa"/>
            <w:vAlign w:val="bottom"/>
          </w:tcPr>
          <w:p>
            <w:pPr>
              <w:spacing w:after="0"/>
              <w:rPr>
                <w:sz w:val="17"/>
                <w:szCs w:val="17"/>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40"/>
          <w:szCs w:val="40"/>
          <w:color w:val="5F81AA"/>
        </w:rPr>
        <w:t>EMEA - Q2 Revenue Growth YoY</w:t>
      </w:r>
    </w:p>
    <w:p>
      <w:pPr>
        <w:spacing w:after="0" w:line="190" w:lineRule="exact"/>
        <w:rPr>
          <w:sz w:val="20"/>
          <w:szCs w:val="20"/>
          <w:color w:val="auto"/>
        </w:rPr>
      </w:pPr>
    </w:p>
    <w:p>
      <w:pPr>
        <w:ind w:left="1100" w:right="8820" w:firstLine="6"/>
        <w:spacing w:after="0" w:line="283" w:lineRule="auto"/>
        <w:tabs>
          <w:tab w:leader="none" w:pos="1367"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D47C18"/>
        </w:rPr>
        <w:t>15%</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27"/>
          <w:szCs w:val="27"/>
          <w:b w:val="1"/>
          <w:bCs w:val="1"/>
          <w:color w:val="D47C18"/>
        </w:rPr>
        <w:t>14%</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27"/>
          <w:szCs w:val="27"/>
          <w:b w:val="1"/>
          <w:bCs w:val="1"/>
          <w:color w:val="D47C18"/>
        </w:rPr>
        <w:t>14%</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27"/>
          <w:szCs w:val="27"/>
          <w:b w:val="1"/>
          <w:bCs w:val="1"/>
          <w:color w:val="D47C18"/>
        </w:rPr>
        <w:t>11%</w:t>
      </w:r>
    </w:p>
    <w:p>
      <w:pPr>
        <w:spacing w:after="0" w:line="296" w:lineRule="exact"/>
        <w:rPr>
          <w:sz w:val="20"/>
          <w:szCs w:val="20"/>
          <w:color w:val="auto"/>
        </w:rPr>
      </w:pPr>
    </w:p>
    <w:p>
      <w:pPr>
        <w:jc w:val="right"/>
        <w:ind w:right="9640"/>
        <w:spacing w:after="0"/>
        <w:rPr>
          <w:sz w:val="20"/>
          <w:szCs w:val="20"/>
          <w:color w:val="auto"/>
        </w:rPr>
      </w:pPr>
      <w:r>
        <w:rPr>
          <w:rFonts w:ascii="Arial" w:cs="Arial" w:eastAsia="Arial" w:hAnsi="Arial"/>
          <w:sz w:val="27"/>
          <w:szCs w:val="27"/>
          <w:b w:val="1"/>
          <w:bCs w:val="1"/>
          <w:color w:val="D47C18"/>
        </w:rPr>
        <w:t>10%</w:t>
      </w:r>
    </w:p>
    <w:p>
      <w:pPr>
        <w:spacing w:after="0" w:line="250" w:lineRule="exact"/>
        <w:rPr>
          <w:sz w:val="20"/>
          <w:szCs w:val="20"/>
          <w:color w:val="auto"/>
        </w:rPr>
      </w:pPr>
    </w:p>
    <w:p>
      <w:pPr>
        <w:jc w:val="right"/>
        <w:ind w:right="9640"/>
        <w:spacing w:after="0"/>
        <w:rPr>
          <w:sz w:val="20"/>
          <w:szCs w:val="20"/>
          <w:color w:val="auto"/>
        </w:rPr>
      </w:pPr>
      <w:r>
        <w:rPr>
          <w:rFonts w:ascii="Arial" w:cs="Arial" w:eastAsia="Arial" w:hAnsi="Arial"/>
          <w:sz w:val="27"/>
          <w:szCs w:val="27"/>
          <w:b w:val="1"/>
          <w:bCs w:val="1"/>
          <w:color w:val="D47C18"/>
        </w:rPr>
        <w:t>8%</w:t>
      </w:r>
    </w:p>
    <w:p>
      <w:pPr>
        <w:spacing w:after="0" w:line="307" w:lineRule="exact"/>
        <w:rPr>
          <w:sz w:val="20"/>
          <w:szCs w:val="20"/>
          <w:color w:val="auto"/>
        </w:rPr>
      </w:pPr>
    </w:p>
    <w:p>
      <w:pPr>
        <w:ind w:left="1420"/>
        <w:spacing w:after="0"/>
        <w:rPr>
          <w:sz w:val="20"/>
          <w:szCs w:val="20"/>
          <w:color w:val="auto"/>
        </w:rPr>
      </w:pPr>
      <w:r>
        <w:rPr>
          <w:rFonts w:ascii="Arial" w:cs="Arial" w:eastAsia="Arial" w:hAnsi="Arial"/>
          <w:sz w:val="27"/>
          <w:szCs w:val="27"/>
          <w:b w:val="1"/>
          <w:bCs w:val="1"/>
          <w:color w:val="D47C18"/>
        </w:rPr>
        <w:t>5%</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27"/>
          <w:szCs w:val="27"/>
          <w:b w:val="1"/>
          <w:bCs w:val="1"/>
          <w:color w:val="D47C18"/>
        </w:rPr>
        <w:t>23%</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Revenue</w:t>
            </w:r>
          </w:p>
        </w:tc>
        <w:tc>
          <w:tcPr>
            <w:tcW w:w="5460" w:type="dxa"/>
            <w:vAlign w:val="bottom"/>
          </w:tcPr>
          <w:p>
            <w:pPr>
              <w:ind w:left="460"/>
              <w:spacing w:after="0"/>
              <w:rPr>
                <w:sz w:val="20"/>
                <w:szCs w:val="20"/>
                <w:color w:val="auto"/>
              </w:rPr>
            </w:pPr>
            <w:r>
              <w:rPr>
                <w:rFonts w:ascii="Arial" w:cs="Arial" w:eastAsia="Arial" w:hAnsi="Arial"/>
                <w:sz w:val="21"/>
                <w:szCs w:val="21"/>
                <w:b w:val="1"/>
                <w:bCs w:val="1"/>
                <w:color w:val="auto"/>
              </w:rPr>
              <w:t>Revenue Growth - CC</w:t>
            </w:r>
          </w:p>
        </w:tc>
      </w:tr>
      <w:tr>
        <w:trPr>
          <w:trHeight w:val="283"/>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Growth</w:t>
            </w:r>
          </w:p>
        </w:tc>
        <w:tc>
          <w:tcPr>
            <w:tcW w:w="5460" w:type="dxa"/>
            <w:vAlign w:val="bottom"/>
          </w:tcPr>
          <w:p>
            <w:pPr>
              <w:spacing w:after="0"/>
              <w:rPr>
                <w:sz w:val="24"/>
                <w:szCs w:val="24"/>
                <w:color w:val="auto"/>
              </w:rPr>
            </w:pPr>
          </w:p>
        </w:tc>
      </w:tr>
      <w:tr>
        <w:trPr>
          <w:trHeight w:val="984"/>
        </w:trPr>
        <w:tc>
          <w:tcPr>
            <w:tcW w:w="59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0" w:name="page21"/>
    <w:bookmarkEnd w:id="20"/>
    <w:tbl>
      <w:tblPr>
        <w:tblLayout w:type="fixed"/>
        <w:tblInd w:w="110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10</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color w:val="5F81AA"/>
        </w:rPr>
        <w:t>Asia Pacific Segment</w:t>
      </w:r>
    </w:p>
    <w:p>
      <w:pPr>
        <w:spacing w:after="0"/>
        <w:rPr>
          <w:sz w:val="20"/>
          <w:szCs w:val="20"/>
          <w:color w:val="auto"/>
        </w:rPr>
      </w:pPr>
      <w:r>
        <w:rPr>
          <w:rFonts w:ascii="Arial" w:cs="Arial" w:eastAsia="Arial" w:hAnsi="Arial"/>
          <w:sz w:val="30"/>
          <w:szCs w:val="30"/>
          <w:color w:val="5F81AA"/>
        </w:rPr>
        <w:t>(11% of Revenue)</w:t>
      </w:r>
    </w:p>
    <w:p>
      <w:pPr>
        <w:spacing w:after="0" w:line="345" w:lineRule="exact"/>
        <w:rPr>
          <w:sz w:val="20"/>
          <w:szCs w:val="20"/>
          <w:color w:val="auto"/>
        </w:rPr>
      </w:pPr>
    </w:p>
    <w:tbl>
      <w:tblPr>
        <w:tblLayout w:type="fixed"/>
        <w:tblInd w:w="1480" w:type="dxa"/>
        <w:tblCellMar>
          <w:top w:w="0" w:type="dxa"/>
          <w:left w:w="0" w:type="dxa"/>
          <w:bottom w:w="0" w:type="dxa"/>
          <w:right w:w="0" w:type="dxa"/>
        </w:tblCellMar>
      </w:tblPr>
      <w:tr>
        <w:trPr>
          <w:trHeight w:val="527"/>
        </w:trPr>
        <w:tc>
          <w:tcPr>
            <w:tcW w:w="1680" w:type="dxa"/>
            <w:vAlign w:val="bottom"/>
          </w:tcPr>
          <w:p>
            <w:pPr>
              <w:spacing w:after="0"/>
              <w:rPr>
                <w:sz w:val="24"/>
                <w:szCs w:val="24"/>
                <w:color w:val="auto"/>
              </w:rPr>
            </w:pPr>
          </w:p>
        </w:tc>
        <w:tc>
          <w:tcPr>
            <w:tcW w:w="4520" w:type="dxa"/>
            <w:vAlign w:val="bottom"/>
          </w:tcPr>
          <w:p>
            <w:pPr>
              <w:ind w:left="100"/>
              <w:spacing w:after="0"/>
              <w:rPr>
                <w:sz w:val="20"/>
                <w:szCs w:val="20"/>
                <w:color w:val="auto"/>
              </w:rPr>
            </w:pPr>
            <w:r>
              <w:rPr>
                <w:rFonts w:ascii="Arial" w:cs="Arial" w:eastAsia="Arial" w:hAnsi="Arial"/>
                <w:sz w:val="40"/>
                <w:szCs w:val="40"/>
                <w:b w:val="1"/>
                <w:bCs w:val="1"/>
                <w:color w:val="auto"/>
                <w:w w:val="98"/>
              </w:rPr>
              <w:t>Q2 Financial Highlights</w:t>
            </w:r>
          </w:p>
        </w:tc>
        <w:tc>
          <w:tcPr>
            <w:tcW w:w="0" w:type="dxa"/>
            <w:vAlign w:val="bottom"/>
          </w:tcPr>
          <w:p>
            <w:pPr>
              <w:spacing w:after="0"/>
              <w:rPr>
                <w:sz w:val="1"/>
                <w:szCs w:val="1"/>
                <w:color w:val="auto"/>
              </w:rPr>
            </w:pPr>
          </w:p>
        </w:tc>
      </w:tr>
      <w:tr>
        <w:trPr>
          <w:trHeight w:val="667"/>
        </w:trPr>
        <w:tc>
          <w:tcPr>
            <w:tcW w:w="1680" w:type="dxa"/>
            <w:vAlign w:val="bottom"/>
          </w:tcPr>
          <w:p>
            <w:pPr>
              <w:jc w:val="center"/>
              <w:spacing w:after="0"/>
              <w:rPr>
                <w:sz w:val="20"/>
                <w:szCs w:val="20"/>
                <w:color w:val="auto"/>
              </w:rPr>
            </w:pPr>
            <w:r>
              <w:rPr>
                <w:rFonts w:ascii="Arial" w:cs="Arial" w:eastAsia="Arial" w:hAnsi="Arial"/>
                <w:sz w:val="37"/>
                <w:szCs w:val="37"/>
                <w:color w:val="auto"/>
                <w:w w:val="97"/>
              </w:rPr>
              <w:t>25%</w:t>
            </w:r>
          </w:p>
        </w:tc>
        <w:tc>
          <w:tcPr>
            <w:tcW w:w="452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$506M</w:t>
            </w:r>
          </w:p>
        </w:tc>
        <w:tc>
          <w:tcPr>
            <w:tcW w:w="0" w:type="dxa"/>
            <w:vAlign w:val="bottom"/>
          </w:tcPr>
          <w:p>
            <w:pPr>
              <w:spacing w:after="0"/>
              <w:rPr>
                <w:sz w:val="1"/>
                <w:szCs w:val="1"/>
                <w:color w:val="auto"/>
              </w:rPr>
            </w:pPr>
          </w:p>
        </w:tc>
      </w:tr>
      <w:tr>
        <w:trPr>
          <w:trHeight w:val="247"/>
        </w:trPr>
        <w:tc>
          <w:tcPr>
            <w:tcW w:w="1680" w:type="dxa"/>
            <w:vAlign w:val="bottom"/>
            <w:vMerge w:val="restart"/>
          </w:tcPr>
          <w:p>
            <w:pPr>
              <w:jc w:val="center"/>
              <w:spacing w:after="0"/>
              <w:rPr>
                <w:sz w:val="20"/>
                <w:szCs w:val="20"/>
                <w:color w:val="auto"/>
              </w:rPr>
            </w:pPr>
            <w:r>
              <w:rPr>
                <w:rFonts w:ascii="Arial" w:cs="Arial" w:eastAsia="Arial" w:hAnsi="Arial"/>
                <w:sz w:val="37"/>
                <w:szCs w:val="37"/>
                <w:color w:val="auto"/>
                <w:w w:val="99"/>
              </w:rPr>
              <w:t>15%</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680" w:type="dxa"/>
            <w:vAlign w:val="bottom"/>
          </w:tcPr>
          <w:p>
            <w:pPr>
              <w:jc w:val="right"/>
              <w:ind w:right="137"/>
              <w:spacing w:after="0" w:line="559" w:lineRule="exact"/>
              <w:rPr>
                <w:sz w:val="20"/>
                <w:szCs w:val="20"/>
                <w:color w:val="auto"/>
              </w:rPr>
            </w:pPr>
            <w:r>
              <w:rPr>
                <w:rFonts w:ascii="Arial" w:cs="Arial" w:eastAsia="Arial" w:hAnsi="Arial"/>
                <w:sz w:val="64"/>
                <w:szCs w:val="64"/>
                <w:color w:val="auto"/>
                <w:w w:val="77"/>
                <w:vertAlign w:val="subscript"/>
              </w:rPr>
              <w:t>237%</w:t>
            </w:r>
            <w:r>
              <w:rPr>
                <w:rFonts w:ascii="Arial" w:cs="Arial" w:eastAsia="Arial" w:hAnsi="Arial"/>
                <w:sz w:val="33"/>
                <w:szCs w:val="33"/>
                <w:color w:val="auto"/>
                <w:w w:val="77"/>
              </w:rPr>
              <w:t>CC</w:t>
            </w:r>
            <w:r>
              <w:rPr>
                <w:rFonts w:ascii="Arial" w:cs="Arial" w:eastAsia="Arial" w:hAnsi="Arial"/>
                <w:sz w:val="15"/>
                <w:szCs w:val="15"/>
                <w:b w:val="1"/>
                <w:bCs w:val="1"/>
                <w:color w:val="D47C18"/>
                <w:w w:val="77"/>
              </w:rPr>
              <w:t>(1)</w:t>
            </w:r>
          </w:p>
        </w:tc>
        <w:tc>
          <w:tcPr>
            <w:tcW w:w="4520" w:type="dxa"/>
            <w:vAlign w:val="bottom"/>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$12M</w:t>
            </w:r>
          </w:p>
        </w:tc>
        <w:tc>
          <w:tcPr>
            <w:tcW w:w="0" w:type="dxa"/>
            <w:vAlign w:val="bottom"/>
          </w:tcPr>
          <w:p>
            <w:pPr>
              <w:spacing w:after="0"/>
              <w:rPr>
                <w:sz w:val="1"/>
                <w:szCs w:val="1"/>
                <w:color w:val="auto"/>
              </w:rPr>
            </w:pPr>
          </w:p>
        </w:tc>
      </w:tr>
      <w:tr>
        <w:trPr>
          <w:trHeight w:val="556"/>
        </w:trPr>
        <w:tc>
          <w:tcPr>
            <w:tcW w:w="1680" w:type="dxa"/>
            <w:vAlign w:val="bottom"/>
          </w:tcPr>
          <w:p>
            <w:pPr>
              <w:jc w:val="center"/>
              <w:spacing w:after="0"/>
              <w:rPr>
                <w:sz w:val="20"/>
                <w:szCs w:val="20"/>
                <w:color w:val="auto"/>
              </w:rPr>
            </w:pPr>
            <w:r>
              <w:rPr>
                <w:rFonts w:ascii="Arial" w:cs="Arial" w:eastAsia="Arial" w:hAnsi="Arial"/>
                <w:sz w:val="37"/>
                <w:szCs w:val="37"/>
                <w:color w:val="auto"/>
                <w:w w:val="82"/>
              </w:rPr>
              <w:t>215% CC</w:t>
            </w:r>
            <w:r>
              <w:rPr>
                <w:rFonts w:ascii="Arial" w:cs="Arial" w:eastAsia="Arial" w:hAnsi="Arial"/>
                <w:sz w:val="37"/>
                <w:szCs w:val="37"/>
                <w:b w:val="1"/>
                <w:bCs w:val="1"/>
                <w:color w:val="D47C18"/>
                <w:w w:val="82"/>
                <w:vertAlign w:val="superscript"/>
              </w:rPr>
              <w:t>(1)</w:t>
            </w:r>
          </w:p>
        </w:tc>
        <w:tc>
          <w:tcPr>
            <w:tcW w:w="4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680" w:type="dxa"/>
            <w:vAlign w:val="bottom"/>
          </w:tcPr>
          <w:p>
            <w:pPr>
              <w:jc w:val="right"/>
              <w:ind w:right="37"/>
              <w:spacing w:after="0"/>
              <w:rPr>
                <w:sz w:val="20"/>
                <w:szCs w:val="20"/>
                <w:color w:val="auto"/>
              </w:rPr>
            </w:pPr>
            <w:r>
              <w:rPr>
                <w:rFonts w:ascii="Arial" w:cs="Arial" w:eastAsia="Arial" w:hAnsi="Arial"/>
                <w:sz w:val="17"/>
                <w:szCs w:val="17"/>
                <w:b w:val="1"/>
                <w:bCs w:val="1"/>
                <w:color w:val="D47C18"/>
              </w:rPr>
              <w:t>(1)</w:t>
            </w:r>
          </w:p>
        </w:tc>
        <w:tc>
          <w:tcPr>
            <w:tcW w:w="452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2.3%</w:t>
            </w:r>
          </w:p>
        </w:tc>
        <w:tc>
          <w:tcPr>
            <w:tcW w:w="0" w:type="dxa"/>
            <w:vAlign w:val="bottom"/>
          </w:tcPr>
          <w:p>
            <w:pPr>
              <w:spacing w:after="0"/>
              <w:rPr>
                <w:sz w:val="1"/>
                <w:szCs w:val="1"/>
                <w:color w:val="auto"/>
              </w:rPr>
            </w:pPr>
          </w:p>
        </w:tc>
      </w:tr>
      <w:tr>
        <w:trPr>
          <w:trHeight w:val="441"/>
        </w:trPr>
        <w:tc>
          <w:tcPr>
            <w:tcW w:w="1680" w:type="dxa"/>
            <w:vAlign w:val="bottom"/>
          </w:tcPr>
          <w:p>
            <w:pPr>
              <w:jc w:val="center"/>
              <w:spacing w:after="0"/>
              <w:rPr>
                <w:sz w:val="20"/>
                <w:szCs w:val="20"/>
                <w:color w:val="auto"/>
              </w:rPr>
            </w:pPr>
            <w:r>
              <w:rPr>
                <w:rFonts w:ascii="Arial" w:cs="Arial" w:eastAsia="Arial" w:hAnsi="Arial"/>
                <w:sz w:val="37"/>
                <w:szCs w:val="37"/>
                <w:color w:val="auto"/>
                <w:w w:val="98"/>
              </w:rPr>
              <w:t>140 bps</w:t>
            </w:r>
          </w:p>
        </w:tc>
        <w:tc>
          <w:tcPr>
            <w:tcW w:w="4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hanging="188"/>
        <w:spacing w:after="0"/>
        <w:tabs>
          <w:tab w:leader="none" w:pos="220" w:val="left"/>
        </w:tabs>
        <w:numPr>
          <w:ilvl w:val="0"/>
          <w:numId w:val="11"/>
        </w:numPr>
        <w:rPr>
          <w:rFonts w:ascii="Arial" w:cs="Arial" w:eastAsia="Arial" w:hAnsi="Arial"/>
          <w:sz w:val="23"/>
          <w:szCs w:val="23"/>
          <w:b w:val="1"/>
          <w:bCs w:val="1"/>
          <w:color w:val="auto"/>
          <w:vertAlign w:val="superscript"/>
        </w:rPr>
      </w:pPr>
      <w:r>
        <w:rPr>
          <w:rFonts w:ascii="Arial" w:cs="Arial" w:eastAsia="Arial" w:hAnsi="Arial"/>
          <w:sz w:val="17"/>
          <w:szCs w:val="17"/>
          <w:color w:val="auto"/>
        </w:rPr>
        <w:t>2009 includes reorganization charges of $1.5M.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812165</wp:posOffset>
            </wp:positionV>
            <wp:extent cx="72732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80"/>
          </w:cols>
          <w:pgMar w:left="1280" w:top="375" w:right="939" w:bottom="1440" w:gutter="0" w:footer="0" w:header="0"/>
        </w:sectPr>
      </w:pPr>
    </w:p>
    <w:bookmarkStart w:id="21" w:name="page22"/>
    <w:bookmarkEnd w:id="21"/>
    <w:tbl>
      <w:tblPr>
        <w:tblLayout w:type="fixed"/>
        <w:tblInd w:w="21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11</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Arial" w:cs="Arial" w:eastAsia="Arial" w:hAnsi="Arial"/>
          <w:sz w:val="40"/>
          <w:szCs w:val="40"/>
          <w:color w:val="5F81AA"/>
        </w:rPr>
        <w:t>Asia Pacific - Q2 Revenue Growth YoY</w:t>
      </w:r>
    </w:p>
    <w:p>
      <w:pPr>
        <w:spacing w:after="0" w:line="304" w:lineRule="exact"/>
        <w:rPr>
          <w:sz w:val="20"/>
          <w:szCs w:val="20"/>
          <w:color w:val="auto"/>
        </w:rPr>
      </w:pPr>
    </w:p>
    <w:p>
      <w:pPr>
        <w:ind w:left="800" w:right="9420" w:hanging="284"/>
        <w:spacing w:after="0" w:line="307" w:lineRule="auto"/>
        <w:tabs>
          <w:tab w:leader="none" w:pos="787"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27"/>
          <w:szCs w:val="27"/>
          <w:b w:val="1"/>
          <w:bCs w:val="1"/>
          <w:color w:val="D47C18"/>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D47C18"/>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D47C18"/>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Revenue</w:t>
            </w:r>
          </w:p>
        </w:tc>
        <w:tc>
          <w:tcPr>
            <w:tcW w:w="5460" w:type="dxa"/>
            <w:vAlign w:val="bottom"/>
          </w:tcPr>
          <w:p>
            <w:pPr>
              <w:ind w:left="460"/>
              <w:spacing w:after="0"/>
              <w:rPr>
                <w:sz w:val="20"/>
                <w:szCs w:val="20"/>
                <w:color w:val="auto"/>
              </w:rPr>
            </w:pPr>
            <w:r>
              <w:rPr>
                <w:rFonts w:ascii="Arial" w:cs="Arial" w:eastAsia="Arial" w:hAnsi="Arial"/>
                <w:sz w:val="21"/>
                <w:szCs w:val="21"/>
                <w:b w:val="1"/>
                <w:bCs w:val="1"/>
                <w:color w:val="auto"/>
              </w:rPr>
              <w:t>Revenue Growth - CC</w:t>
            </w:r>
          </w:p>
        </w:tc>
      </w:tr>
      <w:tr>
        <w:trPr>
          <w:trHeight w:val="283"/>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Growth</w:t>
            </w:r>
          </w:p>
        </w:tc>
        <w:tc>
          <w:tcPr>
            <w:tcW w:w="5460" w:type="dxa"/>
            <w:vAlign w:val="bottom"/>
          </w:tcPr>
          <w:p>
            <w:pPr>
              <w:spacing w:after="0"/>
              <w:rPr>
                <w:sz w:val="24"/>
                <w:szCs w:val="24"/>
                <w:color w:val="auto"/>
              </w:rPr>
            </w:pPr>
          </w:p>
        </w:tc>
      </w:tr>
      <w:tr>
        <w:trPr>
          <w:trHeight w:val="1087"/>
        </w:trPr>
        <w:tc>
          <w:tcPr>
            <w:tcW w:w="59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2" w:name="page23"/>
    <w:bookmarkEnd w:id="22"/>
    <w:tbl>
      <w:tblPr>
        <w:tblLayout w:type="fixed"/>
        <w:tblInd w:w="21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12</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ind w:left="1060"/>
        <w:spacing w:after="0"/>
        <w:rPr>
          <w:sz w:val="20"/>
          <w:szCs w:val="20"/>
          <w:color w:val="auto"/>
        </w:rPr>
      </w:pPr>
      <w:r>
        <w:rPr>
          <w:rFonts w:ascii="Arial" w:cs="Arial" w:eastAsia="Arial" w:hAnsi="Arial"/>
          <w:sz w:val="40"/>
          <w:szCs w:val="40"/>
          <w:color w:val="5F81AA"/>
        </w:rPr>
        <w:t>Right Management Segment</w:t>
      </w:r>
    </w:p>
    <w:p>
      <w:pPr>
        <w:ind w:left="1060"/>
        <w:spacing w:after="0"/>
        <w:rPr>
          <w:sz w:val="20"/>
          <w:szCs w:val="20"/>
          <w:color w:val="auto"/>
        </w:rPr>
      </w:pPr>
      <w:r>
        <w:rPr>
          <w:rFonts w:ascii="Arial" w:cs="Arial" w:eastAsia="Arial" w:hAnsi="Arial"/>
          <w:sz w:val="30"/>
          <w:szCs w:val="30"/>
          <w:color w:val="5F81AA"/>
        </w:rPr>
        <w:t>(2% of Revenue)</w:t>
      </w:r>
    </w:p>
    <w:p>
      <w:pPr>
        <w:spacing w:after="0" w:line="334" w:lineRule="exact"/>
        <w:rPr>
          <w:sz w:val="20"/>
          <w:szCs w:val="20"/>
          <w:color w:val="auto"/>
        </w:rPr>
      </w:pPr>
    </w:p>
    <w:p>
      <w:pPr>
        <w:ind w:left="4300"/>
        <w:spacing w:after="0"/>
        <w:rPr>
          <w:sz w:val="20"/>
          <w:szCs w:val="20"/>
          <w:color w:val="auto"/>
        </w:rPr>
      </w:pPr>
      <w:r>
        <w:rPr>
          <w:rFonts w:ascii="Arial" w:cs="Arial" w:eastAsia="Arial" w:hAnsi="Arial"/>
          <w:sz w:val="40"/>
          <w:szCs w:val="40"/>
          <w:b w:val="1"/>
          <w:bCs w:val="1"/>
          <w:color w:val="auto"/>
        </w:rPr>
        <w:t>Q2 Financial Highlights</w:t>
      </w:r>
    </w:p>
    <w:p>
      <w:pPr>
        <w:spacing w:after="0" w:line="304" w:lineRule="exact"/>
        <w:rPr>
          <w:sz w:val="20"/>
          <w:szCs w:val="20"/>
          <w:color w:val="auto"/>
        </w:rPr>
      </w:pPr>
    </w:p>
    <w:tbl>
      <w:tblPr>
        <w:tblLayout w:type="fixed"/>
        <w:tblInd w:w="3020" w:type="dxa"/>
        <w:tblCellMar>
          <w:top w:w="0" w:type="dxa"/>
          <w:left w:w="0" w:type="dxa"/>
          <w:bottom w:w="0" w:type="dxa"/>
          <w:right w:w="0" w:type="dxa"/>
        </w:tblCellMar>
      </w:tblPr>
      <w:tr>
        <w:trPr>
          <w:trHeight w:val="441"/>
        </w:trPr>
        <w:tc>
          <w:tcPr>
            <w:tcW w:w="1140" w:type="dxa"/>
            <w:vAlign w:val="bottom"/>
          </w:tcPr>
          <w:p>
            <w:pPr>
              <w:jc w:val="right"/>
              <w:ind w:right="97"/>
              <w:spacing w:after="0"/>
              <w:rPr>
                <w:sz w:val="20"/>
                <w:szCs w:val="20"/>
                <w:color w:val="auto"/>
              </w:rPr>
            </w:pPr>
            <w:r>
              <w:rPr>
                <w:rFonts w:ascii="Arial" w:cs="Arial" w:eastAsia="Arial" w:hAnsi="Arial"/>
                <w:sz w:val="37"/>
                <w:szCs w:val="37"/>
                <w:color w:val="auto"/>
              </w:rPr>
              <w:t>38%</w:t>
            </w:r>
          </w:p>
        </w:tc>
        <w:tc>
          <w:tcPr>
            <w:tcW w:w="2020" w:type="dxa"/>
            <w:vAlign w:val="bottom"/>
            <w:vMerge w:val="restart"/>
          </w:tcPr>
          <w:p>
            <w:pPr>
              <w:ind w:left="280"/>
              <w:spacing w:after="0"/>
              <w:rPr>
                <w:sz w:val="20"/>
                <w:szCs w:val="20"/>
                <w:color w:val="auto"/>
              </w:rPr>
            </w:pPr>
            <w:r>
              <w:rPr>
                <w:rFonts w:ascii="Arial" w:cs="Arial" w:eastAsia="Arial" w:hAnsi="Arial"/>
                <w:sz w:val="40"/>
                <w:szCs w:val="40"/>
                <w:b w:val="1"/>
                <w:bCs w:val="1"/>
                <w:color w:val="auto"/>
              </w:rPr>
              <w:t>Revenue</w:t>
            </w:r>
          </w:p>
        </w:tc>
        <w:tc>
          <w:tcPr>
            <w:tcW w:w="1180" w:type="dxa"/>
            <w:vAlign w:val="bottom"/>
            <w:vMerge w:val="restart"/>
          </w:tcPr>
          <w:p>
            <w:pPr>
              <w:ind w:left="120"/>
              <w:spacing w:after="0"/>
              <w:rPr>
                <w:sz w:val="20"/>
                <w:szCs w:val="20"/>
                <w:color w:val="auto"/>
              </w:rPr>
            </w:pPr>
            <w:r>
              <w:rPr>
                <w:rFonts w:ascii="Arial" w:cs="Arial" w:eastAsia="Arial" w:hAnsi="Arial"/>
                <w:sz w:val="43"/>
                <w:szCs w:val="43"/>
                <w:b w:val="1"/>
                <w:bCs w:val="1"/>
                <w:color w:val="D47C18"/>
                <w:w w:val="96"/>
              </w:rPr>
              <w:t>$99M</w:t>
            </w:r>
          </w:p>
        </w:tc>
        <w:tc>
          <w:tcPr>
            <w:tcW w:w="0" w:type="dxa"/>
            <w:vAlign w:val="bottom"/>
          </w:tcPr>
          <w:p>
            <w:pPr>
              <w:spacing w:after="0"/>
              <w:rPr>
                <w:sz w:val="1"/>
                <w:szCs w:val="1"/>
                <w:color w:val="auto"/>
              </w:rPr>
            </w:pPr>
          </w:p>
        </w:tc>
      </w:tr>
      <w:tr>
        <w:trPr>
          <w:trHeight w:val="235"/>
        </w:trPr>
        <w:tc>
          <w:tcPr>
            <w:tcW w:w="1140" w:type="dxa"/>
            <w:vAlign w:val="bottom"/>
            <w:vMerge w:val="restart"/>
          </w:tcPr>
          <w:p>
            <w:pPr>
              <w:jc w:val="right"/>
              <w:ind w:right="217"/>
              <w:spacing w:after="0"/>
              <w:rPr>
                <w:sz w:val="20"/>
                <w:szCs w:val="20"/>
                <w:color w:val="auto"/>
              </w:rPr>
            </w:pPr>
            <w:r>
              <w:rPr>
                <w:rFonts w:ascii="Arial" w:cs="Arial" w:eastAsia="Arial" w:hAnsi="Arial"/>
                <w:sz w:val="37"/>
                <w:szCs w:val="37"/>
                <w:color w:val="auto"/>
                <w:w w:val="97"/>
              </w:rPr>
              <w:t>38%</w:t>
            </w:r>
          </w:p>
        </w:tc>
        <w:tc>
          <w:tcPr>
            <w:tcW w:w="20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4080" w:type="dxa"/>
            <w:vAlign w:val="bottom"/>
          </w:tcPr>
          <w:p>
            <w:pPr>
              <w:ind w:left="3120"/>
              <w:spacing w:after="0" w:line="330" w:lineRule="exact"/>
              <w:rPr>
                <w:sz w:val="20"/>
                <w:szCs w:val="20"/>
                <w:color w:val="auto"/>
              </w:rPr>
            </w:pPr>
            <w:r>
              <w:rPr>
                <w:rFonts w:ascii="Arial" w:cs="Arial" w:eastAsia="Arial" w:hAnsi="Arial"/>
                <w:sz w:val="37"/>
                <w:szCs w:val="37"/>
                <w:color w:val="auto"/>
              </w:rPr>
              <w:t>CC</w:t>
            </w:r>
          </w:p>
        </w:tc>
        <w:tc>
          <w:tcPr>
            <w:tcW w:w="7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80" w:type="dxa"/>
            <w:vAlign w:val="bottom"/>
          </w:tcPr>
          <w:p>
            <w:pPr>
              <w:jc w:val="center"/>
              <w:ind w:left="2418"/>
              <w:spacing w:after="0" w:line="332" w:lineRule="exact"/>
              <w:rPr>
                <w:sz w:val="20"/>
                <w:szCs w:val="20"/>
                <w:color w:val="auto"/>
              </w:rPr>
            </w:pPr>
            <w:r>
              <w:rPr>
                <w:rFonts w:ascii="Arial" w:cs="Arial" w:eastAsia="Arial" w:hAnsi="Arial"/>
                <w:sz w:val="37"/>
                <w:szCs w:val="37"/>
                <w:color w:val="auto"/>
                <w:w w:val="99"/>
              </w:rPr>
              <w:t>82%</w:t>
            </w:r>
          </w:p>
        </w:tc>
        <w:tc>
          <w:tcPr>
            <w:tcW w:w="7360" w:type="dxa"/>
            <w:vAlign w:val="bottom"/>
            <w:vMerge w:val="restart"/>
          </w:tcPr>
          <w:p>
            <w:pPr>
              <w:jc w:val="center"/>
              <w:ind w:right="4502"/>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$8M</w:t>
            </w:r>
          </w:p>
        </w:tc>
        <w:tc>
          <w:tcPr>
            <w:tcW w:w="0" w:type="dxa"/>
            <w:vAlign w:val="bottom"/>
          </w:tcPr>
          <w:p>
            <w:pPr>
              <w:spacing w:after="0"/>
              <w:rPr>
                <w:sz w:val="1"/>
                <w:szCs w:val="1"/>
                <w:color w:val="auto"/>
              </w:rPr>
            </w:pPr>
          </w:p>
        </w:tc>
      </w:tr>
      <w:tr>
        <w:trPr>
          <w:trHeight w:val="242"/>
        </w:trPr>
        <w:tc>
          <w:tcPr>
            <w:tcW w:w="4080" w:type="dxa"/>
            <w:vAlign w:val="bottom"/>
            <w:vMerge w:val="restart"/>
          </w:tcPr>
          <w:p>
            <w:pPr>
              <w:jc w:val="center"/>
              <w:ind w:left="2338"/>
              <w:spacing w:after="0"/>
              <w:rPr>
                <w:sz w:val="20"/>
                <w:szCs w:val="20"/>
                <w:color w:val="auto"/>
              </w:rPr>
            </w:pPr>
            <w:r>
              <w:rPr>
                <w:rFonts w:ascii="Arial" w:cs="Arial" w:eastAsia="Arial" w:hAnsi="Arial"/>
                <w:sz w:val="37"/>
                <w:szCs w:val="37"/>
                <w:color w:val="auto"/>
                <w:w w:val="99"/>
              </w:rPr>
              <w:t>82%</w:t>
            </w:r>
          </w:p>
        </w:tc>
        <w:tc>
          <w:tcPr>
            <w:tcW w:w="7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80" w:type="dxa"/>
            <w:vAlign w:val="bottom"/>
            <w:vMerge w:val="continue"/>
          </w:tcPr>
          <w:p>
            <w:pPr>
              <w:spacing w:after="0"/>
              <w:rPr>
                <w:sz w:val="16"/>
                <w:szCs w:val="16"/>
                <w:color w:val="auto"/>
              </w:rPr>
            </w:pPr>
          </w:p>
        </w:tc>
        <w:tc>
          <w:tcPr>
            <w:tcW w:w="7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080" w:type="dxa"/>
            <w:vAlign w:val="bottom"/>
          </w:tcPr>
          <w:p>
            <w:pPr>
              <w:jc w:val="center"/>
              <w:ind w:left="2318"/>
              <w:spacing w:after="0" w:line="330" w:lineRule="exact"/>
              <w:rPr>
                <w:sz w:val="20"/>
                <w:szCs w:val="20"/>
                <w:color w:val="auto"/>
              </w:rPr>
            </w:pPr>
            <w:r>
              <w:rPr>
                <w:rFonts w:ascii="Arial" w:cs="Arial" w:eastAsia="Arial" w:hAnsi="Arial"/>
                <w:sz w:val="37"/>
                <w:szCs w:val="37"/>
                <w:color w:val="auto"/>
                <w:w w:val="97"/>
              </w:rPr>
              <w:t>CC</w:t>
            </w:r>
          </w:p>
        </w:tc>
        <w:tc>
          <w:tcPr>
            <w:tcW w:w="7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11440" w:type="dxa"/>
            <w:vAlign w:val="bottom"/>
            <w:gridSpan w:val="2"/>
          </w:tcPr>
          <w:p>
            <w:pPr>
              <w:jc w:val="center"/>
              <w:ind w:right="482"/>
              <w:spacing w:after="0"/>
              <w:rPr>
                <w:sz w:val="20"/>
                <w:szCs w:val="20"/>
                <w:color w:val="auto"/>
              </w:rPr>
            </w:pPr>
            <w:r>
              <w:rPr>
                <w:rFonts w:ascii="Arial" w:cs="Arial" w:eastAsia="Arial" w:hAnsi="Arial"/>
                <w:sz w:val="37"/>
                <w:szCs w:val="37"/>
                <w:color w:val="auto"/>
              </w:rPr>
              <w:t>1890</w:t>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7.9%</w:t>
            </w:r>
          </w:p>
        </w:tc>
        <w:tc>
          <w:tcPr>
            <w:tcW w:w="0" w:type="dxa"/>
            <w:vAlign w:val="bottom"/>
          </w:tcPr>
          <w:p>
            <w:pPr>
              <w:spacing w:after="0"/>
              <w:rPr>
                <w:sz w:val="1"/>
                <w:szCs w:val="1"/>
                <w:color w:val="auto"/>
              </w:rPr>
            </w:pPr>
          </w:p>
        </w:tc>
      </w:tr>
      <w:tr>
        <w:trPr>
          <w:trHeight w:val="441"/>
        </w:trPr>
        <w:tc>
          <w:tcPr>
            <w:tcW w:w="4080" w:type="dxa"/>
            <w:vAlign w:val="bottom"/>
          </w:tcPr>
          <w:p>
            <w:pPr>
              <w:jc w:val="center"/>
              <w:ind w:left="2318"/>
              <w:spacing w:after="0"/>
              <w:rPr>
                <w:sz w:val="20"/>
                <w:szCs w:val="20"/>
                <w:color w:val="auto"/>
              </w:rPr>
            </w:pPr>
            <w:r>
              <w:rPr>
                <w:rFonts w:ascii="Arial" w:cs="Arial" w:eastAsia="Arial" w:hAnsi="Arial"/>
                <w:sz w:val="37"/>
                <w:szCs w:val="37"/>
                <w:color w:val="auto"/>
              </w:rPr>
              <w:t>bps</w:t>
            </w:r>
          </w:p>
        </w:tc>
        <w:tc>
          <w:tcPr>
            <w:tcW w:w="7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8"/>
        </w:trPr>
        <w:tc>
          <w:tcPr>
            <w:tcW w:w="408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3" w:name="page24"/>
    <w:bookmarkEnd w:id="23"/>
    <w:tbl>
      <w:tblPr>
        <w:tblLayout w:type="fixed"/>
        <w:tblInd w:w="1068"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13</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ind w:left="8"/>
        <w:spacing w:after="0"/>
        <w:rPr>
          <w:sz w:val="20"/>
          <w:szCs w:val="20"/>
          <w:color w:val="auto"/>
        </w:rPr>
      </w:pPr>
      <w:r>
        <w:rPr>
          <w:rFonts w:ascii="Arial" w:cs="Arial" w:eastAsia="Arial" w:hAnsi="Arial"/>
          <w:sz w:val="40"/>
          <w:szCs w:val="40"/>
          <w:color w:val="5F81AA"/>
        </w:rPr>
        <w:t>Jefferson Wells Segment</w:t>
      </w:r>
    </w:p>
    <w:p>
      <w:pPr>
        <w:ind w:left="8"/>
        <w:spacing w:after="0"/>
        <w:rPr>
          <w:sz w:val="20"/>
          <w:szCs w:val="20"/>
          <w:color w:val="auto"/>
        </w:rPr>
      </w:pPr>
      <w:r>
        <w:rPr>
          <w:rFonts w:ascii="Arial" w:cs="Arial" w:eastAsia="Arial" w:hAnsi="Arial"/>
          <w:sz w:val="30"/>
          <w:szCs w:val="30"/>
          <w:color w:val="5F81AA"/>
        </w:rPr>
        <w:t>(1% of Revenue)</w:t>
      </w:r>
    </w:p>
    <w:p>
      <w:pPr>
        <w:spacing w:after="0" w:line="334" w:lineRule="exact"/>
        <w:rPr>
          <w:sz w:val="20"/>
          <w:szCs w:val="20"/>
          <w:color w:val="auto"/>
        </w:rPr>
      </w:pPr>
    </w:p>
    <w:p>
      <w:pPr>
        <w:ind w:left="3228"/>
        <w:spacing w:after="0"/>
        <w:rPr>
          <w:sz w:val="20"/>
          <w:szCs w:val="20"/>
          <w:color w:val="auto"/>
        </w:rPr>
      </w:pPr>
      <w:r>
        <w:rPr>
          <w:rFonts w:ascii="Arial" w:cs="Arial" w:eastAsia="Arial" w:hAnsi="Arial"/>
          <w:sz w:val="40"/>
          <w:szCs w:val="40"/>
          <w:b w:val="1"/>
          <w:bCs w:val="1"/>
          <w:color w:val="auto"/>
        </w:rPr>
        <w:t>Q2 Financial Highlights</w:t>
      </w:r>
    </w:p>
    <w:p>
      <w:pPr>
        <w:spacing w:after="0" w:line="200" w:lineRule="exact"/>
        <w:rPr>
          <w:sz w:val="20"/>
          <w:szCs w:val="20"/>
          <w:color w:val="auto"/>
        </w:rPr>
      </w:pPr>
    </w:p>
    <w:p>
      <w:pPr>
        <w:spacing w:after="0" w:line="228" w:lineRule="exact"/>
        <w:rPr>
          <w:sz w:val="20"/>
          <w:szCs w:val="20"/>
          <w:color w:val="auto"/>
        </w:rPr>
      </w:pPr>
    </w:p>
    <w:p>
      <w:pPr>
        <w:ind w:left="1928"/>
        <w:spacing w:after="0"/>
        <w:tabs>
          <w:tab w:leader="none" w:pos="3348" w:val="left"/>
        </w:tabs>
        <w:rPr>
          <w:sz w:val="20"/>
          <w:szCs w:val="20"/>
          <w:color w:val="auto"/>
        </w:rPr>
      </w:pPr>
      <w:r>
        <w:rPr>
          <w:rFonts w:ascii="Arial" w:cs="Arial" w:eastAsia="Arial" w:hAnsi="Arial"/>
          <w:sz w:val="37"/>
          <w:szCs w:val="37"/>
          <w:color w:val="auto"/>
        </w:rPr>
        <w:t>16%</w:t>
      </w:r>
      <w:r>
        <w:rPr>
          <w:sz w:val="20"/>
          <w:szCs w:val="20"/>
          <w:color w:val="auto"/>
        </w:rPr>
        <w:tab/>
      </w: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$41M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28"/>
        <w:spacing w:after="0"/>
        <w:tabs>
          <w:tab w:leader="none" w:pos="3368" w:val="left"/>
        </w:tabs>
        <w:rPr>
          <w:sz w:val="20"/>
          <w:szCs w:val="20"/>
          <w:color w:val="auto"/>
        </w:rPr>
      </w:pPr>
      <w:r>
        <w:rPr>
          <w:rFonts w:ascii="Arial" w:cs="Arial" w:eastAsia="Arial" w:hAnsi="Arial"/>
          <w:sz w:val="37"/>
          <w:szCs w:val="37"/>
          <w:color w:val="auto"/>
        </w:rPr>
        <w:t>N/A</w:t>
      </w:r>
      <w:r>
        <w:rPr>
          <w:sz w:val="20"/>
          <w:szCs w:val="20"/>
          <w:color w:val="auto"/>
        </w:rPr>
        <w:tab/>
      </w: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$(3M)</w:t>
      </w:r>
    </w:p>
    <w:p>
      <w:pPr>
        <w:spacing w:after="0" w:line="200" w:lineRule="exact"/>
        <w:rPr>
          <w:sz w:val="20"/>
          <w:szCs w:val="20"/>
          <w:color w:val="auto"/>
        </w:rPr>
      </w:pPr>
    </w:p>
    <w:p>
      <w:pPr>
        <w:spacing w:after="0" w:line="340" w:lineRule="exact"/>
        <w:rPr>
          <w:sz w:val="20"/>
          <w:szCs w:val="20"/>
          <w:color w:val="auto"/>
        </w:rPr>
      </w:pPr>
    </w:p>
    <w:p>
      <w:pPr>
        <w:ind w:left="1828"/>
        <w:spacing w:after="0"/>
        <w:tabs>
          <w:tab w:leader="none" w:pos="3348" w:val="left"/>
        </w:tabs>
        <w:rPr>
          <w:sz w:val="20"/>
          <w:szCs w:val="20"/>
          <w:color w:val="auto"/>
        </w:rPr>
      </w:pPr>
      <w:r>
        <w:rPr>
          <w:rFonts w:ascii="Arial" w:cs="Arial" w:eastAsia="Arial" w:hAnsi="Arial"/>
          <w:sz w:val="37"/>
          <w:szCs w:val="37"/>
          <w:color w:val="auto"/>
        </w:rPr>
        <w:t xml:space="preserve">1370 </w:t>
      </w:r>
      <w:r>
        <w:rPr>
          <w:rFonts w:ascii="Arial" w:cs="Arial" w:eastAsia="Arial" w:hAnsi="Arial"/>
          <w:sz w:val="37"/>
          <w:szCs w:val="37"/>
          <w:b w:val="1"/>
          <w:bCs w:val="1"/>
          <w:color w:val="D47C18"/>
          <w:vertAlign w:val="superscript"/>
        </w:rPr>
        <w:t>(1)</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- 7.5%</w:t>
      </w:r>
    </w:p>
    <w:p>
      <w:pPr>
        <w:spacing w:after="0" w:line="101" w:lineRule="exact"/>
        <w:rPr>
          <w:sz w:val="20"/>
          <w:szCs w:val="20"/>
          <w:color w:val="auto"/>
        </w:rPr>
      </w:pPr>
    </w:p>
    <w:p>
      <w:pPr>
        <w:ind w:left="1948"/>
        <w:spacing w:after="0"/>
        <w:rPr>
          <w:sz w:val="20"/>
          <w:szCs w:val="20"/>
          <w:color w:val="auto"/>
        </w:rPr>
      </w:pPr>
      <w:r>
        <w:rPr>
          <w:rFonts w:ascii="Arial" w:cs="Arial" w:eastAsia="Arial" w:hAnsi="Arial"/>
          <w:sz w:val="37"/>
          <w:szCs w:val="37"/>
          <w:color w:val="auto"/>
        </w:rPr>
        <w:t>bps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8" w:hanging="188"/>
        <w:spacing w:after="0"/>
        <w:tabs>
          <w:tab w:leader="none" w:pos="188" w:val="left"/>
        </w:tabs>
        <w:numPr>
          <w:ilvl w:val="0"/>
          <w:numId w:val="13"/>
        </w:numPr>
        <w:rPr>
          <w:rFonts w:ascii="Arial" w:cs="Arial" w:eastAsia="Arial" w:hAnsi="Arial"/>
          <w:sz w:val="23"/>
          <w:szCs w:val="23"/>
          <w:b w:val="1"/>
          <w:bCs w:val="1"/>
          <w:color w:val="auto"/>
          <w:vertAlign w:val="superscript"/>
        </w:rPr>
      </w:pPr>
      <w:r>
        <w:rPr>
          <w:rFonts w:ascii="Arial" w:cs="Arial" w:eastAsia="Arial" w:hAnsi="Arial"/>
          <w:sz w:val="17"/>
          <w:szCs w:val="17"/>
          <w:color w:val="auto"/>
        </w:rPr>
        <w:t>2009 includes reorganization charges of $5.9M.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812165</wp:posOffset>
            </wp:positionV>
            <wp:extent cx="727329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48"/>
          </w:cols>
          <w:pgMar w:left="1312" w:top="375" w:right="939" w:bottom="1440" w:gutter="0" w:footer="0" w:header="0"/>
        </w:sectPr>
      </w:pPr>
    </w:p>
    <w:bookmarkStart w:id="24" w:name="page25"/>
    <w:bookmarkEnd w:id="24"/>
    <w:tbl>
      <w:tblPr>
        <w:tblLayout w:type="fixed"/>
        <w:tblInd w:w="118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14</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ind w:left="80"/>
        <w:spacing w:after="0"/>
        <w:rPr>
          <w:sz w:val="20"/>
          <w:szCs w:val="20"/>
          <w:color w:val="auto"/>
        </w:rPr>
      </w:pPr>
      <w:r>
        <w:rPr>
          <w:rFonts w:ascii="Arial" w:cs="Arial" w:eastAsia="Arial" w:hAnsi="Arial"/>
          <w:sz w:val="40"/>
          <w:szCs w:val="40"/>
          <w:color w:val="5F81AA"/>
        </w:rPr>
        <w:t>Cash Flow Summary - First Half</w:t>
      </w:r>
    </w:p>
    <w:p>
      <w:pPr>
        <w:sectPr>
          <w:pgSz w:w="11900" w:h="16838" w:orient="portrait"/>
          <w:cols w:equalWidth="0" w:num="1">
            <w:col w:w="9760"/>
          </w:cols>
          <w:pgMar w:left="1200" w:top="375" w:right="939" w:bottom="1440" w:gutter="0" w:footer="0" w:header="0"/>
        </w:sect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27"/>
          <w:szCs w:val="27"/>
          <w:color w:val="D47C18"/>
        </w:rPr>
        <w:t>($ in millions)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30"/>
          <w:szCs w:val="30"/>
          <w:b w:val="1"/>
          <w:bCs w:val="1"/>
          <w:color w:val="auto"/>
        </w:rPr>
        <w:t>Cash from Operations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30"/>
          <w:szCs w:val="30"/>
          <w:b w:val="1"/>
          <w:bCs w:val="1"/>
          <w:color w:val="auto"/>
        </w:rPr>
        <w:t>Capital</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auto"/>
        </w:rPr>
        <w:t>Free</w:t>
      </w:r>
      <w:r>
        <w:rPr>
          <w:rFonts w:ascii="Arial" w:cs="Arial" w:eastAsia="Arial" w:hAnsi="Arial"/>
          <w:sz w:val="57"/>
          <w:szCs w:val="57"/>
          <w:b w:val="1"/>
          <w:bCs w:val="1"/>
          <w:color w:val="auto"/>
          <w:vertAlign w:val="superscript"/>
        </w:rPr>
        <w:t>Expenditures</w:t>
      </w:r>
      <w:r>
        <w:rPr>
          <w:rFonts w:ascii="Arial" w:cs="Arial" w:eastAsia="Arial" w:hAnsi="Arial"/>
          <w:sz w:val="29"/>
          <w:szCs w:val="29"/>
          <w:b w:val="1"/>
          <w:bCs w:val="1"/>
          <w:color w:val="auto"/>
        </w:rPr>
        <w:t>CashFlow</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30"/>
          <w:szCs w:val="30"/>
          <w:b w:val="1"/>
          <w:bCs w:val="1"/>
          <w:color w:val="auto"/>
        </w:rPr>
        <w:t>Change in</w:t>
      </w:r>
    </w:p>
    <w:p>
      <w:pPr>
        <w:jc w:val="center"/>
        <w:ind w:right="2900"/>
        <w:spacing w:after="0" w:line="191" w:lineRule="auto"/>
        <w:rPr>
          <w:sz w:val="20"/>
          <w:szCs w:val="20"/>
          <w:color w:val="auto"/>
        </w:rPr>
      </w:pPr>
      <w:r>
        <w:rPr>
          <w:rFonts w:ascii="Arial" w:cs="Arial" w:eastAsia="Arial" w:hAnsi="Arial"/>
          <w:sz w:val="11"/>
          <w:szCs w:val="11"/>
          <w:b w:val="1"/>
          <w:bCs w:val="1"/>
          <w:color w:val="auto"/>
        </w:rPr>
        <w:t>Debt</w:t>
      </w:r>
    </w:p>
    <w:p>
      <w:pPr>
        <w:ind w:left="40" w:right="2020"/>
        <w:spacing w:after="0" w:line="385" w:lineRule="auto"/>
        <w:rPr>
          <w:sz w:val="20"/>
          <w:szCs w:val="20"/>
          <w:color w:val="auto"/>
        </w:rPr>
      </w:pPr>
      <w:r>
        <w:rPr>
          <w:rFonts w:ascii="Arial" w:cs="Arial" w:eastAsia="Arial" w:hAnsi="Arial"/>
          <w:sz w:val="20"/>
          <w:szCs w:val="20"/>
          <w:b w:val="1"/>
          <w:bCs w:val="1"/>
          <w:color w:val="auto"/>
        </w:rPr>
        <w:t>Acquisitions of Businesses,netofcash acquired</w:t>
      </w:r>
    </w:p>
    <w:p>
      <w:pPr>
        <w:spacing w:after="0" w:line="2" w:lineRule="exact"/>
        <w:rPr>
          <w:sz w:val="20"/>
          <w:szCs w:val="20"/>
          <w:color w:val="auto"/>
        </w:rPr>
      </w:pPr>
    </w:p>
    <w:p>
      <w:pPr>
        <w:ind w:right="320"/>
        <w:spacing w:after="0" w:line="350" w:lineRule="auto"/>
        <w:rPr>
          <w:sz w:val="20"/>
          <w:szCs w:val="20"/>
          <w:color w:val="auto"/>
        </w:rPr>
      </w:pPr>
      <w:r>
        <w:rPr>
          <w:rFonts w:ascii="Arial" w:cs="Arial" w:eastAsia="Arial" w:hAnsi="Arial"/>
          <w:sz w:val="30"/>
          <w:szCs w:val="30"/>
          <w:b w:val="1"/>
          <w:bCs w:val="1"/>
          <w:color w:val="auto"/>
        </w:rPr>
        <w:t>Effect of Exchange Rate Changes Other</w:t>
      </w:r>
    </w:p>
    <w:p>
      <w:pPr>
        <w:ind w:left="520"/>
        <w:spacing w:after="0"/>
        <w:rPr>
          <w:sz w:val="20"/>
          <w:szCs w:val="20"/>
          <w:color w:val="auto"/>
        </w:rPr>
      </w:pPr>
      <w:r>
        <w:rPr>
          <w:rFonts w:ascii="Arial" w:cs="Arial" w:eastAsia="Arial" w:hAnsi="Arial"/>
          <w:sz w:val="30"/>
          <w:szCs w:val="30"/>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1313180</wp:posOffset>
            </wp:positionV>
            <wp:extent cx="727329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tabs>
          <w:tab w:leader="none" w:pos="1780" w:val="left"/>
        </w:tabs>
        <w:rPr>
          <w:sz w:val="20"/>
          <w:szCs w:val="20"/>
          <w:color w:val="auto"/>
        </w:rPr>
      </w:pPr>
      <w:r>
        <w:rPr>
          <w:rFonts w:ascii="Arial" w:cs="Arial" w:eastAsia="Arial" w:hAnsi="Arial"/>
          <w:sz w:val="30"/>
          <w:szCs w:val="30"/>
          <w:b w:val="1"/>
          <w:bCs w:val="1"/>
          <w:color w:val="D47C18"/>
        </w:rPr>
        <w:t>2010</w:t>
      </w:r>
      <w:r>
        <w:rPr>
          <w:sz w:val="20"/>
          <w:szCs w:val="20"/>
          <w:color w:val="auto"/>
        </w:rPr>
        <w:tab/>
      </w:r>
      <w:r>
        <w:rPr>
          <w:rFonts w:ascii="Arial" w:cs="Arial" w:eastAsia="Arial" w:hAnsi="Arial"/>
          <w:sz w:val="30"/>
          <w:szCs w:val="30"/>
          <w:b w:val="1"/>
          <w:bCs w:val="1"/>
          <w:color w:val="D47C18"/>
        </w:rPr>
        <w:t>2009</w:t>
      </w:r>
    </w:p>
    <w:p>
      <w:pPr>
        <w:spacing w:after="0" w:line="252" w:lineRule="exact"/>
        <w:rPr>
          <w:sz w:val="20"/>
          <w:szCs w:val="20"/>
          <w:color w:val="auto"/>
        </w:rPr>
      </w:pPr>
    </w:p>
    <w:p>
      <w:pPr>
        <w:ind w:left="1940" w:hanging="1760"/>
        <w:spacing w:after="0"/>
        <w:tabs>
          <w:tab w:leader="none" w:pos="1940" w:val="left"/>
        </w:tabs>
        <w:numPr>
          <w:ilvl w:val="1"/>
          <w:numId w:val="14"/>
        </w:numPr>
        <w:rPr>
          <w:rFonts w:ascii="Arial" w:cs="Arial" w:eastAsia="Arial" w:hAnsi="Arial"/>
          <w:sz w:val="34"/>
          <w:szCs w:val="34"/>
          <w:b w:val="1"/>
          <w:bCs w:val="1"/>
          <w:color w:val="auto"/>
        </w:rPr>
      </w:pPr>
      <w:r>
        <w:rPr>
          <w:rFonts w:ascii="Arial" w:cs="Arial" w:eastAsia="Arial" w:hAnsi="Arial"/>
          <w:sz w:val="34"/>
          <w:szCs w:val="34"/>
          <w:b w:val="1"/>
          <w:bCs w:val="1"/>
          <w:color w:val="auto"/>
        </w:rPr>
        <w:t>379</w:t>
      </w:r>
    </w:p>
    <w:p>
      <w:pPr>
        <w:spacing w:after="0" w:line="66" w:lineRule="exact"/>
        <w:rPr>
          <w:rFonts w:ascii="Arial" w:cs="Arial" w:eastAsia="Arial" w:hAnsi="Arial"/>
          <w:sz w:val="34"/>
          <w:szCs w:val="34"/>
          <w:b w:val="1"/>
          <w:bCs w:val="1"/>
          <w:color w:val="auto"/>
        </w:rPr>
      </w:pPr>
    </w:p>
    <w:p>
      <w:pPr>
        <w:ind w:left="1980" w:hanging="1811"/>
        <w:spacing w:after="0"/>
        <w:tabs>
          <w:tab w:leader="none" w:pos="1980" w:val="left"/>
        </w:tabs>
        <w:numPr>
          <w:ilvl w:val="0"/>
          <w:numId w:val="15"/>
        </w:numPr>
        <w:rPr>
          <w:rFonts w:ascii="Arial" w:cs="Arial" w:eastAsia="Arial" w:hAnsi="Arial"/>
          <w:sz w:val="34"/>
          <w:szCs w:val="34"/>
          <w:b w:val="1"/>
          <w:bCs w:val="1"/>
          <w:color w:val="auto"/>
        </w:rPr>
      </w:pPr>
      <w:r>
        <w:rPr>
          <w:rFonts w:ascii="Arial" w:cs="Arial" w:eastAsia="Arial" w:hAnsi="Arial"/>
          <w:sz w:val="34"/>
          <w:szCs w:val="34"/>
          <w:b w:val="1"/>
          <w:bCs w:val="1"/>
          <w:color w:val="auto"/>
        </w:rPr>
        <w:t>(17)</w:t>
      </w:r>
    </w:p>
    <w:p>
      <w:pPr>
        <w:spacing w:after="0" w:line="54" w:lineRule="exact"/>
        <w:rPr>
          <w:rFonts w:ascii="Arial" w:cs="Arial" w:eastAsia="Arial" w:hAnsi="Arial"/>
          <w:sz w:val="34"/>
          <w:szCs w:val="34"/>
          <w:b w:val="1"/>
          <w:bCs w:val="1"/>
          <w:color w:val="auto"/>
        </w:rPr>
      </w:pPr>
    </w:p>
    <w:p>
      <w:pPr>
        <w:ind w:left="1940" w:hanging="1760"/>
        <w:spacing w:after="0"/>
        <w:tabs>
          <w:tab w:leader="none" w:pos="1940" w:val="left"/>
        </w:tabs>
        <w:numPr>
          <w:ilvl w:val="1"/>
          <w:numId w:val="15"/>
        </w:numPr>
        <w:rPr>
          <w:rFonts w:ascii="Arial" w:cs="Arial" w:eastAsia="Arial" w:hAnsi="Arial"/>
          <w:sz w:val="34"/>
          <w:szCs w:val="34"/>
          <w:b w:val="1"/>
          <w:bCs w:val="1"/>
          <w:color w:val="auto"/>
        </w:rPr>
      </w:pPr>
      <w:r>
        <w:rPr>
          <w:rFonts w:ascii="Arial" w:cs="Arial" w:eastAsia="Arial" w:hAnsi="Arial"/>
          <w:sz w:val="34"/>
          <w:szCs w:val="34"/>
          <w:b w:val="1"/>
          <w:bCs w:val="1"/>
          <w:color w:val="auto"/>
        </w:rPr>
        <w:t>362</w:t>
      </w:r>
    </w:p>
    <w:p>
      <w:pPr>
        <w:spacing w:after="0" w:line="204" w:lineRule="exact"/>
        <w:rPr>
          <w:rFonts w:ascii="Arial" w:cs="Arial" w:eastAsia="Arial" w:hAnsi="Arial"/>
          <w:sz w:val="34"/>
          <w:szCs w:val="34"/>
          <w:b w:val="1"/>
          <w:bCs w:val="1"/>
          <w:color w:val="auto"/>
        </w:rPr>
      </w:pPr>
    </w:p>
    <w:p>
      <w:pPr>
        <w:ind w:left="2060" w:hanging="1604"/>
        <w:spacing w:after="0"/>
        <w:tabs>
          <w:tab w:leader="none" w:pos="2060" w:val="left"/>
        </w:tabs>
        <w:numPr>
          <w:ilvl w:val="2"/>
          <w:numId w:val="15"/>
        </w:numPr>
        <w:rPr>
          <w:rFonts w:ascii="Arial" w:cs="Arial" w:eastAsia="Arial" w:hAnsi="Arial"/>
          <w:sz w:val="32"/>
          <w:szCs w:val="32"/>
          <w:b w:val="1"/>
          <w:bCs w:val="1"/>
          <w:color w:val="auto"/>
        </w:rPr>
      </w:pPr>
      <w:r>
        <w:rPr>
          <w:rFonts w:ascii="Arial" w:cs="Arial" w:eastAsia="Arial" w:hAnsi="Arial"/>
          <w:sz w:val="32"/>
          <w:szCs w:val="32"/>
          <w:b w:val="1"/>
          <w:bCs w:val="1"/>
          <w:color w:val="auto"/>
        </w:rPr>
        <w:t>(85)</w:t>
      </w:r>
    </w:p>
    <w:p>
      <w:pPr>
        <w:spacing w:after="0" w:line="238" w:lineRule="exact"/>
        <w:rPr>
          <w:sz w:val="20"/>
          <w:szCs w:val="20"/>
          <w:color w:val="auto"/>
        </w:rPr>
      </w:pPr>
    </w:p>
    <w:p>
      <w:pPr>
        <w:ind w:left="1980" w:hanging="1805"/>
        <w:spacing w:after="0"/>
        <w:tabs>
          <w:tab w:leader="none" w:pos="1980" w:val="left"/>
        </w:tabs>
        <w:numPr>
          <w:ilvl w:val="0"/>
          <w:numId w:val="16"/>
        </w:numPr>
        <w:rPr>
          <w:rFonts w:ascii="Arial" w:cs="Arial" w:eastAsia="Arial" w:hAnsi="Arial"/>
          <w:sz w:val="34"/>
          <w:szCs w:val="34"/>
          <w:b w:val="1"/>
          <w:bCs w:val="1"/>
          <w:color w:val="auto"/>
        </w:rPr>
      </w:pPr>
      <w:r>
        <w:rPr>
          <w:rFonts w:ascii="Arial" w:cs="Arial" w:eastAsia="Arial" w:hAnsi="Arial"/>
          <w:sz w:val="34"/>
          <w:szCs w:val="34"/>
          <w:b w:val="1"/>
          <w:bCs w:val="1"/>
          <w:color w:val="auto"/>
        </w:rPr>
        <w:t>(22)</w:t>
      </w:r>
    </w:p>
    <w:p>
      <w:pPr>
        <w:spacing w:after="0" w:line="238" w:lineRule="exact"/>
        <w:rPr>
          <w:sz w:val="20"/>
          <w:szCs w:val="20"/>
          <w:color w:val="auto"/>
        </w:rPr>
      </w:pPr>
    </w:p>
    <w:p>
      <w:pPr>
        <w:ind w:left="2140" w:hanging="1948"/>
        <w:spacing w:after="0"/>
        <w:tabs>
          <w:tab w:leader="none" w:pos="2140" w:val="left"/>
        </w:tabs>
        <w:numPr>
          <w:ilvl w:val="0"/>
          <w:numId w:val="17"/>
        </w:numPr>
        <w:rPr>
          <w:rFonts w:ascii="Arial" w:cs="Arial" w:eastAsia="Arial" w:hAnsi="Arial"/>
          <w:sz w:val="34"/>
          <w:szCs w:val="34"/>
          <w:b w:val="1"/>
          <w:bCs w:val="1"/>
          <w:color w:val="auto"/>
        </w:rPr>
      </w:pPr>
      <w:r>
        <w:rPr>
          <w:rFonts w:ascii="Arial" w:cs="Arial" w:eastAsia="Arial" w:hAnsi="Arial"/>
          <w:sz w:val="34"/>
          <w:szCs w:val="34"/>
          <w:b w:val="1"/>
          <w:bCs w:val="1"/>
          <w:color w:val="auto"/>
        </w:rPr>
        <w:t>(1)</w:t>
      </w:r>
    </w:p>
    <w:p>
      <w:pPr>
        <w:spacing w:after="0" w:line="54" w:lineRule="exact"/>
        <w:rPr>
          <w:rFonts w:ascii="Arial" w:cs="Arial" w:eastAsia="Arial" w:hAnsi="Arial"/>
          <w:sz w:val="34"/>
          <w:szCs w:val="34"/>
          <w:b w:val="1"/>
          <w:bCs w:val="1"/>
          <w:color w:val="auto"/>
        </w:rPr>
      </w:pPr>
    </w:p>
    <w:p>
      <w:pPr>
        <w:ind w:left="1980" w:hanging="1698"/>
        <w:spacing w:after="0"/>
        <w:tabs>
          <w:tab w:leader="none" w:pos="1980" w:val="left"/>
        </w:tabs>
        <w:numPr>
          <w:ilvl w:val="1"/>
          <w:numId w:val="17"/>
        </w:numPr>
        <w:rPr>
          <w:rFonts w:ascii="Arial" w:cs="Arial" w:eastAsia="Arial" w:hAnsi="Arial"/>
          <w:sz w:val="34"/>
          <w:szCs w:val="34"/>
          <w:b w:val="1"/>
          <w:bCs w:val="1"/>
          <w:color w:val="auto"/>
        </w:rPr>
      </w:pPr>
      <w:r>
        <w:rPr>
          <w:rFonts w:ascii="Arial" w:cs="Arial" w:eastAsia="Arial" w:hAnsi="Arial"/>
          <w:sz w:val="34"/>
          <w:szCs w:val="34"/>
          <w:b w:val="1"/>
          <w:bCs w:val="1"/>
          <w:color w:val="auto"/>
        </w:rPr>
        <w:t>(21)</w:t>
      </w:r>
    </w:p>
    <w:p>
      <w:pPr>
        <w:spacing w:after="0" w:line="135" w:lineRule="exact"/>
        <w:rPr>
          <w:sz w:val="20"/>
          <w:szCs w:val="20"/>
          <w:color w:val="auto"/>
        </w:rPr>
      </w:pPr>
    </w:p>
    <w:p>
      <w:pPr>
        <w:ind w:left="1960" w:hanging="1951"/>
        <w:spacing w:after="0"/>
        <w:tabs>
          <w:tab w:leader="none" w:pos="1960" w:val="left"/>
        </w:tabs>
        <w:numPr>
          <w:ilvl w:val="0"/>
          <w:numId w:val="18"/>
        </w:numPr>
        <w:rPr>
          <w:rFonts w:ascii="Arial" w:cs="Arial" w:eastAsia="Arial" w:hAnsi="Arial"/>
          <w:sz w:val="34"/>
          <w:szCs w:val="34"/>
          <w:b w:val="1"/>
          <w:bCs w:val="1"/>
          <w:color w:val="auto"/>
        </w:rPr>
      </w:pPr>
      <w:r>
        <w:rPr>
          <w:rFonts w:ascii="Arial" w:cs="Arial" w:eastAsia="Arial" w:hAnsi="Arial"/>
          <w:sz w:val="34"/>
          <w:szCs w:val="34"/>
          <w:b w:val="1"/>
          <w:bCs w:val="1"/>
          <w:color w:val="auto"/>
        </w:rPr>
        <w:t>233</w:t>
      </w:r>
    </w:p>
    <w:p>
      <w:pPr>
        <w:sectPr>
          <w:pgSz w:w="11900" w:h="16838" w:orient="portrait"/>
          <w:cols w:equalWidth="0" w:num="2">
            <w:col w:w="5180" w:space="720"/>
            <w:col w:w="3860"/>
          </w:cols>
          <w:pgMar w:left="1200" w:top="375" w:right="939" w:bottom="1440" w:gutter="0" w:footer="0" w:header="0"/>
          <w:type w:val="continuous"/>
        </w:sectPr>
      </w:pPr>
    </w:p>
    <w:bookmarkStart w:id="25" w:name="page26"/>
    <w:bookmarkEnd w:id="25"/>
    <w:tbl>
      <w:tblPr>
        <w:tblLayout w:type="fixed"/>
        <w:tblInd w:w="110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15</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5F81AA"/>
        </w:rPr>
        <w:t>COMSYS Acquisition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80" w:type="dxa"/>
            <w:vAlign w:val="bottom"/>
          </w:tcPr>
          <w:p>
            <w:pPr>
              <w:spacing w:after="0"/>
              <w:rPr>
                <w:sz w:val="20"/>
                <w:szCs w:val="20"/>
                <w:color w:val="auto"/>
              </w:rPr>
            </w:pPr>
            <w:r>
              <w:rPr>
                <w:rFonts w:ascii="Arial" w:cs="Arial" w:eastAsia="Arial" w:hAnsi="Arial"/>
                <w:sz w:val="27"/>
                <w:szCs w:val="27"/>
                <w:b w:val="1"/>
                <w:bCs w:val="1"/>
                <w:color w:val="auto"/>
              </w:rPr>
              <w:t>Closing date:</w:t>
            </w: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April 5,</w:t>
            </w: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2010</w:t>
            </w: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80" w:type="dxa"/>
            <w:vAlign w:val="bottom"/>
          </w:tcPr>
          <w:p>
            <w:pPr>
              <w:spacing w:after="0"/>
              <w:rPr>
                <w:sz w:val="20"/>
                <w:szCs w:val="20"/>
                <w:color w:val="auto"/>
              </w:rPr>
            </w:pPr>
            <w:r>
              <w:rPr>
                <w:rFonts w:ascii="Arial" w:cs="Arial" w:eastAsia="Arial" w:hAnsi="Arial"/>
                <w:sz w:val="27"/>
                <w:szCs w:val="27"/>
                <w:b w:val="1"/>
                <w:bCs w:val="1"/>
                <w:color w:val="auto"/>
              </w:rPr>
              <w:t>Consideration:</w:t>
            </w: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Cash</w:t>
            </w:r>
          </w:p>
        </w:tc>
        <w:tc>
          <w:tcPr>
            <w:tcW w:w="1560" w:type="dxa"/>
            <w:vAlign w:val="bottom"/>
          </w:tcPr>
          <w:p>
            <w:pPr>
              <w:jc w:val="right"/>
              <w:spacing w:after="0"/>
              <w:rPr>
                <w:sz w:val="20"/>
                <w:szCs w:val="20"/>
                <w:color w:val="auto"/>
              </w:rPr>
            </w:pPr>
            <w:r>
              <w:rPr>
                <w:rFonts w:ascii="Arial" w:cs="Arial" w:eastAsia="Arial" w:hAnsi="Arial"/>
                <w:sz w:val="27"/>
                <w:szCs w:val="27"/>
                <w:b w:val="1"/>
                <w:bCs w:val="1"/>
                <w:color w:val="auto"/>
              </w:rPr>
              <w:t>$192M</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8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Stock</w:t>
            </w:r>
          </w:p>
        </w:tc>
        <w:tc>
          <w:tcPr>
            <w:tcW w:w="1560" w:type="dxa"/>
            <w:vAlign w:val="bottom"/>
          </w:tcPr>
          <w:p>
            <w:pPr>
              <w:jc w:val="right"/>
              <w:spacing w:after="0"/>
              <w:rPr>
                <w:sz w:val="20"/>
                <w:szCs w:val="20"/>
                <w:color w:val="auto"/>
              </w:rPr>
            </w:pPr>
            <w:r>
              <w:rPr>
                <w:rFonts w:ascii="Arial" w:cs="Arial" w:eastAsia="Arial" w:hAnsi="Arial"/>
                <w:sz w:val="27"/>
                <w:szCs w:val="27"/>
                <w:b w:val="1"/>
                <w:bCs w:val="1"/>
                <w:color w:val="auto"/>
              </w:rPr>
              <w:t>188M</w:t>
            </w:r>
          </w:p>
        </w:tc>
        <w:tc>
          <w:tcPr>
            <w:tcW w:w="3620" w:type="dxa"/>
            <w:vAlign w:val="bottom"/>
          </w:tcPr>
          <w:p>
            <w:pPr>
              <w:ind w:left="40"/>
              <w:spacing w:after="0"/>
              <w:rPr>
                <w:sz w:val="20"/>
                <w:szCs w:val="20"/>
                <w:color w:val="auto"/>
              </w:rPr>
            </w:pPr>
            <w:r>
              <w:rPr>
                <w:rFonts w:ascii="Arial" w:cs="Arial" w:eastAsia="Arial" w:hAnsi="Arial"/>
                <w:sz w:val="27"/>
                <w:szCs w:val="27"/>
                <w:b w:val="1"/>
                <w:bCs w:val="1"/>
                <w:color w:val="auto"/>
                <w:w w:val="99"/>
              </w:rPr>
              <w:t>(3.2M shares @ $58.94</w:t>
            </w:r>
            <w:r>
              <w:rPr>
                <w:rFonts w:ascii="Arial" w:cs="Arial" w:eastAsia="Arial" w:hAnsi="Arial"/>
                <w:sz w:val="33"/>
                <w:szCs w:val="33"/>
                <w:b w:val="1"/>
                <w:bCs w:val="1"/>
                <w:color w:val="808080"/>
                <w:w w:val="99"/>
                <w:vertAlign w:val="superscript"/>
              </w:rPr>
              <w:t>(1)</w:t>
            </w:r>
            <w:r>
              <w:rPr>
                <w:rFonts w:ascii="Arial" w:cs="Arial" w:eastAsia="Arial" w:hAnsi="Arial"/>
                <w:sz w:val="27"/>
                <w:szCs w:val="27"/>
                <w:b w:val="1"/>
                <w:bCs w:val="1"/>
                <w:color w:val="auto"/>
                <w:w w:val="99"/>
              </w:rPr>
              <w:t>per</w:t>
            </w:r>
          </w:p>
        </w:tc>
        <w:tc>
          <w:tcPr>
            <w:tcW w:w="0" w:type="dxa"/>
            <w:vAlign w:val="bottom"/>
          </w:tcPr>
          <w:p>
            <w:pPr>
              <w:spacing w:after="0"/>
              <w:rPr>
                <w:sz w:val="1"/>
                <w:szCs w:val="1"/>
                <w:color w:val="auto"/>
              </w:rPr>
            </w:pPr>
          </w:p>
        </w:tc>
      </w:tr>
      <w:tr>
        <w:trPr>
          <w:trHeight w:val="457"/>
        </w:trPr>
        <w:tc>
          <w:tcPr>
            <w:tcW w:w="208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Debt</w:t>
            </w:r>
          </w:p>
        </w:tc>
        <w:tc>
          <w:tcPr>
            <w:tcW w:w="5180" w:type="dxa"/>
            <w:vAlign w:val="bottom"/>
            <w:gridSpan w:val="2"/>
          </w:tcPr>
          <w:p>
            <w:pPr>
              <w:ind w:left="980"/>
              <w:spacing w:after="0" w:line="458" w:lineRule="exact"/>
              <w:rPr>
                <w:sz w:val="20"/>
                <w:szCs w:val="20"/>
                <w:color w:val="auto"/>
              </w:rPr>
            </w:pPr>
            <w:r>
              <w:rPr>
                <w:rFonts w:ascii="Arial" w:cs="Arial" w:eastAsia="Arial" w:hAnsi="Arial"/>
                <w:sz w:val="53"/>
                <w:szCs w:val="53"/>
                <w:b w:val="1"/>
                <w:bCs w:val="1"/>
                <w:color w:val="auto"/>
                <w:vertAlign w:val="subscript"/>
              </w:rPr>
              <w:t>47M</w:t>
            </w:r>
            <w:r>
              <w:rPr>
                <w:rFonts w:ascii="Arial" w:cs="Arial" w:eastAsia="Arial" w:hAnsi="Arial"/>
                <w:sz w:val="27"/>
                <w:szCs w:val="27"/>
                <w:b w:val="1"/>
                <w:bCs w:val="1"/>
                <w:color w:val="auto"/>
              </w:rPr>
              <w:t xml:space="preserve"> share)</w:t>
            </w: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Arial" w:cs="Arial" w:eastAsia="Arial" w:hAnsi="Arial"/>
                <w:sz w:val="27"/>
                <w:szCs w:val="27"/>
                <w:b w:val="1"/>
                <w:bCs w:val="1"/>
                <w:color w:val="auto"/>
              </w:rPr>
              <w:t>Retired</w:t>
            </w:r>
          </w:p>
        </w:tc>
        <w:tc>
          <w:tcPr>
            <w:tcW w:w="1560" w:type="dxa"/>
            <w:vAlign w:val="bottom"/>
            <w:vMerge w:val="restart"/>
          </w:tcPr>
          <w:p>
            <w:pPr>
              <w:jc w:val="right"/>
              <w:spacing w:after="0"/>
              <w:rPr>
                <w:sz w:val="20"/>
                <w:szCs w:val="20"/>
                <w:color w:val="auto"/>
              </w:rPr>
            </w:pPr>
            <w:r>
              <w:rPr>
                <w:rFonts w:ascii="Arial" w:cs="Arial" w:eastAsia="Arial" w:hAnsi="Arial"/>
                <w:sz w:val="27"/>
                <w:szCs w:val="27"/>
                <w:b w:val="1"/>
                <w:bCs w:val="1"/>
                <w:color w:val="auto"/>
              </w:rPr>
              <w:t>$427M</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right="920" w:hanging="208"/>
        <w:spacing w:after="0" w:line="239" w:lineRule="auto"/>
        <w:tabs>
          <w:tab w:leader="none" w:pos="214"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Represents the closing stock price on April 5, which is higher than the average stock price of $57.98 used to determine the conversion ratio for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675640</wp:posOffset>
            </wp:positionV>
            <wp:extent cx="727329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80"/>
          </w:cols>
          <w:pgMar w:left="1280" w:top="375" w:right="939" w:bottom="1440" w:gutter="0" w:footer="0" w:header="0"/>
        </w:sectPr>
      </w:pPr>
    </w:p>
    <w:bookmarkStart w:id="26" w:name="page27"/>
    <w:bookmarkEnd w:id="26"/>
    <w:tbl>
      <w:tblPr>
        <w:tblLayout w:type="fixed"/>
        <w:tblInd w:w="170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16</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40"/>
          <w:szCs w:val="40"/>
          <w:color w:val="5F81AA"/>
        </w:rPr>
        <w:t>Balance Sheet Highlights</w:t>
      </w:r>
    </w:p>
    <w:p>
      <w:pPr>
        <w:spacing w:after="0" w:line="331"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Total Debt</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in millions)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Total Debt</w:t>
      </w:r>
    </w:p>
    <w:p>
      <w:pPr>
        <w:spacing w:after="0" w:line="180"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Net</w:t>
      </w:r>
    </w:p>
    <w:p>
      <w:pPr>
        <w:ind w:left="9580"/>
        <w:spacing w:after="0"/>
        <w:rPr>
          <w:sz w:val="20"/>
          <w:szCs w:val="20"/>
          <w:color w:val="auto"/>
        </w:rPr>
      </w:pPr>
      <w:r>
        <w:rPr>
          <w:rFonts w:ascii="Arial" w:cs="Arial" w:eastAsia="Arial" w:hAnsi="Arial"/>
          <w:sz w:val="20"/>
          <w:szCs w:val="20"/>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840" w:type="dxa"/>
            <w:vAlign w:val="bottom"/>
          </w:tcPr>
          <w:p>
            <w:pPr>
              <w:jc w:val="center"/>
              <w:ind w:right="2813"/>
              <w:spacing w:after="0"/>
              <w:rPr>
                <w:sz w:val="20"/>
                <w:szCs w:val="20"/>
                <w:color w:val="auto"/>
              </w:rPr>
            </w:pPr>
            <w:r>
              <w:rPr>
                <w:rFonts w:ascii="Arial" w:cs="Arial" w:eastAsia="Arial" w:hAnsi="Arial"/>
                <w:sz w:val="21"/>
                <w:szCs w:val="21"/>
                <w:b w:val="1"/>
                <w:bCs w:val="1"/>
                <w:color w:val="auto"/>
                <w:w w:val="99"/>
              </w:rPr>
              <w:t>Total Debt to</w:t>
            </w:r>
          </w:p>
        </w:tc>
        <w:tc>
          <w:tcPr>
            <w:tcW w:w="3460" w:type="dxa"/>
            <w:vAlign w:val="bottom"/>
            <w:vMerge w:val="restart"/>
          </w:tcPr>
          <w:p>
            <w:pPr>
              <w:jc w:val="right"/>
              <w:spacing w:after="0"/>
              <w:rPr>
                <w:sz w:val="20"/>
                <w:szCs w:val="20"/>
                <w:color w:val="auto"/>
              </w:rPr>
            </w:pPr>
            <w:r>
              <w:rPr>
                <w:rFonts w:ascii="Arial" w:cs="Arial" w:eastAsia="Arial" w:hAnsi="Arial"/>
                <w:sz w:val="24"/>
                <w:szCs w:val="24"/>
                <w:color w:val="auto"/>
              </w:rPr>
              <w:t>2010</w:t>
            </w:r>
          </w:p>
        </w:tc>
        <w:tc>
          <w:tcPr>
            <w:tcW w:w="0" w:type="dxa"/>
            <w:vAlign w:val="bottom"/>
          </w:tcPr>
          <w:p>
            <w:pPr>
              <w:spacing w:after="0"/>
              <w:rPr>
                <w:sz w:val="1"/>
                <w:szCs w:val="1"/>
                <w:color w:val="auto"/>
              </w:rPr>
            </w:pPr>
          </w:p>
        </w:tc>
      </w:tr>
      <w:tr>
        <w:trPr>
          <w:trHeight w:val="291"/>
        </w:trPr>
        <w:tc>
          <w:tcPr>
            <w:tcW w:w="4840" w:type="dxa"/>
            <w:vAlign w:val="bottom"/>
          </w:tcPr>
          <w:p>
            <w:pPr>
              <w:jc w:val="center"/>
              <w:ind w:right="2793"/>
              <w:spacing w:after="0"/>
              <w:rPr>
                <w:sz w:val="20"/>
                <w:szCs w:val="20"/>
                <w:color w:val="auto"/>
              </w:rPr>
            </w:pPr>
            <w:r>
              <w:rPr>
                <w:rFonts w:ascii="Arial" w:cs="Arial" w:eastAsia="Arial" w:hAnsi="Arial"/>
                <w:sz w:val="21"/>
                <w:szCs w:val="21"/>
                <w:b w:val="1"/>
                <w:bCs w:val="1"/>
                <w:color w:val="auto"/>
              </w:rPr>
              <w:t>Total Capitalization</w:t>
            </w:r>
          </w:p>
        </w:tc>
        <w:tc>
          <w:tcPr>
            <w:tcW w:w="3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20"/>
        <w:spacing w:after="0"/>
        <w:rPr>
          <w:sz w:val="20"/>
          <w:szCs w:val="20"/>
          <w:color w:val="auto"/>
        </w:rPr>
      </w:pPr>
      <w:r>
        <w:rPr>
          <w:rFonts w:ascii="Arial" w:cs="Arial" w:eastAsia="Arial" w:hAnsi="Arial"/>
          <w:sz w:val="24"/>
          <w:szCs w:val="24"/>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405130</wp:posOffset>
            </wp:positionV>
            <wp:extent cx="727329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80"/>
          </w:cols>
          <w:pgMar w:left="680" w:top="375" w:right="739" w:bottom="1440" w:gutter="0" w:footer="0" w:header="0"/>
        </w:sectPr>
      </w:pPr>
    </w:p>
    <w:bookmarkStart w:id="27" w:name="page28"/>
    <w:bookmarkEnd w:id="27"/>
    <w:tbl>
      <w:tblPr>
        <w:tblLayout w:type="fixed"/>
        <w:tblInd w:w="1548"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17</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340" w:lineRule="exact"/>
        <w:rPr>
          <w:sz w:val="20"/>
          <w:szCs w:val="20"/>
          <w:color w:val="auto"/>
        </w:rPr>
      </w:pPr>
    </w:p>
    <w:p>
      <w:pPr>
        <w:ind w:left="448"/>
        <w:spacing w:after="0"/>
        <w:rPr>
          <w:sz w:val="20"/>
          <w:szCs w:val="20"/>
          <w:color w:val="auto"/>
        </w:rPr>
      </w:pPr>
      <w:r>
        <w:rPr>
          <w:rFonts w:ascii="Arial" w:cs="Arial" w:eastAsia="Arial" w:hAnsi="Arial"/>
          <w:sz w:val="40"/>
          <w:szCs w:val="40"/>
          <w:color w:val="5F81AA"/>
        </w:rPr>
        <w:t>Credit Facilities as of June 30, 2010</w:t>
      </w:r>
    </w:p>
    <w:p>
      <w:pPr>
        <w:spacing w:after="0" w:line="3" w:lineRule="exact"/>
        <w:rPr>
          <w:sz w:val="20"/>
          <w:szCs w:val="20"/>
          <w:color w:val="auto"/>
        </w:rPr>
      </w:pPr>
    </w:p>
    <w:p>
      <w:pPr>
        <w:ind w:left="448"/>
        <w:spacing w:after="0"/>
        <w:rPr>
          <w:sz w:val="20"/>
          <w:szCs w:val="20"/>
          <w:color w:val="auto"/>
        </w:rPr>
      </w:pPr>
      <w:r>
        <w:rPr>
          <w:rFonts w:ascii="Arial" w:cs="Arial" w:eastAsia="Arial" w:hAnsi="Arial"/>
          <w:sz w:val="21"/>
          <w:szCs w:val="21"/>
          <w:color w:val="5F81AA"/>
        </w:rPr>
        <w:t>($ in millions)</w:t>
      </w:r>
    </w:p>
    <w:p>
      <w:pPr>
        <w:spacing w:after="0" w:line="76" w:lineRule="exact"/>
        <w:rPr>
          <w:sz w:val="20"/>
          <w:szCs w:val="20"/>
          <w:color w:val="auto"/>
        </w:rPr>
      </w:pPr>
    </w:p>
    <w:tbl>
      <w:tblPr>
        <w:tblLayout w:type="fixed"/>
        <w:tblInd w:w="588" w:type="dxa"/>
        <w:tblCellMar>
          <w:top w:w="0" w:type="dxa"/>
          <w:left w:w="0" w:type="dxa"/>
          <w:bottom w:w="0" w:type="dxa"/>
          <w:right w:w="0" w:type="dxa"/>
        </w:tblCellMar>
      </w:tblPr>
      <w:tr>
        <w:trPr>
          <w:trHeight w:val="274"/>
        </w:trPr>
        <w:tc>
          <w:tcPr>
            <w:tcW w:w="2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808080"/>
              </w:rPr>
              <w:t>Interest</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808080"/>
              </w:rPr>
              <w:t>Maturity</w:t>
            </w:r>
          </w:p>
        </w:tc>
        <w:tc>
          <w:tcPr>
            <w:tcW w:w="1540" w:type="dxa"/>
            <w:vAlign w:val="bottom"/>
          </w:tcPr>
          <w:p>
            <w:pPr>
              <w:jc w:val="right"/>
              <w:ind w:right="413"/>
              <w:spacing w:after="0"/>
              <w:rPr>
                <w:sz w:val="20"/>
                <w:szCs w:val="20"/>
                <w:color w:val="auto"/>
              </w:rPr>
            </w:pPr>
            <w:r>
              <w:rPr>
                <w:rFonts w:ascii="Arial" w:cs="Arial" w:eastAsia="Arial" w:hAnsi="Arial"/>
                <w:sz w:val="21"/>
                <w:szCs w:val="21"/>
                <w:b w:val="1"/>
                <w:bCs w:val="1"/>
                <w:color w:val="808080"/>
              </w:rPr>
              <w:t>Total</w:t>
            </w:r>
          </w:p>
        </w:tc>
        <w:tc>
          <w:tcPr>
            <w:tcW w:w="1380" w:type="dxa"/>
            <w:vAlign w:val="bottom"/>
          </w:tcPr>
          <w:p>
            <w:pPr>
              <w:jc w:val="center"/>
              <w:spacing w:after="0"/>
              <w:rPr>
                <w:sz w:val="20"/>
                <w:szCs w:val="20"/>
                <w:color w:val="auto"/>
              </w:rPr>
            </w:pPr>
            <w:r>
              <w:rPr>
                <w:rFonts w:ascii="Arial" w:cs="Arial" w:eastAsia="Arial" w:hAnsi="Arial"/>
                <w:sz w:val="21"/>
                <w:szCs w:val="21"/>
                <w:b w:val="1"/>
                <w:bCs w:val="1"/>
                <w:color w:val="808080"/>
              </w:rPr>
              <w:t>Remaining</w:t>
            </w:r>
          </w:p>
        </w:tc>
        <w:tc>
          <w:tcPr>
            <w:tcW w:w="0" w:type="dxa"/>
            <w:vAlign w:val="bottom"/>
          </w:tcPr>
          <w:p>
            <w:pPr>
              <w:spacing w:after="0"/>
              <w:rPr>
                <w:sz w:val="1"/>
                <w:szCs w:val="1"/>
                <w:color w:val="auto"/>
              </w:rPr>
            </w:pPr>
          </w:p>
        </w:tc>
      </w:tr>
      <w:tr>
        <w:trPr>
          <w:trHeight w:val="283"/>
        </w:trPr>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808080"/>
              </w:rPr>
              <w:t>Rate</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808080"/>
              </w:rPr>
              <w:t>Date</w:t>
            </w:r>
          </w:p>
        </w:tc>
        <w:tc>
          <w:tcPr>
            <w:tcW w:w="1540" w:type="dxa"/>
            <w:vAlign w:val="bottom"/>
          </w:tcPr>
          <w:p>
            <w:pPr>
              <w:jc w:val="right"/>
              <w:ind w:right="33"/>
              <w:spacing w:after="0"/>
              <w:rPr>
                <w:sz w:val="20"/>
                <w:szCs w:val="20"/>
                <w:color w:val="auto"/>
              </w:rPr>
            </w:pPr>
            <w:r>
              <w:rPr>
                <w:rFonts w:ascii="Arial" w:cs="Arial" w:eastAsia="Arial" w:hAnsi="Arial"/>
                <w:sz w:val="21"/>
                <w:szCs w:val="21"/>
                <w:b w:val="1"/>
                <w:bCs w:val="1"/>
                <w:color w:val="808080"/>
              </w:rPr>
              <w:t>Outstanding</w:t>
            </w:r>
          </w:p>
        </w:tc>
        <w:tc>
          <w:tcPr>
            <w:tcW w:w="1380" w:type="dxa"/>
            <w:vAlign w:val="bottom"/>
          </w:tcPr>
          <w:p>
            <w:pPr>
              <w:jc w:val="center"/>
              <w:spacing w:after="0"/>
              <w:rPr>
                <w:sz w:val="20"/>
                <w:szCs w:val="20"/>
                <w:color w:val="auto"/>
              </w:rPr>
            </w:pPr>
            <w:r>
              <w:rPr>
                <w:rFonts w:ascii="Arial" w:cs="Arial" w:eastAsia="Arial" w:hAnsi="Arial"/>
                <w:sz w:val="21"/>
                <w:szCs w:val="21"/>
                <w:b w:val="1"/>
                <w:bCs w:val="1"/>
                <w:color w:val="808080"/>
              </w:rPr>
              <w:t>Available</w:t>
            </w:r>
          </w:p>
        </w:tc>
        <w:tc>
          <w:tcPr>
            <w:tcW w:w="0" w:type="dxa"/>
            <w:vAlign w:val="bottom"/>
          </w:tcPr>
          <w:p>
            <w:pPr>
              <w:spacing w:after="0"/>
              <w:rPr>
                <w:sz w:val="1"/>
                <w:szCs w:val="1"/>
                <w:color w:val="auto"/>
              </w:rPr>
            </w:pPr>
          </w:p>
        </w:tc>
      </w:tr>
      <w:tr>
        <w:trPr>
          <w:trHeight w:val="437"/>
        </w:trPr>
        <w:tc>
          <w:tcPr>
            <w:tcW w:w="2580" w:type="dxa"/>
            <w:vAlign w:val="bottom"/>
          </w:tcPr>
          <w:p>
            <w:pPr>
              <w:spacing w:after="0"/>
              <w:rPr>
                <w:sz w:val="20"/>
                <w:szCs w:val="20"/>
                <w:color w:val="auto"/>
              </w:rPr>
            </w:pPr>
            <w:r>
              <w:rPr>
                <w:rFonts w:ascii="Arial" w:cs="Arial" w:eastAsia="Arial" w:hAnsi="Arial"/>
                <w:sz w:val="21"/>
                <w:szCs w:val="21"/>
                <w:b w:val="1"/>
                <w:bCs w:val="1"/>
                <w:color w:val="auto"/>
              </w:rPr>
              <w:t>Euro</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80" w:type="dxa"/>
            <w:vAlign w:val="bottom"/>
          </w:tcPr>
          <w:p>
            <w:pPr>
              <w:spacing w:after="0" w:line="219" w:lineRule="exact"/>
              <w:rPr>
                <w:sz w:val="20"/>
                <w:szCs w:val="20"/>
                <w:color w:val="auto"/>
              </w:rPr>
            </w:pPr>
            <w:r>
              <w:rPr>
                <w:rFonts w:ascii="Arial" w:cs="Arial" w:eastAsia="Arial" w:hAnsi="Arial"/>
                <w:sz w:val="21"/>
                <w:szCs w:val="21"/>
                <w:b w:val="1"/>
                <w:bCs w:val="1"/>
                <w:color w:val="auto"/>
              </w:rPr>
              <w:t>Notes:</w:t>
            </w:r>
          </w:p>
        </w:tc>
        <w:tc>
          <w:tcPr>
            <w:tcW w:w="780" w:type="dxa"/>
            <w:vAlign w:val="bottom"/>
          </w:tcPr>
          <w:p>
            <w:pPr>
              <w:spacing w:after="0"/>
              <w:rPr>
                <w:sz w:val="19"/>
                <w:szCs w:val="19"/>
                <w:color w:val="auto"/>
              </w:rPr>
            </w:pP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4.86%</w:t>
            </w:r>
          </w:p>
        </w:tc>
        <w:tc>
          <w:tcPr>
            <w:tcW w:w="1280" w:type="dxa"/>
            <w:vAlign w:val="bottom"/>
            <w:vMerge w:val="restart"/>
          </w:tcPr>
          <w:p>
            <w:pPr>
              <w:ind w:left="160"/>
              <w:spacing w:after="0"/>
              <w:rPr>
                <w:sz w:val="20"/>
                <w:szCs w:val="20"/>
                <w:color w:val="auto"/>
              </w:rPr>
            </w:pPr>
            <w:r>
              <w:rPr>
                <w:rFonts w:ascii="Arial" w:cs="Arial" w:eastAsia="Arial" w:hAnsi="Arial"/>
                <w:sz w:val="21"/>
                <w:szCs w:val="21"/>
                <w:b w:val="1"/>
                <w:bCs w:val="1"/>
                <w:color w:val="auto"/>
              </w:rPr>
              <w:t>June</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244</w:t>
            </w:r>
          </w:p>
        </w:tc>
        <w:tc>
          <w:tcPr>
            <w:tcW w:w="1380" w:type="dxa"/>
            <w:vAlign w:val="bottom"/>
            <w:vMerge w:val="restart"/>
          </w:tcPr>
          <w:p>
            <w:pPr>
              <w:jc w:val="center"/>
              <w:ind w:left="679"/>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04"/>
        </w:trPr>
        <w:tc>
          <w:tcPr>
            <w:tcW w:w="2580" w:type="dxa"/>
            <w:vAlign w:val="bottom"/>
          </w:tcPr>
          <w:p>
            <w:pPr>
              <w:ind w:left="140"/>
              <w:spacing w:after="0" w:line="204" w:lineRule="exact"/>
              <w:rPr>
                <w:sz w:val="20"/>
                <w:szCs w:val="20"/>
                <w:color w:val="auto"/>
              </w:rPr>
            </w:pPr>
            <w:r>
              <w:rPr>
                <w:rFonts w:ascii="Arial" w:cs="Arial" w:eastAsia="Arial" w:hAnsi="Arial"/>
                <w:sz w:val="21"/>
                <w:szCs w:val="21"/>
                <w:b w:val="1"/>
                <w:bCs w:val="1"/>
                <w:color w:val="auto"/>
              </w:rPr>
              <w:t>- Euro</w:t>
            </w:r>
          </w:p>
        </w:tc>
        <w:tc>
          <w:tcPr>
            <w:tcW w:w="7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40"/>
              <w:spacing w:after="0" w:line="219" w:lineRule="exact"/>
              <w:rPr>
                <w:sz w:val="20"/>
                <w:szCs w:val="20"/>
                <w:color w:val="auto"/>
              </w:rPr>
            </w:pPr>
            <w:r>
              <w:rPr>
                <w:rFonts w:ascii="Arial" w:cs="Arial" w:eastAsia="Arial" w:hAnsi="Arial"/>
                <w:sz w:val="21"/>
                <w:szCs w:val="21"/>
                <w:b w:val="1"/>
                <w:bCs w:val="1"/>
                <w:color w:val="auto"/>
              </w:rPr>
              <w:t>200M</w:t>
            </w:r>
          </w:p>
        </w:tc>
        <w:tc>
          <w:tcPr>
            <w:tcW w:w="780" w:type="dxa"/>
            <w:vAlign w:val="bottom"/>
          </w:tcPr>
          <w:p>
            <w:pPr>
              <w:spacing w:after="0"/>
              <w:rPr>
                <w:sz w:val="19"/>
                <w:szCs w:val="19"/>
                <w:color w:val="auto"/>
              </w:rPr>
            </w:pP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4.58%</w:t>
            </w:r>
          </w:p>
        </w:tc>
        <w:tc>
          <w:tcPr>
            <w:tcW w:w="1280" w:type="dxa"/>
            <w:vAlign w:val="bottom"/>
          </w:tcPr>
          <w:p>
            <w:pPr>
              <w:ind w:left="160"/>
              <w:spacing w:after="0" w:line="219" w:lineRule="exact"/>
              <w:rPr>
                <w:sz w:val="20"/>
                <w:szCs w:val="20"/>
                <w:color w:val="auto"/>
              </w:rPr>
            </w:pPr>
            <w:r>
              <w:rPr>
                <w:rFonts w:ascii="Arial" w:cs="Arial" w:eastAsia="Arial" w:hAnsi="Arial"/>
                <w:sz w:val="21"/>
                <w:szCs w:val="21"/>
                <w:b w:val="1"/>
                <w:bCs w:val="1"/>
                <w:color w:val="auto"/>
              </w:rPr>
              <w:t>2013</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367</w:t>
            </w:r>
          </w:p>
        </w:tc>
        <w:tc>
          <w:tcPr>
            <w:tcW w:w="1380" w:type="dxa"/>
            <w:vAlign w:val="bottom"/>
            <w:vMerge w:val="restart"/>
          </w:tcPr>
          <w:p>
            <w:pPr>
              <w:jc w:val="center"/>
              <w:ind w:left="679"/>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15"/>
        </w:trPr>
        <w:tc>
          <w:tcPr>
            <w:tcW w:w="2580" w:type="dxa"/>
            <w:vAlign w:val="bottom"/>
          </w:tcPr>
          <w:p>
            <w:pPr>
              <w:ind w:left="140"/>
              <w:spacing w:after="0" w:line="216" w:lineRule="exact"/>
              <w:rPr>
                <w:sz w:val="20"/>
                <w:szCs w:val="20"/>
                <w:color w:val="auto"/>
              </w:rPr>
            </w:pPr>
            <w:r>
              <w:rPr>
                <w:rFonts w:ascii="Arial" w:cs="Arial" w:eastAsia="Arial" w:hAnsi="Arial"/>
                <w:sz w:val="21"/>
                <w:szCs w:val="21"/>
                <w:b w:val="1"/>
                <w:bCs w:val="1"/>
                <w:color w:val="auto"/>
              </w:rPr>
              <w:t>- Euro</w:t>
            </w:r>
          </w:p>
        </w:tc>
        <w:tc>
          <w:tcPr>
            <w:tcW w:w="7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80" w:type="dxa"/>
            <w:vAlign w:val="bottom"/>
          </w:tcPr>
          <w:p>
            <w:pPr>
              <w:ind w:left="160"/>
              <w:spacing w:after="0" w:line="216" w:lineRule="exact"/>
              <w:rPr>
                <w:sz w:val="20"/>
                <w:szCs w:val="20"/>
                <w:color w:val="auto"/>
              </w:rPr>
            </w:pPr>
            <w:r>
              <w:rPr>
                <w:rFonts w:ascii="Arial" w:cs="Arial" w:eastAsia="Arial" w:hAnsi="Arial"/>
                <w:sz w:val="21"/>
                <w:szCs w:val="21"/>
                <w:b w:val="1"/>
                <w:bCs w:val="1"/>
                <w:color w:val="auto"/>
              </w:rPr>
              <w:t>June</w:t>
            </w:r>
          </w:p>
        </w:tc>
        <w:tc>
          <w:tcPr>
            <w:tcW w:w="15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40"/>
              <w:spacing w:after="0" w:line="219" w:lineRule="exact"/>
              <w:rPr>
                <w:sz w:val="20"/>
                <w:szCs w:val="20"/>
                <w:color w:val="auto"/>
              </w:rPr>
            </w:pPr>
            <w:r>
              <w:rPr>
                <w:rFonts w:ascii="Arial" w:cs="Arial" w:eastAsia="Arial" w:hAnsi="Arial"/>
                <w:sz w:val="21"/>
                <w:szCs w:val="21"/>
                <w:b w:val="1"/>
                <w:bCs w:val="1"/>
                <w:color w:val="auto"/>
              </w:rPr>
              <w:t>300M</w:t>
            </w:r>
          </w:p>
        </w:tc>
        <w:tc>
          <w:tcPr>
            <w:tcW w:w="780" w:type="dxa"/>
            <w:vAlign w:val="bottom"/>
          </w:tcPr>
          <w:p>
            <w:pPr>
              <w:ind w:left="240"/>
              <w:spacing w:after="0"/>
              <w:rPr>
                <w:sz w:val="20"/>
                <w:szCs w:val="20"/>
                <w:color w:val="auto"/>
              </w:rPr>
            </w:pPr>
            <w:r>
              <w:rPr>
                <w:rFonts w:ascii="Arial" w:cs="Arial" w:eastAsia="Arial" w:hAnsi="Arial"/>
                <w:sz w:val="14"/>
                <w:szCs w:val="14"/>
                <w:color w:val="auto"/>
              </w:rPr>
              <w:t>(a)</w:t>
            </w: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2.90%</w:t>
            </w:r>
          </w:p>
        </w:tc>
        <w:tc>
          <w:tcPr>
            <w:tcW w:w="1280" w:type="dxa"/>
            <w:vAlign w:val="bottom"/>
          </w:tcPr>
          <w:p>
            <w:pPr>
              <w:ind w:left="160"/>
              <w:spacing w:after="0" w:line="219" w:lineRule="exact"/>
              <w:rPr>
                <w:sz w:val="20"/>
                <w:szCs w:val="20"/>
                <w:color w:val="auto"/>
              </w:rPr>
            </w:pPr>
            <w:r>
              <w:rPr>
                <w:rFonts w:ascii="Arial" w:cs="Arial" w:eastAsia="Arial" w:hAnsi="Arial"/>
                <w:sz w:val="21"/>
                <w:szCs w:val="21"/>
                <w:b w:val="1"/>
                <w:bCs w:val="1"/>
                <w:color w:val="auto"/>
              </w:rPr>
              <w:t>2012</w:t>
            </w:r>
          </w:p>
        </w:tc>
        <w:tc>
          <w:tcPr>
            <w:tcW w:w="1540" w:type="dxa"/>
            <w:vAlign w:val="bottom"/>
            <w:vMerge w:val="restart"/>
          </w:tcPr>
          <w:p>
            <w:pPr>
              <w:jc w:val="right"/>
              <w:ind w:right="113"/>
              <w:spacing w:after="0"/>
              <w:rPr>
                <w:sz w:val="20"/>
                <w:szCs w:val="20"/>
                <w:color w:val="auto"/>
              </w:rPr>
            </w:pPr>
            <w:r>
              <w:rPr>
                <w:rFonts w:ascii="Arial" w:cs="Arial" w:eastAsia="Arial" w:hAnsi="Arial"/>
                <w:sz w:val="21"/>
                <w:szCs w:val="21"/>
                <w:b w:val="1"/>
                <w:bCs w:val="1"/>
                <w:color w:val="auto"/>
              </w:rPr>
              <w:t>-</w:t>
            </w:r>
          </w:p>
        </w:tc>
        <w:tc>
          <w:tcPr>
            <w:tcW w:w="1380" w:type="dxa"/>
            <w:vAlign w:val="bottom"/>
            <w:vMerge w:val="restart"/>
          </w:tcPr>
          <w:p>
            <w:pPr>
              <w:ind w:left="880"/>
              <w:spacing w:after="0"/>
              <w:rPr>
                <w:sz w:val="20"/>
                <w:szCs w:val="20"/>
                <w:color w:val="auto"/>
              </w:rPr>
            </w:pPr>
            <w:r>
              <w:rPr>
                <w:rFonts w:ascii="Arial" w:cs="Arial" w:eastAsia="Arial" w:hAnsi="Arial"/>
                <w:sz w:val="42"/>
                <w:szCs w:val="42"/>
                <w:b w:val="1"/>
                <w:bCs w:val="1"/>
                <w:color w:val="auto"/>
                <w:w w:val="75"/>
                <w:vertAlign w:val="subscript"/>
              </w:rPr>
              <w:t>396</w:t>
            </w:r>
            <w:r>
              <w:rPr>
                <w:rFonts w:ascii="Arial" w:cs="Arial" w:eastAsia="Arial" w:hAnsi="Arial"/>
                <w:sz w:val="14"/>
                <w:szCs w:val="14"/>
                <w:color w:val="auto"/>
                <w:w w:val="75"/>
              </w:rPr>
              <w:t>(b)</w:t>
            </w:r>
          </w:p>
        </w:tc>
        <w:tc>
          <w:tcPr>
            <w:tcW w:w="0" w:type="dxa"/>
            <w:vAlign w:val="bottom"/>
          </w:tcPr>
          <w:p>
            <w:pPr>
              <w:spacing w:after="0"/>
              <w:rPr>
                <w:sz w:val="1"/>
                <w:szCs w:val="1"/>
                <w:color w:val="auto"/>
              </w:rPr>
            </w:pPr>
          </w:p>
        </w:tc>
      </w:tr>
      <w:tr>
        <w:trPr>
          <w:trHeight w:val="284"/>
        </w:trPr>
        <w:tc>
          <w:tcPr>
            <w:tcW w:w="3360" w:type="dxa"/>
            <w:vAlign w:val="bottom"/>
            <w:gridSpan w:val="2"/>
          </w:tcPr>
          <w:p>
            <w:pPr>
              <w:spacing w:after="0"/>
              <w:rPr>
                <w:sz w:val="20"/>
                <w:szCs w:val="20"/>
                <w:color w:val="auto"/>
              </w:rPr>
            </w:pPr>
            <w:r>
              <w:rPr>
                <w:rFonts w:ascii="Arial" w:cs="Arial" w:eastAsia="Arial" w:hAnsi="Arial"/>
                <w:sz w:val="21"/>
                <w:szCs w:val="21"/>
                <w:b w:val="1"/>
                <w:bCs w:val="1"/>
                <w:color w:val="auto"/>
              </w:rPr>
              <w:t>Revolving Credit Agreement</w:t>
            </w:r>
          </w:p>
        </w:tc>
        <w:tc>
          <w:tcPr>
            <w:tcW w:w="1280" w:type="dxa"/>
            <w:vAlign w:val="bottom"/>
            <w:vMerge w:val="continue"/>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1"/>
                <w:szCs w:val="21"/>
                <w:b w:val="1"/>
                <w:bCs w:val="1"/>
                <w:color w:val="auto"/>
              </w:rPr>
              <w:t>Nov 2012</w:t>
            </w:r>
          </w:p>
        </w:tc>
        <w:tc>
          <w:tcPr>
            <w:tcW w:w="15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580" w:type="dxa"/>
            <w:vAlign w:val="bottom"/>
          </w:tcPr>
          <w:p>
            <w:pPr>
              <w:spacing w:after="0"/>
              <w:rPr>
                <w:sz w:val="20"/>
                <w:szCs w:val="20"/>
                <w:color w:val="auto"/>
              </w:rPr>
            </w:pPr>
            <w:r>
              <w:rPr>
                <w:rFonts w:ascii="Arial" w:cs="Arial" w:eastAsia="Arial" w:hAnsi="Arial"/>
                <w:sz w:val="21"/>
                <w:szCs w:val="21"/>
                <w:b w:val="1"/>
                <w:bCs w:val="1"/>
                <w:color w:val="auto"/>
              </w:rPr>
              <w:t>Uncommitted lines and</w:t>
            </w:r>
          </w:p>
        </w:tc>
        <w:tc>
          <w:tcPr>
            <w:tcW w:w="780" w:type="dxa"/>
            <w:vAlign w:val="bottom"/>
          </w:tcPr>
          <w:p>
            <w:pPr>
              <w:spacing w:after="0"/>
              <w:rPr>
                <w:sz w:val="23"/>
                <w:szCs w:val="23"/>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auto"/>
              </w:rPr>
              <w:t>Various</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auto"/>
              </w:rPr>
              <w:t>Various</w:t>
            </w:r>
          </w:p>
        </w:tc>
        <w:tc>
          <w:tcPr>
            <w:tcW w:w="1540" w:type="dxa"/>
            <w:vAlign w:val="bottom"/>
          </w:tcPr>
          <w:p>
            <w:pPr>
              <w:jc w:val="right"/>
              <w:ind w:right="13"/>
              <w:spacing w:after="0"/>
              <w:rPr>
                <w:sz w:val="20"/>
                <w:szCs w:val="20"/>
                <w:color w:val="auto"/>
              </w:rPr>
            </w:pPr>
            <w:r>
              <w:rPr>
                <w:rFonts w:ascii="Arial" w:cs="Arial" w:eastAsia="Arial" w:hAnsi="Arial"/>
                <w:sz w:val="21"/>
                <w:szCs w:val="21"/>
                <w:b w:val="1"/>
                <w:bCs w:val="1"/>
                <w:color w:val="auto"/>
              </w:rPr>
              <w:t>37</w:t>
            </w:r>
          </w:p>
        </w:tc>
        <w:tc>
          <w:tcPr>
            <w:tcW w:w="1380" w:type="dxa"/>
            <w:vAlign w:val="bottom"/>
          </w:tcPr>
          <w:p>
            <w:pPr>
              <w:jc w:val="center"/>
              <w:ind w:left="639"/>
              <w:spacing w:after="0"/>
              <w:rPr>
                <w:sz w:val="20"/>
                <w:szCs w:val="20"/>
                <w:color w:val="auto"/>
              </w:rPr>
            </w:pPr>
            <w:r>
              <w:rPr>
                <w:rFonts w:ascii="Arial" w:cs="Arial" w:eastAsia="Arial" w:hAnsi="Arial"/>
                <w:sz w:val="21"/>
                <w:szCs w:val="21"/>
                <w:b w:val="1"/>
                <w:bCs w:val="1"/>
                <w:color w:val="auto"/>
              </w:rPr>
              <w:t>346</w:t>
            </w:r>
          </w:p>
        </w:tc>
        <w:tc>
          <w:tcPr>
            <w:tcW w:w="0" w:type="dxa"/>
            <w:vAlign w:val="bottom"/>
          </w:tcPr>
          <w:p>
            <w:pPr>
              <w:spacing w:after="0"/>
              <w:rPr>
                <w:sz w:val="1"/>
                <w:szCs w:val="1"/>
                <w:color w:val="auto"/>
              </w:rPr>
            </w:pPr>
          </w:p>
        </w:tc>
      </w:tr>
      <w:tr>
        <w:trPr>
          <w:trHeight w:val="219"/>
        </w:trPr>
        <w:tc>
          <w:tcPr>
            <w:tcW w:w="2580" w:type="dxa"/>
            <w:vAlign w:val="bottom"/>
          </w:tcPr>
          <w:p>
            <w:pPr>
              <w:spacing w:after="0" w:line="219" w:lineRule="exact"/>
              <w:rPr>
                <w:sz w:val="20"/>
                <w:szCs w:val="20"/>
                <w:color w:val="auto"/>
              </w:rPr>
            </w:pPr>
            <w:r>
              <w:rPr>
                <w:rFonts w:ascii="Arial" w:cs="Arial" w:eastAsia="Arial" w:hAnsi="Arial"/>
                <w:sz w:val="21"/>
                <w:szCs w:val="21"/>
                <w:b w:val="1"/>
                <w:bCs w:val="1"/>
                <w:color w:val="auto"/>
              </w:rPr>
              <w:t>Other</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648</w:t>
            </w:r>
          </w:p>
        </w:tc>
        <w:tc>
          <w:tcPr>
            <w:tcW w:w="1380" w:type="dxa"/>
            <w:vAlign w:val="bottom"/>
            <w:vMerge w:val="restart"/>
          </w:tcPr>
          <w:p>
            <w:pPr>
              <w:jc w:val="center"/>
              <w:ind w:left="619"/>
              <w:spacing w:after="0"/>
              <w:rPr>
                <w:sz w:val="20"/>
                <w:szCs w:val="20"/>
                <w:color w:val="auto"/>
              </w:rPr>
            </w:pPr>
            <w:r>
              <w:rPr>
                <w:rFonts w:ascii="Arial" w:cs="Arial" w:eastAsia="Arial" w:hAnsi="Arial"/>
                <w:sz w:val="21"/>
                <w:szCs w:val="21"/>
                <w:b w:val="1"/>
                <w:bCs w:val="1"/>
                <w:color w:val="auto"/>
                <w:w w:val="96"/>
              </w:rPr>
              <w:t>742</w:t>
            </w:r>
          </w:p>
        </w:tc>
        <w:tc>
          <w:tcPr>
            <w:tcW w:w="0" w:type="dxa"/>
            <w:vAlign w:val="bottom"/>
          </w:tcPr>
          <w:p>
            <w:pPr>
              <w:spacing w:after="0"/>
              <w:rPr>
                <w:sz w:val="1"/>
                <w:szCs w:val="1"/>
                <w:color w:val="auto"/>
              </w:rPr>
            </w:pPr>
          </w:p>
        </w:tc>
      </w:tr>
      <w:tr>
        <w:trPr>
          <w:trHeight w:val="283"/>
        </w:trPr>
        <w:tc>
          <w:tcPr>
            <w:tcW w:w="2580" w:type="dxa"/>
            <w:vAlign w:val="bottom"/>
          </w:tcPr>
          <w:p>
            <w:pPr>
              <w:spacing w:after="0"/>
              <w:rPr>
                <w:sz w:val="20"/>
                <w:szCs w:val="20"/>
                <w:color w:val="auto"/>
              </w:rPr>
            </w:pPr>
            <w:r>
              <w:rPr>
                <w:rFonts w:ascii="Arial" w:cs="Arial" w:eastAsia="Arial" w:hAnsi="Arial"/>
                <w:sz w:val="21"/>
                <w:szCs w:val="21"/>
                <w:b w:val="1"/>
                <w:bCs w:val="1"/>
                <w:color w:val="auto"/>
              </w:rPr>
              <w:t>Total Debt</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8" w:right="1840" w:hanging="248"/>
        <w:spacing w:after="0" w:line="238" w:lineRule="auto"/>
        <w:tabs>
          <w:tab w:leader="none" w:pos="24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$400M agreement requires, as of June 30, that we comply with a Debt-to-EBITDA ratio of less than 6.00 to 1 and a fixed charge coverage</w:t>
      </w:r>
    </w:p>
    <w:p>
      <w:pPr>
        <w:ind w:left="248" w:right="1320"/>
        <w:spacing w:after="0" w:line="243" w:lineRule="auto"/>
        <w:rPr>
          <w:rFonts w:ascii="Arial" w:cs="Arial" w:eastAsia="Arial" w:hAnsi="Arial"/>
          <w:sz w:val="14"/>
          <w:szCs w:val="14"/>
          <w:color w:val="auto"/>
        </w:rPr>
      </w:pPr>
      <w:r>
        <w:rPr>
          <w:rFonts w:ascii="Arial" w:cs="Arial" w:eastAsia="Arial" w:hAnsi="Arial"/>
          <w:sz w:val="14"/>
          <w:szCs w:val="14"/>
          <w:color w:val="auto"/>
        </w:rPr>
        <w:t>ratio of greater than 1.25 to 1. As defined in the agreement, we had a Debt-to-EBITDA ratio of 2.13 and a fixed charge coverage ratio of 1.84 as of June 30, 2010.</w:t>
      </w:r>
    </w:p>
    <w:p>
      <w:pPr>
        <w:spacing w:after="0" w:line="16" w:lineRule="exact"/>
        <w:rPr>
          <w:rFonts w:ascii="Arial" w:cs="Arial" w:eastAsia="Arial" w:hAnsi="Arial"/>
          <w:sz w:val="14"/>
          <w:szCs w:val="14"/>
          <w:color w:val="auto"/>
        </w:rPr>
      </w:pPr>
    </w:p>
    <w:p>
      <w:pPr>
        <w:ind w:left="248" w:hanging="237"/>
        <w:spacing w:after="0"/>
        <w:tabs>
          <w:tab w:leader="none" w:pos="248" w:val="left"/>
        </w:tabs>
        <w:numPr>
          <w:ilvl w:val="1"/>
          <w:numId w:val="20"/>
        </w:numPr>
        <w:rPr>
          <w:rFonts w:ascii="Arial" w:cs="Arial" w:eastAsia="Arial" w:hAnsi="Arial"/>
          <w:sz w:val="14"/>
          <w:szCs w:val="14"/>
          <w:color w:val="auto"/>
        </w:rPr>
      </w:pPr>
      <w:r>
        <w:rPr>
          <w:rFonts w:ascii="Arial" w:cs="Arial" w:eastAsia="Arial" w:hAnsi="Arial"/>
          <w:sz w:val="14"/>
          <w:szCs w:val="14"/>
          <w:color w:val="auto"/>
        </w:rPr>
        <w:t>As of June 30, there were $4.0M of standby letters of credit issued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917575</wp:posOffset>
            </wp:positionV>
            <wp:extent cx="727329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128"/>
          </w:cols>
          <w:pgMar w:left="832" w:top="375" w:right="939" w:bottom="1440" w:gutter="0" w:footer="0" w:header="0"/>
        </w:sectPr>
      </w:pPr>
    </w:p>
    <w:bookmarkStart w:id="28" w:name="page29"/>
    <w:bookmarkEnd w:id="28"/>
    <w:tbl>
      <w:tblPr>
        <w:tblLayout w:type="fixed"/>
        <w:tblInd w:w="1440" w:type="dxa"/>
        <w:tblCellMar>
          <w:top w:w="0" w:type="dxa"/>
          <w:left w:w="0" w:type="dxa"/>
          <w:bottom w:w="0" w:type="dxa"/>
          <w:right w:w="0" w:type="dxa"/>
        </w:tblCellMar>
      </w:tblPr>
      <w:tr>
        <w:trPr>
          <w:trHeight w:val="333"/>
        </w:trPr>
        <w:tc>
          <w:tcPr>
            <w:tcW w:w="5640" w:type="dxa"/>
            <w:vAlign w:val="bottom"/>
          </w:tcPr>
          <w:p>
            <w:pPr>
              <w:spacing w:after="0"/>
              <w:rPr>
                <w:sz w:val="20"/>
                <w:szCs w:val="20"/>
                <w:color w:val="auto"/>
              </w:rPr>
            </w:pPr>
            <w:r>
              <w:rPr>
                <w:rFonts w:ascii="Arial" w:cs="Arial" w:eastAsia="Arial" w:hAnsi="Arial"/>
                <w:sz w:val="21"/>
                <w:szCs w:val="21"/>
                <w:color w:val="FFFFFF"/>
              </w:rPr>
              <w:t>Manpower Inc. 2010 2</w:t>
            </w:r>
            <w:r>
              <w:rPr>
                <w:rFonts w:ascii="Arial" w:cs="Arial" w:eastAsia="Arial" w:hAnsi="Arial"/>
                <w:sz w:val="29"/>
                <w:szCs w:val="29"/>
                <w:color w:val="FFFFFF"/>
                <w:vertAlign w:val="superscript"/>
              </w:rPr>
              <w:t>nd</w:t>
            </w:r>
            <w:r>
              <w:rPr>
                <w:rFonts w:ascii="Arial" w:cs="Arial" w:eastAsia="Arial" w:hAnsi="Arial"/>
                <w:sz w:val="21"/>
                <w:szCs w:val="21"/>
                <w:color w:val="FFFFFF"/>
              </w:rPr>
              <w:t xml:space="preserve"> Quarter Results</w:t>
            </w:r>
          </w:p>
        </w:tc>
        <w:tc>
          <w:tcPr>
            <w:tcW w:w="2460" w:type="dxa"/>
            <w:vAlign w:val="bottom"/>
          </w:tcPr>
          <w:p>
            <w:pPr>
              <w:ind w:left="1780"/>
              <w:spacing w:after="0"/>
              <w:rPr>
                <w:sz w:val="20"/>
                <w:szCs w:val="20"/>
                <w:color w:val="auto"/>
              </w:rPr>
            </w:pPr>
            <w:r>
              <w:rPr>
                <w:rFonts w:ascii="Arial" w:cs="Arial" w:eastAsia="Arial" w:hAnsi="Arial"/>
                <w:sz w:val="17"/>
                <w:szCs w:val="17"/>
                <w:color w:val="FFFFFF"/>
              </w:rPr>
              <w:t>July</w:t>
            </w:r>
          </w:p>
        </w:tc>
        <w:tc>
          <w:tcPr>
            <w:tcW w:w="480" w:type="dxa"/>
            <w:vAlign w:val="bottom"/>
          </w:tcPr>
          <w:p>
            <w:pPr>
              <w:jc w:val="right"/>
              <w:spacing w:after="0"/>
              <w:rPr>
                <w:sz w:val="20"/>
                <w:szCs w:val="20"/>
                <w:color w:val="auto"/>
              </w:rPr>
            </w:pPr>
            <w:r>
              <w:rPr>
                <w:rFonts w:ascii="Arial" w:cs="Arial" w:eastAsia="Arial" w:hAnsi="Arial"/>
                <w:sz w:val="17"/>
                <w:szCs w:val="17"/>
                <w:color w:val="FFFFFF"/>
              </w:rPr>
              <w:t>18</w:t>
            </w:r>
          </w:p>
        </w:tc>
      </w:tr>
      <w:tr>
        <w:trPr>
          <w:trHeight w:val="202"/>
        </w:trPr>
        <w:tc>
          <w:tcPr>
            <w:tcW w:w="5640" w:type="dxa"/>
            <w:vAlign w:val="bottom"/>
          </w:tcPr>
          <w:p>
            <w:pPr>
              <w:spacing w:after="0"/>
              <w:rPr>
                <w:sz w:val="17"/>
                <w:szCs w:val="17"/>
                <w:color w:val="auto"/>
              </w:rPr>
            </w:pPr>
          </w:p>
        </w:tc>
        <w:tc>
          <w:tcPr>
            <w:tcW w:w="2460" w:type="dxa"/>
            <w:vAlign w:val="bottom"/>
          </w:tcPr>
          <w:p>
            <w:pPr>
              <w:ind w:left="178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40"/>
          <w:szCs w:val="40"/>
          <w:color w:val="5F81AA"/>
        </w:rPr>
        <w:t>Third Quarter Outlook</w:t>
      </w:r>
    </w:p>
    <w:p>
      <w:pPr>
        <w:sectPr>
          <w:pgSz w:w="11900" w:h="16838" w:orient="portrait"/>
          <w:cols w:equalWidth="0" w:num="1">
            <w:col w:w="10020"/>
          </w:cols>
          <w:pgMar w:left="940" w:top="375" w:right="9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tabs>
          <w:tab w:leader="none" w:pos="3040" w:val="left"/>
        </w:tabs>
        <w:rPr>
          <w:sz w:val="20"/>
          <w:szCs w:val="20"/>
          <w:color w:val="auto"/>
        </w:rPr>
      </w:pPr>
      <w:r>
        <w:rPr>
          <w:rFonts w:ascii="Arial" w:cs="Arial" w:eastAsia="Arial" w:hAnsi="Arial"/>
          <w:sz w:val="28"/>
          <w:szCs w:val="28"/>
          <w:b w:val="1"/>
          <w:bCs w:val="1"/>
          <w:color w:val="D47C18"/>
        </w:rPr>
        <w:t>Revenue</w:t>
      </w:r>
      <w:r>
        <w:rPr>
          <w:sz w:val="20"/>
          <w:szCs w:val="20"/>
          <w:color w:val="auto"/>
        </w:rPr>
        <w:tab/>
      </w:r>
      <w:r>
        <w:rPr>
          <w:rFonts w:ascii="Arial" w:cs="Arial" w:eastAsia="Arial" w:hAnsi="Arial"/>
          <w:sz w:val="47"/>
          <w:szCs w:val="47"/>
          <w:b w:val="1"/>
          <w:bCs w:val="1"/>
          <w:color w:val="auto"/>
          <w:vertAlign w:val="superscript"/>
        </w:rPr>
        <w:t>Total</w:t>
      </w:r>
    </w:p>
    <w:p>
      <w:pPr>
        <w:jc w:val="right"/>
        <w:ind w:right="20"/>
        <w:spacing w:after="0"/>
        <w:rPr>
          <w:sz w:val="20"/>
          <w:szCs w:val="20"/>
          <w:color w:val="auto"/>
        </w:rPr>
      </w:pPr>
      <w:r>
        <w:rPr>
          <w:rFonts w:ascii="Arial" w:cs="Arial" w:eastAsia="Arial" w:hAnsi="Arial"/>
          <w:sz w:val="30"/>
          <w:szCs w:val="30"/>
          <w:b w:val="1"/>
          <w:bCs w:val="1"/>
          <w:color w:val="auto"/>
        </w:rPr>
        <w:t>Americas</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30"/>
          <w:szCs w:val="30"/>
          <w:b w:val="1"/>
          <w:bCs w:val="1"/>
          <w:color w:val="auto"/>
        </w:rPr>
        <w:t>France</w:t>
      </w:r>
    </w:p>
    <w:p>
      <w:pPr>
        <w:spacing w:after="0" w:line="78" w:lineRule="exact"/>
        <w:rPr>
          <w:sz w:val="20"/>
          <w:szCs w:val="20"/>
          <w:color w:val="auto"/>
        </w:rPr>
      </w:pPr>
    </w:p>
    <w:p>
      <w:pPr>
        <w:jc w:val="right"/>
        <w:ind w:right="20"/>
        <w:spacing w:after="0"/>
        <w:rPr>
          <w:sz w:val="20"/>
          <w:szCs w:val="20"/>
          <w:color w:val="auto"/>
        </w:rPr>
      </w:pPr>
      <w:r>
        <w:rPr>
          <w:rFonts w:ascii="Arial" w:cs="Arial" w:eastAsia="Arial" w:hAnsi="Arial"/>
          <w:sz w:val="30"/>
          <w:szCs w:val="30"/>
          <w:b w:val="1"/>
          <w:bCs w:val="1"/>
          <w:color w:val="auto"/>
        </w:rPr>
        <w:t>EMEA</w:t>
      </w:r>
    </w:p>
    <w:p>
      <w:pPr>
        <w:spacing w:after="0" w:line="101" w:lineRule="exact"/>
        <w:rPr>
          <w:sz w:val="20"/>
          <w:szCs w:val="20"/>
          <w:color w:val="auto"/>
        </w:rPr>
      </w:pPr>
    </w:p>
    <w:p>
      <w:pPr>
        <w:ind w:left="2640"/>
        <w:spacing w:after="0"/>
        <w:rPr>
          <w:sz w:val="20"/>
          <w:szCs w:val="20"/>
          <w:color w:val="auto"/>
        </w:rPr>
      </w:pPr>
      <w:r>
        <w:rPr>
          <w:rFonts w:ascii="Arial" w:cs="Arial" w:eastAsia="Arial" w:hAnsi="Arial"/>
          <w:sz w:val="30"/>
          <w:szCs w:val="30"/>
          <w:b w:val="1"/>
          <w:bCs w:val="1"/>
          <w:color w:val="auto"/>
        </w:rPr>
        <w:t>Asia</w:t>
      </w:r>
    </w:p>
    <w:p>
      <w:pPr>
        <w:spacing w:after="0" w:line="47" w:lineRule="exact"/>
        <w:rPr>
          <w:sz w:val="20"/>
          <w:szCs w:val="20"/>
          <w:color w:val="auto"/>
        </w:rPr>
      </w:pPr>
    </w:p>
    <w:p>
      <w:pPr>
        <w:ind w:left="2020"/>
        <w:spacing w:after="0"/>
        <w:rPr>
          <w:sz w:val="20"/>
          <w:szCs w:val="20"/>
          <w:color w:val="auto"/>
        </w:rPr>
      </w:pPr>
      <w:r>
        <w:rPr>
          <w:rFonts w:ascii="Arial" w:cs="Arial" w:eastAsia="Arial" w:hAnsi="Arial"/>
          <w:sz w:val="30"/>
          <w:szCs w:val="30"/>
          <w:b w:val="1"/>
          <w:bCs w:val="1"/>
          <w:color w:val="auto"/>
        </w:rPr>
        <w:t>RightPacific</w:t>
      </w:r>
    </w:p>
    <w:p>
      <w:pPr>
        <w:ind w:left="1480"/>
        <w:spacing w:after="0" w:line="188" w:lineRule="auto"/>
        <w:rPr>
          <w:sz w:val="20"/>
          <w:szCs w:val="20"/>
          <w:color w:val="auto"/>
        </w:rPr>
      </w:pPr>
      <w:r>
        <w:rPr>
          <w:rFonts w:ascii="Arial" w:cs="Arial" w:eastAsia="Arial" w:hAnsi="Arial"/>
          <w:sz w:val="15"/>
          <w:szCs w:val="15"/>
          <w:b w:val="1"/>
          <w:bCs w:val="1"/>
          <w:color w:val="auto"/>
        </w:rPr>
        <w:t>Management</w:t>
      </w:r>
    </w:p>
    <w:p>
      <w:pPr>
        <w:ind w:left="1580"/>
        <w:spacing w:after="0"/>
        <w:rPr>
          <w:sz w:val="20"/>
          <w:szCs w:val="20"/>
          <w:color w:val="auto"/>
        </w:rPr>
      </w:pPr>
      <w:r>
        <w:rPr>
          <w:rFonts w:ascii="Arial" w:cs="Arial" w:eastAsia="Arial" w:hAnsi="Arial"/>
          <w:sz w:val="30"/>
          <w:szCs w:val="30"/>
          <w:b w:val="1"/>
          <w:bCs w:val="1"/>
          <w:color w:val="auto"/>
        </w:rPr>
        <w:t>Jefferson Wells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34"/>
          <w:szCs w:val="34"/>
          <w:b w:val="1"/>
          <w:bCs w:val="1"/>
          <w:color w:val="D47C18"/>
        </w:rPr>
        <w:t>Gross Profit</w:t>
      </w:r>
    </w:p>
    <w:p>
      <w:pPr>
        <w:ind w:left="1020"/>
        <w:spacing w:after="0" w:line="181" w:lineRule="auto"/>
        <w:rPr>
          <w:sz w:val="20"/>
          <w:szCs w:val="20"/>
          <w:color w:val="auto"/>
        </w:rPr>
      </w:pPr>
      <w:r>
        <w:rPr>
          <w:rFonts w:ascii="Arial" w:cs="Arial" w:eastAsia="Arial" w:hAnsi="Arial"/>
          <w:sz w:val="23"/>
          <w:szCs w:val="23"/>
          <w:b w:val="1"/>
          <w:bCs w:val="1"/>
          <w:color w:val="D47C18"/>
        </w:rPr>
        <w:t>Margin</w:t>
      </w:r>
    </w:p>
    <w:p>
      <w:pPr>
        <w:ind w:left="640"/>
        <w:spacing w:after="0"/>
        <w:rPr>
          <w:sz w:val="20"/>
          <w:szCs w:val="20"/>
          <w:color w:val="auto"/>
        </w:rPr>
      </w:pPr>
      <w:r>
        <w:rPr>
          <w:rFonts w:ascii="Arial" w:cs="Arial" w:eastAsia="Arial" w:hAnsi="Arial"/>
          <w:sz w:val="34"/>
          <w:szCs w:val="34"/>
          <w:b w:val="1"/>
          <w:bCs w:val="1"/>
          <w:color w:val="D47C18"/>
        </w:rPr>
        <w:t>Operating Profit</w:t>
      </w:r>
    </w:p>
    <w:p>
      <w:pPr>
        <w:spacing w:after="0" w:line="223" w:lineRule="auto"/>
        <w:rPr>
          <w:sz w:val="20"/>
          <w:szCs w:val="20"/>
          <w:color w:val="auto"/>
        </w:rPr>
      </w:pPr>
      <w:r>
        <w:rPr>
          <w:rFonts w:ascii="Arial" w:cs="Arial" w:eastAsia="Arial" w:hAnsi="Arial"/>
          <w:sz w:val="34"/>
          <w:szCs w:val="34"/>
          <w:b w:val="1"/>
          <w:bCs w:val="1"/>
          <w:color w:val="D47C18"/>
        </w:rPr>
        <w:t>Tax Rate</w:t>
      </w:r>
      <w:r>
        <w:rPr>
          <w:rFonts w:ascii="Arial" w:cs="Arial" w:eastAsia="Arial" w:hAnsi="Arial"/>
          <w:sz w:val="67"/>
          <w:szCs w:val="67"/>
          <w:b w:val="1"/>
          <w:bCs w:val="1"/>
          <w:color w:val="D47C18"/>
          <w:vertAlign w:val="superscript"/>
        </w:rPr>
        <w:t>Margin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34"/>
          <w:szCs w:val="34"/>
          <w:b w:val="1"/>
          <w:bCs w:val="1"/>
          <w:color w:val="D47C18"/>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4"/>
        </w:trPr>
        <w:tc>
          <w:tcPr>
            <w:tcW w:w="1880" w:type="dxa"/>
            <w:vAlign w:val="bottom"/>
          </w:tcPr>
          <w:p>
            <w:pPr>
              <w:ind w:left="440"/>
              <w:spacing w:after="0"/>
              <w:rPr>
                <w:sz w:val="20"/>
                <w:szCs w:val="20"/>
                <w:color w:val="auto"/>
              </w:rPr>
            </w:pPr>
            <w:r>
              <w:rPr>
                <w:rFonts w:ascii="Arial" w:cs="Arial" w:eastAsia="Arial" w:hAnsi="Arial"/>
                <w:sz w:val="30"/>
                <w:szCs w:val="30"/>
                <w:color w:val="auto"/>
              </w:rPr>
              <w:t>Up 13-</w:t>
            </w:r>
          </w:p>
        </w:tc>
        <w:tc>
          <w:tcPr>
            <w:tcW w:w="2580" w:type="dxa"/>
            <w:vAlign w:val="bottom"/>
          </w:tcPr>
          <w:p>
            <w:pPr>
              <w:jc w:val="center"/>
              <w:ind w:right="385"/>
              <w:spacing w:after="0"/>
              <w:rPr>
                <w:sz w:val="20"/>
                <w:szCs w:val="20"/>
                <w:color w:val="auto"/>
              </w:rPr>
            </w:pPr>
            <w:r>
              <w:rPr>
                <w:rFonts w:ascii="Arial" w:cs="Arial" w:eastAsia="Arial" w:hAnsi="Arial"/>
                <w:sz w:val="30"/>
                <w:szCs w:val="30"/>
                <w:color w:val="auto"/>
              </w:rPr>
              <w:t>(Up 20-22%</w:t>
            </w:r>
          </w:p>
        </w:tc>
        <w:tc>
          <w:tcPr>
            <w:tcW w:w="0" w:type="dxa"/>
            <w:vAlign w:val="bottom"/>
          </w:tcPr>
          <w:p>
            <w:pPr>
              <w:spacing w:after="0"/>
              <w:rPr>
                <w:sz w:val="1"/>
                <w:szCs w:val="1"/>
                <w:color w:val="auto"/>
              </w:rPr>
            </w:pPr>
          </w:p>
        </w:tc>
      </w:tr>
      <w:tr>
        <w:trPr>
          <w:trHeight w:val="299"/>
        </w:trPr>
        <w:tc>
          <w:tcPr>
            <w:tcW w:w="1880" w:type="dxa"/>
            <w:vAlign w:val="bottom"/>
          </w:tcPr>
          <w:p>
            <w:pPr>
              <w:ind w:left="500"/>
              <w:spacing w:after="0" w:line="298" w:lineRule="exact"/>
              <w:rPr>
                <w:sz w:val="20"/>
                <w:szCs w:val="20"/>
                <w:color w:val="auto"/>
              </w:rPr>
            </w:pPr>
            <w:r>
              <w:rPr>
                <w:rFonts w:ascii="Arial" w:cs="Arial" w:eastAsia="Arial" w:hAnsi="Arial"/>
                <w:sz w:val="30"/>
                <w:szCs w:val="30"/>
                <w:color w:val="auto"/>
              </w:rPr>
              <w:t>15%</w:t>
            </w:r>
          </w:p>
        </w:tc>
        <w:tc>
          <w:tcPr>
            <w:tcW w:w="2580" w:type="dxa"/>
            <w:vAlign w:val="bottom"/>
          </w:tcPr>
          <w:p>
            <w:pPr>
              <w:jc w:val="center"/>
              <w:ind w:right="385"/>
              <w:spacing w:after="0" w:line="298"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284"/>
        </w:trPr>
        <w:tc>
          <w:tcPr>
            <w:tcW w:w="4460" w:type="dxa"/>
            <w:vAlign w:val="bottom"/>
            <w:gridSpan w:val="2"/>
          </w:tcPr>
          <w:p>
            <w:pPr>
              <w:ind w:left="160"/>
              <w:spacing w:after="0" w:line="284" w:lineRule="exact"/>
              <w:rPr>
                <w:sz w:val="20"/>
                <w:szCs w:val="20"/>
                <w:color w:val="auto"/>
              </w:rPr>
            </w:pPr>
            <w:r>
              <w:rPr>
                <w:rFonts w:ascii="Arial" w:cs="Arial" w:eastAsia="Arial" w:hAnsi="Arial"/>
                <w:sz w:val="30"/>
                <w:szCs w:val="30"/>
                <w:color w:val="auto"/>
              </w:rPr>
              <w:t>Up 60-62% (Up 56-58% CC)</w:t>
            </w:r>
          </w:p>
        </w:tc>
        <w:tc>
          <w:tcPr>
            <w:tcW w:w="0" w:type="dxa"/>
            <w:vAlign w:val="bottom"/>
          </w:tcPr>
          <w:p>
            <w:pPr>
              <w:spacing w:after="0"/>
              <w:rPr>
                <w:sz w:val="1"/>
                <w:szCs w:val="1"/>
                <w:color w:val="auto"/>
              </w:rPr>
            </w:pPr>
          </w:p>
        </w:tc>
      </w:tr>
      <w:tr>
        <w:trPr>
          <w:trHeight w:val="368"/>
        </w:trPr>
        <w:tc>
          <w:tcPr>
            <w:tcW w:w="4460" w:type="dxa"/>
            <w:vAlign w:val="bottom"/>
            <w:gridSpan w:val="2"/>
          </w:tcPr>
          <w:p>
            <w:pPr>
              <w:ind w:left="100"/>
              <w:spacing w:after="0"/>
              <w:rPr>
                <w:sz w:val="20"/>
                <w:szCs w:val="20"/>
                <w:color w:val="auto"/>
              </w:rPr>
            </w:pPr>
            <w:r>
              <w:rPr>
                <w:rFonts w:ascii="Arial" w:cs="Arial" w:eastAsia="Arial" w:hAnsi="Arial"/>
                <w:sz w:val="30"/>
                <w:szCs w:val="30"/>
                <w:color w:val="auto"/>
              </w:rPr>
              <w:t>Up 2-4%  (Up 14-16% CC)</w:t>
            </w:r>
          </w:p>
        </w:tc>
        <w:tc>
          <w:tcPr>
            <w:tcW w:w="0" w:type="dxa"/>
            <w:vAlign w:val="bottom"/>
          </w:tcPr>
          <w:p>
            <w:pPr>
              <w:spacing w:after="0"/>
              <w:rPr>
                <w:sz w:val="1"/>
                <w:szCs w:val="1"/>
                <w:color w:val="auto"/>
              </w:rPr>
            </w:pPr>
          </w:p>
        </w:tc>
      </w:tr>
      <w:tr>
        <w:trPr>
          <w:trHeight w:val="410"/>
        </w:trPr>
        <w:tc>
          <w:tcPr>
            <w:tcW w:w="1880" w:type="dxa"/>
            <w:vAlign w:val="bottom"/>
          </w:tcPr>
          <w:p>
            <w:pPr>
              <w:ind w:left="120"/>
              <w:spacing w:after="0"/>
              <w:rPr>
                <w:sz w:val="20"/>
                <w:szCs w:val="20"/>
                <w:color w:val="auto"/>
              </w:rPr>
            </w:pPr>
            <w:r>
              <w:rPr>
                <w:rFonts w:ascii="Arial" w:cs="Arial" w:eastAsia="Arial" w:hAnsi="Arial"/>
                <w:sz w:val="30"/>
                <w:szCs w:val="30"/>
                <w:color w:val="auto"/>
              </w:rPr>
              <w:t>Up 8-10%</w:t>
            </w:r>
          </w:p>
        </w:tc>
        <w:tc>
          <w:tcPr>
            <w:tcW w:w="2580" w:type="dxa"/>
            <w:vAlign w:val="bottom"/>
          </w:tcPr>
          <w:p>
            <w:pPr>
              <w:jc w:val="center"/>
              <w:ind w:right="605"/>
              <w:spacing w:after="0"/>
              <w:rPr>
                <w:sz w:val="20"/>
                <w:szCs w:val="20"/>
                <w:color w:val="auto"/>
              </w:rPr>
            </w:pPr>
            <w:r>
              <w:rPr>
                <w:rFonts w:ascii="Arial" w:cs="Arial" w:eastAsia="Arial" w:hAnsi="Arial"/>
                <w:sz w:val="30"/>
                <w:szCs w:val="30"/>
                <w:color w:val="auto"/>
              </w:rPr>
              <w:t>(Up 17-19%</w:t>
            </w:r>
          </w:p>
        </w:tc>
        <w:tc>
          <w:tcPr>
            <w:tcW w:w="0" w:type="dxa"/>
            <w:vAlign w:val="bottom"/>
          </w:tcPr>
          <w:p>
            <w:pPr>
              <w:spacing w:after="0"/>
              <w:rPr>
                <w:sz w:val="1"/>
                <w:szCs w:val="1"/>
                <w:color w:val="auto"/>
              </w:rPr>
            </w:pPr>
          </w:p>
        </w:tc>
      </w:tr>
      <w:tr>
        <w:trPr>
          <w:trHeight w:val="276"/>
        </w:trPr>
        <w:tc>
          <w:tcPr>
            <w:tcW w:w="1880" w:type="dxa"/>
            <w:vAlign w:val="bottom"/>
            <w:vMerge w:val="restart"/>
          </w:tcPr>
          <w:p>
            <w:pPr>
              <w:ind w:left="120"/>
              <w:spacing w:after="0"/>
              <w:rPr>
                <w:sz w:val="20"/>
                <w:szCs w:val="20"/>
                <w:color w:val="auto"/>
              </w:rPr>
            </w:pPr>
            <w:r>
              <w:rPr>
                <w:rFonts w:ascii="Arial" w:cs="Arial" w:eastAsia="Arial" w:hAnsi="Arial"/>
                <w:sz w:val="30"/>
                <w:szCs w:val="30"/>
                <w:color w:val="auto"/>
              </w:rPr>
              <w:t>Up 18-20%</w:t>
            </w:r>
          </w:p>
        </w:tc>
        <w:tc>
          <w:tcPr>
            <w:tcW w:w="2580" w:type="dxa"/>
            <w:vAlign w:val="bottom"/>
          </w:tcPr>
          <w:p>
            <w:pPr>
              <w:jc w:val="center"/>
              <w:ind w:right="605"/>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59"/>
        </w:trPr>
        <w:tc>
          <w:tcPr>
            <w:tcW w:w="1880" w:type="dxa"/>
            <w:vAlign w:val="bottom"/>
            <w:vMerge w:val="continue"/>
          </w:tcPr>
          <w:p>
            <w:pPr>
              <w:spacing w:after="0"/>
              <w:rPr>
                <w:sz w:val="13"/>
                <w:szCs w:val="13"/>
                <w:color w:val="auto"/>
              </w:rPr>
            </w:pPr>
          </w:p>
        </w:tc>
        <w:tc>
          <w:tcPr>
            <w:tcW w:w="2580" w:type="dxa"/>
            <w:vAlign w:val="bottom"/>
          </w:tcPr>
          <w:p>
            <w:pPr>
              <w:jc w:val="center"/>
              <w:ind w:right="385"/>
              <w:spacing w:after="0" w:line="158" w:lineRule="exact"/>
              <w:rPr>
                <w:sz w:val="20"/>
                <w:szCs w:val="20"/>
                <w:color w:val="auto"/>
              </w:rPr>
            </w:pPr>
            <w:r>
              <w:rPr>
                <w:rFonts w:ascii="Arial" w:cs="Arial" w:eastAsia="Arial" w:hAnsi="Arial"/>
                <w:sz w:val="18"/>
                <w:szCs w:val="18"/>
                <w:color w:val="auto"/>
              </w:rPr>
              <w:t>(Up 14-16%</w:t>
            </w:r>
          </w:p>
        </w:tc>
        <w:tc>
          <w:tcPr>
            <w:tcW w:w="0" w:type="dxa"/>
            <w:vAlign w:val="bottom"/>
          </w:tcPr>
          <w:p>
            <w:pPr>
              <w:spacing w:after="0"/>
              <w:rPr>
                <w:sz w:val="1"/>
                <w:szCs w:val="1"/>
                <w:color w:val="auto"/>
              </w:rPr>
            </w:pPr>
          </w:p>
        </w:tc>
      </w:tr>
      <w:tr>
        <w:trPr>
          <w:trHeight w:val="276"/>
        </w:trPr>
        <w:tc>
          <w:tcPr>
            <w:tcW w:w="1880" w:type="dxa"/>
            <w:vAlign w:val="bottom"/>
            <w:vMerge w:val="restart"/>
          </w:tcPr>
          <w:p>
            <w:pPr>
              <w:ind w:left="160"/>
              <w:spacing w:after="0"/>
              <w:rPr>
                <w:sz w:val="20"/>
                <w:szCs w:val="20"/>
                <w:color w:val="auto"/>
              </w:rPr>
            </w:pPr>
            <w:r>
              <w:rPr>
                <w:rFonts w:ascii="Arial" w:cs="Arial" w:eastAsia="Arial" w:hAnsi="Arial"/>
                <w:sz w:val="30"/>
                <w:szCs w:val="30"/>
                <w:color w:val="auto"/>
              </w:rPr>
              <w:t>Down 34-</w:t>
            </w:r>
          </w:p>
        </w:tc>
        <w:tc>
          <w:tcPr>
            <w:tcW w:w="2580" w:type="dxa"/>
            <w:vAlign w:val="bottom"/>
          </w:tcPr>
          <w:p>
            <w:pPr>
              <w:jc w:val="center"/>
              <w:ind w:right="385"/>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36"/>
        </w:trPr>
        <w:tc>
          <w:tcPr>
            <w:tcW w:w="1880" w:type="dxa"/>
            <w:vAlign w:val="bottom"/>
            <w:vMerge w:val="continue"/>
          </w:tcPr>
          <w:p>
            <w:pPr>
              <w:spacing w:after="0"/>
              <w:rPr>
                <w:sz w:val="11"/>
                <w:szCs w:val="11"/>
                <w:color w:val="auto"/>
              </w:rPr>
            </w:pPr>
          </w:p>
        </w:tc>
        <w:tc>
          <w:tcPr>
            <w:tcW w:w="2580" w:type="dxa"/>
            <w:vAlign w:val="bottom"/>
          </w:tcPr>
          <w:p>
            <w:pPr>
              <w:jc w:val="center"/>
              <w:ind w:left="425"/>
              <w:spacing w:after="0" w:line="136" w:lineRule="exact"/>
              <w:rPr>
                <w:sz w:val="20"/>
                <w:szCs w:val="20"/>
                <w:color w:val="auto"/>
              </w:rPr>
            </w:pPr>
            <w:r>
              <w:rPr>
                <w:rFonts w:ascii="Arial" w:cs="Arial" w:eastAsia="Arial" w:hAnsi="Arial"/>
                <w:sz w:val="15"/>
                <w:szCs w:val="15"/>
                <w:color w:val="auto"/>
              </w:rPr>
              <w:t>(Down 32-34%</w:t>
            </w:r>
          </w:p>
        </w:tc>
        <w:tc>
          <w:tcPr>
            <w:tcW w:w="0" w:type="dxa"/>
            <w:vAlign w:val="bottom"/>
          </w:tcPr>
          <w:p>
            <w:pPr>
              <w:spacing w:after="0"/>
              <w:rPr>
                <w:sz w:val="1"/>
                <w:szCs w:val="1"/>
                <w:color w:val="auto"/>
              </w:rPr>
            </w:pPr>
          </w:p>
        </w:tc>
      </w:tr>
      <w:tr>
        <w:trPr>
          <w:trHeight w:val="276"/>
        </w:trPr>
        <w:tc>
          <w:tcPr>
            <w:tcW w:w="1880" w:type="dxa"/>
            <w:vAlign w:val="bottom"/>
          </w:tcPr>
          <w:p>
            <w:pPr>
              <w:spacing w:after="0" w:line="275" w:lineRule="exact"/>
              <w:rPr>
                <w:sz w:val="20"/>
                <w:szCs w:val="20"/>
                <w:color w:val="auto"/>
              </w:rPr>
            </w:pPr>
            <w:r>
              <w:rPr>
                <w:rFonts w:ascii="Arial" w:cs="Arial" w:eastAsia="Arial" w:hAnsi="Arial"/>
                <w:sz w:val="30"/>
                <w:szCs w:val="30"/>
                <w:color w:val="auto"/>
              </w:rPr>
              <w:t>36%</w:t>
            </w:r>
          </w:p>
        </w:tc>
        <w:tc>
          <w:tcPr>
            <w:tcW w:w="2580" w:type="dxa"/>
            <w:vAlign w:val="bottom"/>
          </w:tcPr>
          <w:p>
            <w:pPr>
              <w:jc w:val="center"/>
              <w:ind w:left="425"/>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81"/>
        </w:trPr>
        <w:tc>
          <w:tcPr>
            <w:tcW w:w="1880" w:type="dxa"/>
            <w:vAlign w:val="bottom"/>
          </w:tcPr>
          <w:p>
            <w:pPr>
              <w:ind w:left="480"/>
              <w:spacing w:after="0" w:line="182" w:lineRule="exact"/>
              <w:rPr>
                <w:sz w:val="20"/>
                <w:szCs w:val="20"/>
                <w:color w:val="auto"/>
              </w:rPr>
            </w:pPr>
            <w:r>
              <w:rPr>
                <w:rFonts w:ascii="Arial" w:cs="Arial" w:eastAsia="Arial" w:hAnsi="Arial"/>
                <w:sz w:val="21"/>
                <w:szCs w:val="21"/>
                <w:color w:val="auto"/>
              </w:rPr>
              <w:t>Down 10-</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center"/>
        <w:ind w:right="3700"/>
        <w:spacing w:after="0" w:line="188" w:lineRule="auto"/>
        <w:rPr>
          <w:sz w:val="20"/>
          <w:szCs w:val="20"/>
          <w:color w:val="auto"/>
        </w:rPr>
      </w:pPr>
      <w:r>
        <w:rPr>
          <w:rFonts w:ascii="Arial" w:cs="Arial" w:eastAsia="Arial" w:hAnsi="Arial"/>
          <w:sz w:val="19"/>
          <w:szCs w:val="19"/>
          <w:color w:val="auto"/>
        </w:rPr>
        <w:t>12%</w:t>
      </w:r>
    </w:p>
    <w:p>
      <w:pPr>
        <w:jc w:val="center"/>
        <w:ind w:right="3760"/>
        <w:spacing w:after="0"/>
        <w:rPr>
          <w:sz w:val="20"/>
          <w:szCs w:val="20"/>
          <w:color w:val="auto"/>
        </w:rPr>
      </w:pPr>
      <w:r>
        <w:rPr>
          <w:rFonts w:ascii="Arial" w:cs="Arial" w:eastAsia="Arial" w:hAnsi="Arial"/>
          <w:sz w:val="30"/>
          <w:szCs w:val="30"/>
          <w:color w:val="auto"/>
        </w:rPr>
        <w:t>16.8-17.0%</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30"/>
          <w:szCs w:val="30"/>
          <w:color w:val="auto"/>
        </w:rPr>
        <w:t>1.8-</w:t>
      </w:r>
    </w:p>
    <w:p>
      <w:pPr>
        <w:ind w:left="500"/>
        <w:spacing w:after="0" w:line="184" w:lineRule="auto"/>
        <w:rPr>
          <w:sz w:val="20"/>
          <w:szCs w:val="20"/>
          <w:color w:val="auto"/>
        </w:rPr>
      </w:pPr>
      <w:r>
        <w:rPr>
          <w:rFonts w:ascii="Arial" w:cs="Arial" w:eastAsia="Arial" w:hAnsi="Arial"/>
          <w:sz w:val="23"/>
          <w:szCs w:val="23"/>
          <w:color w:val="auto"/>
        </w:rPr>
        <w:t>2.0%</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30"/>
          <w:szCs w:val="30"/>
          <w:color w:val="auto"/>
        </w:rPr>
        <w:t>52%</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30"/>
          <w:szCs w:val="30"/>
          <w:color w:val="auto"/>
        </w:rPr>
        <w:t>$0.41-$0.51 (Neg. $.04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926465</wp:posOffset>
            </wp:positionV>
            <wp:extent cx="727329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3820" w:space="400"/>
            <w:col w:w="5800"/>
          </w:cols>
          <w:pgMar w:left="940" w:top="375" w:right="9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24"/>
          <w:szCs w:val="24"/>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 Inc.</w:t>
      </w:r>
    </w:p>
    <w:p>
      <w:pPr>
        <w:spacing w:after="0" w:line="78" w:lineRule="exact"/>
        <w:rPr>
          <w:sz w:val="20"/>
          <w:szCs w:val="20"/>
          <w:color w:val="auto"/>
        </w:rPr>
      </w:pPr>
    </w:p>
    <w:p>
      <w:pPr>
        <w:ind w:left="6940"/>
        <w:spacing w:after="0"/>
        <w:rPr>
          <w:sz w:val="20"/>
          <w:szCs w:val="20"/>
          <w:color w:val="auto"/>
        </w:rPr>
      </w:pPr>
      <w:r>
        <w:rPr>
          <w:rFonts w:ascii="Arial" w:cs="Arial" w:eastAsia="Arial" w:hAnsi="Arial"/>
          <w:sz w:val="24"/>
          <w:szCs w:val="24"/>
          <w:color w:val="FFFFFF"/>
        </w:rPr>
        <w:t>2010 2</w:t>
      </w:r>
      <w:r>
        <w:rPr>
          <w:rFonts w:ascii="Arial" w:cs="Arial" w:eastAsia="Arial" w:hAnsi="Arial"/>
          <w:sz w:val="17"/>
          <w:szCs w:val="17"/>
          <w:color w:val="FFFFFF"/>
        </w:rPr>
        <w:t>nd</w:t>
      </w:r>
      <w:r>
        <w:rPr>
          <w:rFonts w:ascii="Arial" w:cs="Arial" w:eastAsia="Arial" w:hAnsi="Arial"/>
          <w:sz w:val="24"/>
          <w:szCs w:val="24"/>
          <w:color w:val="FFFFFF"/>
        </w:rPr>
        <w:t xml:space="preserve"> Quarter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24"/>
          <w:szCs w:val="24"/>
          <w:color w:val="FFFFFF"/>
        </w:rPr>
        <w:t>Results</w:t>
      </w:r>
    </w:p>
    <w:sectPr>
      <w:pgSz w:w="11900" w:h="16838" w:orient="portrait"/>
      <w:cols w:equalWidth="0" w:num="1">
        <w:col w:w="9060"/>
      </w:cols>
      <w:pgMar w:left="1440" w:top="376"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lvl w:ilvl="1">
      <w:lvlJc w:val="left"/>
      <w:lvlText w:val="(%2)"/>
      <w:numFmt w:val="decimal"/>
      <w:start w:val="66"/>
    </w:lvl>
    <w:lvl w:ilvl="2">
      <w:lvlJc w:val="left"/>
      <w:lvlText w:val="%3"/>
      <w:numFmt w:val="decimal"/>
      <w:start w:val="1"/>
    </w:lvl>
  </w:abstractNum>
  <w:abstractNum w:abstractNumId="14">
    <w:nsid w:val="519B500D"/>
    <w:multiLevelType w:val="hybridMultilevel"/>
    <w:lvl w:ilvl="0">
      <w:lvlJc w:val="left"/>
      <w:lvlText w:val="(%1)"/>
      <w:numFmt w:val="decimal"/>
      <w:start w:val="28"/>
    </w:lvl>
    <w:lvl w:ilvl="1">
      <w:lvlJc w:val="left"/>
      <w:lvlText w:val="(%2)"/>
      <w:numFmt w:val="decimal"/>
      <w:start w:val="94"/>
    </w:lvl>
    <w:lvl w:ilvl="2">
      <w:lvlJc w:val="left"/>
      <w:lvlText w:val="(%3)"/>
      <w:numFmt w:val="decimal"/>
      <w:start w:val="5"/>
    </w:lvl>
  </w:abstractNum>
  <w:abstractNum w:abstractNumId="15">
    <w:nsid w:val="431BD7B7"/>
    <w:multiLevelType w:val="hybridMultilevel"/>
    <w:lvl w:ilvl="0">
      <w:lvlJc w:val="left"/>
      <w:lvlText w:val="(%1)"/>
      <w:numFmt w:val="decimal"/>
      <w:start w:val="259"/>
    </w:lvl>
  </w:abstractNum>
  <w:abstractNum w:abstractNumId="16">
    <w:nsid w:val="3F2DBA31"/>
    <w:multiLevelType w:val="hybridMultilevel"/>
    <w:lvl w:ilvl="0">
      <w:lvlJc w:val="left"/>
      <w:lvlText w:val="(%1)"/>
      <w:numFmt w:val="decimal"/>
      <w:start w:val="92"/>
    </w:lvl>
    <w:lvl w:ilvl="1">
      <w:lvlJc w:val="left"/>
      <w:lvlText w:val="(%2)"/>
      <w:numFmt w:val="decimal"/>
      <w:start w:val="12"/>
    </w:lvl>
  </w:abstractNum>
  <w:abstractNum w:abstractNumId="17">
    <w:nsid w:val="7C83E458"/>
    <w:multiLevelType w:val="hybridMultilevel"/>
    <w:lvl w:ilvl="0">
      <w:lvlJc w:val="left"/>
      <w:lvlText w:val="(%1)"/>
      <w:numFmt w:val="decimal"/>
      <w:start w:val="462"/>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2019-12-10T08:54:18Z</dcterms:created>
  <dcterms:modified xsi:type="dcterms:W3CDTF">2019-12-10T08:54:18Z</dcterms:modified>
</cp:coreProperties>
</file>