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July 21, 2014</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MANPOWERGROUP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b w:val="1"/>
                <w:bCs w:val="1"/>
                <w:color w:val="auto"/>
                <w:w w:val="87"/>
              </w:rPr>
              <w:t>Wisconsin</w:t>
            </w:r>
          </w:p>
        </w:tc>
        <w:tc>
          <w:tcPr>
            <w:tcW w:w="2920" w:type="dxa"/>
            <w:vAlign w:val="bottom"/>
            <w:tcBorders>
              <w:bottom w:val="single" w:sz="8" w:color="auto"/>
            </w:tcBorders>
          </w:tcPr>
          <w:p>
            <w:pPr>
              <w:jc w:val="right"/>
              <w:ind w:right="1220"/>
              <w:spacing w:after="0"/>
              <w:rPr>
                <w:sz w:val="20"/>
                <w:szCs w:val="20"/>
                <w:color w:val="auto"/>
              </w:rPr>
            </w:pPr>
            <w:r>
              <w:rPr>
                <w:rFonts w:ascii="Arial" w:cs="Arial" w:eastAsia="Arial" w:hAnsi="Arial"/>
                <w:sz w:val="16"/>
                <w:szCs w:val="16"/>
                <w:b w:val="1"/>
                <w:bCs w:val="1"/>
                <w:color w:val="auto"/>
              </w:rPr>
              <w:t>1-10686</w:t>
            </w:r>
          </w:p>
        </w:tc>
        <w:tc>
          <w:tcPr>
            <w:tcW w:w="3700" w:type="dxa"/>
            <w:vAlign w:val="bottom"/>
            <w:tcBorders>
              <w:bottom w:val="single" w:sz="8" w:color="auto"/>
            </w:tcBorders>
          </w:tcPr>
          <w:p>
            <w:pPr>
              <w:jc w:val="right"/>
              <w:ind w:right="1400"/>
              <w:spacing w:after="0"/>
              <w:rPr>
                <w:sz w:val="20"/>
                <w:szCs w:val="20"/>
                <w:color w:val="auto"/>
              </w:rPr>
            </w:pPr>
            <w:r>
              <w:rPr>
                <w:rFonts w:ascii="Arial" w:cs="Arial" w:eastAsia="Arial" w:hAnsi="Arial"/>
                <w:sz w:val="16"/>
                <w:szCs w:val="16"/>
                <w:b w:val="1"/>
                <w:bCs w:val="1"/>
                <w:color w:val="auto"/>
              </w:rPr>
              <w:t>39-1672779</w:t>
            </w:r>
          </w:p>
        </w:tc>
      </w:tr>
      <w:tr>
        <w:trPr>
          <w:trHeight w:val="209"/>
        </w:trPr>
        <w:tc>
          <w:tcPr>
            <w:tcW w:w="4820" w:type="dxa"/>
            <w:vAlign w:val="bottom"/>
          </w:tcPr>
          <w:p>
            <w:pPr>
              <w:jc w:val="center"/>
              <w:ind w:right="120"/>
              <w:spacing w:after="0"/>
              <w:rPr>
                <w:sz w:val="20"/>
                <w:szCs w:val="20"/>
                <w:color w:val="auto"/>
              </w:rPr>
            </w:pPr>
            <w:r>
              <w:rPr>
                <w:rFonts w:ascii="Arial" w:cs="Arial" w:eastAsia="Arial" w:hAnsi="Arial"/>
                <w:sz w:val="16"/>
                <w:szCs w:val="16"/>
                <w:b w:val="1"/>
                <w:bCs w:val="1"/>
                <w:color w:val="auto"/>
                <w:w w:val="90"/>
              </w:rPr>
              <w:t>(State or other jurisdiction of incorporation)</w:t>
            </w:r>
          </w:p>
        </w:tc>
        <w:tc>
          <w:tcPr>
            <w:tcW w:w="2920" w:type="dxa"/>
            <w:vAlign w:val="bottom"/>
          </w:tcPr>
          <w:p>
            <w:pPr>
              <w:jc w:val="center"/>
              <w:ind w:right="140"/>
              <w:spacing w:after="0"/>
              <w:rPr>
                <w:sz w:val="20"/>
                <w:szCs w:val="20"/>
                <w:color w:val="auto"/>
              </w:rPr>
            </w:pPr>
            <w:r>
              <w:rPr>
                <w:rFonts w:ascii="Arial" w:cs="Arial" w:eastAsia="Arial" w:hAnsi="Arial"/>
                <w:sz w:val="16"/>
                <w:szCs w:val="16"/>
                <w:b w:val="1"/>
                <w:bCs w:val="1"/>
                <w:color w:val="auto"/>
                <w:w w:val="91"/>
              </w:rPr>
              <w:t>(Commission File Number)</w:t>
            </w:r>
          </w:p>
        </w:tc>
        <w:tc>
          <w:tcPr>
            <w:tcW w:w="3700" w:type="dxa"/>
            <w:vAlign w:val="bottom"/>
          </w:tcPr>
          <w:p>
            <w:pPr>
              <w:ind w:left="660"/>
              <w:spacing w:after="0"/>
              <w:rPr>
                <w:sz w:val="20"/>
                <w:szCs w:val="20"/>
                <w:color w:val="auto"/>
              </w:rPr>
            </w:pPr>
            <w:r>
              <w:rPr>
                <w:rFonts w:ascii="Arial" w:cs="Arial" w:eastAsia="Arial" w:hAnsi="Arial"/>
                <w:sz w:val="16"/>
                <w:szCs w:val="16"/>
                <w:b w:val="1"/>
                <w:bCs w:val="1"/>
                <w:color w:val="auto"/>
              </w:rPr>
              <w:t>(IRS Employer Identification No.)</w:t>
            </w:r>
          </w:p>
        </w:tc>
      </w:tr>
      <w:tr>
        <w:trPr>
          <w:trHeight w:val="592"/>
        </w:trPr>
        <w:tc>
          <w:tcPr>
            <w:tcW w:w="4820" w:type="dxa"/>
            <w:vAlign w:val="bottom"/>
          </w:tcPr>
          <w:p>
            <w:pPr>
              <w:jc w:val="center"/>
              <w:ind w:left="1220"/>
              <w:spacing w:after="0"/>
              <w:rPr>
                <w:sz w:val="20"/>
                <w:szCs w:val="20"/>
                <w:color w:val="auto"/>
              </w:rPr>
            </w:pPr>
            <w:r>
              <w:rPr>
                <w:rFonts w:ascii="Arial" w:cs="Arial" w:eastAsia="Arial" w:hAnsi="Arial"/>
                <w:sz w:val="16"/>
                <w:szCs w:val="16"/>
                <w:b w:val="1"/>
                <w:bCs w:val="1"/>
                <w:color w:val="auto"/>
                <w:w w:val="91"/>
              </w:rPr>
              <w:t>100 Manpower Place</w:t>
            </w:r>
          </w:p>
        </w:tc>
        <w:tc>
          <w:tcPr>
            <w:tcW w:w="29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13"/>
        </w:trPr>
        <w:tc>
          <w:tcPr>
            <w:tcW w:w="4820" w:type="dxa"/>
            <w:vAlign w:val="bottom"/>
            <w:tcBorders>
              <w:bottom w:val="single" w:sz="8" w:color="auto"/>
            </w:tcBorders>
          </w:tcPr>
          <w:p>
            <w:pPr>
              <w:jc w:val="center"/>
              <w:ind w:left="1240"/>
              <w:spacing w:after="0"/>
              <w:rPr>
                <w:sz w:val="20"/>
                <w:szCs w:val="20"/>
                <w:color w:val="auto"/>
              </w:rPr>
            </w:pPr>
            <w:r>
              <w:rPr>
                <w:rFonts w:ascii="Arial" w:cs="Arial" w:eastAsia="Arial" w:hAnsi="Arial"/>
                <w:sz w:val="16"/>
                <w:szCs w:val="16"/>
                <w:b w:val="1"/>
                <w:bCs w:val="1"/>
                <w:color w:val="auto"/>
                <w:w w:val="91"/>
              </w:rPr>
              <w:t>Milwaukee, Wisconsin</w:t>
            </w:r>
          </w:p>
        </w:tc>
        <w:tc>
          <w:tcPr>
            <w:tcW w:w="29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jc w:val="right"/>
              <w:ind w:right="2380"/>
              <w:spacing w:after="0"/>
              <w:rPr>
                <w:sz w:val="20"/>
                <w:szCs w:val="20"/>
                <w:color w:val="auto"/>
              </w:rPr>
            </w:pPr>
            <w:r>
              <w:rPr>
                <w:rFonts w:ascii="Arial" w:cs="Arial" w:eastAsia="Arial" w:hAnsi="Arial"/>
                <w:sz w:val="16"/>
                <w:szCs w:val="16"/>
                <w:b w:val="1"/>
                <w:bCs w:val="1"/>
                <w:color w:val="auto"/>
              </w:rPr>
              <w:t>53212</w:t>
            </w:r>
          </w:p>
        </w:tc>
      </w:tr>
      <w:tr>
        <w:trPr>
          <w:trHeight w:val="209"/>
        </w:trPr>
        <w:tc>
          <w:tcPr>
            <w:tcW w:w="4820" w:type="dxa"/>
            <w:vAlign w:val="bottom"/>
          </w:tcPr>
          <w:p>
            <w:pPr>
              <w:jc w:val="center"/>
              <w:ind w:left="1220"/>
              <w:spacing w:after="0"/>
              <w:rPr>
                <w:sz w:val="20"/>
                <w:szCs w:val="20"/>
                <w:color w:val="auto"/>
              </w:rPr>
            </w:pPr>
            <w:r>
              <w:rPr>
                <w:rFonts w:ascii="Arial" w:cs="Arial" w:eastAsia="Arial" w:hAnsi="Arial"/>
                <w:sz w:val="16"/>
                <w:szCs w:val="16"/>
                <w:b w:val="1"/>
                <w:bCs w:val="1"/>
                <w:color w:val="auto"/>
                <w:w w:val="88"/>
              </w:rPr>
              <w:t>(Address of principal executive offices)</w:t>
            </w:r>
          </w:p>
        </w:tc>
        <w:tc>
          <w:tcPr>
            <w:tcW w:w="2920" w:type="dxa"/>
            <w:vAlign w:val="bottom"/>
          </w:tcPr>
          <w:p>
            <w:pPr>
              <w:spacing w:after="0"/>
              <w:rPr>
                <w:sz w:val="18"/>
                <w:szCs w:val="18"/>
                <w:color w:val="auto"/>
              </w:rPr>
            </w:pPr>
          </w:p>
        </w:tc>
        <w:tc>
          <w:tcPr>
            <w:tcW w:w="3700" w:type="dxa"/>
            <w:vAlign w:val="bottom"/>
          </w:tcPr>
          <w:p>
            <w:pPr>
              <w:ind w:left="680"/>
              <w:spacing w:after="0"/>
              <w:rPr>
                <w:sz w:val="20"/>
                <w:szCs w:val="20"/>
                <w:color w:val="auto"/>
              </w:rPr>
            </w:pPr>
            <w:r>
              <w:rPr>
                <w:rFonts w:ascii="Arial" w:cs="Arial" w:eastAsia="Arial" w:hAnsi="Arial"/>
                <w:sz w:val="16"/>
                <w:szCs w:val="16"/>
                <w:b w:val="1"/>
                <w:bCs w:val="1"/>
                <w:color w:val="auto"/>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224"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420"/>
        <w:spacing w:after="0"/>
        <w:rPr>
          <w:sz w:val="20"/>
          <w:szCs w:val="20"/>
          <w:color w:val="auto"/>
        </w:rPr>
      </w:pPr>
      <w:r>
        <w:rPr>
          <w:rFonts w:ascii="Arial" w:cs="Arial" w:eastAsia="Arial" w:hAnsi="Arial"/>
          <w:sz w:val="16"/>
          <w:szCs w:val="16"/>
          <w:color w:val="auto"/>
        </w:rPr>
        <w:t>Written communications pursuant to Rule 425 under the Securities Act (17 CFR 230.425)</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Soliciting material pursuant to Rule 14a-12 under the Securities Act (17 CFR 240.14a-12)</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483870</wp:posOffset>
            </wp:positionV>
            <wp:extent cx="726694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15"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04" w:lineRule="exact"/>
        <w:rPr>
          <w:sz w:val="20"/>
          <w:szCs w:val="20"/>
          <w:color w:val="auto"/>
        </w:rPr>
      </w:pPr>
    </w:p>
    <w:p>
      <w:pPr>
        <w:ind w:right="280"/>
        <w:spacing w:after="0" w:line="289" w:lineRule="auto"/>
        <w:rPr>
          <w:sz w:val="20"/>
          <w:szCs w:val="20"/>
          <w:color w:val="auto"/>
        </w:rPr>
      </w:pPr>
      <w:r>
        <w:rPr>
          <w:rFonts w:ascii="Arial" w:cs="Arial" w:eastAsia="Arial" w:hAnsi="Arial"/>
          <w:sz w:val="15"/>
          <w:szCs w:val="15"/>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338"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On July 21, 2014, we issued a press release announcing our results of operations for the three month and six month periods ended June 30, 2014. A copy of the press release is attached hereto as Exhibit 99.1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60" w:type="dxa"/>
            <w:vAlign w:val="bottom"/>
          </w:tcPr>
          <w:p>
            <w:pPr>
              <w:spacing w:after="0"/>
              <w:rPr>
                <w:sz w:val="20"/>
                <w:szCs w:val="20"/>
                <w:color w:val="auto"/>
              </w:rPr>
            </w:pPr>
            <w:r>
              <w:rPr>
                <w:rFonts w:ascii="Arial" w:cs="Arial" w:eastAsia="Arial" w:hAnsi="Arial"/>
                <w:sz w:val="16"/>
                <w:szCs w:val="16"/>
                <w:b w:val="1"/>
                <w:bCs w:val="1"/>
                <w:color w:val="auto"/>
              </w:rPr>
              <w:t>Item 9.01.</w:t>
            </w:r>
          </w:p>
        </w:tc>
        <w:tc>
          <w:tcPr>
            <w:tcW w:w="10280" w:type="dxa"/>
            <w:vAlign w:val="bottom"/>
          </w:tcPr>
          <w:p>
            <w:pPr>
              <w:ind w:left="400"/>
              <w:spacing w:after="0"/>
              <w:rPr>
                <w:sz w:val="20"/>
                <w:szCs w:val="20"/>
                <w:color w:val="auto"/>
              </w:rPr>
            </w:pPr>
            <w:r>
              <w:rPr>
                <w:rFonts w:ascii="Arial" w:cs="Arial" w:eastAsia="Arial" w:hAnsi="Arial"/>
                <w:sz w:val="16"/>
                <w:szCs w:val="16"/>
                <w:b w:val="1"/>
                <w:bCs w:val="1"/>
                <w:color w:val="auto"/>
              </w:rPr>
              <w:t>Exhibits</w:t>
            </w:r>
            <w:r>
              <w:rPr>
                <w:rFonts w:ascii="Arial" w:cs="Arial" w:eastAsia="Arial" w:hAnsi="Arial"/>
                <w:sz w:val="16"/>
                <w:szCs w:val="16"/>
                <w:color w:val="auto"/>
              </w:rPr>
              <w:t>.</w:t>
            </w:r>
          </w:p>
        </w:tc>
      </w:tr>
      <w:tr>
        <w:trPr>
          <w:trHeight w:val="412"/>
        </w:trPr>
        <w:tc>
          <w:tcPr>
            <w:tcW w:w="1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0280" w:type="dxa"/>
            <w:vAlign w:val="bottom"/>
            <w:tcBorders>
              <w:bottom w:val="single" w:sz="8" w:color="auto"/>
            </w:tcBorders>
          </w:tcPr>
          <w:p>
            <w:pPr>
              <w:ind w:left="1040"/>
              <w:spacing w:after="0"/>
              <w:rPr>
                <w:sz w:val="20"/>
                <w:szCs w:val="20"/>
                <w:color w:val="auto"/>
              </w:rPr>
            </w:pPr>
            <w:r>
              <w:rPr>
                <w:rFonts w:ascii="Arial" w:cs="Arial" w:eastAsia="Arial" w:hAnsi="Arial"/>
                <w:sz w:val="16"/>
                <w:szCs w:val="16"/>
                <w:b w:val="1"/>
                <w:bCs w:val="1"/>
                <w:color w:val="auto"/>
              </w:rPr>
              <w:t>Description</w:t>
            </w:r>
          </w:p>
        </w:tc>
      </w:tr>
      <w:tr>
        <w:trPr>
          <w:trHeight w:val="180"/>
        </w:trPr>
        <w:tc>
          <w:tcPr>
            <w:tcW w:w="1160" w:type="dxa"/>
            <w:vAlign w:val="bottom"/>
          </w:tcPr>
          <w:p>
            <w:pPr>
              <w:spacing w:after="0" w:line="180" w:lineRule="exact"/>
              <w:rPr>
                <w:sz w:val="20"/>
                <w:szCs w:val="20"/>
                <w:color w:val="auto"/>
              </w:rPr>
            </w:pPr>
            <w:r>
              <w:rPr>
                <w:rFonts w:ascii="Arial" w:cs="Arial" w:eastAsia="Arial" w:hAnsi="Arial"/>
                <w:sz w:val="16"/>
                <w:szCs w:val="16"/>
                <w:color w:val="auto"/>
              </w:rPr>
              <w:t>99.1</w:t>
            </w:r>
          </w:p>
        </w:tc>
        <w:tc>
          <w:tcPr>
            <w:tcW w:w="10280" w:type="dxa"/>
            <w:vAlign w:val="bottom"/>
          </w:tcPr>
          <w:p>
            <w:pPr>
              <w:ind w:left="1040"/>
              <w:spacing w:after="0" w:line="180" w:lineRule="exact"/>
              <w:rPr>
                <w:sz w:val="20"/>
                <w:szCs w:val="20"/>
                <w:color w:val="auto"/>
              </w:rPr>
            </w:pPr>
            <w:r>
              <w:rPr>
                <w:rFonts w:ascii="Arial" w:cs="Arial" w:eastAsia="Arial" w:hAnsi="Arial"/>
                <w:sz w:val="16"/>
                <w:szCs w:val="16"/>
                <w:color w:val="auto"/>
              </w:rPr>
              <w:t>Press Release dated July 21, 2014</w:t>
            </w:r>
          </w:p>
        </w:tc>
      </w:tr>
      <w:tr>
        <w:trPr>
          <w:trHeight w:val="205"/>
        </w:trPr>
        <w:tc>
          <w:tcPr>
            <w:tcW w:w="1160" w:type="dxa"/>
            <w:vAlign w:val="bottom"/>
          </w:tcPr>
          <w:p>
            <w:pPr>
              <w:spacing w:after="0"/>
              <w:rPr>
                <w:sz w:val="20"/>
                <w:szCs w:val="20"/>
                <w:color w:val="auto"/>
              </w:rPr>
            </w:pPr>
            <w:r>
              <w:rPr>
                <w:rFonts w:ascii="Arial" w:cs="Arial" w:eastAsia="Arial" w:hAnsi="Arial"/>
                <w:sz w:val="16"/>
                <w:szCs w:val="16"/>
                <w:color w:val="auto"/>
              </w:rPr>
              <w:t>99.2</w:t>
            </w:r>
          </w:p>
        </w:tc>
        <w:tc>
          <w:tcPr>
            <w:tcW w:w="10280" w:type="dxa"/>
            <w:vAlign w:val="bottom"/>
          </w:tcPr>
          <w:p>
            <w:pPr>
              <w:ind w:left="1040"/>
              <w:spacing w:after="0"/>
              <w:rPr>
                <w:sz w:val="20"/>
                <w:szCs w:val="20"/>
                <w:color w:val="auto"/>
              </w:rPr>
            </w:pPr>
            <w:r>
              <w:rPr>
                <w:rFonts w:ascii="Arial" w:cs="Arial" w:eastAsia="Arial" w:hAnsi="Arial"/>
                <w:sz w:val="16"/>
                <w:szCs w:val="16"/>
                <w:color w:val="auto"/>
              </w:rPr>
              <w:t>Presentation materials for July 21, 2014 conference call</w:t>
            </w:r>
          </w:p>
        </w:tc>
      </w:tr>
      <w:tr>
        <w:trPr>
          <w:trHeight w:val="537"/>
        </w:trPr>
        <w:tc>
          <w:tcPr>
            <w:tcW w:w="1160" w:type="dxa"/>
            <w:vAlign w:val="bottom"/>
            <w:tcBorders>
              <w:bottom w:val="single" w:sz="8" w:color="808080"/>
            </w:tcBorders>
          </w:tcPr>
          <w:p>
            <w:pPr>
              <w:spacing w:after="0"/>
              <w:rPr>
                <w:sz w:val="24"/>
                <w:szCs w:val="24"/>
                <w:color w:val="auto"/>
              </w:rPr>
            </w:pPr>
          </w:p>
        </w:tc>
        <w:tc>
          <w:tcPr>
            <w:tcW w:w="10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6"/>
          <w:szCs w:val="16"/>
          <w:b w:val="1"/>
          <w:bCs w:val="1"/>
          <w:color w:val="auto"/>
        </w:rPr>
        <w:t>SIGNATURES</w:t>
      </w:r>
    </w:p>
    <w:p>
      <w:pPr>
        <w:spacing w:after="0" w:line="228" w:lineRule="exact"/>
        <w:rPr>
          <w:sz w:val="20"/>
          <w:szCs w:val="20"/>
          <w:color w:val="auto"/>
        </w:rPr>
      </w:pPr>
    </w:p>
    <w:p>
      <w:pPr>
        <w:ind w:firstLine="577"/>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9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MANPOWERGROUP INC.</w:t>
      </w:r>
    </w:p>
    <w:p>
      <w:pPr>
        <w:spacing w:after="0" w:line="200" w:lineRule="exact"/>
        <w:rPr>
          <w:sz w:val="20"/>
          <w:szCs w:val="20"/>
          <w:color w:val="auto"/>
        </w:rPr>
      </w:pPr>
    </w:p>
    <w:p>
      <w:pPr>
        <w:spacing w:after="0"/>
        <w:tabs>
          <w:tab w:leader="none" w:pos="3440" w:val="left"/>
          <w:tab w:leader="none" w:pos="3860" w:val="left"/>
        </w:tabs>
        <w:rPr>
          <w:sz w:val="20"/>
          <w:szCs w:val="20"/>
          <w:color w:val="auto"/>
        </w:rPr>
      </w:pPr>
      <w:r>
        <w:rPr>
          <w:rFonts w:ascii="Arial" w:cs="Arial" w:eastAsia="Arial" w:hAnsi="Arial"/>
          <w:sz w:val="16"/>
          <w:szCs w:val="16"/>
          <w:color w:val="auto"/>
        </w:rPr>
        <w:t>Dated: July 21,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2461260</wp:posOffset>
            </wp:positionH>
            <wp:positionV relativeFrom="paragraph">
              <wp:posOffset>13335</wp:posOffset>
            </wp:positionV>
            <wp:extent cx="203644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6445" cy="15240"/>
                    </a:xfrm>
                    <a:prstGeom prst="rect">
                      <a:avLst/>
                    </a:prstGeom>
                    <a:noFill/>
                  </pic:spPr>
                </pic:pic>
              </a:graphicData>
            </a:graphic>
          </wp:anchor>
        </w:drawing>
      </w:r>
    </w:p>
    <w:p>
      <w:pPr>
        <w:spacing w:after="0" w:line="1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Michael J. Van Handel</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Executive Vice President and</w:t>
      </w:r>
    </w:p>
    <w:p>
      <w:pPr>
        <w:spacing w:after="0" w:line="8"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475615</wp:posOffset>
            </wp:positionV>
            <wp:extent cx="726694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40"/>
          </w:cols>
          <w:pgMar w:left="240" w:top="555"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9"/>
        </w:trPr>
        <w:tc>
          <w:tcPr>
            <w:tcW w:w="1500" w:type="dxa"/>
            <w:vAlign w:val="bottom"/>
          </w:tcPr>
          <w:p>
            <w:pPr>
              <w:spacing w:after="0"/>
              <w:rPr>
                <w:sz w:val="18"/>
                <w:szCs w:val="18"/>
                <w:color w:val="auto"/>
              </w:rPr>
            </w:pPr>
          </w:p>
        </w:tc>
        <w:tc>
          <w:tcPr>
            <w:tcW w:w="9940" w:type="dxa"/>
            <w:vAlign w:val="bottom"/>
          </w:tcPr>
          <w:p>
            <w:pPr>
              <w:ind w:left="3600"/>
              <w:spacing w:after="0"/>
              <w:rPr>
                <w:sz w:val="20"/>
                <w:szCs w:val="20"/>
                <w:color w:val="auto"/>
              </w:rPr>
            </w:pPr>
            <w:r>
              <w:rPr>
                <w:rFonts w:ascii="Arial" w:cs="Arial" w:eastAsia="Arial" w:hAnsi="Arial"/>
                <w:sz w:val="16"/>
                <w:szCs w:val="16"/>
                <w:b w:val="1"/>
                <w:bCs w:val="1"/>
                <w:color w:val="auto"/>
              </w:rPr>
              <w:t>EXHIBIT INDEX</w:t>
            </w:r>
          </w:p>
        </w:tc>
      </w:tr>
      <w:tr>
        <w:trPr>
          <w:trHeight w:val="412"/>
        </w:trPr>
        <w:tc>
          <w:tcPr>
            <w:tcW w:w="15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994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Description</w:t>
            </w:r>
          </w:p>
        </w:tc>
      </w:tr>
      <w:tr>
        <w:trPr>
          <w:trHeight w:val="180"/>
        </w:trPr>
        <w:tc>
          <w:tcPr>
            <w:tcW w:w="1500" w:type="dxa"/>
            <w:vAlign w:val="bottom"/>
          </w:tcPr>
          <w:p>
            <w:pPr>
              <w:spacing w:after="0" w:line="180" w:lineRule="exact"/>
              <w:rPr>
                <w:sz w:val="20"/>
                <w:szCs w:val="20"/>
                <w:color w:val="auto"/>
              </w:rPr>
            </w:pPr>
            <w:r>
              <w:rPr>
                <w:rFonts w:ascii="Arial" w:cs="Arial" w:eastAsia="Arial" w:hAnsi="Arial"/>
                <w:sz w:val="16"/>
                <w:szCs w:val="16"/>
                <w:color w:val="auto"/>
              </w:rPr>
              <w:t>99.1</w:t>
            </w:r>
          </w:p>
        </w:tc>
        <w:tc>
          <w:tcPr>
            <w:tcW w:w="9940" w:type="dxa"/>
            <w:vAlign w:val="bottom"/>
          </w:tcPr>
          <w:p>
            <w:pPr>
              <w:ind w:left="700"/>
              <w:spacing w:after="0" w:line="180" w:lineRule="exact"/>
              <w:rPr>
                <w:sz w:val="20"/>
                <w:szCs w:val="20"/>
                <w:color w:val="auto"/>
              </w:rPr>
            </w:pPr>
            <w:r>
              <w:rPr>
                <w:rFonts w:ascii="Arial" w:cs="Arial" w:eastAsia="Arial" w:hAnsi="Arial"/>
                <w:sz w:val="16"/>
                <w:szCs w:val="16"/>
                <w:color w:val="auto"/>
              </w:rPr>
              <w:t>Press Release dated July 21, 2014</w:t>
            </w:r>
          </w:p>
        </w:tc>
      </w:tr>
      <w:tr>
        <w:trPr>
          <w:trHeight w:val="205"/>
        </w:trPr>
        <w:tc>
          <w:tcPr>
            <w:tcW w:w="1500" w:type="dxa"/>
            <w:vAlign w:val="bottom"/>
          </w:tcPr>
          <w:p>
            <w:pPr>
              <w:spacing w:after="0"/>
              <w:rPr>
                <w:sz w:val="20"/>
                <w:szCs w:val="20"/>
                <w:color w:val="auto"/>
              </w:rPr>
            </w:pPr>
            <w:r>
              <w:rPr>
                <w:rFonts w:ascii="Arial" w:cs="Arial" w:eastAsia="Arial" w:hAnsi="Arial"/>
                <w:sz w:val="16"/>
                <w:szCs w:val="16"/>
                <w:color w:val="auto"/>
              </w:rPr>
              <w:t>99.2</w:t>
            </w:r>
          </w:p>
        </w:tc>
        <w:tc>
          <w:tcPr>
            <w:tcW w:w="9940" w:type="dxa"/>
            <w:vAlign w:val="bottom"/>
          </w:tcPr>
          <w:p>
            <w:pPr>
              <w:ind w:left="700"/>
              <w:spacing w:after="0"/>
              <w:rPr>
                <w:sz w:val="20"/>
                <w:szCs w:val="20"/>
                <w:color w:val="auto"/>
              </w:rPr>
            </w:pPr>
            <w:r>
              <w:rPr>
                <w:rFonts w:ascii="Arial" w:cs="Arial" w:eastAsia="Arial" w:hAnsi="Arial"/>
                <w:sz w:val="16"/>
                <w:szCs w:val="16"/>
                <w:color w:val="auto"/>
              </w:rPr>
              <w:t>Presentation materials for July 21, 2014 conference call</w:t>
            </w:r>
          </w:p>
        </w:tc>
      </w:tr>
    </w:tbl>
    <w:p>
      <w:pPr>
        <w:sectPr>
          <w:pgSz w:w="11900" w:h="16838" w:orient="portrait"/>
          <w:cols w:equalWidth="0" w:num="1">
            <w:col w:w="11440"/>
          </w:cols>
          <w:pgMar w:left="240" w:top="339"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793115" cy="4349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93115" cy="434975"/>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IMMEDIATE RELEASE</w:t>
      </w:r>
    </w:p>
    <w:p>
      <w:pPr>
        <w:spacing w:after="0" w:line="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Mike Van Handel</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+1.414.906.6305</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14"/>
          <w:szCs w:val="14"/>
          <w:color w:val="auto"/>
        </w:rPr>
        <w:t>michael.vanhandel@manpowergroup.com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Contact:</w:t>
      </w:r>
    </w:p>
    <w:p>
      <w:pPr>
        <w:spacing w:after="0" w:line="793" w:lineRule="exact"/>
        <w:rPr>
          <w:sz w:val="20"/>
          <w:szCs w:val="20"/>
          <w:color w:val="auto"/>
        </w:rPr>
      </w:pPr>
    </w:p>
    <w:p>
      <w:pPr>
        <w:sectPr>
          <w:pgSz w:w="11900" w:h="16838" w:orient="portrait"/>
          <w:cols w:equalWidth="0" w:num="2">
            <w:col w:w="3760" w:space="720"/>
            <w:col w:w="6960"/>
          </w:cols>
          <w:pgMar w:left="240" w:top="116" w:right="219" w:bottom="1440" w:gutter="0" w:footer="0" w:header="0"/>
          <w:type w:val="continuous"/>
        </w:sect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ManpowerGroup Reports 2</w:t>
      </w:r>
      <w:r>
        <w:rPr>
          <w:rFonts w:ascii="Arial" w:cs="Arial" w:eastAsia="Arial" w:hAnsi="Arial"/>
          <w:sz w:val="22"/>
          <w:szCs w:val="22"/>
          <w:b w:val="1"/>
          <w:bCs w:val="1"/>
          <w:color w:val="auto"/>
          <w:vertAlign w:val="superscript"/>
        </w:rPr>
        <w:t>nd</w:t>
      </w:r>
      <w:r>
        <w:rPr>
          <w:rFonts w:ascii="Arial" w:cs="Arial" w:eastAsia="Arial" w:hAnsi="Arial"/>
          <w:sz w:val="16"/>
          <w:szCs w:val="16"/>
          <w:b w:val="1"/>
          <w:bCs w:val="1"/>
          <w:color w:val="auto"/>
        </w:rPr>
        <w:t xml:space="preserve"> Quarter and First Half 2014 Results</w:t>
      </w:r>
    </w:p>
    <w:p>
      <w:pPr>
        <w:spacing w:after="0" w:line="155" w:lineRule="exact"/>
        <w:rPr>
          <w:sz w:val="20"/>
          <w:szCs w:val="20"/>
          <w:color w:val="auto"/>
        </w:rPr>
      </w:pPr>
    </w:p>
    <w:p>
      <w:pPr>
        <w:ind w:right="520"/>
        <w:spacing w:after="0" w:line="275" w:lineRule="auto"/>
        <w:rPr>
          <w:sz w:val="20"/>
          <w:szCs w:val="20"/>
          <w:color w:val="auto"/>
        </w:rPr>
      </w:pPr>
      <w:r>
        <w:rPr>
          <w:rFonts w:ascii="Arial" w:cs="Arial" w:eastAsia="Arial" w:hAnsi="Arial"/>
          <w:sz w:val="15"/>
          <w:szCs w:val="15"/>
          <w:b w:val="1"/>
          <w:bCs w:val="1"/>
          <w:color w:val="auto"/>
        </w:rPr>
        <w:t xml:space="preserve">MILWAUKEE, July 21, 2014 -- </w:t>
      </w:r>
      <w:r>
        <w:rPr>
          <w:rFonts w:ascii="Arial" w:cs="Arial" w:eastAsia="Arial" w:hAnsi="Arial"/>
          <w:sz w:val="15"/>
          <w:szCs w:val="15"/>
          <w:color w:val="auto"/>
        </w:rPr>
        <w:t>ManpowerGroup (NYSE: MAN) today reported that net earnings per diluted share for the three months ended June 30, 2014 were $1.35</w:t>
      </w:r>
      <w:r>
        <w:rPr>
          <w:rFonts w:ascii="Arial" w:cs="Arial" w:eastAsia="Arial" w:hAnsi="Arial"/>
          <w:sz w:val="15"/>
          <w:szCs w:val="15"/>
          <w:b w:val="1"/>
          <w:bCs w:val="1"/>
          <w:color w:val="auto"/>
        </w:rPr>
        <w:t xml:space="preserve"> </w:t>
      </w:r>
      <w:r>
        <w:rPr>
          <w:rFonts w:ascii="Arial" w:cs="Arial" w:eastAsia="Arial" w:hAnsi="Arial"/>
          <w:sz w:val="15"/>
          <w:szCs w:val="15"/>
          <w:color w:val="auto"/>
        </w:rPr>
        <w:t>compared to 87 cents in the prior year period. Net earnings in the second quarter were $109.8 million compared to $68.2 million a year earlier. Revenues for the second quarter were $5.3 billion, an increase of 6 percent from the year earlier period in U.S. dollars and 4 percent in constant currency.</w:t>
      </w:r>
    </w:p>
    <w:p>
      <w:pPr>
        <w:jc w:val="both"/>
        <w:ind w:right="400"/>
        <w:spacing w:after="0" w:line="250" w:lineRule="auto"/>
        <w:rPr>
          <w:sz w:val="20"/>
          <w:szCs w:val="20"/>
          <w:color w:val="auto"/>
        </w:rPr>
      </w:pPr>
      <w:r>
        <w:rPr>
          <w:rFonts w:ascii="Arial" w:cs="Arial" w:eastAsia="Arial" w:hAnsi="Arial"/>
          <w:sz w:val="16"/>
          <w:szCs w:val="16"/>
          <w:color w:val="auto"/>
        </w:rPr>
        <w:t>Included in the prior year second quarter results is a restructuring charge, primarily related to office consolidations and severance costs, of $20.0 million ($14.4 million after tax or 18 cents per diluted share). There were no restructuring charges in the current year quarter. Net earnings in the second quarter were favorably impacted by 3 cents per diluted share, as foreign currencies were relatively stronger compared to the prior year period.</w:t>
      </w:r>
    </w:p>
    <w:p>
      <w:pPr>
        <w:spacing w:after="0" w:line="2" w:lineRule="exact"/>
        <w:rPr>
          <w:sz w:val="20"/>
          <w:szCs w:val="20"/>
          <w:color w:val="auto"/>
        </w:rPr>
      </w:pPr>
    </w:p>
    <w:p>
      <w:pPr>
        <w:ind w:right="880"/>
        <w:spacing w:after="0" w:line="267" w:lineRule="auto"/>
        <w:rPr>
          <w:sz w:val="20"/>
          <w:szCs w:val="20"/>
          <w:color w:val="auto"/>
        </w:rPr>
      </w:pPr>
      <w:r>
        <w:rPr>
          <w:rFonts w:ascii="Arial" w:cs="Arial" w:eastAsia="Arial" w:hAnsi="Arial"/>
          <w:sz w:val="15"/>
          <w:szCs w:val="15"/>
          <w:color w:val="auto"/>
        </w:rPr>
        <w:t>ManpowerGroup CEO Jonas Prising, said, “In the second quarter, we saw our revenue growth improve in a number of major operations including the U.S., U.K. and Italy. This combined with our continued focus on efficiency and productivity, has resulted in good operational leverage and healthy earnings growth.”</w:t>
      </w:r>
    </w:p>
    <w:p>
      <w:pPr>
        <w:spacing w:after="0" w:line="1" w:lineRule="exact"/>
        <w:rPr>
          <w:sz w:val="20"/>
          <w:szCs w:val="20"/>
          <w:color w:val="auto"/>
        </w:rPr>
      </w:pPr>
    </w:p>
    <w:p>
      <w:pPr>
        <w:ind w:right="640"/>
        <w:spacing w:after="0" w:line="250" w:lineRule="auto"/>
        <w:rPr>
          <w:sz w:val="20"/>
          <w:szCs w:val="20"/>
          <w:color w:val="auto"/>
        </w:rPr>
      </w:pPr>
      <w:r>
        <w:rPr>
          <w:rFonts w:ascii="Arial" w:cs="Arial" w:eastAsia="Arial" w:hAnsi="Arial"/>
          <w:sz w:val="16"/>
          <w:szCs w:val="16"/>
          <w:color w:val="auto"/>
        </w:rPr>
        <w:t>“We are anticipating the third quarter of 2014 diluted earnings per share to be in the range of $1.46 to $1.54, which includes an estimated favorable currency impact of 2 cents,” Prising stated.</w:t>
      </w:r>
    </w:p>
    <w:p>
      <w:pPr>
        <w:spacing w:after="0" w:line="1" w:lineRule="exact"/>
        <w:rPr>
          <w:sz w:val="20"/>
          <w:szCs w:val="20"/>
          <w:color w:val="auto"/>
        </w:rPr>
      </w:pPr>
    </w:p>
    <w:p>
      <w:pPr>
        <w:jc w:val="both"/>
        <w:ind w:right="400"/>
        <w:spacing w:after="0" w:line="250" w:lineRule="auto"/>
        <w:rPr>
          <w:sz w:val="20"/>
          <w:szCs w:val="20"/>
          <w:color w:val="auto"/>
        </w:rPr>
      </w:pPr>
      <w:r>
        <w:rPr>
          <w:rFonts w:ascii="Arial" w:cs="Arial" w:eastAsia="Arial" w:hAnsi="Arial"/>
          <w:sz w:val="16"/>
          <w:szCs w:val="16"/>
          <w:color w:val="auto"/>
        </w:rPr>
        <w:t>Earnings per diluted share for the six months ended June 30, 2014 were $2.21 compared to $1.17 per diluted share in 2013. Net earnings for the period were $179.9 million compared to $92.1 million in the prior year. Revenues for the six-month period were $10.2 billion, an increase of 4 percent from the prior year or an increase of 3 percent in constant currency. Earnings per diluted share for the prior year six month period include restructuring charges of 51 cents per diluted share. Foreign currency exchange rates had a favorable impact of 2 cents for the six-month period.</w:t>
      </w:r>
    </w:p>
    <w:p>
      <w:pPr>
        <w:spacing w:after="0" w:line="2" w:lineRule="exact"/>
        <w:rPr>
          <w:sz w:val="20"/>
          <w:szCs w:val="20"/>
          <w:color w:val="auto"/>
        </w:rPr>
      </w:pPr>
    </w:p>
    <w:p>
      <w:pPr>
        <w:ind w:right="480"/>
        <w:spacing w:after="0" w:line="250" w:lineRule="auto"/>
        <w:rPr>
          <w:sz w:val="20"/>
          <w:szCs w:val="20"/>
          <w:color w:val="auto"/>
        </w:rPr>
      </w:pPr>
      <w:r>
        <w:rPr>
          <w:rFonts w:ascii="Arial" w:cs="Arial" w:eastAsia="Arial" w:hAnsi="Arial"/>
          <w:sz w:val="16"/>
          <w:szCs w:val="16"/>
          <w:color w:val="auto"/>
        </w:rPr>
        <w:t xml:space="preserve">In conjunction with its second quarter earnings release, ManpowerGroup will broadcast its conference call live over the Internet on July 21, 2014 at 7:30 a.m. CDT (8:30 a.m. EDT). Interested parties are invited to listen to the webcast and view the presentation by logging on to </w:t>
      </w:r>
      <w:r>
        <w:rPr>
          <w:rFonts w:ascii="Arial" w:cs="Arial" w:eastAsia="Arial" w:hAnsi="Arial"/>
          <w:sz w:val="16"/>
          <w:szCs w:val="16"/>
          <w:u w:val="single" w:color="auto"/>
          <w:color w:val="auto"/>
        </w:rPr>
        <w:t>http://www.manpowergroup.com</w:t>
      </w:r>
      <w:r>
        <w:rPr>
          <w:rFonts w:ascii="Arial" w:cs="Arial" w:eastAsia="Arial" w:hAnsi="Arial"/>
          <w:sz w:val="16"/>
          <w:szCs w:val="16"/>
          <w:color w:val="auto"/>
        </w:rPr>
        <w:t xml:space="preserve"> in the section titled “Investor Relations.”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financial information referenced in the conference call can be found at </w:t>
      </w:r>
      <w:r>
        <w:rPr>
          <w:rFonts w:ascii="Arial" w:cs="Arial" w:eastAsia="Arial" w:hAnsi="Arial"/>
          <w:sz w:val="16"/>
          <w:szCs w:val="16"/>
          <w:u w:val="single" w:color="auto"/>
          <w:color w:val="auto"/>
        </w:rPr>
        <w:t>http://www.manpowergroup.com</w:t>
      </w:r>
      <w:r>
        <w:rPr>
          <w:rFonts w:ascii="Arial" w:cs="Arial" w:eastAsia="Arial" w:hAnsi="Arial"/>
          <w:sz w:val="16"/>
          <w:szCs w:val="16"/>
          <w:color w:val="auto"/>
        </w:rPr>
        <w: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r>
        <w:rPr>
          <w:rFonts w:ascii="Arial" w:cs="Arial" w:eastAsia="Arial" w:hAnsi="Arial"/>
          <w:sz w:val="16"/>
          <w:szCs w:val="16"/>
          <w:color w:val="auto"/>
        </w:rPr>
        <w:t>™</w:t>
      </w:r>
    </w:p>
    <w:p>
      <w:pPr>
        <w:spacing w:after="0" w:line="25"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 xml:space="preserve">ManpowerGroup™ (NYSE: MAN) has been the world’s workforce expert, creating innovative workforce solutions, for more than 65 years. As workforce experts, we connect more than 600,000 men and women to meaningful work across a wide range of skills and industries every day. Through our ManpowerGroup family of brands — Manpower®, Experis™, Right Management ® and ManpowerGroup™ Solutions— we help more than 400,000 clients in 80 countries and territories address their critical talent needs, providing comprehensive solutions to resource, manage and develop talent. In 2014, ManpowerGroup was named one of the World’s Most Ethical Companies for the fourth consecutive year and one of Fortune’s Most Admired Companies, confirming our position as the most trusted and admired brand in the industry. See how ManpowerGroup makes powering the world of work humanly possible: </w:t>
      </w:r>
      <w:r>
        <w:rPr>
          <w:rFonts w:ascii="Arial" w:cs="Arial" w:eastAsia="Arial" w:hAnsi="Arial"/>
          <w:sz w:val="16"/>
          <w:szCs w:val="16"/>
          <w:u w:val="single" w:color="auto"/>
          <w:color w:val="auto"/>
        </w:rPr>
        <w:t>www.manpowergroup.com</w:t>
      </w:r>
      <w:r>
        <w:rPr>
          <w:rFonts w:ascii="Arial" w:cs="Arial" w:eastAsia="Arial" w:hAnsi="Arial"/>
          <w:sz w:val="16"/>
          <w:szCs w:val="16"/>
          <w:color w:val="auto"/>
        </w:rPr>
        <w: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5" w:lineRule="exact"/>
        <w:rPr>
          <w:sz w:val="20"/>
          <w:szCs w:val="20"/>
          <w:color w:val="auto"/>
        </w:rPr>
      </w:pPr>
    </w:p>
    <w:p>
      <w:pPr>
        <w:ind w:right="40"/>
        <w:spacing w:after="0" w:line="272" w:lineRule="auto"/>
        <w:rPr>
          <w:sz w:val="20"/>
          <w:szCs w:val="20"/>
          <w:color w:val="auto"/>
        </w:rPr>
      </w:pPr>
      <w:r>
        <w:rPr>
          <w:rFonts w:ascii="Arial" w:cs="Arial" w:eastAsia="Arial" w:hAnsi="Arial"/>
          <w:sz w:val="15"/>
          <w:szCs w:val="15"/>
          <w:color w:val="auto"/>
        </w:rPr>
        <w:t>This news release contains statements, including earnings projections, that are forward-looking in nature. These statements are based on management’s current expectations or beliefs, and are subject to known and unknown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2013, which information is incorporated herein by reference. Any forward-looking statement in this release speaks only as of the date on which it is made. The company assumes no obligation to update or revise any forward-looking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376555</wp:posOffset>
            </wp:positionV>
            <wp:extent cx="726694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type w:val="continuous"/>
        </w:sectPr>
      </w:pPr>
    </w:p>
    <w:bookmarkStart w:id="5" w:name="page6"/>
    <w:bookmarkEnd w:id="5"/>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Results of Operations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 except per share data)</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6"/>
                <w:szCs w:val="16"/>
                <w:b w:val="1"/>
                <w:bCs w:val="1"/>
                <w:color w:val="auto"/>
                <w:w w:val="93"/>
              </w:rPr>
              <w:t>Three Months Ended June 30</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6" w:lineRule="exact"/>
              <w:rPr>
                <w:sz w:val="20"/>
                <w:szCs w:val="20"/>
                <w:color w:val="auto"/>
              </w:rPr>
            </w:pPr>
            <w:r>
              <w:rPr>
                <w:rFonts w:ascii="Arial" w:cs="Arial" w:eastAsia="Arial" w:hAnsi="Arial"/>
                <w:sz w:val="16"/>
                <w:szCs w:val="16"/>
                <w:b w:val="1"/>
                <w:bCs w:val="1"/>
                <w:color w:val="auto"/>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5,321.7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5,040.7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4,424.4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4,204.3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5.2%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897.3</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836.4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709.9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708.3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0.2%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128.1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10.3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-24.0%</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117.8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192"/>
        </w:trPr>
        <w:tc>
          <w:tcPr>
            <w:tcW w:w="608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49.6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40.8%</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Net earnings per share - 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1.37</w:t>
            </w:r>
          </w:p>
        </w:tc>
        <w:tc>
          <w:tcPr>
            <w:tcW w:w="220" w:type="dxa"/>
            <w:vAlign w:val="bottom"/>
          </w:tcPr>
          <w:p>
            <w:pPr>
              <w:spacing w:after="0"/>
              <w:rPr>
                <w:sz w:val="15"/>
                <w:szCs w:val="15"/>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0.88</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55.7%</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earnings per share - 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1.35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0.87</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55.2%</w:t>
            </w:r>
          </w:p>
        </w:tc>
        <w:tc>
          <w:tcPr>
            <w:tcW w:w="128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Weighted average shares - basic</w:t>
            </w:r>
          </w:p>
        </w:tc>
        <w:tc>
          <w:tcPr>
            <w:tcW w:w="24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79.9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77.4</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3.2%</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Weighted average shares - diluted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81.4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78.6</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3.5%</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 w:right="300" w:hanging="4"/>
        <w:spacing w:after="0" w:line="264" w:lineRule="auto"/>
        <w:tabs>
          <w:tab w:leader="none" w:pos="222" w:val="left"/>
        </w:tabs>
        <w:numPr>
          <w:ilvl w:val="0"/>
          <w:numId w:val="1"/>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$6.4 million and $6.1 million for the three months ended June 30, 2014 and 2013, respectively. These fees are primarily based on revenues generated by the franchise offices, which were $286.6 million and $272.3 million for the three months ended June 30, 2014 and 2013,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726694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3" w:right="219" w:bottom="1440" w:gutter="0" w:footer="0" w:header="0"/>
        </w:sectPr>
      </w:pPr>
    </w:p>
    <w:bookmarkStart w:id="6" w:name="page7"/>
    <w:bookmarkEnd w:id="6"/>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Operating Unit Results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6"/>
                <w:szCs w:val="16"/>
                <w:b w:val="1"/>
                <w:bCs w:val="1"/>
                <w:color w:val="auto"/>
                <w:w w:val="93"/>
              </w:rPr>
              <w:t>Three Months Ended June 30</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6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r>
      <w:tr>
        <w:trPr>
          <w:trHeight w:val="176"/>
        </w:trPr>
        <w:tc>
          <w:tcPr>
            <w:tcW w:w="6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6" w:lineRule="exact"/>
              <w:rPr>
                <w:sz w:val="20"/>
                <w:szCs w:val="20"/>
                <w:color w:val="auto"/>
              </w:rPr>
            </w:pPr>
            <w:r>
              <w:rPr>
                <w:rFonts w:ascii="Arial" w:cs="Arial" w:eastAsia="Arial" w:hAnsi="Arial"/>
                <w:sz w:val="16"/>
                <w:szCs w:val="16"/>
                <w:b w:val="1"/>
                <w:bCs w:val="1"/>
                <w:color w:val="auto"/>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r>
      <w:tr>
        <w:trPr>
          <w:trHeight w:val="213"/>
        </w:trPr>
        <w:tc>
          <w:tcPr>
            <w:tcW w:w="6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r>
      <w:tr>
        <w:trPr>
          <w:trHeight w:val="192"/>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6080" w:type="dxa"/>
            <w:vAlign w:val="bottom"/>
          </w:tcPr>
          <w:p>
            <w:pPr>
              <w:ind w:left="60"/>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775.9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748.5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r>
      <w:tr>
        <w:trPr>
          <w:trHeight w:val="192"/>
        </w:trPr>
        <w:tc>
          <w:tcPr>
            <w:tcW w:w="608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375.2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387.2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7.7%</w:t>
            </w: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6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1,135.7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r>
      <w:tr>
        <w:trPr>
          <w:trHeight w:val="192"/>
        </w:trPr>
        <w:tc>
          <w:tcPr>
            <w:tcW w:w="608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1,412.1</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1,320.6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r>
      <w:tr>
        <w:trPr>
          <w:trHeight w:val="192"/>
        </w:trPr>
        <w:tc>
          <w:tcPr>
            <w:tcW w:w="6080" w:type="dxa"/>
            <w:vAlign w:val="bottom"/>
          </w:tcPr>
          <w:p>
            <w:pPr>
              <w:ind w:left="24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313.9</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278.4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12.8%</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7.5%</w:t>
            </w: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243.0</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203.0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14.9%</w:t>
            </w:r>
          </w:p>
        </w:tc>
      </w:tr>
      <w:tr>
        <w:trPr>
          <w:trHeight w:val="24"/>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1,969.0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1,802.0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9.3%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4.2%</w:t>
            </w: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Northern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1,527.8</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1,398.8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r>
      <w:tr>
        <w:trPr>
          <w:trHeight w:val="192"/>
        </w:trPr>
        <w:tc>
          <w:tcPr>
            <w:tcW w:w="6080" w:type="dxa"/>
            <w:vAlign w:val="bottom"/>
          </w:tcPr>
          <w:p>
            <w:pPr>
              <w:ind w:left="60"/>
              <w:spacing w:after="0"/>
              <w:rPr>
                <w:sz w:val="20"/>
                <w:szCs w:val="20"/>
                <w:color w:val="auto"/>
              </w:rPr>
            </w:pPr>
            <w:r>
              <w:rPr>
                <w:rFonts w:ascii="Arial" w:cs="Arial" w:eastAsia="Arial" w:hAnsi="Arial"/>
                <w:sz w:val="16"/>
                <w:szCs w:val="16"/>
                <w:color w:val="auto"/>
              </w:rPr>
              <w:t>APME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594.0</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623.3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r>
      <w:tr>
        <w:trPr>
          <w:trHeight w:val="192"/>
        </w:trPr>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Right Management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80.9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r>
      <w:tr>
        <w:trPr>
          <w:trHeight w:val="24"/>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608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5,321.7</w:t>
            </w:r>
          </w:p>
        </w:tc>
        <w:tc>
          <w:tcPr>
            <w:tcW w:w="22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5,040.7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5.6%</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3.7%</w:t>
            </w: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0"/>
        </w:trPr>
        <w:tc>
          <w:tcPr>
            <w:tcW w:w="60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Operating Unit Profit: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92"/>
        </w:trPr>
        <w:tc>
          <w:tcPr>
            <w:tcW w:w="6080" w:type="dxa"/>
            <w:vAlign w:val="bottom"/>
          </w:tcPr>
          <w:p>
            <w:pPr>
              <w:ind w:left="60"/>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r>
      <w:tr>
        <w:trPr>
          <w:trHeight w:val="192"/>
        </w:trPr>
        <w:tc>
          <w:tcPr>
            <w:tcW w:w="608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11.9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18.3%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29.2%</w:t>
            </w: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6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r>
      <w:tr>
        <w:trPr>
          <w:trHeight w:val="192"/>
        </w:trPr>
        <w:tc>
          <w:tcPr>
            <w:tcW w:w="608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71.9</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75.9%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67.9%</w:t>
            </w:r>
          </w:p>
        </w:tc>
      </w:tr>
      <w:tr>
        <w:trPr>
          <w:trHeight w:val="192"/>
        </w:trPr>
        <w:tc>
          <w:tcPr>
            <w:tcW w:w="6080" w:type="dxa"/>
            <w:vAlign w:val="bottom"/>
          </w:tcPr>
          <w:p>
            <w:pPr>
              <w:ind w:left="24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18.3</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14.7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24.9%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19.1%</w:t>
            </w: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379.2%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361.7%</w:t>
            </w:r>
          </w:p>
        </w:tc>
      </w:tr>
      <w:tr>
        <w:trPr>
          <w:trHeight w:val="24"/>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56.8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69.2%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61.5%</w:t>
            </w: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Northern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34.4%</w:t>
            </w:r>
          </w:p>
        </w:tc>
      </w:tr>
      <w:tr>
        <w:trPr>
          <w:trHeight w:val="192"/>
        </w:trPr>
        <w:tc>
          <w:tcPr>
            <w:tcW w:w="6080" w:type="dxa"/>
            <w:vAlign w:val="bottom"/>
          </w:tcPr>
          <w:p>
            <w:pPr>
              <w:ind w:left="60"/>
              <w:spacing w:after="0"/>
              <w:rPr>
                <w:sz w:val="20"/>
                <w:szCs w:val="20"/>
                <w:color w:val="auto"/>
              </w:rPr>
            </w:pPr>
            <w:r>
              <w:rPr>
                <w:rFonts w:ascii="Arial" w:cs="Arial" w:eastAsia="Arial" w:hAnsi="Arial"/>
                <w:sz w:val="16"/>
                <w:szCs w:val="16"/>
                <w:color w:val="auto"/>
              </w:rPr>
              <w:t>APME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21.0</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20.2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5.9%</w:t>
            </w:r>
          </w:p>
        </w:tc>
      </w:tr>
      <w:tr>
        <w:trPr>
          <w:trHeight w:val="192"/>
        </w:trPr>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Right Management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72.4%</w:t>
            </w:r>
          </w:p>
        </w:tc>
      </w:tr>
      <w:tr>
        <w:trPr>
          <w:trHeight w:val="24"/>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219.5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160.1</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Corporate expenses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(23.7)</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(23.6)</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6080" w:type="dxa"/>
            <w:vAlign w:val="bottom"/>
          </w:tcPr>
          <w:p>
            <w:pPr>
              <w:spacing w:after="0"/>
              <w:rPr>
                <w:sz w:val="20"/>
                <w:szCs w:val="20"/>
                <w:color w:val="auto"/>
              </w:rPr>
            </w:pPr>
            <w:r>
              <w:rPr>
                <w:rFonts w:ascii="Arial" w:cs="Arial" w:eastAsia="Arial" w:hAnsi="Arial"/>
                <w:sz w:val="16"/>
                <w:szCs w:val="16"/>
                <w:color w:val="auto"/>
              </w:rPr>
              <w:t>Intangible asset amortization expense</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(8.4)</w:t>
            </w: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(8.4)</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6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128.1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43.2%</w:t>
            </w:r>
          </w:p>
        </w:tc>
      </w:tr>
      <w:tr>
        <w:trPr>
          <w:trHeight w:val="192"/>
        </w:trPr>
        <w:tc>
          <w:tcPr>
            <w:tcW w:w="6080" w:type="dxa"/>
            <w:vAlign w:val="bottom"/>
          </w:tcPr>
          <w:p>
            <w:pPr>
              <w:spacing w:after="0"/>
              <w:rPr>
                <w:sz w:val="20"/>
                <w:szCs w:val="20"/>
                <w:color w:val="auto"/>
              </w:rPr>
            </w:pPr>
            <w:r>
              <w:rPr>
                <w:rFonts w:ascii="Arial" w:cs="Arial" w:eastAsia="Arial" w:hAnsi="Arial"/>
                <w:sz w:val="16"/>
                <w:szCs w:val="16"/>
                <w:color w:val="auto"/>
              </w:rPr>
              <w:t>Interest and other expenses (b)</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(7.9)</w:t>
            </w: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(10.3)</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2"/>
        </w:trPr>
        <w:tc>
          <w:tcPr>
            <w:tcW w:w="6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117.8</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0" w:lineRule="exact"/>
        <w:rPr>
          <w:sz w:val="20"/>
          <w:szCs w:val="20"/>
          <w:color w:val="auto"/>
        </w:rPr>
      </w:pPr>
    </w:p>
    <w:p>
      <w:pPr>
        <w:ind w:left="4" w:right="260" w:hanging="4"/>
        <w:spacing w:after="0" w:line="264" w:lineRule="auto"/>
        <w:tabs>
          <w:tab w:leader="none" w:pos="222"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$3.9 million and $3.8 million for the three months ended June 30, 2014 and 2013, respectively. These fees are primarily based on revenues generated by the franchise offices, which were $190.3 million and $175.3 million for the three months ended June 30, 2014 and 2013, respectively.</w:t>
      </w:r>
    </w:p>
    <w:p>
      <w:pPr>
        <w:spacing w:after="0" w:line="161" w:lineRule="exact"/>
        <w:rPr>
          <w:rFonts w:ascii="Arial" w:cs="Arial" w:eastAsia="Arial" w:hAnsi="Arial"/>
          <w:sz w:val="16"/>
          <w:szCs w:val="16"/>
          <w:color w:val="auto"/>
        </w:rPr>
      </w:pPr>
    </w:p>
    <w:p>
      <w:pPr>
        <w:ind w:left="224" w:hanging="224"/>
        <w:spacing w:after="0"/>
        <w:tabs>
          <w:tab w:leader="none" w:pos="22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21"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80"/>
              <w:spacing w:after="0"/>
              <w:rPr>
                <w:sz w:val="20"/>
                <w:szCs w:val="20"/>
                <w:color w:val="auto"/>
              </w:rPr>
            </w:pPr>
            <w:r>
              <w:rPr>
                <w:rFonts w:ascii="Arial" w:cs="Arial" w:eastAsia="Arial" w:hAnsi="Arial"/>
                <w:sz w:val="16"/>
                <w:szCs w:val="16"/>
                <w:b w:val="1"/>
                <w:bCs w:val="1"/>
                <w:color w:val="auto"/>
              </w:rPr>
              <w:t>2013</w:t>
            </w:r>
          </w:p>
        </w:tc>
      </w:tr>
      <w:tr>
        <w:trPr>
          <w:trHeight w:val="24"/>
        </w:trPr>
        <w:tc>
          <w:tcPr>
            <w:tcW w:w="6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10.3</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4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(1.1)</w:t>
            </w:r>
          </w:p>
        </w:tc>
        <w:tc>
          <w:tcPr>
            <w:tcW w:w="440" w:type="dxa"/>
            <w:vAlign w:val="bottom"/>
          </w:tcPr>
          <w:p>
            <w:pPr>
              <w:spacing w:after="0"/>
              <w:rPr>
                <w:sz w:val="16"/>
                <w:szCs w:val="16"/>
                <w:color w:val="auto"/>
              </w:rPr>
            </w:pPr>
          </w:p>
        </w:tc>
        <w:tc>
          <w:tcPr>
            <w:tcW w:w="3560" w:type="dxa"/>
            <w:vAlign w:val="bottom"/>
            <w:gridSpan w:val="2"/>
          </w:tcPr>
          <w:p>
            <w:pPr>
              <w:jc w:val="right"/>
              <w:ind w:right="2820"/>
              <w:spacing w:after="0"/>
              <w:rPr>
                <w:sz w:val="20"/>
                <w:szCs w:val="20"/>
                <w:color w:val="auto"/>
              </w:rPr>
            </w:pPr>
            <w:r>
              <w:rPr>
                <w:rFonts w:ascii="Arial" w:cs="Arial" w:eastAsia="Arial" w:hAnsi="Arial"/>
                <w:sz w:val="16"/>
                <w:szCs w:val="16"/>
                <w:color w:val="auto"/>
              </w:rPr>
              <w:t>(0.9)</w:t>
            </w: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exchange (gain) loss</w:t>
            </w:r>
          </w:p>
        </w:tc>
        <w:tc>
          <w:tcPr>
            <w:tcW w:w="4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(0.9)</w:t>
            </w:r>
          </w:p>
        </w:tc>
        <w:tc>
          <w:tcPr>
            <w:tcW w:w="440" w:type="dxa"/>
            <w:vAlign w:val="bottom"/>
            <w:shd w:val="clear" w:color="auto" w:fill="CCEEFF"/>
          </w:tcPr>
          <w:p>
            <w:pPr>
              <w:spacing w:after="0"/>
              <w:rPr>
                <w:sz w:val="16"/>
                <w:szCs w:val="16"/>
                <w:color w:val="auto"/>
              </w:rPr>
            </w:pP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1.4</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Miscellaneous expense (income), net</w:t>
            </w: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0.6</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20"/>
              <w:spacing w:after="0"/>
              <w:rPr>
                <w:sz w:val="20"/>
                <w:szCs w:val="20"/>
                <w:color w:val="auto"/>
              </w:rPr>
            </w:pPr>
            <w:r>
              <w:rPr>
                <w:rFonts w:ascii="Arial" w:cs="Arial" w:eastAsia="Arial" w:hAnsi="Arial"/>
                <w:sz w:val="16"/>
                <w:szCs w:val="16"/>
                <w:color w:val="auto"/>
              </w:rPr>
              <w:t>(0.5)</w:t>
            </w:r>
          </w:p>
        </w:tc>
      </w:tr>
      <w:tr>
        <w:trPr>
          <w:trHeight w:val="24"/>
        </w:trPr>
        <w:tc>
          <w:tcPr>
            <w:tcW w:w="6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232"/>
        </w:trPr>
        <w:tc>
          <w:tcPr>
            <w:tcW w:w="60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10.3</w:t>
            </w:r>
          </w:p>
        </w:tc>
      </w:tr>
      <w:tr>
        <w:trPr>
          <w:trHeight w:val="465"/>
        </w:trPr>
        <w:tc>
          <w:tcPr>
            <w:tcW w:w="608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70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680" w:type="dxa"/>
            <w:vAlign w:val="bottom"/>
            <w:tcBorders>
              <w:top w:val="single" w:sz="8" w:color="auto"/>
              <w:bottom w:val="single" w:sz="8" w:color="808080"/>
            </w:tcBorders>
          </w:tcPr>
          <w:p>
            <w:pPr>
              <w:spacing w:after="0"/>
              <w:rPr>
                <w:sz w:val="24"/>
                <w:szCs w:val="24"/>
                <w:color w:val="auto"/>
              </w:rPr>
            </w:pPr>
          </w:p>
        </w:tc>
        <w:tc>
          <w:tcPr>
            <w:tcW w:w="288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253" w:right="219" w:bottom="1440" w:gutter="0" w:footer="0" w:header="0"/>
        </w:sectPr>
      </w:pPr>
    </w:p>
    <w:bookmarkStart w:id="7" w:name="page8"/>
    <w:bookmarkEnd w:id="7"/>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Results of Operations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 except per share data)</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6"/>
                <w:szCs w:val="16"/>
                <w:b w:val="1"/>
                <w:bCs w:val="1"/>
                <w:color w:val="auto"/>
                <w:w w:val="95"/>
              </w:rPr>
              <w:t>Six Months Ended June 30</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6" w:lineRule="exact"/>
              <w:rPr>
                <w:sz w:val="20"/>
                <w:szCs w:val="20"/>
                <w:color w:val="auto"/>
              </w:rPr>
            </w:pPr>
            <w:r>
              <w:rPr>
                <w:rFonts w:ascii="Arial" w:cs="Arial" w:eastAsia="Arial" w:hAnsi="Arial"/>
                <w:sz w:val="16"/>
                <w:szCs w:val="16"/>
                <w:b w:val="1"/>
                <w:bCs w:val="1"/>
                <w:color w:val="auto"/>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10,225.7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9,809.6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8,511.9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8,183.1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1,713.8</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1,626.5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1,399.5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1,444.0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314.3</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182.5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70.5%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21.8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-21.7%</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297.2</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160.7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82.6%</w:t>
            </w:r>
          </w:p>
        </w:tc>
        <w:tc>
          <w:tcPr>
            <w:tcW w:w="0" w:type="dxa"/>
            <w:vAlign w:val="bottom"/>
          </w:tcPr>
          <w:p>
            <w:pPr>
              <w:spacing w:after="0"/>
              <w:rPr>
                <w:sz w:val="1"/>
                <w:szCs w:val="1"/>
                <w:color w:val="auto"/>
              </w:rPr>
            </w:pPr>
          </w:p>
        </w:tc>
      </w:tr>
      <w:tr>
        <w:trPr>
          <w:trHeight w:val="192"/>
        </w:trPr>
        <w:tc>
          <w:tcPr>
            <w:tcW w:w="608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117.3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68.6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71.2%</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92.1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95.3%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Net earnings per share - 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2.25</w:t>
            </w:r>
          </w:p>
        </w:tc>
        <w:tc>
          <w:tcPr>
            <w:tcW w:w="220" w:type="dxa"/>
            <w:vAlign w:val="bottom"/>
          </w:tcPr>
          <w:p>
            <w:pPr>
              <w:spacing w:after="0"/>
              <w:rPr>
                <w:sz w:val="15"/>
                <w:szCs w:val="15"/>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1.19</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89.1%</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earnings per share - 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2.21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1.17</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88.9%</w:t>
            </w:r>
          </w:p>
        </w:tc>
        <w:tc>
          <w:tcPr>
            <w:tcW w:w="128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87.2%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Weighted average shares - basic</w:t>
            </w:r>
          </w:p>
        </w:tc>
        <w:tc>
          <w:tcPr>
            <w:tcW w:w="24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79.9</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77.3</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3.4%</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Weighted average shares - diluted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81.4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78.6</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3.6%</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 w:right="200" w:hanging="4"/>
        <w:spacing w:after="0" w:line="264" w:lineRule="auto"/>
        <w:tabs>
          <w:tab w:leader="none" w:pos="222"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$11.9 million and $11.4 million for the six months ended June 30, 2014 and 2013, respectively. These fees are primarily based on revenues generated by the franchise offices, which were $543.2 million and $507.0 million for the six months ended June 30, 2014 and 2013,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726694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69" w:right="219" w:bottom="1440" w:gutter="0" w:footer="0" w:header="0"/>
        </w:sectPr>
      </w:pPr>
    </w:p>
    <w:bookmarkStart w:id="8" w:name="page9"/>
    <w:bookmarkEnd w:id="8"/>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Operating Unit Results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6"/>
                <w:szCs w:val="16"/>
                <w:b w:val="1"/>
                <w:bCs w:val="1"/>
                <w:color w:val="auto"/>
                <w:w w:val="95"/>
              </w:rPr>
              <w:t>Six Months Ended June 30</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6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r>
      <w:tr>
        <w:trPr>
          <w:trHeight w:val="176"/>
        </w:trPr>
        <w:tc>
          <w:tcPr>
            <w:tcW w:w="6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6" w:lineRule="exact"/>
              <w:rPr>
                <w:sz w:val="20"/>
                <w:szCs w:val="20"/>
                <w:color w:val="auto"/>
              </w:rPr>
            </w:pPr>
            <w:r>
              <w:rPr>
                <w:rFonts w:ascii="Arial" w:cs="Arial" w:eastAsia="Arial" w:hAnsi="Arial"/>
                <w:sz w:val="16"/>
                <w:szCs w:val="16"/>
                <w:b w:val="1"/>
                <w:bCs w:val="1"/>
                <w:color w:val="auto"/>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r>
      <w:tr>
        <w:trPr>
          <w:trHeight w:val="213"/>
        </w:trPr>
        <w:tc>
          <w:tcPr>
            <w:tcW w:w="6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r>
      <w:tr>
        <w:trPr>
          <w:trHeight w:val="192"/>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6080" w:type="dxa"/>
            <w:vAlign w:val="bottom"/>
          </w:tcPr>
          <w:p>
            <w:pPr>
              <w:ind w:left="60"/>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1,496.4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1,454.6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r>
      <w:tr>
        <w:trPr>
          <w:trHeight w:val="192"/>
        </w:trPr>
        <w:tc>
          <w:tcPr>
            <w:tcW w:w="608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725.8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774.1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5.7%</w:t>
            </w: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6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2,228.7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r>
      <w:tr>
        <w:trPr>
          <w:trHeight w:val="192"/>
        </w:trPr>
        <w:tc>
          <w:tcPr>
            <w:tcW w:w="608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2,629.4</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2,465.8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r>
      <w:tr>
        <w:trPr>
          <w:trHeight w:val="192"/>
        </w:trPr>
        <w:tc>
          <w:tcPr>
            <w:tcW w:w="6080" w:type="dxa"/>
            <w:vAlign w:val="bottom"/>
          </w:tcPr>
          <w:p>
            <w:pPr>
              <w:ind w:left="24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588.6</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536.3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9.8%</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5.1%</w:t>
            </w: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396.4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14.8%</w:t>
            </w:r>
          </w:p>
        </w:tc>
      </w:tr>
      <w:tr>
        <w:trPr>
          <w:trHeight w:val="24"/>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3,691.0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3,398.5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8.6%</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4.0%</w:t>
            </w: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Northern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2,991.7</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2,769.1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r>
      <w:tr>
        <w:trPr>
          <w:trHeight w:val="192"/>
        </w:trPr>
        <w:tc>
          <w:tcPr>
            <w:tcW w:w="6080" w:type="dxa"/>
            <w:vAlign w:val="bottom"/>
          </w:tcPr>
          <w:p>
            <w:pPr>
              <w:ind w:left="60"/>
              <w:spacing w:after="0"/>
              <w:rPr>
                <w:sz w:val="20"/>
                <w:szCs w:val="20"/>
                <w:color w:val="auto"/>
              </w:rPr>
            </w:pPr>
            <w:r>
              <w:rPr>
                <w:rFonts w:ascii="Arial" w:cs="Arial" w:eastAsia="Arial" w:hAnsi="Arial"/>
                <w:sz w:val="16"/>
                <w:szCs w:val="16"/>
                <w:color w:val="auto"/>
              </w:rPr>
              <w:t>APME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1,167.7</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1,255.8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r>
      <w:tr>
        <w:trPr>
          <w:trHeight w:val="192"/>
        </w:trPr>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Right Management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157.5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r>
      <w:tr>
        <w:trPr>
          <w:trHeight w:val="24"/>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608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10,225.7</w:t>
            </w:r>
          </w:p>
        </w:tc>
        <w:tc>
          <w:tcPr>
            <w:tcW w:w="22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9,809.6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3.3%</w:t>
            </w: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0"/>
        </w:trPr>
        <w:tc>
          <w:tcPr>
            <w:tcW w:w="60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Operating Unit Profit: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92"/>
        </w:trPr>
        <w:tc>
          <w:tcPr>
            <w:tcW w:w="6080" w:type="dxa"/>
            <w:vAlign w:val="bottom"/>
          </w:tcPr>
          <w:p>
            <w:pPr>
              <w:ind w:left="60"/>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13.5%</w:t>
            </w:r>
          </w:p>
        </w:tc>
      </w:tr>
      <w:tr>
        <w:trPr>
          <w:trHeight w:val="192"/>
        </w:trPr>
        <w:tc>
          <w:tcPr>
            <w:tcW w:w="608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20.6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29.2%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44.2%</w:t>
            </w: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6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24.3%</w:t>
            </w:r>
          </w:p>
        </w:tc>
      </w:tr>
      <w:tr>
        <w:trPr>
          <w:trHeight w:val="192"/>
        </w:trPr>
        <w:tc>
          <w:tcPr>
            <w:tcW w:w="608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123.1</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66.7%</w:t>
            </w:r>
          </w:p>
        </w:tc>
      </w:tr>
      <w:tr>
        <w:trPr>
          <w:trHeight w:val="192"/>
        </w:trPr>
        <w:tc>
          <w:tcPr>
            <w:tcW w:w="6080" w:type="dxa"/>
            <w:vAlign w:val="bottom"/>
          </w:tcPr>
          <w:p>
            <w:pPr>
              <w:ind w:left="24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30.9</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26.4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17.3%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12.1%</w:t>
            </w: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194.0%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183.1%</w:t>
            </w:r>
          </w:p>
        </w:tc>
      </w:tr>
      <w:tr>
        <w:trPr>
          <w:trHeight w:val="24"/>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164.3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100.5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63.5%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56.4%</w:t>
            </w: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Northern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93.2%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88.4%</w:t>
            </w:r>
          </w:p>
        </w:tc>
      </w:tr>
      <w:tr>
        <w:trPr>
          <w:trHeight w:val="192"/>
        </w:trPr>
        <w:tc>
          <w:tcPr>
            <w:tcW w:w="6080" w:type="dxa"/>
            <w:vAlign w:val="bottom"/>
          </w:tcPr>
          <w:p>
            <w:pPr>
              <w:ind w:left="60"/>
              <w:spacing w:after="0"/>
              <w:rPr>
                <w:sz w:val="20"/>
                <w:szCs w:val="20"/>
                <w:color w:val="auto"/>
              </w:rPr>
            </w:pPr>
            <w:r>
              <w:rPr>
                <w:rFonts w:ascii="Arial" w:cs="Arial" w:eastAsia="Arial" w:hAnsi="Arial"/>
                <w:sz w:val="16"/>
                <w:szCs w:val="16"/>
                <w:color w:val="auto"/>
              </w:rPr>
              <w:t>APME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41.2</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35.0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17.7%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25.4%</w:t>
            </w:r>
          </w:p>
        </w:tc>
      </w:tr>
      <w:tr>
        <w:trPr>
          <w:trHeight w:val="192"/>
        </w:trPr>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Right Management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122.6%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122.3%</w:t>
            </w:r>
          </w:p>
        </w:tc>
      </w:tr>
      <w:tr>
        <w:trPr>
          <w:trHeight w:val="24"/>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380.8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247.3</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Corporate expenses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(49.9)</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(48.0)</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6080" w:type="dxa"/>
            <w:vAlign w:val="bottom"/>
          </w:tcPr>
          <w:p>
            <w:pPr>
              <w:spacing w:after="0"/>
              <w:rPr>
                <w:sz w:val="20"/>
                <w:szCs w:val="20"/>
                <w:color w:val="auto"/>
              </w:rPr>
            </w:pPr>
            <w:r>
              <w:rPr>
                <w:rFonts w:ascii="Arial" w:cs="Arial" w:eastAsia="Arial" w:hAnsi="Arial"/>
                <w:sz w:val="16"/>
                <w:szCs w:val="16"/>
                <w:color w:val="auto"/>
              </w:rPr>
              <w:t>Intangible asset amortization expense</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(16.6)</w:t>
            </w:r>
          </w:p>
        </w:tc>
        <w:tc>
          <w:tcPr>
            <w:tcW w:w="2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(16.8)</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6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314.3</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182.5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70.5%</w:t>
            </w:r>
          </w:p>
        </w:tc>
      </w:tr>
      <w:tr>
        <w:trPr>
          <w:trHeight w:val="192"/>
        </w:trPr>
        <w:tc>
          <w:tcPr>
            <w:tcW w:w="6080" w:type="dxa"/>
            <w:vAlign w:val="bottom"/>
          </w:tcPr>
          <w:p>
            <w:pPr>
              <w:spacing w:after="0"/>
              <w:rPr>
                <w:sz w:val="20"/>
                <w:szCs w:val="20"/>
                <w:color w:val="auto"/>
              </w:rPr>
            </w:pPr>
            <w:r>
              <w:rPr>
                <w:rFonts w:ascii="Arial" w:cs="Arial" w:eastAsia="Arial" w:hAnsi="Arial"/>
                <w:sz w:val="16"/>
                <w:szCs w:val="16"/>
                <w:color w:val="auto"/>
              </w:rPr>
              <w:t>Interest and other expenses (b)</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(17.1)</w:t>
            </w:r>
          </w:p>
        </w:tc>
        <w:tc>
          <w:tcPr>
            <w:tcW w:w="2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(21.8)</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2"/>
        </w:trPr>
        <w:tc>
          <w:tcPr>
            <w:tcW w:w="6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160.7</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0" w:lineRule="exact"/>
        <w:rPr>
          <w:sz w:val="20"/>
          <w:szCs w:val="20"/>
          <w:color w:val="auto"/>
        </w:rPr>
      </w:pPr>
    </w:p>
    <w:p>
      <w:pPr>
        <w:ind w:left="4" w:right="220" w:hanging="4"/>
        <w:spacing w:after="0" w:line="264" w:lineRule="auto"/>
        <w:tabs>
          <w:tab w:leader="none" w:pos="22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$7.3 million and $7.0 million for the six months ended June 30, 2014 and 2013, respectively. These fees are primarily based on revenues generated by the franchise offices, which were $359.4 million and $330.4 million for the six months ended June 30, 2014 and 2013, respectively.</w:t>
      </w:r>
    </w:p>
    <w:p>
      <w:pPr>
        <w:spacing w:after="0" w:line="161" w:lineRule="exact"/>
        <w:rPr>
          <w:rFonts w:ascii="Arial" w:cs="Arial" w:eastAsia="Arial" w:hAnsi="Arial"/>
          <w:sz w:val="16"/>
          <w:szCs w:val="16"/>
          <w:color w:val="auto"/>
        </w:rPr>
      </w:pPr>
    </w:p>
    <w:p>
      <w:pPr>
        <w:ind w:left="224" w:hanging="224"/>
        <w:spacing w:after="0"/>
        <w:tabs>
          <w:tab w:leader="none" w:pos="22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21"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80"/>
              <w:spacing w:after="0"/>
              <w:rPr>
                <w:sz w:val="20"/>
                <w:szCs w:val="20"/>
                <w:color w:val="auto"/>
              </w:rPr>
            </w:pPr>
            <w:r>
              <w:rPr>
                <w:rFonts w:ascii="Arial" w:cs="Arial" w:eastAsia="Arial" w:hAnsi="Arial"/>
                <w:sz w:val="16"/>
                <w:szCs w:val="16"/>
                <w:b w:val="1"/>
                <w:bCs w:val="1"/>
                <w:color w:val="auto"/>
              </w:rPr>
              <w:t>2013</w:t>
            </w:r>
          </w:p>
        </w:tc>
      </w:tr>
      <w:tr>
        <w:trPr>
          <w:trHeight w:val="24"/>
        </w:trPr>
        <w:tc>
          <w:tcPr>
            <w:tcW w:w="6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21.0</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4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(2.0)</w:t>
            </w:r>
          </w:p>
        </w:tc>
        <w:tc>
          <w:tcPr>
            <w:tcW w:w="440" w:type="dxa"/>
            <w:vAlign w:val="bottom"/>
          </w:tcPr>
          <w:p>
            <w:pPr>
              <w:spacing w:after="0"/>
              <w:rPr>
                <w:sz w:val="16"/>
                <w:szCs w:val="16"/>
                <w:color w:val="auto"/>
              </w:rPr>
            </w:pPr>
          </w:p>
        </w:tc>
        <w:tc>
          <w:tcPr>
            <w:tcW w:w="3560" w:type="dxa"/>
            <w:vAlign w:val="bottom"/>
            <w:gridSpan w:val="2"/>
          </w:tcPr>
          <w:p>
            <w:pPr>
              <w:jc w:val="right"/>
              <w:ind w:right="2820"/>
              <w:spacing w:after="0"/>
              <w:rPr>
                <w:sz w:val="20"/>
                <w:szCs w:val="20"/>
                <w:color w:val="auto"/>
              </w:rPr>
            </w:pPr>
            <w:r>
              <w:rPr>
                <w:rFonts w:ascii="Arial" w:cs="Arial" w:eastAsia="Arial" w:hAnsi="Arial"/>
                <w:sz w:val="16"/>
                <w:szCs w:val="16"/>
                <w:color w:val="auto"/>
              </w:rPr>
              <w:t>(1.8)</w:t>
            </w: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exchange (gain) loss</w:t>
            </w:r>
          </w:p>
        </w:tc>
        <w:tc>
          <w:tcPr>
            <w:tcW w:w="4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w:t>
            </w:r>
          </w:p>
        </w:tc>
        <w:tc>
          <w:tcPr>
            <w:tcW w:w="440" w:type="dxa"/>
            <w:vAlign w:val="bottom"/>
            <w:shd w:val="clear" w:color="auto" w:fill="CCEEFF"/>
          </w:tcPr>
          <w:p>
            <w:pPr>
              <w:spacing w:after="0"/>
              <w:rPr>
                <w:sz w:val="16"/>
                <w:szCs w:val="16"/>
                <w:color w:val="auto"/>
              </w:rPr>
            </w:pP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1.8</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Miscellaneous expenses, net</w:t>
            </w: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80"/>
              <w:spacing w:after="0"/>
              <w:rPr>
                <w:sz w:val="20"/>
                <w:szCs w:val="20"/>
                <w:color w:val="auto"/>
              </w:rPr>
            </w:pPr>
            <w:r>
              <w:rPr>
                <w:rFonts w:ascii="Arial" w:cs="Arial" w:eastAsia="Arial" w:hAnsi="Arial"/>
                <w:sz w:val="16"/>
                <w:szCs w:val="16"/>
                <w:color w:val="auto"/>
              </w:rPr>
              <w:t>0.8</w:t>
            </w:r>
          </w:p>
        </w:tc>
      </w:tr>
      <w:tr>
        <w:trPr>
          <w:trHeight w:val="24"/>
        </w:trPr>
        <w:tc>
          <w:tcPr>
            <w:tcW w:w="6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232"/>
        </w:trPr>
        <w:tc>
          <w:tcPr>
            <w:tcW w:w="60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21.8</w:t>
            </w:r>
          </w:p>
        </w:tc>
      </w:tr>
      <w:tr>
        <w:trPr>
          <w:trHeight w:val="356"/>
        </w:trPr>
        <w:tc>
          <w:tcPr>
            <w:tcW w:w="608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70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680" w:type="dxa"/>
            <w:vAlign w:val="bottom"/>
            <w:tcBorders>
              <w:top w:val="single" w:sz="8" w:color="auto"/>
              <w:bottom w:val="single" w:sz="8" w:color="808080"/>
            </w:tcBorders>
          </w:tcPr>
          <w:p>
            <w:pPr>
              <w:spacing w:after="0"/>
              <w:rPr>
                <w:sz w:val="24"/>
                <w:szCs w:val="24"/>
                <w:color w:val="auto"/>
              </w:rPr>
            </w:pPr>
          </w:p>
        </w:tc>
        <w:tc>
          <w:tcPr>
            <w:tcW w:w="288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253" w:right="219" w:bottom="1440" w:gutter="0" w:footer="0" w:header="0"/>
        </w:sectPr>
      </w:pPr>
    </w:p>
    <w:bookmarkStart w:id="9" w:name="page10"/>
    <w:bookmarkEnd w:id="9"/>
    <w:p>
      <w:pPr>
        <w:jc w:val="center"/>
        <w:ind w:right="120"/>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Balance Sheets</w:t>
      </w:r>
    </w:p>
    <w:p>
      <w:pPr>
        <w:spacing w:after="0" w:line="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Jun. 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5"/>
              </w:rPr>
              <w:t>Dec. 31</w:t>
            </w:r>
          </w:p>
        </w:tc>
      </w:tr>
      <w:tr>
        <w:trPr>
          <w:trHeight w:val="213"/>
        </w:trPr>
        <w:tc>
          <w:tcPr>
            <w:tcW w:w="8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5"/>
              </w:rPr>
              <w:t>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r>
      <w:tr>
        <w:trPr>
          <w:trHeight w:val="192"/>
        </w:trPr>
        <w:tc>
          <w:tcPr>
            <w:tcW w:w="8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40"/>
              <w:spacing w:after="0"/>
              <w:rPr>
                <w:sz w:val="20"/>
                <w:szCs w:val="20"/>
                <w:color w:val="auto"/>
              </w:rPr>
            </w:pPr>
            <w:r>
              <w:rPr>
                <w:rFonts w:ascii="Arial" w:cs="Arial" w:eastAsia="Arial" w:hAnsi="Arial"/>
                <w:sz w:val="16"/>
                <w:szCs w:val="16"/>
                <w:color w:val="auto"/>
                <w:w w:val="93"/>
              </w:rPr>
              <w:t>(Unaudited)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638.5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737.6</w:t>
            </w:r>
          </w:p>
        </w:tc>
      </w:tr>
      <w:tr>
        <w:trPr>
          <w:trHeight w:val="192"/>
        </w:trPr>
        <w:tc>
          <w:tcPr>
            <w:tcW w:w="8820" w:type="dxa"/>
            <w:vAlign w:val="bottom"/>
          </w:tcPr>
          <w:p>
            <w:pPr>
              <w:ind w:left="60"/>
              <w:spacing w:after="0"/>
              <w:rPr>
                <w:sz w:val="20"/>
                <w:szCs w:val="20"/>
                <w:color w:val="auto"/>
              </w:rPr>
            </w:pPr>
            <w:r>
              <w:rPr>
                <w:rFonts w:ascii="Arial" w:cs="Arial" w:eastAsia="Arial" w:hAnsi="Arial"/>
                <w:sz w:val="16"/>
                <w:szCs w:val="16"/>
                <w:color w:val="auto"/>
              </w:rPr>
              <w:t>Accounts receivable, net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4,501.0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4,277.9</w:t>
            </w: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132.6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161.3</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Future income tax benefits</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66.2</w:t>
            </w:r>
          </w:p>
        </w:tc>
      </w:tr>
      <w:tr>
        <w:trPr>
          <w:trHeight w:val="24"/>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assets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5,325.3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5,243.0</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Other assets: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Goodwill and other intangible assets, net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1,434.1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1,400.0</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Other assets</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613.6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479.3</w:t>
            </w:r>
          </w:p>
        </w:tc>
      </w:tr>
      <w:tr>
        <w:trPr>
          <w:trHeight w:val="24"/>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other assets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2,047.7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1,879.3</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Property and equipment:</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Land, buildings, leasehold improvements and equipment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716.8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706.2</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Less: accumulated depreciation and amortization</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556.0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540.2</w:t>
            </w:r>
          </w:p>
        </w:tc>
      </w:tr>
      <w:tr>
        <w:trPr>
          <w:trHeight w:val="24"/>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property and equipment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160.8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166.0</w:t>
            </w:r>
          </w:p>
        </w:tc>
      </w:tr>
      <w:tr>
        <w:trPr>
          <w:trHeight w:val="24"/>
        </w:trPr>
        <w:tc>
          <w:tcPr>
            <w:tcW w:w="88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8820" w:type="dxa"/>
            <w:vAlign w:val="bottom"/>
          </w:tcPr>
          <w:p>
            <w:pPr>
              <w:ind w:left="320"/>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7,533.8</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7,288.3</w:t>
            </w:r>
          </w:p>
        </w:tc>
      </w:tr>
      <w:tr>
        <w:trPr>
          <w:trHeight w:val="20"/>
        </w:trPr>
        <w:tc>
          <w:tcPr>
            <w:tcW w:w="8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0"/>
        </w:trPr>
        <w:tc>
          <w:tcPr>
            <w:tcW w:w="882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LIABILITIES AND SHAREHOLDERS' EQUITY</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1,680.2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1,523.9</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Employee compensation payable</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193.6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230.4</w:t>
            </w:r>
          </w:p>
        </w:tc>
      </w:tr>
      <w:tr>
        <w:trPr>
          <w:trHeight w:val="192"/>
        </w:trPr>
        <w:tc>
          <w:tcPr>
            <w:tcW w:w="8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Accrued liabilities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505.5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536.1</w:t>
            </w:r>
          </w:p>
        </w:tc>
      </w:tr>
      <w:tr>
        <w:trPr>
          <w:trHeight w:val="192"/>
        </w:trPr>
        <w:tc>
          <w:tcPr>
            <w:tcW w:w="8820" w:type="dxa"/>
            <w:vAlign w:val="bottom"/>
          </w:tcPr>
          <w:p>
            <w:pPr>
              <w:ind w:left="60"/>
              <w:spacing w:after="0"/>
              <w:rPr>
                <w:sz w:val="20"/>
                <w:szCs w:val="20"/>
                <w:color w:val="auto"/>
              </w:rPr>
            </w:pPr>
            <w:r>
              <w:rPr>
                <w:rFonts w:ascii="Arial" w:cs="Arial" w:eastAsia="Arial" w:hAnsi="Arial"/>
                <w:sz w:val="16"/>
                <w:szCs w:val="16"/>
                <w:color w:val="auto"/>
              </w:rPr>
              <w:t>Accrued payroll taxes and insurance</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630.6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680.7</w:t>
            </w: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Value added taxes payable</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504.2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502.5</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Short-term borrowings and current maturities of long-term debt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36.0</w:t>
            </w:r>
          </w:p>
        </w:tc>
      </w:tr>
      <w:tr>
        <w:trPr>
          <w:trHeight w:val="24"/>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3,561.6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3,509.6</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Other liabilities: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Long-term debt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481.4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481.9</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Other long-term liabilities</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408.4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382.6</w:t>
            </w:r>
          </w:p>
        </w:tc>
      </w:tr>
      <w:tr>
        <w:trPr>
          <w:trHeight w:val="24"/>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other liabilities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889.8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864.5</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Common stock</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Capital in excess of par value</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3,059.0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3,014.0</w:t>
            </w: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Retained earnings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1,458.4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1,317.5</w:t>
            </w:r>
          </w:p>
        </w:tc>
      </w:tr>
      <w:tr>
        <w:trPr>
          <w:trHeight w:val="192"/>
        </w:trPr>
        <w:tc>
          <w:tcPr>
            <w:tcW w:w="8820" w:type="dxa"/>
            <w:vAlign w:val="bottom"/>
          </w:tcPr>
          <w:p>
            <w:pPr>
              <w:ind w:left="60"/>
              <w:spacing w:after="0"/>
              <w:rPr>
                <w:sz w:val="20"/>
                <w:szCs w:val="20"/>
                <w:color w:val="auto"/>
              </w:rPr>
            </w:pPr>
            <w:r>
              <w:rPr>
                <w:rFonts w:ascii="Arial" w:cs="Arial" w:eastAsia="Arial" w:hAnsi="Arial"/>
                <w:sz w:val="16"/>
                <w:szCs w:val="16"/>
                <w:color w:val="auto"/>
              </w:rPr>
              <w:t>Accumulated other comprehensive income</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90.2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82.2</w:t>
            </w: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Treasury stock, at cost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(1,526.3)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(1,500.6)</w:t>
            </w:r>
          </w:p>
        </w:tc>
      </w:tr>
      <w:tr>
        <w:trPr>
          <w:trHeight w:val="24"/>
        </w:trPr>
        <w:tc>
          <w:tcPr>
            <w:tcW w:w="88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8820" w:type="dxa"/>
            <w:vAlign w:val="bottom"/>
          </w:tcPr>
          <w:p>
            <w:pPr>
              <w:ind w:left="240"/>
              <w:spacing w:after="0"/>
              <w:rPr>
                <w:sz w:val="20"/>
                <w:szCs w:val="20"/>
                <w:color w:val="auto"/>
              </w:rPr>
            </w:pPr>
            <w:r>
              <w:rPr>
                <w:rFonts w:ascii="Arial" w:cs="Arial" w:eastAsia="Arial" w:hAnsi="Arial"/>
                <w:sz w:val="16"/>
                <w:szCs w:val="16"/>
                <w:color w:val="auto"/>
              </w:rPr>
              <w:t>Total shareholders' equity</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3,082.4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2,914.2</w:t>
            </w:r>
          </w:p>
        </w:tc>
      </w:tr>
      <w:tr>
        <w:trPr>
          <w:trHeight w:val="24"/>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2"/>
        </w:trPr>
        <w:tc>
          <w:tcPr>
            <w:tcW w:w="88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liabilities and shareholders'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7,533.8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7,288.3</w:t>
            </w:r>
          </w:p>
        </w:tc>
      </w:tr>
      <w:tr>
        <w:trPr>
          <w:trHeight w:val="356"/>
        </w:trPr>
        <w:tc>
          <w:tcPr>
            <w:tcW w:w="882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auto"/>
              <w:bottom w:val="single" w:sz="8" w:color="808080"/>
            </w:tcBorders>
          </w:tcPr>
          <w:p>
            <w:pPr>
              <w:spacing w:after="0"/>
              <w:rPr>
                <w:sz w:val="24"/>
                <w:szCs w:val="24"/>
                <w:color w:val="auto"/>
              </w:rPr>
            </w:pPr>
          </w:p>
        </w:tc>
        <w:tc>
          <w:tcPr>
            <w:tcW w:w="102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200" w:type="dxa"/>
            <w:vAlign w:val="bottom"/>
            <w:tcBorders>
              <w:top w:val="single" w:sz="8" w:color="auto"/>
              <w:bottom w:val="single" w:sz="8" w:color="808080"/>
            </w:tcBorders>
          </w:tcPr>
          <w:p>
            <w:pPr>
              <w:spacing w:after="0"/>
              <w:rPr>
                <w:sz w:val="24"/>
                <w:szCs w:val="24"/>
                <w:color w:val="auto"/>
              </w:rPr>
            </w:pPr>
          </w:p>
        </w:tc>
        <w:tc>
          <w:tcPr>
            <w:tcW w:w="92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253" w:right="219" w:bottom="1440" w:gutter="0" w:footer="0" w:header="0"/>
        </w:sectPr>
      </w:pPr>
    </w:p>
    <w:bookmarkStart w:id="10" w:name="page11"/>
    <w:bookmarkEnd w:id="10"/>
    <w:p>
      <w:pPr>
        <w:jc w:val="center"/>
        <w:ind w:right="120"/>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Statements of Cash Flows</w:t>
      </w:r>
    </w:p>
    <w:p>
      <w:pPr>
        <w:spacing w:after="0" w:line="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2620" w:type="dxa"/>
            <w:vAlign w:val="bottom"/>
            <w:gridSpan w:val="7"/>
          </w:tcPr>
          <w:p>
            <w:pPr>
              <w:jc w:val="center"/>
              <w:ind w:right="120"/>
              <w:spacing w:after="0"/>
              <w:rPr>
                <w:sz w:val="20"/>
                <w:szCs w:val="20"/>
                <w:color w:val="auto"/>
              </w:rPr>
            </w:pPr>
            <w:r>
              <w:rPr>
                <w:rFonts w:ascii="Arial" w:cs="Arial" w:eastAsia="Arial" w:hAnsi="Arial"/>
                <w:sz w:val="16"/>
                <w:szCs w:val="16"/>
                <w:b w:val="1"/>
                <w:bCs w:val="1"/>
                <w:color w:val="auto"/>
                <w:w w:val="90"/>
              </w:rPr>
              <w:t>Six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gridSpan w:val="4"/>
          </w:tcPr>
          <w:p>
            <w:pPr>
              <w:jc w:val="center"/>
              <w:spacing w:after="0"/>
              <w:rPr>
                <w:sz w:val="20"/>
                <w:szCs w:val="20"/>
                <w:color w:val="auto"/>
              </w:rPr>
            </w:pPr>
            <w:r>
              <w:rPr>
                <w:rFonts w:ascii="Arial" w:cs="Arial" w:eastAsia="Arial" w:hAnsi="Arial"/>
                <w:sz w:val="16"/>
                <w:szCs w:val="16"/>
                <w:color w:val="auto"/>
                <w:w w:val="93"/>
              </w:rPr>
              <w:t>(Unaudited)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Net earnings</w:t>
            </w:r>
          </w:p>
        </w:tc>
        <w:tc>
          <w:tcPr>
            <w:tcW w:w="740" w:type="dxa"/>
            <w:vAlign w:val="bottom"/>
          </w:tcPr>
          <w:p>
            <w:pPr>
              <w:jc w:val="right"/>
              <w:ind w:right="582"/>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179.9</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92.1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earnings to net cash used in operating activities:</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Provision for doubtful accounts</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Excess tax benefit on exercise of share-based awards</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Changes in operating assets and liabilities, excluding the impact of acquisitions:</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w w:val="86"/>
              </w:rPr>
              <w:t>(223.6)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(119.0)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(99.1)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Other liabilities</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used in operating activities</w:t>
            </w:r>
          </w:p>
        </w:tc>
        <w:tc>
          <w:tcPr>
            <w:tcW w:w="7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Capital expenditures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40"/>
              <w:spacing w:after="0"/>
              <w:rPr>
                <w:sz w:val="20"/>
                <w:szCs w:val="20"/>
                <w:color w:val="auto"/>
              </w:rPr>
            </w:pPr>
            <w:r>
              <w:rPr>
                <w:rFonts w:ascii="Arial" w:cs="Arial" w:eastAsia="Arial" w:hAnsi="Arial"/>
                <w:sz w:val="16"/>
                <w:szCs w:val="16"/>
                <w:color w:val="auto"/>
              </w:rPr>
              <w:t>Acquisitions of businesses, net of cash acquired</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sales of property and equipment</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ind w:left="460"/>
              <w:spacing w:after="0"/>
              <w:rPr>
                <w:sz w:val="20"/>
                <w:szCs w:val="20"/>
                <w:color w:val="auto"/>
              </w:rPr>
            </w:pPr>
            <w:r>
              <w:rPr>
                <w:rFonts w:ascii="Arial" w:cs="Arial" w:eastAsia="Arial" w:hAnsi="Arial"/>
                <w:sz w:val="16"/>
                <w:szCs w:val="16"/>
                <w:color w:val="auto"/>
              </w:rPr>
              <w:t>Cash used in investing activities</w:t>
            </w:r>
          </w:p>
        </w:tc>
        <w:tc>
          <w:tcPr>
            <w:tcW w:w="74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7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Net change in short-term borrowings</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long-term debt</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Repayments of long-term debt</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(267.5)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share-based awards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Other share-based award transactions, net</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Repurchases of common stock</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Dividends paid</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used in financing activities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(247.3)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820" w:type="dxa"/>
            <w:vAlign w:val="bottom"/>
            <w:gridSpan w:val="2"/>
          </w:tcPr>
          <w:p>
            <w:pPr>
              <w:spacing w:after="0"/>
              <w:rPr>
                <w:sz w:val="20"/>
                <w:szCs w:val="20"/>
                <w:color w:val="auto"/>
              </w:rPr>
            </w:pPr>
            <w:r>
              <w:rPr>
                <w:rFonts w:ascii="Arial" w:cs="Arial" w:eastAsia="Arial" w:hAnsi="Arial"/>
                <w:sz w:val="16"/>
                <w:szCs w:val="16"/>
                <w:color w:val="auto"/>
              </w:rPr>
              <w:t>Effect of exchange rate changes on cash</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Change in cash and cash equivalents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(99.1)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(367.2)</w:t>
            </w:r>
          </w:p>
        </w:tc>
        <w:tc>
          <w:tcPr>
            <w:tcW w:w="0" w:type="dxa"/>
            <w:vAlign w:val="bottom"/>
          </w:tcPr>
          <w:p>
            <w:pPr>
              <w:spacing w:after="0"/>
              <w:rPr>
                <w:sz w:val="1"/>
                <w:szCs w:val="1"/>
                <w:color w:val="auto"/>
              </w:rPr>
            </w:pPr>
          </w:p>
        </w:tc>
      </w:tr>
      <w:tr>
        <w:trPr>
          <w:trHeight w:val="192"/>
        </w:trPr>
        <w:tc>
          <w:tcPr>
            <w:tcW w:w="8820" w:type="dxa"/>
            <w:vAlign w:val="bottom"/>
            <w:gridSpan w:val="2"/>
          </w:tcPr>
          <w:p>
            <w:pPr>
              <w:spacing w:after="0"/>
              <w:rPr>
                <w:sz w:val="20"/>
                <w:szCs w:val="20"/>
                <w:color w:val="auto"/>
              </w:rPr>
            </w:pPr>
            <w:r>
              <w:rPr>
                <w:rFonts w:ascii="Arial" w:cs="Arial" w:eastAsia="Arial" w:hAnsi="Arial"/>
                <w:sz w:val="16"/>
                <w:szCs w:val="16"/>
                <w:color w:val="auto"/>
              </w:rPr>
              <w:t>Cash and cash equivalents, beginning of period</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737.6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648.1</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period</w:t>
            </w:r>
          </w:p>
        </w:tc>
        <w:tc>
          <w:tcPr>
            <w:tcW w:w="740" w:type="dxa"/>
            <w:vAlign w:val="bottom"/>
            <w:shd w:val="clear" w:color="auto" w:fill="CCEEFF"/>
          </w:tcPr>
          <w:p>
            <w:pPr>
              <w:jc w:val="right"/>
              <w:ind w:right="582"/>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638.5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253" w:right="219" w:bottom="1440" w:gutter="0" w:footer="0" w:header="0"/>
        </w:sectPr>
      </w:pPr>
    </w:p>
    <w:bookmarkStart w:id="11" w:name="page12"/>
    <w:bookmarkEnd w:id="11"/>
    <w:p>
      <w:pPr>
        <w:ind w:left="924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28575</wp:posOffset>
            </wp:positionV>
            <wp:extent cx="7320280" cy="5883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0" w:num="1">
            <w:col w:w="10240"/>
          </w:cols>
          <w:pgMar w:left="1440" w:top="116" w:right="21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2019-12-06T03:47:59Z</dcterms:created>
  <dcterms:modified xsi:type="dcterms:W3CDTF">2019-12-06T03:47:59Z</dcterms:modified>
</cp:coreProperties>
</file>