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5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HOWARD JULIE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2,671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1,414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2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2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1,347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-6006465</wp:posOffset>
            </wp:positionV>
            <wp:extent cx="29210" cy="6320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632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5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1069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10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(7)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2022 and will be settled in shares of ManpowerGroup common stock on a 1 for 1 basis on the earlier of January 1, 2025 or within 30 days after the reporting person's termination of service as a director, except as otherwise provided in the "Terms and Conditions" (as defined below).</w:t>
      </w:r>
    </w:p>
    <w:p>
      <w:pPr>
        <w:ind w:left="20" w:right="300" w:firstLine="3"/>
        <w:spacing w:after="0" w:line="25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60" w:firstLine="3"/>
        <w:spacing w:after="0" w:line="25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60" w:firstLine="3"/>
        <w:spacing w:after="0" w:line="25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-10795</wp:posOffset>
            </wp:positionV>
            <wp:extent cx="1360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711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32758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2022-01-04T18:07:30Z</dcterms:created>
  <dcterms:modified xsi:type="dcterms:W3CDTF">2022-01-04T18:07:30Z</dcterms:modified>
</cp:coreProperties>
</file>