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10-K</w:t>
      </w:r>
    </w:p>
    <w:p>
      <w:pPr>
        <w:sectPr>
          <w:pgSz w:w="11900" w:h="16838" w:orient="portrait"/>
          <w:cols w:equalWidth="0" w:num="1">
            <w:col w:w="11240"/>
          </w:cols>
          <w:pgMar w:left="320" w:top="421" w:right="339" w:bottom="1440" w:gutter="0" w:footer="0" w:header="0"/>
        </w:sectPr>
      </w:pPr>
    </w:p>
    <w:p>
      <w:pPr>
        <w:spacing w:after="0" w:line="76" w:lineRule="exact"/>
        <w:rPr>
          <w:sz w:val="24"/>
          <w:szCs w:val="24"/>
          <w:color w:val="auto"/>
        </w:rPr>
      </w:pPr>
    </w:p>
    <w:p>
      <w:pPr>
        <w:ind w:left="1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7"/>
          <w:szCs w:val="17"/>
          <w:color w:val="auto"/>
        </w:rPr>
        <w:t>ANNUAL REPORT PURSUANT TO SECTION 13 OR 15(d) OF THE SECURITIES EXCHANGE ACT OF 1934:</w:t>
      </w:r>
    </w:p>
    <w:p>
      <w:pPr>
        <w:spacing w:after="0" w:line="114"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For the fiscal year ended December 31, 2022</w:t>
      </w:r>
    </w:p>
    <w:p>
      <w:pPr>
        <w:spacing w:after="0" w:line="76"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OR</w:t>
      </w:r>
    </w:p>
    <w:p>
      <w:pPr>
        <w:spacing w:after="0" w:line="102" w:lineRule="exact"/>
        <w:rPr>
          <w:sz w:val="24"/>
          <w:szCs w:val="24"/>
          <w:color w:val="auto"/>
        </w:rPr>
      </w:pPr>
    </w:p>
    <w:p>
      <w:pPr>
        <w:sectPr>
          <w:pgSz w:w="11900" w:h="16838" w:orient="portrait"/>
          <w:cols w:equalWidth="0" w:num="2">
            <w:col w:w="960" w:space="720"/>
            <w:col w:w="9560"/>
          </w:cols>
          <w:pgMar w:left="320" w:top="421" w:right="339" w:bottom="1440" w:gutter="0" w:footer="0" w:header="0"/>
          <w:type w:val="continuous"/>
        </w:sectPr>
      </w:pPr>
    </w:p>
    <w:p>
      <w:pPr>
        <w:ind w:left="1540" w:hanging="1357"/>
        <w:spacing w:after="0"/>
        <w:tabs>
          <w:tab w:leader="none" w:pos="1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1-10686</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39"/>
          <w:szCs w:val="39"/>
          <w:color w:val="auto"/>
        </w:rPr>
        <w:t>MANPOWERGROUP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421" w:right="339" w:bottom="1440" w:gutter="0" w:footer="0" w:header="0"/>
          <w:type w:val="continuous"/>
        </w:sectPr>
      </w:pPr>
    </w:p>
    <w:p>
      <w:pPr>
        <w:spacing w:after="0" w:line="82"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39-1672779</w:t>
      </w:r>
    </w:p>
    <w:p>
      <w:pPr>
        <w:spacing w:after="0" w:line="46" w:lineRule="exact"/>
        <w:rPr>
          <w:sz w:val="24"/>
          <w:szCs w:val="24"/>
          <w:color w:val="auto"/>
        </w:rPr>
      </w:pPr>
    </w:p>
    <w:p>
      <w:pPr>
        <w:sectPr>
          <w:pgSz w:w="11900" w:h="16838" w:orient="portrait"/>
          <w:cols w:equalWidth="0" w:num="2">
            <w:col w:w="7240" w:space="720"/>
            <w:col w:w="3280"/>
          </w:cols>
          <w:pgMar w:left="320" w:top="421" w:right="339" w:bottom="1440" w:gutter="0" w:footer="0" w:header="0"/>
          <w:type w:val="continuous"/>
        </w:sectPr>
      </w:pPr>
    </w:p>
    <w:p>
      <w:pPr>
        <w:ind w:left="96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37" w:lineRule="exact"/>
        <w:rPr>
          <w:sz w:val="24"/>
          <w:szCs w:val="24"/>
          <w:color w:val="auto"/>
        </w:rPr>
      </w:pPr>
    </w:p>
    <w:p>
      <w:pPr>
        <w:sectPr>
          <w:pgSz w:w="11900" w:h="16838" w:orient="portrait"/>
          <w:cols w:equalWidth="0" w:num="2">
            <w:col w:w="6620" w:space="720"/>
            <w:col w:w="3900"/>
          </w:cols>
          <w:pgMar w:left="320" w:top="421" w:right="339" w:bottom="1440" w:gutter="0" w:footer="0" w:header="0"/>
          <w:type w:val="continuous"/>
        </w:sectPr>
      </w:pPr>
    </w:p>
    <w:p>
      <w:pPr>
        <w:ind w:left="600"/>
        <w:spacing w:after="0"/>
        <w:rPr>
          <w:sz w:val="20"/>
          <w:szCs w:val="20"/>
          <w:color w:val="auto"/>
        </w:rPr>
      </w:pPr>
      <w:r>
        <w:rPr>
          <w:rFonts w:ascii="Arial" w:cs="Arial" w:eastAsia="Arial" w:hAnsi="Arial"/>
          <w:sz w:val="17"/>
          <w:szCs w:val="17"/>
          <w:b w:val="1"/>
          <w:bCs w:val="1"/>
          <w:color w:val="auto"/>
        </w:rPr>
        <w:t>100 MANPOWER PLACE, MILWAUKEE, WISCONSIN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53212</w:t>
      </w:r>
    </w:p>
    <w:p>
      <w:pPr>
        <w:spacing w:after="0" w:line="64" w:lineRule="exact"/>
        <w:rPr>
          <w:sz w:val="24"/>
          <w:szCs w:val="24"/>
          <w:color w:val="auto"/>
        </w:rPr>
      </w:pPr>
    </w:p>
    <w:p>
      <w:pPr>
        <w:sectPr>
          <w:pgSz w:w="11900" w:h="16838" w:orient="portrait"/>
          <w:cols w:equalWidth="0" w:num="2">
            <w:col w:w="7500" w:space="720"/>
            <w:col w:w="3020"/>
          </w:cols>
          <w:pgMar w:left="320" w:top="421" w:right="339" w:bottom="1440" w:gutter="0" w:footer="0" w:header="0"/>
          <w:type w:val="continuous"/>
        </w:sectPr>
      </w:pPr>
    </w:p>
    <w:p>
      <w:pPr>
        <w:ind w:left="1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97" w:lineRule="exact"/>
        <w:rPr>
          <w:sz w:val="24"/>
          <w:szCs w:val="24"/>
          <w:color w:val="auto"/>
        </w:rPr>
      </w:pPr>
    </w:p>
    <w:p>
      <w:pPr>
        <w:sectPr>
          <w:pgSz w:w="11900" w:h="16838" w:orient="portrait"/>
          <w:cols w:equalWidth="0" w:num="2">
            <w:col w:w="7380" w:space="720"/>
            <w:col w:w="3140"/>
          </w:cols>
          <w:pgMar w:left="320" w:top="421"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(414) 961-1000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421" w:right="339" w:bottom="1440" w:gutter="0" w:footer="0" w:header="0"/>
          <w:type w:val="continuous"/>
        </w:sectPr>
      </w:pPr>
    </w:p>
    <w:p>
      <w:pPr>
        <w:spacing w:after="0" w:line="111" w:lineRule="exact"/>
        <w:rPr>
          <w:sz w:val="24"/>
          <w:szCs w:val="24"/>
          <w:color w:val="auto"/>
        </w:rPr>
      </w:pPr>
    </w:p>
    <w:p>
      <w:pPr>
        <w:ind w:left="13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Exchange on which registered</w:t>
      </w:r>
    </w:p>
    <w:p>
      <w:pPr>
        <w:spacing w:after="0" w:line="83" w:lineRule="exact"/>
        <w:rPr>
          <w:sz w:val="24"/>
          <w:szCs w:val="24"/>
          <w:color w:val="auto"/>
        </w:rPr>
      </w:pPr>
    </w:p>
    <w:p>
      <w:pPr>
        <w:sectPr>
          <w:pgSz w:w="11900" w:h="16838" w:orient="portrait"/>
          <w:cols w:equalWidth="0" w:num="3">
            <w:col w:w="4200" w:space="720"/>
            <w:col w:w="2140" w:space="720"/>
            <w:col w:w="3460"/>
          </w:cols>
          <w:pgMar w:left="320" w:top="421" w:right="339" w:bottom="1440" w:gutter="0" w:footer="0" w:header="0"/>
          <w:type w:val="continuous"/>
        </w:sectPr>
      </w:pP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8"/>
          <w:szCs w:val="18"/>
          <w:b w:val="1"/>
          <w:bCs w:val="1"/>
          <w:color w:val="auto"/>
        </w:rPr>
        <w:t>MAN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New York Stock Exchange</w:t>
      </w:r>
    </w:p>
    <w:p>
      <w:pPr>
        <w:spacing w:after="0" w:line="139" w:lineRule="exact"/>
        <w:rPr>
          <w:sz w:val="24"/>
          <w:szCs w:val="24"/>
          <w:color w:val="auto"/>
        </w:rPr>
      </w:pPr>
    </w:p>
    <w:p>
      <w:pPr>
        <w:sectPr>
          <w:pgSz w:w="11900" w:h="16838" w:orient="portrait"/>
          <w:cols w:equalWidth="0" w:num="3">
            <w:col w:w="4700" w:space="720"/>
            <w:col w:w="2120" w:space="720"/>
            <w:col w:w="2980"/>
          </w:cols>
          <w:pgMar w:left="320" w:top="421"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ectPr>
          <w:pgSz w:w="11900" w:h="16838" w:orient="portrait"/>
          <w:cols w:equalWidth="0" w:num="1">
            <w:col w:w="11240"/>
          </w:cols>
          <w:pgMar w:left="320" w:top="421" w:right="339" w:bottom="1440" w:gutter="0" w:footer="0" w:header="0"/>
          <w:type w:val="continuous"/>
        </w:sectPr>
      </w:pPr>
    </w:p>
    <w:p>
      <w:pPr>
        <w:spacing w:after="0" w:line="13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2" w:lineRule="exact"/>
        <w:rPr>
          <w:sz w:val="24"/>
          <w:szCs w:val="24"/>
          <w:color w:val="auto"/>
        </w:rPr>
      </w:pPr>
    </w:p>
    <w:p>
      <w:pPr>
        <w:sectPr>
          <w:pgSz w:w="11900" w:h="16838" w:orient="portrait"/>
          <w:cols w:equalWidth="0" w:num="5">
            <w:col w:w="7580" w:space="160"/>
            <w:col w:w="240" w:space="160"/>
            <w:col w:w="140" w:space="180"/>
            <w:col w:w="200" w:space="160"/>
            <w:col w:w="2420"/>
          </w:cols>
          <w:pgMar w:left="320" w:top="421" w:right="3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jc w:val="cente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9" w:lineRule="exact"/>
        <w:rPr>
          <w:sz w:val="24"/>
          <w:szCs w:val="24"/>
          <w:color w:val="auto"/>
        </w:rPr>
      </w:pPr>
    </w:p>
    <w:p>
      <w:pPr>
        <w:sectPr>
          <w:pgSz w:w="11900" w:h="16838" w:orient="portrait"/>
          <w:cols w:equalWidth="0" w:num="5">
            <w:col w:w="7740" w:space="160"/>
            <w:col w:w="220" w:space="160"/>
            <w:col w:w="160" w:space="160"/>
            <w:col w:w="200" w:space="160"/>
            <w:col w:w="2280"/>
          </w:cols>
          <w:pgMar w:left="320" w:top="421" w:right="339" w:bottom="1440" w:gutter="0" w:footer="0" w:header="0"/>
          <w:type w:val="continuous"/>
        </w:sectPr>
      </w:pPr>
    </w:p>
    <w:p>
      <w:pPr>
        <w:jc w:val="both"/>
        <w:spacing w:after="0" w:line="20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9" w:lineRule="exact"/>
        <w:rPr>
          <w:sz w:val="24"/>
          <w:szCs w:val="24"/>
          <w:color w:val="auto"/>
        </w:rPr>
      </w:pPr>
    </w:p>
    <w:p>
      <w:pPr>
        <w:jc w:val="both"/>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21" w:right="339" w:bottom="1440" w:gutter="0" w:footer="0" w:header="0"/>
          <w:type w:val="continuous"/>
        </w:sectPr>
      </w:pPr>
    </w:p>
    <w:p>
      <w:pPr>
        <w:spacing w:after="0" w:line="62" w:lineRule="exact"/>
        <w:rPr>
          <w:sz w:val="24"/>
          <w:szCs w:val="24"/>
          <w:color w:val="auto"/>
        </w:rPr>
      </w:pPr>
    </w:p>
    <w:p>
      <w:pPr>
        <w:ind w:left="580"/>
        <w:spacing w:after="0" w:line="391"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364" w:lineRule="auto"/>
        <w:rPr>
          <w:sz w:val="20"/>
          <w:szCs w:val="20"/>
          <w:color w:val="auto"/>
        </w:rPr>
      </w:pPr>
      <w:r>
        <w:rPr>
          <w:rFonts w:ascii="Arial" w:cs="Arial" w:eastAsia="Arial" w:hAnsi="Arial"/>
          <w:sz w:val="15"/>
          <w:szCs w:val="15"/>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5" w:lineRule="exact"/>
        <w:rPr>
          <w:sz w:val="24"/>
          <w:szCs w:val="24"/>
          <w:color w:val="auto"/>
        </w:rPr>
      </w:pPr>
    </w:p>
    <w:p>
      <w:pPr>
        <w:sectPr>
          <w:pgSz w:w="11900" w:h="16838" w:orient="portrait"/>
          <w:cols w:equalWidth="0" w:num="6">
            <w:col w:w="2360" w:space="400"/>
            <w:col w:w="140" w:space="700"/>
            <w:col w:w="1760" w:space="400"/>
            <w:col w:w="200" w:space="720"/>
            <w:col w:w="1360" w:space="320"/>
            <w:col w:w="2880"/>
          </w:cols>
          <w:pgMar w:left="320" w:top="421" w:right="339" w:bottom="1440" w:gutter="0" w:footer="0" w:header="0"/>
          <w:type w:val="continuous"/>
        </w:sectPr>
      </w:pPr>
    </w:p>
    <w:p>
      <w:pPr>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6" w:lineRule="exact"/>
        <w:rPr>
          <w:sz w:val="24"/>
          <w:szCs w:val="24"/>
          <w:color w:val="auto"/>
        </w:rPr>
      </w:pPr>
    </w:p>
    <w:p>
      <w:pPr>
        <w:ind w:right="20"/>
        <w:spacing w:after="0" w:line="21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6" w:lineRule="exact"/>
        <w:rPr>
          <w:sz w:val="24"/>
          <w:szCs w:val="24"/>
          <w:color w:val="auto"/>
        </w:rPr>
      </w:pPr>
    </w:p>
    <w:p>
      <w:pPr>
        <w:ind w:right="20"/>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209"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Arial" w:cs="Arial" w:eastAsia="Arial" w:hAnsi="Arial"/>
          <w:sz w:val="14"/>
          <w:szCs w:val="14"/>
          <w:color w:val="231F20"/>
        </w:rPr>
        <w:t>§240.10D-1(b).</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4" w:lineRule="exact"/>
        <w:rPr>
          <w:sz w:val="24"/>
          <w:szCs w:val="24"/>
          <w:color w:val="auto"/>
        </w:rPr>
      </w:pPr>
    </w:p>
    <w:p>
      <w:pPr>
        <w:spacing w:after="0" w:line="184" w:lineRule="exact"/>
        <w:tabs>
          <w:tab w:leader="none" w:pos="78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rFonts w:ascii="MS PGothic" w:cs="MS PGothic" w:eastAsia="MS PGothic" w:hAnsi="MS PGothic"/>
          <w:sz w:val="16"/>
          <w:szCs w:val="16"/>
          <w:color w:val="auto"/>
        </w:rPr>
        <w:t xml:space="preserve">  ☒</w:t>
      </w:r>
    </w:p>
    <w:p>
      <w:pPr>
        <w:spacing w:after="0" w:line="115"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The aggregate market value of the voting stock held by nonaffiliates of the registrant was $3,978,364,665 as of June 30, 2022. As of February 15, 2023, there were 50,620,662 of the registrant’s shares of common stock outstanding.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DOCUMENTS INCORPORATED BY REFERENCE</w:t>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Part III is incorporated by reference from the Proxy Statement for the Annual Meeting of Shareholders to be held on May 5, 2023.</w:t>
      </w:r>
    </w:p>
    <w:p>
      <w:pPr>
        <w:spacing w:after="0" w:line="117" w:lineRule="exact"/>
        <w:rPr>
          <w:sz w:val="24"/>
          <w:szCs w:val="24"/>
          <w:color w:val="auto"/>
        </w:rPr>
      </w:pPr>
    </w:p>
    <w:p>
      <w:pPr>
        <w:ind w:left="20"/>
        <w:spacing w:after="0"/>
        <w:tabs>
          <w:tab w:leader="none" w:pos="1380" w:val="left"/>
          <w:tab w:leader="none" w:pos="3280" w:val="left"/>
          <w:tab w:leader="none" w:pos="4640" w:val="left"/>
          <w:tab w:leader="none" w:pos="6880" w:val="left"/>
          <w:tab w:leader="none" w:pos="836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Deloitte &amp; Touche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Milwaukee, WI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83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60" w:type="dxa"/>
            <w:vAlign w:val="bottom"/>
            <w:gridSpan w:val="10"/>
          </w:tcPr>
          <w:p>
            <w:pPr>
              <w:jc w:val="center"/>
              <w:ind w:right="3600"/>
              <w:spacing w:after="0"/>
              <w:rPr>
                <w:sz w:val="20"/>
                <w:szCs w:val="20"/>
                <w:color w:val="auto"/>
              </w:rPr>
            </w:pPr>
            <w:r>
              <w:rPr>
                <w:rFonts w:ascii="Arial" w:cs="Arial" w:eastAsia="Arial" w:hAnsi="Arial"/>
                <w:sz w:val="18"/>
                <w:szCs w:val="18"/>
                <w:b w:val="1"/>
                <w:bCs w:val="1"/>
                <w:color w:val="auto"/>
                <w:w w:val="93"/>
              </w:rPr>
              <w:t>ManpowerGroup Inc.</w:t>
            </w:r>
          </w:p>
        </w:tc>
        <w:tc>
          <w:tcPr>
            <w:tcW w:w="10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gridSpan w:val="9"/>
          </w:tcPr>
          <w:p>
            <w:pPr>
              <w:jc w:val="center"/>
              <w:ind w:right="3760"/>
              <w:spacing w:after="0"/>
              <w:rPr>
                <w:sz w:val="20"/>
                <w:szCs w:val="20"/>
                <w:color w:val="auto"/>
              </w:rPr>
            </w:pPr>
            <w:r>
              <w:rPr>
                <w:rFonts w:ascii="Arial" w:cs="Arial" w:eastAsia="Arial" w:hAnsi="Arial"/>
                <w:sz w:val="18"/>
                <w:szCs w:val="18"/>
                <w:b w:val="1"/>
                <w:bCs w:val="1"/>
                <w:color w:val="auto"/>
                <w:w w:val="94"/>
              </w:rPr>
              <w:t>Form 10-K</w:t>
            </w:r>
          </w:p>
        </w:tc>
        <w:tc>
          <w:tcPr>
            <w:tcW w:w="10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80" w:type="dxa"/>
            <w:vAlign w:val="bottom"/>
            <w:gridSpan w:val="13"/>
          </w:tcPr>
          <w:p>
            <w:pPr>
              <w:jc w:val="center"/>
              <w:ind w:right="2460"/>
              <w:spacing w:after="0"/>
              <w:rPr>
                <w:sz w:val="20"/>
                <w:szCs w:val="20"/>
                <w:color w:val="auto"/>
              </w:rPr>
            </w:pPr>
            <w:r>
              <w:rPr>
                <w:rFonts w:ascii="Arial" w:cs="Arial" w:eastAsia="Arial" w:hAnsi="Arial"/>
                <w:sz w:val="18"/>
                <w:szCs w:val="18"/>
                <w:b w:val="1"/>
                <w:bCs w:val="1"/>
                <w:color w:val="auto"/>
                <w:w w:val="90"/>
              </w:rPr>
              <w:t>For the Fiscal Year Ended December 31, 2022</w:t>
            </w:r>
          </w:p>
        </w:tc>
        <w:tc>
          <w:tcPr>
            <w:tcW w:w="1040" w:type="dxa"/>
            <w:vAlign w:val="bottom"/>
          </w:tcPr>
          <w:p>
            <w:pPr>
              <w:spacing w:after="0"/>
              <w:rPr>
                <w:sz w:val="20"/>
                <w:szCs w:val="20"/>
                <w:color w:val="auto"/>
              </w:rPr>
            </w:pPr>
          </w:p>
        </w:tc>
      </w:tr>
      <w:tr>
        <w:trPr>
          <w:trHeight w:val="36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gridSpan w:val="10"/>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4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22"/>
        </w:trPr>
        <w:tc>
          <w:tcPr>
            <w:tcW w:w="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0000FF"/>
            </w:tcBorders>
            <w:gridSpan w:val="2"/>
            <w:shd w:val="clear" w:color="auto" w:fill="CFF0FC"/>
          </w:tcPr>
          <w:p>
            <w:pPr>
              <w:spacing w:after="0" w:line="189" w:lineRule="exact"/>
              <w:rPr>
                <w:sz w:val="20"/>
                <w:szCs w:val="20"/>
                <w:color w:val="auto"/>
              </w:rPr>
            </w:pPr>
            <w:r>
              <w:rPr>
                <w:rFonts w:ascii="Arial" w:cs="Arial" w:eastAsia="Arial" w:hAnsi="Arial"/>
                <w:sz w:val="18"/>
                <w:szCs w:val="18"/>
                <w:color w:val="0000FF"/>
                <w:w w:val="89"/>
              </w:rPr>
              <w:t>PART I</w:t>
            </w:r>
          </w:p>
        </w:tc>
        <w:tc>
          <w:tcPr>
            <w:tcW w:w="920" w:type="dxa"/>
            <w:vAlign w:val="bottom"/>
            <w:tcBorders>
              <w:bottom w:val="single" w:sz="8" w:color="CFF0FC"/>
            </w:tcBorders>
            <w:gridSpan w:val="6"/>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r>
      <w:tr>
        <w:trPr>
          <w:trHeight w:val="188"/>
        </w:trPr>
        <w:tc>
          <w:tcPr>
            <w:tcW w:w="1480" w:type="dxa"/>
            <w:vAlign w:val="bottom"/>
            <w:gridSpan w:val="9"/>
          </w:tcPr>
          <w:p>
            <w:pPr>
              <w:ind w:left="20"/>
              <w:spacing w:after="0" w:line="189" w:lineRule="exact"/>
              <w:rPr>
                <w:sz w:val="20"/>
                <w:szCs w:val="20"/>
                <w:color w:val="auto"/>
              </w:rPr>
            </w:pPr>
            <w:r>
              <w:rPr>
                <w:rFonts w:ascii="Arial" w:cs="Arial" w:eastAsia="Arial" w:hAnsi="Arial"/>
                <w:sz w:val="18"/>
                <w:szCs w:val="18"/>
                <w:color w:val="0000FF"/>
              </w:rPr>
              <w:t>Item 1</w:t>
            </w:r>
          </w:p>
        </w:tc>
        <w:tc>
          <w:tcPr>
            <w:tcW w:w="8720" w:type="dxa"/>
            <w:vAlign w:val="bottom"/>
            <w:gridSpan w:val="23"/>
          </w:tcPr>
          <w:p>
            <w:pPr>
              <w:spacing w:after="0" w:line="189" w:lineRule="exact"/>
              <w:rPr>
                <w:sz w:val="20"/>
                <w:szCs w:val="20"/>
                <w:color w:val="auto"/>
              </w:rPr>
            </w:pPr>
            <w:r>
              <w:rPr>
                <w:rFonts w:ascii="Arial" w:cs="Arial" w:eastAsia="Arial" w:hAnsi="Arial"/>
                <w:sz w:val="18"/>
                <w:szCs w:val="18"/>
                <w:color w:val="0000FF"/>
              </w:rPr>
              <w:t>Business</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79"/>
              </w:rPr>
              <w:t>3</w:t>
            </w: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8"/>
        </w:trPr>
        <w:tc>
          <w:tcPr>
            <w:tcW w:w="20" w:type="dxa"/>
            <w:vAlign w:val="bottom"/>
            <w:shd w:val="clear" w:color="auto" w:fill="CFF0FC"/>
          </w:tcPr>
          <w:p>
            <w:pPr>
              <w:spacing w:after="0"/>
              <w:rPr>
                <w:sz w:val="16"/>
                <w:szCs w:val="16"/>
                <w:color w:val="auto"/>
              </w:rPr>
            </w:pPr>
          </w:p>
        </w:tc>
        <w:tc>
          <w:tcPr>
            <w:tcW w:w="60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color w:val="0000FF"/>
                <w:w w:val="93"/>
              </w:rPr>
              <w:t>Item 1A</w:t>
            </w:r>
          </w:p>
        </w:tc>
        <w:tc>
          <w:tcPr>
            <w:tcW w:w="860" w:type="dxa"/>
            <w:vAlign w:val="bottom"/>
            <w:gridSpan w:val="3"/>
            <w:shd w:val="clear" w:color="auto" w:fill="CFF0FC"/>
          </w:tcPr>
          <w:p>
            <w:pPr>
              <w:spacing w:after="0"/>
              <w:rPr>
                <w:sz w:val="16"/>
                <w:szCs w:val="16"/>
                <w:color w:val="auto"/>
              </w:rPr>
            </w:pPr>
          </w:p>
        </w:tc>
        <w:tc>
          <w:tcPr>
            <w:tcW w:w="8720" w:type="dxa"/>
            <w:vAlign w:val="bottom"/>
            <w:gridSpan w:val="23"/>
            <w:shd w:val="clear" w:color="auto" w:fill="CFF0FC"/>
          </w:tcPr>
          <w:p>
            <w:pPr>
              <w:spacing w:after="0" w:line="189" w:lineRule="exact"/>
              <w:rPr>
                <w:sz w:val="20"/>
                <w:szCs w:val="20"/>
                <w:color w:val="auto"/>
              </w:rPr>
            </w:pPr>
            <w:r>
              <w:rPr>
                <w:rFonts w:ascii="Arial" w:cs="Arial" w:eastAsia="Arial" w:hAnsi="Arial"/>
                <w:sz w:val="18"/>
                <w:szCs w:val="18"/>
                <w:color w:val="0000FF"/>
              </w:rPr>
              <w:t>Risk Factors</w:t>
            </w:r>
          </w:p>
        </w:tc>
        <w:tc>
          <w:tcPr>
            <w:tcW w:w="10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12</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600" w:type="dxa"/>
            <w:vAlign w:val="bottom"/>
            <w:gridSpan w:val="5"/>
          </w:tcPr>
          <w:p>
            <w:pPr>
              <w:spacing w:after="0" w:line="189" w:lineRule="exact"/>
              <w:rPr>
                <w:sz w:val="20"/>
                <w:szCs w:val="20"/>
                <w:color w:val="auto"/>
              </w:rPr>
            </w:pPr>
            <w:r>
              <w:rPr>
                <w:rFonts w:ascii="Arial" w:cs="Arial" w:eastAsia="Arial" w:hAnsi="Arial"/>
                <w:sz w:val="18"/>
                <w:szCs w:val="18"/>
                <w:color w:val="0000FF"/>
                <w:w w:val="93"/>
              </w:rPr>
              <w:t>Item 1B</w:t>
            </w:r>
          </w:p>
        </w:tc>
        <w:tc>
          <w:tcPr>
            <w:tcW w:w="860" w:type="dxa"/>
            <w:vAlign w:val="bottom"/>
            <w:gridSpan w:val="3"/>
          </w:tcPr>
          <w:p>
            <w:pPr>
              <w:spacing w:after="0"/>
              <w:rPr>
                <w:sz w:val="16"/>
                <w:szCs w:val="16"/>
                <w:color w:val="auto"/>
              </w:rPr>
            </w:pPr>
          </w:p>
        </w:tc>
        <w:tc>
          <w:tcPr>
            <w:tcW w:w="8720" w:type="dxa"/>
            <w:vAlign w:val="bottom"/>
            <w:gridSpan w:val="23"/>
          </w:tcPr>
          <w:p>
            <w:pPr>
              <w:spacing w:after="0" w:line="189" w:lineRule="exact"/>
              <w:rPr>
                <w:sz w:val="20"/>
                <w:szCs w:val="20"/>
                <w:color w:val="auto"/>
              </w:rPr>
            </w:pPr>
            <w:r>
              <w:rPr>
                <w:rFonts w:ascii="Arial" w:cs="Arial" w:eastAsia="Arial" w:hAnsi="Arial"/>
                <w:sz w:val="18"/>
                <w:szCs w:val="18"/>
                <w:color w:val="0000FF"/>
              </w:rPr>
              <w:t>Unresolved Staff Comments</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28</w:t>
            </w: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8"/>
        </w:trPr>
        <w:tc>
          <w:tcPr>
            <w:tcW w:w="20" w:type="dxa"/>
            <w:vAlign w:val="bottom"/>
            <w:shd w:val="clear" w:color="auto" w:fill="CFF0FC"/>
          </w:tcPr>
          <w:p>
            <w:pPr>
              <w:spacing w:after="0"/>
              <w:rPr>
                <w:sz w:val="16"/>
                <w:szCs w:val="16"/>
                <w:color w:val="auto"/>
              </w:rPr>
            </w:pPr>
          </w:p>
        </w:tc>
        <w:tc>
          <w:tcPr>
            <w:tcW w:w="1460" w:type="dxa"/>
            <w:vAlign w:val="bottom"/>
            <w:gridSpan w:val="8"/>
            <w:shd w:val="clear" w:color="auto" w:fill="CFF0FC"/>
          </w:tcPr>
          <w:p>
            <w:pPr>
              <w:spacing w:after="0" w:line="189" w:lineRule="exact"/>
              <w:rPr>
                <w:sz w:val="20"/>
                <w:szCs w:val="20"/>
                <w:color w:val="auto"/>
              </w:rPr>
            </w:pPr>
            <w:r>
              <w:rPr>
                <w:rFonts w:ascii="Arial" w:cs="Arial" w:eastAsia="Arial" w:hAnsi="Arial"/>
                <w:sz w:val="18"/>
                <w:szCs w:val="18"/>
                <w:color w:val="0000FF"/>
              </w:rPr>
              <w:t>Item 2</w:t>
            </w:r>
          </w:p>
        </w:tc>
        <w:tc>
          <w:tcPr>
            <w:tcW w:w="8720" w:type="dxa"/>
            <w:vAlign w:val="bottom"/>
            <w:gridSpan w:val="23"/>
            <w:shd w:val="clear" w:color="auto" w:fill="CFF0FC"/>
          </w:tcPr>
          <w:p>
            <w:pPr>
              <w:spacing w:after="0" w:line="189" w:lineRule="exact"/>
              <w:rPr>
                <w:sz w:val="20"/>
                <w:szCs w:val="20"/>
                <w:color w:val="auto"/>
              </w:rPr>
            </w:pPr>
            <w:r>
              <w:rPr>
                <w:rFonts w:ascii="Arial" w:cs="Arial" w:eastAsia="Arial" w:hAnsi="Arial"/>
                <w:sz w:val="18"/>
                <w:szCs w:val="18"/>
                <w:color w:val="0000FF"/>
              </w:rPr>
              <w:t>Properties</w:t>
            </w:r>
          </w:p>
        </w:tc>
        <w:tc>
          <w:tcPr>
            <w:tcW w:w="10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28</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1460" w:type="dxa"/>
            <w:vAlign w:val="bottom"/>
            <w:gridSpan w:val="8"/>
          </w:tcPr>
          <w:p>
            <w:pPr>
              <w:spacing w:after="0" w:line="189" w:lineRule="exact"/>
              <w:rPr>
                <w:sz w:val="20"/>
                <w:szCs w:val="20"/>
                <w:color w:val="auto"/>
              </w:rPr>
            </w:pPr>
            <w:r>
              <w:rPr>
                <w:rFonts w:ascii="Arial" w:cs="Arial" w:eastAsia="Arial" w:hAnsi="Arial"/>
                <w:sz w:val="18"/>
                <w:szCs w:val="18"/>
                <w:color w:val="0000FF"/>
              </w:rPr>
              <w:t>Item 3</w:t>
            </w:r>
          </w:p>
        </w:tc>
        <w:tc>
          <w:tcPr>
            <w:tcW w:w="8720" w:type="dxa"/>
            <w:vAlign w:val="bottom"/>
            <w:gridSpan w:val="23"/>
          </w:tcPr>
          <w:p>
            <w:pPr>
              <w:spacing w:after="0" w:line="189" w:lineRule="exact"/>
              <w:rPr>
                <w:sz w:val="20"/>
                <w:szCs w:val="20"/>
                <w:color w:val="auto"/>
              </w:rPr>
            </w:pPr>
            <w:r>
              <w:rPr>
                <w:rFonts w:ascii="Arial" w:cs="Arial" w:eastAsia="Arial" w:hAnsi="Arial"/>
                <w:sz w:val="18"/>
                <w:szCs w:val="18"/>
                <w:color w:val="0000FF"/>
              </w:rPr>
              <w:t>Legal Proceedings</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28</w:t>
            </w: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8"/>
        </w:trPr>
        <w:tc>
          <w:tcPr>
            <w:tcW w:w="20" w:type="dxa"/>
            <w:vAlign w:val="bottom"/>
            <w:shd w:val="clear" w:color="auto" w:fill="CFF0FC"/>
          </w:tcPr>
          <w:p>
            <w:pPr>
              <w:spacing w:after="0"/>
              <w:rPr>
                <w:sz w:val="16"/>
                <w:szCs w:val="16"/>
                <w:color w:val="auto"/>
              </w:rPr>
            </w:pPr>
          </w:p>
        </w:tc>
        <w:tc>
          <w:tcPr>
            <w:tcW w:w="1460" w:type="dxa"/>
            <w:vAlign w:val="bottom"/>
            <w:gridSpan w:val="8"/>
            <w:shd w:val="clear" w:color="auto" w:fill="CFF0FC"/>
          </w:tcPr>
          <w:p>
            <w:pPr>
              <w:spacing w:after="0" w:line="189" w:lineRule="exact"/>
              <w:rPr>
                <w:sz w:val="20"/>
                <w:szCs w:val="20"/>
                <w:color w:val="auto"/>
              </w:rPr>
            </w:pPr>
            <w:r>
              <w:rPr>
                <w:rFonts w:ascii="Arial" w:cs="Arial" w:eastAsia="Arial" w:hAnsi="Arial"/>
                <w:sz w:val="18"/>
                <w:szCs w:val="18"/>
                <w:color w:val="0000FF"/>
              </w:rPr>
              <w:t>Item 4</w:t>
            </w:r>
          </w:p>
        </w:tc>
        <w:tc>
          <w:tcPr>
            <w:tcW w:w="8720" w:type="dxa"/>
            <w:vAlign w:val="bottom"/>
            <w:gridSpan w:val="23"/>
            <w:shd w:val="clear" w:color="auto" w:fill="CFF0FC"/>
          </w:tcPr>
          <w:p>
            <w:pPr>
              <w:spacing w:after="0" w:line="189" w:lineRule="exact"/>
              <w:rPr>
                <w:sz w:val="20"/>
                <w:szCs w:val="20"/>
                <w:color w:val="auto"/>
              </w:rPr>
            </w:pPr>
            <w:r>
              <w:rPr>
                <w:rFonts w:ascii="Arial" w:cs="Arial" w:eastAsia="Arial" w:hAnsi="Arial"/>
                <w:sz w:val="18"/>
                <w:szCs w:val="18"/>
                <w:color w:val="0000FF"/>
              </w:rPr>
              <w:t>Mine Safety Disclosures</w:t>
            </w:r>
          </w:p>
        </w:tc>
        <w:tc>
          <w:tcPr>
            <w:tcW w:w="10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28</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720" w:type="dxa"/>
            <w:vAlign w:val="bottom"/>
            <w:gridSpan w:val="23"/>
          </w:tcPr>
          <w:p>
            <w:pPr>
              <w:spacing w:after="0" w:line="189" w:lineRule="exact"/>
              <w:rPr>
                <w:sz w:val="20"/>
                <w:szCs w:val="20"/>
                <w:color w:val="auto"/>
              </w:rPr>
            </w:pPr>
            <w:r>
              <w:rPr>
                <w:rFonts w:ascii="Arial" w:cs="Arial" w:eastAsia="Arial" w:hAnsi="Arial"/>
                <w:sz w:val="18"/>
                <w:szCs w:val="18"/>
                <w:color w:val="0000FF"/>
              </w:rPr>
              <w:t>Executive Officers of ManpowerGroup</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29</w:t>
            </w:r>
          </w:p>
        </w:tc>
      </w:tr>
      <w:tr>
        <w:trPr>
          <w:trHeight w:val="34"/>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2"/>
        </w:trPr>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720" w:type="dxa"/>
            <w:vAlign w:val="bottom"/>
            <w:gridSpan w:val="23"/>
            <w:shd w:val="clear" w:color="auto" w:fill="CFF0FC"/>
          </w:tcPr>
          <w:p>
            <w:pPr>
              <w:spacing w:after="0" w:line="189" w:lineRule="exact"/>
              <w:rPr>
                <w:sz w:val="20"/>
                <w:szCs w:val="20"/>
                <w:color w:val="auto"/>
              </w:rPr>
            </w:pPr>
            <w:r>
              <w:rPr>
                <w:rFonts w:ascii="Arial" w:cs="Arial" w:eastAsia="Arial" w:hAnsi="Arial"/>
                <w:sz w:val="18"/>
                <w:szCs w:val="18"/>
                <w:color w:val="0000FF"/>
              </w:rPr>
              <w:t>Other Information</w:t>
            </w:r>
          </w:p>
        </w:tc>
        <w:tc>
          <w:tcPr>
            <w:tcW w:w="10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30</w:t>
            </w:r>
          </w:p>
        </w:tc>
      </w:tr>
      <w:tr>
        <w:trPr>
          <w:trHeight w:val="242"/>
        </w:trPr>
        <w:tc>
          <w:tcPr>
            <w:tcW w:w="20" w:type="dxa"/>
            <w:vAlign w:val="bottom"/>
            <w:tcBorders>
              <w:top w:val="single" w:sz="8" w:color="CFF0FC"/>
            </w:tcBorders>
          </w:tcPr>
          <w:p>
            <w:pPr>
              <w:spacing w:after="0"/>
              <w:rPr>
                <w:sz w:val="21"/>
                <w:szCs w:val="21"/>
                <w:color w:val="auto"/>
              </w:rPr>
            </w:pPr>
          </w:p>
        </w:tc>
        <w:tc>
          <w:tcPr>
            <w:tcW w:w="460" w:type="dxa"/>
            <w:vAlign w:val="bottom"/>
            <w:tcBorders>
              <w:top w:val="single" w:sz="8" w:color="CFF0FC"/>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440" w:type="dxa"/>
            <w:vAlign w:val="bottom"/>
            <w:tcBorders>
              <w:top w:val="single" w:sz="8" w:color="CFF0FC"/>
            </w:tcBorders>
          </w:tcPr>
          <w:p>
            <w:pPr>
              <w:spacing w:after="0"/>
              <w:rPr>
                <w:sz w:val="21"/>
                <w:szCs w:val="21"/>
                <w:color w:val="auto"/>
              </w:rPr>
            </w:pPr>
          </w:p>
        </w:tc>
        <w:tc>
          <w:tcPr>
            <w:tcW w:w="360" w:type="dxa"/>
            <w:vAlign w:val="bottom"/>
            <w:tcBorders>
              <w:top w:val="single" w:sz="8" w:color="CFF0FC"/>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780" w:type="dxa"/>
            <w:vAlign w:val="bottom"/>
            <w:tcBorders>
              <w:top w:val="single" w:sz="8" w:color="CFF0FC"/>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30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760" w:type="dxa"/>
            <w:vAlign w:val="bottom"/>
            <w:tcBorders>
              <w:top w:val="single" w:sz="8" w:color="CFF0FC"/>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620" w:type="dxa"/>
            <w:vAlign w:val="bottom"/>
            <w:tcBorders>
              <w:top w:val="single" w:sz="8" w:color="CFF0FC"/>
            </w:tcBorders>
          </w:tcPr>
          <w:p>
            <w:pPr>
              <w:spacing w:after="0"/>
              <w:rPr>
                <w:sz w:val="21"/>
                <w:szCs w:val="21"/>
                <w:color w:val="auto"/>
              </w:rPr>
            </w:pPr>
          </w:p>
        </w:tc>
        <w:tc>
          <w:tcPr>
            <w:tcW w:w="480" w:type="dxa"/>
            <w:vAlign w:val="bottom"/>
            <w:tcBorders>
              <w:top w:val="single" w:sz="8" w:color="CFF0FC"/>
            </w:tcBorders>
          </w:tcPr>
          <w:p>
            <w:pPr>
              <w:spacing w:after="0"/>
              <w:rPr>
                <w:sz w:val="21"/>
                <w:szCs w:val="21"/>
                <w:color w:val="auto"/>
              </w:rPr>
            </w:pPr>
          </w:p>
        </w:tc>
        <w:tc>
          <w:tcPr>
            <w:tcW w:w="980" w:type="dxa"/>
            <w:vAlign w:val="bottom"/>
            <w:tcBorders>
              <w:top w:val="single" w:sz="8" w:color="CFF0FC"/>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820" w:type="dxa"/>
            <w:vAlign w:val="bottom"/>
            <w:tcBorders>
              <w:top w:val="single" w:sz="8" w:color="CFF0FC"/>
            </w:tcBorders>
          </w:tcPr>
          <w:p>
            <w:pPr>
              <w:spacing w:after="0"/>
              <w:rPr>
                <w:sz w:val="21"/>
                <w:szCs w:val="21"/>
                <w:color w:val="auto"/>
              </w:rPr>
            </w:pPr>
          </w:p>
        </w:tc>
        <w:tc>
          <w:tcPr>
            <w:tcW w:w="760" w:type="dxa"/>
            <w:vAlign w:val="bottom"/>
            <w:tcBorders>
              <w:top w:val="single" w:sz="8" w:color="CFF0FC"/>
            </w:tcBorders>
          </w:tcPr>
          <w:p>
            <w:pPr>
              <w:spacing w:after="0"/>
              <w:rPr>
                <w:sz w:val="21"/>
                <w:szCs w:val="21"/>
                <w:color w:val="auto"/>
              </w:rPr>
            </w:pPr>
          </w:p>
        </w:tc>
        <w:tc>
          <w:tcPr>
            <w:tcW w:w="680" w:type="dxa"/>
            <w:vAlign w:val="bottom"/>
            <w:tcBorders>
              <w:top w:val="single" w:sz="8" w:color="CFF0FC"/>
            </w:tcBorders>
          </w:tcPr>
          <w:p>
            <w:pPr>
              <w:spacing w:after="0"/>
              <w:rPr>
                <w:sz w:val="21"/>
                <w:szCs w:val="21"/>
                <w:color w:val="auto"/>
              </w:rPr>
            </w:pPr>
          </w:p>
        </w:tc>
        <w:tc>
          <w:tcPr>
            <w:tcW w:w="1040" w:type="dxa"/>
            <w:vAlign w:val="bottom"/>
            <w:tcBorders>
              <w:top w:val="single" w:sz="8" w:color="CFF0FC"/>
            </w:tcBorders>
          </w:tcPr>
          <w:p>
            <w:pPr>
              <w:spacing w:after="0"/>
              <w:rPr>
                <w:sz w:val="21"/>
                <w:szCs w:val="21"/>
                <w:color w:val="auto"/>
              </w:rPr>
            </w:pPr>
          </w:p>
        </w:tc>
      </w:tr>
      <w:tr>
        <w:trPr>
          <w:trHeight w:val="222"/>
        </w:trPr>
        <w:tc>
          <w:tcPr>
            <w:tcW w:w="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0000FF"/>
            </w:tcBorders>
            <w:gridSpan w:val="5"/>
            <w:shd w:val="clear" w:color="auto" w:fill="CFF0FC"/>
          </w:tcPr>
          <w:p>
            <w:pPr>
              <w:spacing w:after="0" w:line="189" w:lineRule="exact"/>
              <w:rPr>
                <w:sz w:val="20"/>
                <w:szCs w:val="20"/>
                <w:color w:val="auto"/>
              </w:rPr>
            </w:pPr>
            <w:r>
              <w:rPr>
                <w:rFonts w:ascii="Arial" w:cs="Arial" w:eastAsia="Arial" w:hAnsi="Arial"/>
                <w:sz w:val="18"/>
                <w:szCs w:val="18"/>
                <w:color w:val="0000FF"/>
                <w:w w:val="91"/>
              </w:rPr>
              <w:t>PART II</w:t>
            </w:r>
          </w:p>
        </w:tc>
        <w:tc>
          <w:tcPr>
            <w:tcW w:w="860" w:type="dxa"/>
            <w:vAlign w:val="bottom"/>
            <w:tcBorders>
              <w:bottom w:val="single" w:sz="8" w:color="CFF0FC"/>
            </w:tcBorders>
            <w:gridSpan w:val="3"/>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r>
      <w:tr>
        <w:trPr>
          <w:trHeight w:val="188"/>
        </w:trPr>
        <w:tc>
          <w:tcPr>
            <w:tcW w:w="1480" w:type="dxa"/>
            <w:vAlign w:val="bottom"/>
            <w:gridSpan w:val="9"/>
          </w:tcPr>
          <w:p>
            <w:pPr>
              <w:ind w:left="20"/>
              <w:spacing w:after="0" w:line="189" w:lineRule="exact"/>
              <w:rPr>
                <w:sz w:val="20"/>
                <w:szCs w:val="20"/>
                <w:color w:val="auto"/>
              </w:rPr>
            </w:pPr>
            <w:r>
              <w:rPr>
                <w:rFonts w:ascii="Arial" w:cs="Arial" w:eastAsia="Arial" w:hAnsi="Arial"/>
                <w:sz w:val="18"/>
                <w:szCs w:val="18"/>
                <w:color w:val="0000FF"/>
              </w:rPr>
              <w:t>Item 5</w:t>
            </w:r>
          </w:p>
        </w:tc>
        <w:tc>
          <w:tcPr>
            <w:tcW w:w="8720" w:type="dxa"/>
            <w:vAlign w:val="bottom"/>
            <w:gridSpan w:val="23"/>
          </w:tcPr>
          <w:p>
            <w:pPr>
              <w:spacing w:after="0" w:line="189" w:lineRule="exact"/>
              <w:rPr>
                <w:sz w:val="20"/>
                <w:szCs w:val="20"/>
                <w:color w:val="auto"/>
              </w:rPr>
            </w:pPr>
            <w:r>
              <w:rPr>
                <w:rFonts w:ascii="Arial" w:cs="Arial" w:eastAsia="Arial" w:hAnsi="Arial"/>
                <w:sz w:val="18"/>
                <w:szCs w:val="18"/>
                <w:color w:val="0000FF"/>
                <w:w w:val="97"/>
              </w:rPr>
              <w:t>Market for Registrant's Common Equity, Related Shareholder Matters and Issuer Purchases of Equity Securities</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31</w:t>
            </w: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8"/>
        </w:trPr>
        <w:tc>
          <w:tcPr>
            <w:tcW w:w="20" w:type="dxa"/>
            <w:vAlign w:val="bottom"/>
            <w:shd w:val="clear" w:color="auto" w:fill="CFF0FC"/>
          </w:tcPr>
          <w:p>
            <w:pPr>
              <w:spacing w:after="0"/>
              <w:rPr>
                <w:sz w:val="16"/>
                <w:szCs w:val="16"/>
                <w:color w:val="auto"/>
              </w:rPr>
            </w:pPr>
          </w:p>
        </w:tc>
        <w:tc>
          <w:tcPr>
            <w:tcW w:w="1460" w:type="dxa"/>
            <w:vAlign w:val="bottom"/>
            <w:gridSpan w:val="8"/>
            <w:shd w:val="clear" w:color="auto" w:fill="CFF0FC"/>
          </w:tcPr>
          <w:p>
            <w:pPr>
              <w:spacing w:after="0" w:line="189" w:lineRule="exact"/>
              <w:rPr>
                <w:sz w:val="20"/>
                <w:szCs w:val="20"/>
                <w:color w:val="auto"/>
              </w:rPr>
            </w:pPr>
            <w:r>
              <w:rPr>
                <w:rFonts w:ascii="Arial" w:cs="Arial" w:eastAsia="Arial" w:hAnsi="Arial"/>
                <w:sz w:val="18"/>
                <w:szCs w:val="18"/>
                <w:color w:val="0000FF"/>
              </w:rPr>
              <w:t>Item 6</w:t>
            </w:r>
          </w:p>
        </w:tc>
        <w:tc>
          <w:tcPr>
            <w:tcW w:w="8720" w:type="dxa"/>
            <w:vAlign w:val="bottom"/>
            <w:gridSpan w:val="23"/>
            <w:shd w:val="clear" w:color="auto" w:fill="CFF0FC"/>
          </w:tcPr>
          <w:p>
            <w:pPr>
              <w:spacing w:after="0" w:line="189" w:lineRule="exact"/>
              <w:rPr>
                <w:sz w:val="20"/>
                <w:szCs w:val="20"/>
                <w:color w:val="auto"/>
              </w:rPr>
            </w:pPr>
            <w:r>
              <w:rPr>
                <w:rFonts w:ascii="Arial" w:cs="Arial" w:eastAsia="Arial" w:hAnsi="Arial"/>
                <w:sz w:val="18"/>
                <w:szCs w:val="18"/>
                <w:color w:val="0000FF"/>
              </w:rPr>
              <w:t>[Reserved]</w:t>
            </w:r>
          </w:p>
        </w:tc>
        <w:tc>
          <w:tcPr>
            <w:tcW w:w="10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32</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1460" w:type="dxa"/>
            <w:vAlign w:val="bottom"/>
            <w:gridSpan w:val="8"/>
          </w:tcPr>
          <w:p>
            <w:pPr>
              <w:spacing w:after="0" w:line="189" w:lineRule="exact"/>
              <w:rPr>
                <w:sz w:val="20"/>
                <w:szCs w:val="20"/>
                <w:color w:val="auto"/>
              </w:rPr>
            </w:pPr>
            <w:r>
              <w:rPr>
                <w:rFonts w:ascii="Arial" w:cs="Arial" w:eastAsia="Arial" w:hAnsi="Arial"/>
                <w:sz w:val="18"/>
                <w:szCs w:val="18"/>
                <w:color w:val="0000FF"/>
              </w:rPr>
              <w:t>Item 7</w:t>
            </w:r>
          </w:p>
        </w:tc>
        <w:tc>
          <w:tcPr>
            <w:tcW w:w="8720" w:type="dxa"/>
            <w:vAlign w:val="bottom"/>
            <w:gridSpan w:val="23"/>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33</w:t>
            </w: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2"/>
        </w:trPr>
        <w:tc>
          <w:tcPr>
            <w:tcW w:w="20" w:type="dxa"/>
            <w:vAlign w:val="bottom"/>
            <w:shd w:val="clear" w:color="auto" w:fill="CFF0FC"/>
          </w:tcPr>
          <w:p>
            <w:pPr>
              <w:spacing w:after="0"/>
              <w:rPr>
                <w:sz w:val="19"/>
                <w:szCs w:val="19"/>
                <w:color w:val="auto"/>
              </w:rPr>
            </w:pPr>
          </w:p>
        </w:tc>
        <w:tc>
          <w:tcPr>
            <w:tcW w:w="60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color w:val="0000FF"/>
                <w:w w:val="93"/>
              </w:rPr>
              <w:t>Item 7A</w:t>
            </w:r>
          </w:p>
        </w:tc>
        <w:tc>
          <w:tcPr>
            <w:tcW w:w="860" w:type="dxa"/>
            <w:vAlign w:val="bottom"/>
            <w:gridSpan w:val="3"/>
            <w:shd w:val="clear" w:color="auto" w:fill="CFF0FC"/>
          </w:tcPr>
          <w:p>
            <w:pPr>
              <w:spacing w:after="0"/>
              <w:rPr>
                <w:sz w:val="19"/>
                <w:szCs w:val="19"/>
                <w:color w:val="auto"/>
              </w:rPr>
            </w:pPr>
          </w:p>
        </w:tc>
        <w:tc>
          <w:tcPr>
            <w:tcW w:w="8720" w:type="dxa"/>
            <w:vAlign w:val="bottom"/>
            <w:gridSpan w:val="23"/>
            <w:shd w:val="clear" w:color="auto" w:fill="CFF0FC"/>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10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49</w:t>
            </w:r>
          </w:p>
        </w:tc>
      </w:tr>
      <w:tr>
        <w:trPr>
          <w:trHeight w:val="188"/>
        </w:trPr>
        <w:tc>
          <w:tcPr>
            <w:tcW w:w="20" w:type="dxa"/>
            <w:vAlign w:val="bottom"/>
            <w:tcBorders>
              <w:top w:val="single" w:sz="8" w:color="CFF0FC"/>
            </w:tcBorders>
          </w:tcPr>
          <w:p>
            <w:pPr>
              <w:spacing w:after="0"/>
              <w:rPr>
                <w:sz w:val="16"/>
                <w:szCs w:val="16"/>
                <w:color w:val="auto"/>
              </w:rPr>
            </w:pPr>
          </w:p>
        </w:tc>
        <w:tc>
          <w:tcPr>
            <w:tcW w:w="600" w:type="dxa"/>
            <w:vAlign w:val="bottom"/>
            <w:tcBorders>
              <w:top w:val="single" w:sz="8" w:color="0000FF"/>
            </w:tcBorders>
            <w:gridSpan w:val="5"/>
          </w:tcPr>
          <w:p>
            <w:pPr>
              <w:spacing w:after="0" w:line="189" w:lineRule="exact"/>
              <w:rPr>
                <w:sz w:val="20"/>
                <w:szCs w:val="20"/>
                <w:color w:val="auto"/>
              </w:rPr>
            </w:pPr>
            <w:r>
              <w:rPr>
                <w:rFonts w:ascii="Arial" w:cs="Arial" w:eastAsia="Arial" w:hAnsi="Arial"/>
                <w:sz w:val="18"/>
                <w:szCs w:val="18"/>
                <w:color w:val="0000FF"/>
              </w:rPr>
              <w:t>Item 8</w:t>
            </w:r>
          </w:p>
        </w:tc>
        <w:tc>
          <w:tcPr>
            <w:tcW w:w="860" w:type="dxa"/>
            <w:vAlign w:val="bottom"/>
            <w:tcBorders>
              <w:top w:val="single" w:sz="8" w:color="CFF0FC"/>
            </w:tcBorders>
            <w:gridSpan w:val="3"/>
          </w:tcPr>
          <w:p>
            <w:pPr>
              <w:spacing w:after="0"/>
              <w:rPr>
                <w:sz w:val="16"/>
                <w:szCs w:val="16"/>
                <w:color w:val="auto"/>
              </w:rPr>
            </w:pPr>
          </w:p>
        </w:tc>
        <w:tc>
          <w:tcPr>
            <w:tcW w:w="4340" w:type="dxa"/>
            <w:vAlign w:val="bottom"/>
            <w:tcBorders>
              <w:top w:val="single" w:sz="8" w:color="0000FF"/>
            </w:tcBorders>
            <w:gridSpan w:val="16"/>
          </w:tcPr>
          <w:p>
            <w:pPr>
              <w:spacing w:after="0" w:line="189" w:lineRule="exact"/>
              <w:rPr>
                <w:sz w:val="20"/>
                <w:szCs w:val="20"/>
                <w:color w:val="auto"/>
              </w:rPr>
            </w:pPr>
            <w:r>
              <w:rPr>
                <w:rFonts w:ascii="Arial" w:cs="Arial" w:eastAsia="Arial" w:hAnsi="Arial"/>
                <w:sz w:val="18"/>
                <w:szCs w:val="18"/>
                <w:color w:val="0000FF"/>
              </w:rPr>
              <w:t>Financial Statements and Supplementary Data</w:t>
            </w:r>
          </w:p>
        </w:tc>
        <w:tc>
          <w:tcPr>
            <w:tcW w:w="4380" w:type="dxa"/>
            <w:vAlign w:val="bottom"/>
            <w:tcBorders>
              <w:top w:val="single" w:sz="8" w:color="CFF0FC"/>
            </w:tcBorders>
            <w:gridSpan w:val="7"/>
          </w:tcPr>
          <w:p>
            <w:pPr>
              <w:spacing w:after="0"/>
              <w:rPr>
                <w:sz w:val="16"/>
                <w:szCs w:val="16"/>
                <w:color w:val="auto"/>
              </w:rPr>
            </w:pPr>
          </w:p>
        </w:tc>
        <w:tc>
          <w:tcPr>
            <w:tcW w:w="1040" w:type="dxa"/>
            <w:vAlign w:val="bottom"/>
            <w:tcBorders>
              <w:top w:val="single" w:sz="8" w:color="CFF0FC"/>
            </w:tcBorders>
          </w:tcPr>
          <w:p>
            <w:pPr>
              <w:jc w:val="center"/>
              <w:spacing w:after="0" w:line="189" w:lineRule="exact"/>
              <w:rPr>
                <w:sz w:val="20"/>
                <w:szCs w:val="20"/>
                <w:color w:val="auto"/>
              </w:rPr>
            </w:pPr>
            <w:r>
              <w:rPr>
                <w:rFonts w:ascii="Arial" w:cs="Arial" w:eastAsia="Arial" w:hAnsi="Arial"/>
                <w:sz w:val="18"/>
                <w:szCs w:val="18"/>
                <w:color w:val="auto"/>
                <w:w w:val="89"/>
              </w:rPr>
              <w:t>51</w:t>
            </w: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8"/>
        </w:trPr>
        <w:tc>
          <w:tcPr>
            <w:tcW w:w="20" w:type="dxa"/>
            <w:vAlign w:val="bottom"/>
            <w:shd w:val="clear" w:color="auto" w:fill="CFF0FC"/>
          </w:tcPr>
          <w:p>
            <w:pPr>
              <w:spacing w:after="0"/>
              <w:rPr>
                <w:sz w:val="16"/>
                <w:szCs w:val="16"/>
                <w:color w:val="auto"/>
              </w:rPr>
            </w:pPr>
          </w:p>
        </w:tc>
        <w:tc>
          <w:tcPr>
            <w:tcW w:w="1460" w:type="dxa"/>
            <w:vAlign w:val="bottom"/>
            <w:gridSpan w:val="8"/>
            <w:shd w:val="clear" w:color="auto" w:fill="CFF0FC"/>
          </w:tcPr>
          <w:p>
            <w:pPr>
              <w:spacing w:after="0" w:line="189" w:lineRule="exact"/>
              <w:rPr>
                <w:sz w:val="20"/>
                <w:szCs w:val="20"/>
                <w:color w:val="auto"/>
              </w:rPr>
            </w:pPr>
            <w:r>
              <w:rPr>
                <w:rFonts w:ascii="Arial" w:cs="Arial" w:eastAsia="Arial" w:hAnsi="Arial"/>
                <w:sz w:val="18"/>
                <w:szCs w:val="18"/>
                <w:color w:val="0000FF"/>
              </w:rPr>
              <w:t>Item 9</w:t>
            </w:r>
          </w:p>
        </w:tc>
        <w:tc>
          <w:tcPr>
            <w:tcW w:w="8720" w:type="dxa"/>
            <w:vAlign w:val="bottom"/>
            <w:gridSpan w:val="23"/>
            <w:shd w:val="clear" w:color="auto" w:fill="CFF0FC"/>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0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98</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30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76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6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9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1460" w:type="dxa"/>
            <w:vAlign w:val="bottom"/>
            <w:gridSpan w:val="8"/>
          </w:tcPr>
          <w:p>
            <w:pPr>
              <w:spacing w:after="0" w:line="189" w:lineRule="exact"/>
              <w:rPr>
                <w:sz w:val="20"/>
                <w:szCs w:val="20"/>
                <w:color w:val="auto"/>
              </w:rPr>
            </w:pPr>
            <w:r>
              <w:rPr>
                <w:rFonts w:ascii="Arial" w:cs="Arial" w:eastAsia="Arial" w:hAnsi="Arial"/>
                <w:sz w:val="18"/>
                <w:szCs w:val="18"/>
                <w:color w:val="0000FF"/>
              </w:rPr>
              <w:t>Item 9A</w:t>
            </w:r>
          </w:p>
        </w:tc>
        <w:tc>
          <w:tcPr>
            <w:tcW w:w="8720" w:type="dxa"/>
            <w:vAlign w:val="bottom"/>
            <w:gridSpan w:val="23"/>
          </w:tcPr>
          <w:p>
            <w:pPr>
              <w:spacing w:after="0" w:line="189" w:lineRule="exact"/>
              <w:rPr>
                <w:sz w:val="20"/>
                <w:szCs w:val="20"/>
                <w:color w:val="auto"/>
              </w:rPr>
            </w:pPr>
            <w:r>
              <w:rPr>
                <w:rFonts w:ascii="Arial" w:cs="Arial" w:eastAsia="Arial" w:hAnsi="Arial"/>
                <w:sz w:val="18"/>
                <w:szCs w:val="18"/>
                <w:color w:val="0000FF"/>
              </w:rPr>
              <w:t>Controls and Procedures</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98</w:t>
            </w: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8"/>
        </w:trPr>
        <w:tc>
          <w:tcPr>
            <w:tcW w:w="20" w:type="dxa"/>
            <w:vAlign w:val="bottom"/>
            <w:shd w:val="clear" w:color="auto" w:fill="CFF0FC"/>
          </w:tcPr>
          <w:p>
            <w:pPr>
              <w:spacing w:after="0"/>
              <w:rPr>
                <w:sz w:val="16"/>
                <w:szCs w:val="16"/>
                <w:color w:val="auto"/>
              </w:rPr>
            </w:pPr>
          </w:p>
        </w:tc>
        <w:tc>
          <w:tcPr>
            <w:tcW w:w="1460" w:type="dxa"/>
            <w:vAlign w:val="bottom"/>
            <w:gridSpan w:val="8"/>
            <w:shd w:val="clear" w:color="auto" w:fill="CFF0FC"/>
          </w:tcPr>
          <w:p>
            <w:pPr>
              <w:spacing w:after="0" w:line="189" w:lineRule="exact"/>
              <w:rPr>
                <w:sz w:val="20"/>
                <w:szCs w:val="20"/>
                <w:color w:val="auto"/>
              </w:rPr>
            </w:pPr>
            <w:r>
              <w:rPr>
                <w:rFonts w:ascii="Arial" w:cs="Arial" w:eastAsia="Arial" w:hAnsi="Arial"/>
                <w:sz w:val="18"/>
                <w:szCs w:val="18"/>
                <w:color w:val="0000FF"/>
              </w:rPr>
              <w:t>Item 9B</w:t>
            </w:r>
          </w:p>
        </w:tc>
        <w:tc>
          <w:tcPr>
            <w:tcW w:w="8720" w:type="dxa"/>
            <w:vAlign w:val="bottom"/>
            <w:gridSpan w:val="23"/>
            <w:shd w:val="clear" w:color="auto" w:fill="CFF0FC"/>
          </w:tcPr>
          <w:p>
            <w:pPr>
              <w:spacing w:after="0" w:line="189" w:lineRule="exact"/>
              <w:rPr>
                <w:sz w:val="20"/>
                <w:szCs w:val="20"/>
                <w:color w:val="auto"/>
              </w:rPr>
            </w:pPr>
            <w:r>
              <w:rPr>
                <w:rFonts w:ascii="Arial" w:cs="Arial" w:eastAsia="Arial" w:hAnsi="Arial"/>
                <w:sz w:val="18"/>
                <w:szCs w:val="18"/>
                <w:color w:val="0000FF"/>
              </w:rPr>
              <w:t>Other Information</w:t>
            </w:r>
          </w:p>
        </w:tc>
        <w:tc>
          <w:tcPr>
            <w:tcW w:w="10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99</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1460" w:type="dxa"/>
            <w:vAlign w:val="bottom"/>
            <w:gridSpan w:val="8"/>
          </w:tcPr>
          <w:p>
            <w:pPr>
              <w:spacing w:after="0" w:line="189" w:lineRule="exact"/>
              <w:rPr>
                <w:sz w:val="20"/>
                <w:szCs w:val="20"/>
                <w:color w:val="auto"/>
              </w:rPr>
            </w:pPr>
            <w:r>
              <w:rPr>
                <w:rFonts w:ascii="Arial" w:cs="Arial" w:eastAsia="Arial" w:hAnsi="Arial"/>
                <w:sz w:val="18"/>
                <w:szCs w:val="18"/>
                <w:color w:val="0000FF"/>
              </w:rPr>
              <w:t>Item 9C</w:t>
            </w:r>
          </w:p>
        </w:tc>
        <w:tc>
          <w:tcPr>
            <w:tcW w:w="8720" w:type="dxa"/>
            <w:vAlign w:val="bottom"/>
            <w:gridSpan w:val="23"/>
          </w:tcPr>
          <w:p>
            <w:pPr>
              <w:spacing w:after="0" w:line="189" w:lineRule="exact"/>
              <w:rPr>
                <w:sz w:val="20"/>
                <w:szCs w:val="20"/>
                <w:color w:val="auto"/>
              </w:rPr>
            </w:pPr>
            <w:r>
              <w:rPr>
                <w:rFonts w:ascii="Arial" w:cs="Arial" w:eastAsia="Arial" w:hAnsi="Arial"/>
                <w:sz w:val="18"/>
                <w:szCs w:val="18"/>
                <w:color w:val="0000FF"/>
              </w:rPr>
              <w:t>Disclosures Regarding Foreign Jurisdictions that Prevent Inspections</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99</w:t>
            </w: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2"/>
        </w:trPr>
        <w:tc>
          <w:tcPr>
            <w:tcW w:w="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188"/>
        </w:trPr>
        <w:tc>
          <w:tcPr>
            <w:tcW w:w="1480" w:type="dxa"/>
            <w:vAlign w:val="bottom"/>
            <w:gridSpan w:val="9"/>
          </w:tcPr>
          <w:p>
            <w:pPr>
              <w:ind w:left="20"/>
              <w:spacing w:after="0" w:line="189" w:lineRule="exact"/>
              <w:rPr>
                <w:sz w:val="20"/>
                <w:szCs w:val="20"/>
                <w:color w:val="auto"/>
              </w:rPr>
            </w:pPr>
            <w:r>
              <w:rPr>
                <w:rFonts w:ascii="Arial" w:cs="Arial" w:eastAsia="Arial" w:hAnsi="Arial"/>
                <w:sz w:val="18"/>
                <w:szCs w:val="18"/>
                <w:color w:val="0000FF"/>
              </w:rPr>
              <w:t>PART III</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2"/>
        </w:trPr>
        <w:tc>
          <w:tcPr>
            <w:tcW w:w="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color w:val="0000FF"/>
                <w:w w:val="89"/>
              </w:rPr>
              <w:t>Item 10</w:t>
            </w:r>
          </w:p>
        </w:tc>
        <w:tc>
          <w:tcPr>
            <w:tcW w:w="900" w:type="dxa"/>
            <w:vAlign w:val="bottom"/>
            <w:gridSpan w:val="5"/>
            <w:shd w:val="clear" w:color="auto" w:fill="CFF0FC"/>
          </w:tcPr>
          <w:p>
            <w:pPr>
              <w:spacing w:after="0"/>
              <w:rPr>
                <w:sz w:val="19"/>
                <w:szCs w:val="19"/>
                <w:color w:val="auto"/>
              </w:rPr>
            </w:pPr>
          </w:p>
        </w:tc>
        <w:tc>
          <w:tcPr>
            <w:tcW w:w="8720" w:type="dxa"/>
            <w:vAlign w:val="bottom"/>
            <w:gridSpan w:val="23"/>
            <w:shd w:val="clear" w:color="auto" w:fill="CFF0FC"/>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10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3"/>
              </w:rPr>
              <w:t>100</w:t>
            </w:r>
          </w:p>
        </w:tc>
      </w:tr>
      <w:tr>
        <w:trPr>
          <w:trHeight w:val="188"/>
        </w:trPr>
        <w:tc>
          <w:tcPr>
            <w:tcW w:w="20" w:type="dxa"/>
            <w:vAlign w:val="bottom"/>
            <w:tcBorders>
              <w:top w:val="single" w:sz="8" w:color="CFF0FC"/>
            </w:tcBorders>
          </w:tcPr>
          <w:p>
            <w:pPr>
              <w:spacing w:after="0"/>
              <w:rPr>
                <w:sz w:val="16"/>
                <w:szCs w:val="16"/>
                <w:color w:val="auto"/>
              </w:rPr>
            </w:pPr>
          </w:p>
        </w:tc>
        <w:tc>
          <w:tcPr>
            <w:tcW w:w="560" w:type="dxa"/>
            <w:vAlign w:val="bottom"/>
            <w:tcBorders>
              <w:top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89"/>
              </w:rPr>
              <w:t>Item 11</w:t>
            </w:r>
          </w:p>
        </w:tc>
        <w:tc>
          <w:tcPr>
            <w:tcW w:w="900" w:type="dxa"/>
            <w:vAlign w:val="bottom"/>
            <w:tcBorders>
              <w:top w:val="single" w:sz="8" w:color="CFF0FC"/>
            </w:tcBorders>
            <w:gridSpan w:val="5"/>
          </w:tcPr>
          <w:p>
            <w:pPr>
              <w:spacing w:after="0"/>
              <w:rPr>
                <w:sz w:val="16"/>
                <w:szCs w:val="16"/>
                <w:color w:val="auto"/>
              </w:rPr>
            </w:pPr>
          </w:p>
        </w:tc>
        <w:tc>
          <w:tcPr>
            <w:tcW w:w="4080" w:type="dxa"/>
            <w:vAlign w:val="bottom"/>
            <w:tcBorders>
              <w:top w:val="single" w:sz="8" w:color="0000FF"/>
            </w:tcBorders>
            <w:gridSpan w:val="15"/>
          </w:tcPr>
          <w:p>
            <w:pPr>
              <w:spacing w:after="0" w:line="189" w:lineRule="exact"/>
              <w:rPr>
                <w:sz w:val="20"/>
                <w:szCs w:val="20"/>
                <w:color w:val="auto"/>
              </w:rPr>
            </w:pPr>
            <w:r>
              <w:rPr>
                <w:rFonts w:ascii="Arial" w:cs="Arial" w:eastAsia="Arial" w:hAnsi="Arial"/>
                <w:sz w:val="18"/>
                <w:szCs w:val="18"/>
                <w:color w:val="0000FF"/>
              </w:rPr>
              <w:t>Executive Compensation</w:t>
            </w:r>
          </w:p>
        </w:tc>
        <w:tc>
          <w:tcPr>
            <w:tcW w:w="4640" w:type="dxa"/>
            <w:vAlign w:val="bottom"/>
            <w:tcBorders>
              <w:top w:val="single" w:sz="8" w:color="CFF0FC"/>
            </w:tcBorders>
            <w:gridSpan w:val="8"/>
          </w:tcPr>
          <w:p>
            <w:pPr>
              <w:spacing w:after="0"/>
              <w:rPr>
                <w:sz w:val="16"/>
                <w:szCs w:val="16"/>
                <w:color w:val="auto"/>
              </w:rPr>
            </w:pPr>
          </w:p>
        </w:tc>
        <w:tc>
          <w:tcPr>
            <w:tcW w:w="1040" w:type="dxa"/>
            <w:vAlign w:val="bottom"/>
            <w:tcBorders>
              <w:top w:val="single" w:sz="8" w:color="CFF0FC"/>
            </w:tcBorders>
          </w:tcPr>
          <w:p>
            <w:pPr>
              <w:jc w:val="center"/>
              <w:spacing w:after="0" w:line="189" w:lineRule="exact"/>
              <w:rPr>
                <w:sz w:val="20"/>
                <w:szCs w:val="20"/>
                <w:color w:val="auto"/>
              </w:rPr>
            </w:pPr>
            <w:r>
              <w:rPr>
                <w:rFonts w:ascii="Arial" w:cs="Arial" w:eastAsia="Arial" w:hAnsi="Arial"/>
                <w:sz w:val="18"/>
                <w:szCs w:val="18"/>
                <w:color w:val="auto"/>
                <w:w w:val="93"/>
              </w:rPr>
              <w:t>100</w:t>
            </w: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2"/>
        </w:trPr>
        <w:tc>
          <w:tcPr>
            <w:tcW w:w="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0000FF"/>
            </w:tcBorders>
            <w:gridSpan w:val="3"/>
            <w:shd w:val="clear" w:color="auto" w:fill="CFF0FC"/>
          </w:tcPr>
          <w:p>
            <w:pPr>
              <w:spacing w:after="0" w:line="189" w:lineRule="exact"/>
              <w:rPr>
                <w:sz w:val="20"/>
                <w:szCs w:val="20"/>
                <w:color w:val="auto"/>
              </w:rPr>
            </w:pPr>
            <w:r>
              <w:rPr>
                <w:rFonts w:ascii="Arial" w:cs="Arial" w:eastAsia="Arial" w:hAnsi="Arial"/>
                <w:sz w:val="18"/>
                <w:szCs w:val="18"/>
                <w:color w:val="0000FF"/>
                <w:w w:val="89"/>
              </w:rPr>
              <w:t>Item 12</w:t>
            </w:r>
          </w:p>
        </w:tc>
        <w:tc>
          <w:tcPr>
            <w:tcW w:w="900" w:type="dxa"/>
            <w:vAlign w:val="bottom"/>
            <w:tcBorders>
              <w:bottom w:val="single" w:sz="8" w:color="CFF0FC"/>
            </w:tcBorders>
            <w:gridSpan w:val="5"/>
            <w:shd w:val="clear" w:color="auto" w:fill="CFF0FC"/>
          </w:tcPr>
          <w:p>
            <w:pPr>
              <w:spacing w:after="0"/>
              <w:rPr>
                <w:sz w:val="19"/>
                <w:szCs w:val="19"/>
                <w:color w:val="auto"/>
              </w:rPr>
            </w:pPr>
          </w:p>
        </w:tc>
        <w:tc>
          <w:tcPr>
            <w:tcW w:w="7280" w:type="dxa"/>
            <w:vAlign w:val="bottom"/>
            <w:tcBorders>
              <w:bottom w:val="single" w:sz="8" w:color="0000FF"/>
            </w:tcBorders>
            <w:gridSpan w:val="21"/>
            <w:shd w:val="clear" w:color="auto" w:fill="CFF0FC"/>
          </w:tcPr>
          <w:p>
            <w:pPr>
              <w:spacing w:after="0" w:line="189" w:lineRule="exact"/>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1440" w:type="dxa"/>
            <w:vAlign w:val="bottom"/>
            <w:tcBorders>
              <w:bottom w:val="single" w:sz="8" w:color="CFF0FC"/>
            </w:tcBorders>
            <w:gridSpan w:val="2"/>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93"/>
              </w:rPr>
              <w:t>101</w:t>
            </w:r>
          </w:p>
        </w:tc>
      </w:tr>
      <w:tr>
        <w:trPr>
          <w:trHeight w:val="188"/>
        </w:trPr>
        <w:tc>
          <w:tcPr>
            <w:tcW w:w="1480" w:type="dxa"/>
            <w:vAlign w:val="bottom"/>
            <w:gridSpan w:val="9"/>
          </w:tcPr>
          <w:p>
            <w:pPr>
              <w:ind w:left="20"/>
              <w:spacing w:after="0" w:line="189" w:lineRule="exact"/>
              <w:rPr>
                <w:sz w:val="20"/>
                <w:szCs w:val="20"/>
                <w:color w:val="auto"/>
              </w:rPr>
            </w:pPr>
            <w:r>
              <w:rPr>
                <w:rFonts w:ascii="Arial" w:cs="Arial" w:eastAsia="Arial" w:hAnsi="Arial"/>
                <w:sz w:val="18"/>
                <w:szCs w:val="18"/>
                <w:color w:val="0000FF"/>
              </w:rPr>
              <w:t>Item 13</w:t>
            </w:r>
          </w:p>
        </w:tc>
        <w:tc>
          <w:tcPr>
            <w:tcW w:w="8720" w:type="dxa"/>
            <w:vAlign w:val="bottom"/>
            <w:gridSpan w:val="23"/>
          </w:tcPr>
          <w:p>
            <w:pPr>
              <w:spacing w:after="0" w:line="189"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3"/>
              </w:rPr>
              <w:t>101</w:t>
            </w: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2"/>
        </w:trPr>
        <w:tc>
          <w:tcPr>
            <w:tcW w:w="1480" w:type="dxa"/>
            <w:vAlign w:val="bottom"/>
            <w:gridSpan w:val="9"/>
            <w:shd w:val="clear" w:color="auto" w:fill="CFF0FC"/>
          </w:tcPr>
          <w:p>
            <w:pPr>
              <w:ind w:left="20"/>
              <w:spacing w:after="0" w:line="189" w:lineRule="exact"/>
              <w:rPr>
                <w:sz w:val="20"/>
                <w:szCs w:val="20"/>
                <w:color w:val="auto"/>
              </w:rPr>
            </w:pPr>
            <w:r>
              <w:rPr>
                <w:rFonts w:ascii="Arial" w:cs="Arial" w:eastAsia="Arial" w:hAnsi="Arial"/>
                <w:sz w:val="18"/>
                <w:szCs w:val="18"/>
                <w:color w:val="0000FF"/>
              </w:rPr>
              <w:t>Item 14</w:t>
            </w:r>
          </w:p>
        </w:tc>
        <w:tc>
          <w:tcPr>
            <w:tcW w:w="8720" w:type="dxa"/>
            <w:vAlign w:val="bottom"/>
            <w:gridSpan w:val="23"/>
            <w:shd w:val="clear" w:color="auto" w:fill="CFF0FC"/>
          </w:tcPr>
          <w:p>
            <w:pPr>
              <w:spacing w:after="0" w:line="189" w:lineRule="exact"/>
              <w:rPr>
                <w:sz w:val="20"/>
                <w:szCs w:val="20"/>
                <w:color w:val="auto"/>
              </w:rPr>
            </w:pPr>
            <w:r>
              <w:rPr>
                <w:rFonts w:ascii="Arial" w:cs="Arial" w:eastAsia="Arial" w:hAnsi="Arial"/>
                <w:sz w:val="18"/>
                <w:szCs w:val="18"/>
                <w:color w:val="0000FF"/>
              </w:rPr>
              <w:t>Principal Accounting Fees and Services</w:t>
            </w:r>
          </w:p>
        </w:tc>
        <w:tc>
          <w:tcPr>
            <w:tcW w:w="10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3"/>
              </w:rPr>
              <w:t>101</w:t>
            </w:r>
          </w:p>
        </w:tc>
      </w:tr>
      <w:tr>
        <w:trPr>
          <w:trHeight w:val="242"/>
        </w:trPr>
        <w:tc>
          <w:tcPr>
            <w:tcW w:w="20" w:type="dxa"/>
            <w:vAlign w:val="bottom"/>
            <w:tcBorders>
              <w:top w:val="single" w:sz="8" w:color="CFF0FC"/>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440" w:type="dxa"/>
            <w:vAlign w:val="bottom"/>
            <w:tcBorders>
              <w:top w:val="single" w:sz="8" w:color="CFF0FC"/>
            </w:tcBorders>
          </w:tcPr>
          <w:p>
            <w:pPr>
              <w:spacing w:after="0"/>
              <w:rPr>
                <w:sz w:val="21"/>
                <w:szCs w:val="21"/>
                <w:color w:val="auto"/>
              </w:rPr>
            </w:pPr>
          </w:p>
        </w:tc>
        <w:tc>
          <w:tcPr>
            <w:tcW w:w="360" w:type="dxa"/>
            <w:vAlign w:val="bottom"/>
            <w:tcBorders>
              <w:top w:val="single" w:sz="8" w:color="CFF0FC"/>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760" w:type="dxa"/>
            <w:vAlign w:val="bottom"/>
            <w:tcBorders>
              <w:top w:val="single" w:sz="8" w:color="CFF0FC"/>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620" w:type="dxa"/>
            <w:vAlign w:val="bottom"/>
            <w:tcBorders>
              <w:top w:val="single" w:sz="8" w:color="CFF0FC"/>
            </w:tcBorders>
          </w:tcPr>
          <w:p>
            <w:pPr>
              <w:spacing w:after="0"/>
              <w:rPr>
                <w:sz w:val="21"/>
                <w:szCs w:val="21"/>
                <w:color w:val="auto"/>
              </w:rPr>
            </w:pPr>
          </w:p>
        </w:tc>
        <w:tc>
          <w:tcPr>
            <w:tcW w:w="480" w:type="dxa"/>
            <w:vAlign w:val="bottom"/>
            <w:tcBorders>
              <w:top w:val="single" w:sz="8" w:color="CFF0FC"/>
            </w:tcBorders>
          </w:tcPr>
          <w:p>
            <w:pPr>
              <w:spacing w:after="0"/>
              <w:rPr>
                <w:sz w:val="21"/>
                <w:szCs w:val="21"/>
                <w:color w:val="auto"/>
              </w:rPr>
            </w:pPr>
          </w:p>
        </w:tc>
        <w:tc>
          <w:tcPr>
            <w:tcW w:w="980" w:type="dxa"/>
            <w:vAlign w:val="bottom"/>
            <w:tcBorders>
              <w:top w:val="single" w:sz="8" w:color="CFF0FC"/>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820" w:type="dxa"/>
            <w:vAlign w:val="bottom"/>
            <w:tcBorders>
              <w:top w:val="single" w:sz="8" w:color="CFF0FC"/>
            </w:tcBorders>
          </w:tcPr>
          <w:p>
            <w:pPr>
              <w:spacing w:after="0"/>
              <w:rPr>
                <w:sz w:val="21"/>
                <w:szCs w:val="21"/>
                <w:color w:val="auto"/>
              </w:rPr>
            </w:pPr>
          </w:p>
        </w:tc>
        <w:tc>
          <w:tcPr>
            <w:tcW w:w="760" w:type="dxa"/>
            <w:vAlign w:val="bottom"/>
            <w:tcBorders>
              <w:top w:val="single" w:sz="8" w:color="CFF0FC"/>
            </w:tcBorders>
          </w:tcPr>
          <w:p>
            <w:pPr>
              <w:spacing w:after="0"/>
              <w:rPr>
                <w:sz w:val="21"/>
                <w:szCs w:val="21"/>
                <w:color w:val="auto"/>
              </w:rPr>
            </w:pPr>
          </w:p>
        </w:tc>
        <w:tc>
          <w:tcPr>
            <w:tcW w:w="680" w:type="dxa"/>
            <w:vAlign w:val="bottom"/>
            <w:tcBorders>
              <w:top w:val="single" w:sz="8" w:color="CFF0FC"/>
            </w:tcBorders>
          </w:tcPr>
          <w:p>
            <w:pPr>
              <w:spacing w:after="0"/>
              <w:rPr>
                <w:sz w:val="21"/>
                <w:szCs w:val="21"/>
                <w:color w:val="auto"/>
              </w:rPr>
            </w:pPr>
          </w:p>
        </w:tc>
        <w:tc>
          <w:tcPr>
            <w:tcW w:w="1040" w:type="dxa"/>
            <w:vAlign w:val="bottom"/>
            <w:tcBorders>
              <w:top w:val="single" w:sz="8" w:color="CFF0FC"/>
            </w:tcBorders>
          </w:tcPr>
          <w:p>
            <w:pPr>
              <w:spacing w:after="0"/>
              <w:rPr>
                <w:sz w:val="21"/>
                <w:szCs w:val="21"/>
                <w:color w:val="auto"/>
              </w:rPr>
            </w:pPr>
          </w:p>
        </w:tc>
      </w:tr>
      <w:tr>
        <w:trPr>
          <w:trHeight w:val="222"/>
        </w:trPr>
        <w:tc>
          <w:tcPr>
            <w:tcW w:w="20" w:type="dxa"/>
            <w:vAlign w:val="bottom"/>
            <w:shd w:val="clear" w:color="auto" w:fill="CFF0FC"/>
          </w:tcPr>
          <w:p>
            <w:pPr>
              <w:spacing w:after="0"/>
              <w:rPr>
                <w:sz w:val="19"/>
                <w:szCs w:val="19"/>
                <w:color w:val="auto"/>
              </w:rPr>
            </w:pPr>
          </w:p>
        </w:tc>
        <w:tc>
          <w:tcPr>
            <w:tcW w:w="1460" w:type="dxa"/>
            <w:vAlign w:val="bottom"/>
            <w:gridSpan w:val="8"/>
            <w:shd w:val="clear" w:color="auto" w:fill="CFF0FC"/>
          </w:tcPr>
          <w:p>
            <w:pPr>
              <w:spacing w:after="0" w:line="189" w:lineRule="exact"/>
              <w:rPr>
                <w:sz w:val="20"/>
                <w:szCs w:val="20"/>
                <w:color w:val="auto"/>
              </w:rPr>
            </w:pPr>
            <w:r>
              <w:rPr>
                <w:rFonts w:ascii="Arial" w:cs="Arial" w:eastAsia="Arial" w:hAnsi="Arial"/>
                <w:sz w:val="18"/>
                <w:szCs w:val="18"/>
                <w:color w:val="0000FF"/>
              </w:rPr>
              <w:t>PART IV</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188"/>
        </w:trPr>
        <w:tc>
          <w:tcPr>
            <w:tcW w:w="20" w:type="dxa"/>
            <w:vAlign w:val="bottom"/>
            <w:tcBorders>
              <w:top w:val="single" w:sz="8" w:color="CFF0FC"/>
            </w:tcBorders>
          </w:tcPr>
          <w:p>
            <w:pPr>
              <w:spacing w:after="0"/>
              <w:rPr>
                <w:sz w:val="16"/>
                <w:szCs w:val="16"/>
                <w:color w:val="auto"/>
              </w:rPr>
            </w:pPr>
          </w:p>
        </w:tc>
        <w:tc>
          <w:tcPr>
            <w:tcW w:w="660" w:type="dxa"/>
            <w:vAlign w:val="bottom"/>
            <w:tcBorders>
              <w:top w:val="single" w:sz="8" w:color="0000FF"/>
            </w:tcBorders>
            <w:gridSpan w:val="6"/>
          </w:tcPr>
          <w:p>
            <w:pPr>
              <w:spacing w:after="0" w:line="189" w:lineRule="exact"/>
              <w:rPr>
                <w:sz w:val="20"/>
                <w:szCs w:val="20"/>
                <w:color w:val="auto"/>
              </w:rPr>
            </w:pPr>
            <w:r>
              <w:rPr>
                <w:rFonts w:ascii="Arial" w:cs="Arial" w:eastAsia="Arial" w:hAnsi="Arial"/>
                <w:sz w:val="18"/>
                <w:szCs w:val="18"/>
                <w:color w:val="0000FF"/>
              </w:rPr>
              <w:t>Item 15</w:t>
            </w:r>
          </w:p>
        </w:tc>
        <w:tc>
          <w:tcPr>
            <w:tcW w:w="800" w:type="dxa"/>
            <w:vAlign w:val="bottom"/>
            <w:tcBorders>
              <w:top w:val="single" w:sz="8" w:color="CFF0FC"/>
            </w:tcBorders>
            <w:gridSpan w:val="2"/>
          </w:tcPr>
          <w:p>
            <w:pPr>
              <w:spacing w:after="0"/>
              <w:rPr>
                <w:sz w:val="16"/>
                <w:szCs w:val="16"/>
                <w:color w:val="auto"/>
              </w:rPr>
            </w:pPr>
          </w:p>
        </w:tc>
        <w:tc>
          <w:tcPr>
            <w:tcW w:w="8720" w:type="dxa"/>
            <w:vAlign w:val="bottom"/>
            <w:tcBorders>
              <w:top w:val="single" w:sz="8" w:color="CFF0FC"/>
            </w:tcBorders>
            <w:gridSpan w:val="23"/>
          </w:tcPr>
          <w:p>
            <w:pPr>
              <w:spacing w:after="0" w:line="189" w:lineRule="exact"/>
              <w:rPr>
                <w:sz w:val="20"/>
                <w:szCs w:val="20"/>
                <w:color w:val="auto"/>
              </w:rPr>
            </w:pPr>
            <w:r>
              <w:rPr>
                <w:rFonts w:ascii="Arial" w:cs="Arial" w:eastAsia="Arial" w:hAnsi="Arial"/>
                <w:sz w:val="18"/>
                <w:szCs w:val="18"/>
                <w:color w:val="0000FF"/>
              </w:rPr>
              <w:t>Exhibits and Financial Statement Schedules</w:t>
            </w:r>
          </w:p>
        </w:tc>
        <w:tc>
          <w:tcPr>
            <w:tcW w:w="1040" w:type="dxa"/>
            <w:vAlign w:val="bottom"/>
            <w:tcBorders>
              <w:top w:val="single" w:sz="8" w:color="CFF0FC"/>
            </w:tcBorders>
          </w:tcPr>
          <w:p>
            <w:pPr>
              <w:jc w:val="center"/>
              <w:spacing w:after="0" w:line="189" w:lineRule="exact"/>
              <w:rPr>
                <w:sz w:val="20"/>
                <w:szCs w:val="20"/>
                <w:color w:val="auto"/>
              </w:rPr>
            </w:pPr>
            <w:r>
              <w:rPr>
                <w:rFonts w:ascii="Arial" w:cs="Arial" w:eastAsia="Arial" w:hAnsi="Arial"/>
                <w:sz w:val="18"/>
                <w:szCs w:val="18"/>
                <w:color w:val="auto"/>
                <w:w w:val="93"/>
              </w:rPr>
              <w:t>102</w:t>
            </w: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2"/>
        </w:trPr>
        <w:tc>
          <w:tcPr>
            <w:tcW w:w="1480" w:type="dxa"/>
            <w:vAlign w:val="bottom"/>
            <w:gridSpan w:val="9"/>
            <w:shd w:val="clear" w:color="auto" w:fill="CFF0FC"/>
          </w:tcPr>
          <w:p>
            <w:pPr>
              <w:ind w:left="20"/>
              <w:spacing w:after="0" w:line="189" w:lineRule="exact"/>
              <w:rPr>
                <w:sz w:val="20"/>
                <w:szCs w:val="20"/>
                <w:color w:val="auto"/>
              </w:rPr>
            </w:pPr>
            <w:r>
              <w:rPr>
                <w:rFonts w:ascii="Arial" w:cs="Arial" w:eastAsia="Arial" w:hAnsi="Arial"/>
                <w:sz w:val="18"/>
                <w:szCs w:val="18"/>
                <w:color w:val="0000FF"/>
              </w:rPr>
              <w:t>Item 16</w:t>
            </w:r>
          </w:p>
        </w:tc>
        <w:tc>
          <w:tcPr>
            <w:tcW w:w="8720" w:type="dxa"/>
            <w:vAlign w:val="bottom"/>
            <w:gridSpan w:val="23"/>
            <w:shd w:val="clear" w:color="auto" w:fill="CFF0FC"/>
          </w:tcPr>
          <w:p>
            <w:pPr>
              <w:spacing w:after="0" w:line="189" w:lineRule="exact"/>
              <w:rPr>
                <w:sz w:val="20"/>
                <w:szCs w:val="20"/>
                <w:color w:val="auto"/>
              </w:rPr>
            </w:pPr>
            <w:r>
              <w:rPr>
                <w:rFonts w:ascii="Arial" w:cs="Arial" w:eastAsia="Arial" w:hAnsi="Arial"/>
                <w:sz w:val="18"/>
                <w:szCs w:val="18"/>
                <w:color w:val="0000FF"/>
              </w:rPr>
              <w:t>Form 10-K Summary</w:t>
            </w:r>
          </w:p>
        </w:tc>
        <w:tc>
          <w:tcPr>
            <w:tcW w:w="10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3"/>
              </w:rPr>
              <w:t>105</w:t>
            </w:r>
          </w:p>
        </w:tc>
      </w:tr>
      <w:tr>
        <w:trPr>
          <w:trHeight w:val="242"/>
        </w:trPr>
        <w:tc>
          <w:tcPr>
            <w:tcW w:w="20" w:type="dxa"/>
            <w:vAlign w:val="bottom"/>
            <w:tcBorders>
              <w:top w:val="single" w:sz="8" w:color="CFF0FC"/>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440" w:type="dxa"/>
            <w:vAlign w:val="bottom"/>
            <w:tcBorders>
              <w:top w:val="single" w:sz="8" w:color="CFF0FC"/>
            </w:tcBorders>
          </w:tcPr>
          <w:p>
            <w:pPr>
              <w:spacing w:after="0"/>
              <w:rPr>
                <w:sz w:val="21"/>
                <w:szCs w:val="21"/>
                <w:color w:val="auto"/>
              </w:rPr>
            </w:pPr>
          </w:p>
        </w:tc>
        <w:tc>
          <w:tcPr>
            <w:tcW w:w="360" w:type="dxa"/>
            <w:vAlign w:val="bottom"/>
            <w:tcBorders>
              <w:top w:val="single" w:sz="8" w:color="CFF0FC"/>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780" w:type="dxa"/>
            <w:vAlign w:val="bottom"/>
            <w:tcBorders>
              <w:top w:val="single" w:sz="8" w:color="CFF0FC"/>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30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760" w:type="dxa"/>
            <w:vAlign w:val="bottom"/>
            <w:tcBorders>
              <w:top w:val="single" w:sz="8" w:color="CFF0FC"/>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620" w:type="dxa"/>
            <w:vAlign w:val="bottom"/>
            <w:tcBorders>
              <w:top w:val="single" w:sz="8" w:color="CFF0FC"/>
            </w:tcBorders>
          </w:tcPr>
          <w:p>
            <w:pPr>
              <w:spacing w:after="0"/>
              <w:rPr>
                <w:sz w:val="21"/>
                <w:szCs w:val="21"/>
                <w:color w:val="auto"/>
              </w:rPr>
            </w:pPr>
          </w:p>
        </w:tc>
        <w:tc>
          <w:tcPr>
            <w:tcW w:w="480" w:type="dxa"/>
            <w:vAlign w:val="bottom"/>
            <w:tcBorders>
              <w:top w:val="single" w:sz="8" w:color="CFF0FC"/>
            </w:tcBorders>
          </w:tcPr>
          <w:p>
            <w:pPr>
              <w:spacing w:after="0"/>
              <w:rPr>
                <w:sz w:val="21"/>
                <w:szCs w:val="21"/>
                <w:color w:val="auto"/>
              </w:rPr>
            </w:pPr>
          </w:p>
        </w:tc>
        <w:tc>
          <w:tcPr>
            <w:tcW w:w="980" w:type="dxa"/>
            <w:vAlign w:val="bottom"/>
            <w:tcBorders>
              <w:top w:val="single" w:sz="8" w:color="CFF0FC"/>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820" w:type="dxa"/>
            <w:vAlign w:val="bottom"/>
            <w:tcBorders>
              <w:top w:val="single" w:sz="8" w:color="CFF0FC"/>
            </w:tcBorders>
          </w:tcPr>
          <w:p>
            <w:pPr>
              <w:spacing w:after="0"/>
              <w:rPr>
                <w:sz w:val="21"/>
                <w:szCs w:val="21"/>
                <w:color w:val="auto"/>
              </w:rPr>
            </w:pPr>
          </w:p>
        </w:tc>
        <w:tc>
          <w:tcPr>
            <w:tcW w:w="760" w:type="dxa"/>
            <w:vAlign w:val="bottom"/>
            <w:tcBorders>
              <w:top w:val="single" w:sz="8" w:color="CFF0FC"/>
            </w:tcBorders>
          </w:tcPr>
          <w:p>
            <w:pPr>
              <w:spacing w:after="0"/>
              <w:rPr>
                <w:sz w:val="21"/>
                <w:szCs w:val="21"/>
                <w:color w:val="auto"/>
              </w:rPr>
            </w:pPr>
          </w:p>
        </w:tc>
        <w:tc>
          <w:tcPr>
            <w:tcW w:w="680" w:type="dxa"/>
            <w:vAlign w:val="bottom"/>
            <w:tcBorders>
              <w:top w:val="single" w:sz="8" w:color="CFF0FC"/>
            </w:tcBorders>
          </w:tcPr>
          <w:p>
            <w:pPr>
              <w:spacing w:after="0"/>
              <w:rPr>
                <w:sz w:val="21"/>
                <w:szCs w:val="21"/>
                <w:color w:val="auto"/>
              </w:rPr>
            </w:pPr>
          </w:p>
        </w:tc>
        <w:tc>
          <w:tcPr>
            <w:tcW w:w="1040" w:type="dxa"/>
            <w:vAlign w:val="bottom"/>
            <w:tcBorders>
              <w:top w:val="single" w:sz="8" w:color="CFF0FC"/>
            </w:tcBorders>
          </w:tcPr>
          <w:p>
            <w:pPr>
              <w:spacing w:after="0"/>
              <w:rPr>
                <w:sz w:val="21"/>
                <w:szCs w:val="21"/>
                <w:color w:val="auto"/>
              </w:rPr>
            </w:pPr>
          </w:p>
        </w:tc>
      </w:tr>
      <w:tr>
        <w:trPr>
          <w:trHeight w:val="222"/>
        </w:trPr>
        <w:tc>
          <w:tcPr>
            <w:tcW w:w="1480" w:type="dxa"/>
            <w:vAlign w:val="bottom"/>
            <w:gridSpan w:val="9"/>
            <w:shd w:val="clear" w:color="auto" w:fill="CFF0FC"/>
          </w:tcPr>
          <w:p>
            <w:pPr>
              <w:ind w:left="20"/>
              <w:spacing w:after="0" w:line="189" w:lineRule="exact"/>
              <w:rPr>
                <w:sz w:val="20"/>
                <w:szCs w:val="20"/>
                <w:color w:val="auto"/>
              </w:rPr>
            </w:pPr>
            <w:r>
              <w:rPr>
                <w:rFonts w:ascii="Arial" w:cs="Arial" w:eastAsia="Arial" w:hAnsi="Arial"/>
                <w:sz w:val="18"/>
                <w:szCs w:val="18"/>
                <w:color w:val="0000FF"/>
              </w:rPr>
              <w:t>SIGNATURES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3"/>
              </w:rPr>
              <w:t>106</w:t>
            </w:r>
          </w:p>
        </w:tc>
      </w:tr>
      <w:tr>
        <w:trPr>
          <w:trHeight w:val="1110"/>
        </w:trPr>
        <w:tc>
          <w:tcPr>
            <w:tcW w:w="20" w:type="dxa"/>
            <w:vAlign w:val="bottom"/>
            <w:tcBorders>
              <w:top w:val="single" w:sz="8" w:color="CFF0FC"/>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CFF0FC"/>
              <w:bottom w:val="single" w:sz="8" w:color="9A9A9A"/>
            </w:tcBorders>
          </w:tcPr>
          <w:p>
            <w:pPr>
              <w:spacing w:after="0"/>
              <w:rPr>
                <w:sz w:val="24"/>
                <w:szCs w:val="24"/>
                <w:color w:val="auto"/>
              </w:rPr>
            </w:pPr>
          </w:p>
        </w:tc>
        <w:tc>
          <w:tcPr>
            <w:tcW w:w="64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42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78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76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620" w:type="dxa"/>
            <w:vAlign w:val="bottom"/>
            <w:tcBorders>
              <w:top w:val="single" w:sz="8" w:color="CFF0FC"/>
              <w:bottom w:val="single" w:sz="8" w:color="9A9A9A"/>
            </w:tcBorders>
          </w:tcPr>
          <w:p>
            <w:pPr>
              <w:spacing w:after="0"/>
              <w:rPr>
                <w:sz w:val="24"/>
                <w:szCs w:val="24"/>
                <w:color w:val="auto"/>
              </w:rPr>
            </w:pPr>
          </w:p>
        </w:tc>
        <w:tc>
          <w:tcPr>
            <w:tcW w:w="480" w:type="dxa"/>
            <w:vAlign w:val="bottom"/>
            <w:tcBorders>
              <w:top w:val="single" w:sz="8" w:color="CFF0FC"/>
              <w:bottom w:val="single" w:sz="8" w:color="9A9A9A"/>
            </w:tcBorders>
          </w:tcPr>
          <w:p>
            <w:pPr>
              <w:spacing w:after="0"/>
              <w:rPr>
                <w:sz w:val="24"/>
                <w:szCs w:val="24"/>
                <w:color w:val="auto"/>
              </w:rPr>
            </w:pPr>
          </w:p>
        </w:tc>
        <w:tc>
          <w:tcPr>
            <w:tcW w:w="98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820" w:type="dxa"/>
            <w:vAlign w:val="bottom"/>
            <w:tcBorders>
              <w:top w:val="single" w:sz="8" w:color="CFF0FC"/>
              <w:bottom w:val="single" w:sz="8" w:color="9A9A9A"/>
            </w:tcBorders>
          </w:tcPr>
          <w:p>
            <w:pPr>
              <w:spacing w:after="0"/>
              <w:rPr>
                <w:sz w:val="24"/>
                <w:szCs w:val="24"/>
                <w:color w:val="auto"/>
              </w:rPr>
            </w:pPr>
          </w:p>
        </w:tc>
        <w:tc>
          <w:tcPr>
            <w:tcW w:w="760" w:type="dxa"/>
            <w:vAlign w:val="bottom"/>
            <w:tcBorders>
              <w:top w:val="single" w:sz="8" w:color="CFF0FC"/>
              <w:bottom w:val="single" w:sz="8" w:color="9A9A9A"/>
            </w:tcBorders>
          </w:tcPr>
          <w:p>
            <w:pPr>
              <w:spacing w:after="0"/>
              <w:rPr>
                <w:sz w:val="24"/>
                <w:szCs w:val="24"/>
                <w:color w:val="auto"/>
              </w:rPr>
            </w:pPr>
          </w:p>
        </w:tc>
        <w:tc>
          <w:tcPr>
            <w:tcW w:w="680" w:type="dxa"/>
            <w:vAlign w:val="bottom"/>
            <w:tcBorders>
              <w:top w:val="single" w:sz="8" w:color="CFF0FC"/>
              <w:bottom w:val="single" w:sz="8" w:color="9A9A9A"/>
            </w:tcBorders>
          </w:tcPr>
          <w:p>
            <w:pPr>
              <w:spacing w:after="0"/>
              <w:rPr>
                <w:sz w:val="24"/>
                <w:szCs w:val="24"/>
                <w:color w:val="auto"/>
              </w:rPr>
            </w:pPr>
          </w:p>
        </w:tc>
        <w:tc>
          <w:tcPr>
            <w:tcW w:w="104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p>
      <w:pPr>
        <w:ind w:left="5320"/>
        <w:spacing w:after="0"/>
        <w:rPr>
          <w:sz w:val="20"/>
          <w:szCs w:val="20"/>
          <w:color w:val="auto"/>
        </w:rPr>
      </w:pPr>
      <w:r>
        <w:rPr>
          <w:rFonts w:ascii="Arial" w:cs="Arial" w:eastAsia="Arial" w:hAnsi="Arial"/>
          <w:sz w:val="18"/>
          <w:szCs w:val="18"/>
          <w:b w:val="1"/>
          <w:bCs w:val="1"/>
          <w:u w:val="single" w:color="auto"/>
          <w:color w:val="auto"/>
        </w:rPr>
        <w:t>PART 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terms “we,” “our,” “us,” "ManpowerGroup," or “the Company” refer to ManpowerGroup Inc. and its consolidated subsidiaries.</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 and History</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ManpowerGroup Inc. is a global leader in innovative workforce solutions. Through our network of over 2,200 offices in approximately 75 countries and territories, we put millions of people to work each year with our global, multinational and local clients across all major industry segments. Our strong and connected brands provide solutions that drive organizations forward, accelerate individual success and help build more sustainable communities. We power the future of work.</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By offering a comprehensive range of workforce solutions and services, we help companies improve strategy, quality, and efficiency, increase productivity and reduce costs across their workforce to achieve their business goals. ManpowerGroup’s offerings of innovative workforce solutions and services includes:</w:t>
      </w:r>
    </w:p>
    <w:p>
      <w:pPr>
        <w:spacing w:after="0" w:line="139" w:lineRule="exact"/>
        <w:rPr>
          <w:sz w:val="20"/>
          <w:szCs w:val="20"/>
          <w:color w:val="auto"/>
        </w:rPr>
      </w:pPr>
    </w:p>
    <w:p>
      <w:pPr>
        <w:jc w:val="both"/>
        <w:ind w:left="420" w:hanging="204"/>
        <w:spacing w:after="0" w:line="313" w:lineRule="auto"/>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Recruitment and Assessment </w:t>
      </w:r>
      <w:r>
        <w:rPr>
          <w:rFonts w:ascii="Arial" w:cs="Arial" w:eastAsia="Arial" w:hAnsi="Arial"/>
          <w:sz w:val="16"/>
          <w:szCs w:val="16"/>
          <w:color w:val="auto"/>
        </w:rPr>
        <w:t>– By leveraging our trusted brands, industry knowledge and expertise, we identify the right talent in the right place to</w:t>
      </w:r>
      <w:r>
        <w:rPr>
          <w:rFonts w:ascii="Arial" w:cs="Arial" w:eastAsia="Arial" w:hAnsi="Arial"/>
          <w:sz w:val="16"/>
          <w:szCs w:val="16"/>
          <w:b w:val="1"/>
          <w:bCs w:val="1"/>
          <w:color w:val="auto"/>
        </w:rPr>
        <w:t xml:space="preserve"> </w:t>
      </w:r>
      <w:r>
        <w:rPr>
          <w:rFonts w:ascii="Arial" w:cs="Arial" w:eastAsia="Arial" w:hAnsi="Arial"/>
          <w:sz w:val="16"/>
          <w:szCs w:val="16"/>
          <w:color w:val="auto"/>
        </w:rPr>
        <w:t>help our clients quickly access the people and skills they need when they need them. Through our industry-leading and AI-enabled assessments, we help people and organizations understand their strengths and potential, resulting in better job matches, higher retention and a stronger workforce.</w:t>
      </w:r>
    </w:p>
    <w:p>
      <w:pPr>
        <w:spacing w:after="0" w:line="100" w:lineRule="exact"/>
        <w:rPr>
          <w:rFonts w:ascii="Arial" w:cs="Arial" w:eastAsia="Arial" w:hAnsi="Arial"/>
          <w:sz w:val="16"/>
          <w:szCs w:val="16"/>
          <w:color w:val="auto"/>
        </w:rPr>
      </w:pPr>
    </w:p>
    <w:p>
      <w:pPr>
        <w:jc w:val="both"/>
        <w:ind w:left="420" w:hanging="204"/>
        <w:spacing w:after="0" w:line="265"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Upskilling, Reskilling, Training and Development </w:t>
      </w:r>
      <w:r>
        <w:rPr>
          <w:rFonts w:ascii="Arial" w:cs="Arial" w:eastAsia="Arial" w:hAnsi="Arial"/>
          <w:sz w:val="18"/>
          <w:szCs w:val="18"/>
          <w:color w:val="auto"/>
        </w:rPr>
        <w:t>– Our global insights around evolving employer needs and our expertise in training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help us prepare candidates and associates to succeed in today’s competitive marketplace. We offer an extensive portfolio of training courses and leadership development solutions that help clients maximize talent and optimize performance.</w:t>
      </w:r>
    </w:p>
    <w:p>
      <w:pPr>
        <w:spacing w:after="0" w:line="148" w:lineRule="exact"/>
        <w:rPr>
          <w:rFonts w:ascii="Arial" w:cs="Arial" w:eastAsia="Arial" w:hAnsi="Arial"/>
          <w:sz w:val="18"/>
          <w:szCs w:val="18"/>
          <w:color w:val="auto"/>
        </w:rPr>
      </w:pPr>
    </w:p>
    <w:p>
      <w:pPr>
        <w:ind w:left="420" w:right="20" w:hanging="204"/>
        <w:spacing w:after="0" w:line="311" w:lineRule="auto"/>
        <w:tabs>
          <w:tab w:leader="none" w:pos="4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Career Management </w:t>
      </w:r>
      <w:r>
        <w:rPr>
          <w:rFonts w:ascii="Arial" w:cs="Arial" w:eastAsia="Arial" w:hAnsi="Arial"/>
          <w:sz w:val="17"/>
          <w:szCs w:val="17"/>
          <w:color w:val="auto"/>
        </w:rPr>
        <w:t>– We help individuals find meaningful work and manage their career journey through outplacement services and targeted skills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By helping individuals and organizations manage workforce transitions and career changes, we unleash human potential.</w:t>
      </w:r>
    </w:p>
    <w:p>
      <w:pPr>
        <w:spacing w:after="0" w:line="98" w:lineRule="exact"/>
        <w:rPr>
          <w:rFonts w:ascii="Arial" w:cs="Arial" w:eastAsia="Arial" w:hAnsi="Arial"/>
          <w:sz w:val="17"/>
          <w:szCs w:val="17"/>
          <w:color w:val="auto"/>
        </w:rPr>
      </w:pPr>
    </w:p>
    <w:p>
      <w:pPr>
        <w:ind w:left="420" w:hanging="204"/>
        <w:spacing w:after="0" w:line="280"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Outsourcing </w:t>
      </w:r>
      <w:r>
        <w:rPr>
          <w:rFonts w:ascii="Arial" w:cs="Arial" w:eastAsia="Arial" w:hAnsi="Arial"/>
          <w:sz w:val="18"/>
          <w:szCs w:val="18"/>
          <w:color w:val="auto"/>
        </w:rPr>
        <w:t>– We provide clients with outsourcing services related to human resources functions primarily in the areas of large-scale recruiting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workforce-intensive initiatives that are outcome-based, thereby sharing in the risk and reward with our clients.</w:t>
      </w:r>
    </w:p>
    <w:p>
      <w:pPr>
        <w:spacing w:after="0" w:line="122" w:lineRule="exact"/>
        <w:rPr>
          <w:rFonts w:ascii="Arial" w:cs="Arial" w:eastAsia="Arial" w:hAnsi="Arial"/>
          <w:sz w:val="18"/>
          <w:szCs w:val="18"/>
          <w:color w:val="auto"/>
        </w:rPr>
      </w:pPr>
    </w:p>
    <w:p>
      <w:pPr>
        <w:ind w:left="420" w:hanging="204"/>
        <w:spacing w:after="0" w:line="280"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Workforce Consulting </w:t>
      </w:r>
      <w:r>
        <w:rPr>
          <w:rFonts w:ascii="Arial" w:cs="Arial" w:eastAsia="Arial" w:hAnsi="Arial"/>
          <w:sz w:val="18"/>
          <w:szCs w:val="18"/>
          <w:color w:val="auto"/>
        </w:rPr>
        <w:t>– We help clients create and transform their workforce strategy to achieve their business strategy, increase business agility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flexibility, and accelerate individuals' and business success.</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expert family of global brands - Manpower, Experis and Talent Solutions - provide innovative workforce solutions across approximately 75 countries and territories for hundreds of thousands of organizations every year.</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Manpower </w:t>
      </w:r>
      <w:r>
        <w:rPr>
          <w:rFonts w:ascii="Arial" w:cs="Arial" w:eastAsia="Arial" w:hAnsi="Arial"/>
          <w:sz w:val="18"/>
          <w:szCs w:val="18"/>
          <w:color w:val="auto"/>
        </w:rPr>
        <w:t>is a global leader in contingent staffing and permanent recruitment, providing strategic and operational flexibility to organizations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connecting people to meaningful work while helping them develop skills to stay employable. With our data driven insight into people’s motivation, skills adjacencies, and performance potential, we provide learning programs, on the job training and market based certifications for rapid reskilling and upskilling at scale.</w:t>
      </w:r>
    </w:p>
    <w:p>
      <w:pPr>
        <w:spacing w:after="0" w:line="142" w:lineRule="exact"/>
        <w:rPr>
          <w:sz w:val="20"/>
          <w:szCs w:val="20"/>
          <w:color w:val="auto"/>
        </w:rPr>
      </w:pPr>
    </w:p>
    <w:p>
      <w:pPr>
        <w:jc w:val="both"/>
        <w:spacing w:after="0" w:line="313" w:lineRule="auto"/>
        <w:rPr>
          <w:sz w:val="20"/>
          <w:szCs w:val="20"/>
          <w:color w:val="auto"/>
        </w:rPr>
      </w:pPr>
      <w:r>
        <w:rPr>
          <w:rFonts w:ascii="Arial" w:cs="Arial" w:eastAsia="Arial" w:hAnsi="Arial"/>
          <w:sz w:val="16"/>
          <w:szCs w:val="16"/>
          <w:b w:val="1"/>
          <w:bCs w:val="1"/>
          <w:color w:val="auto"/>
        </w:rPr>
        <w:t xml:space="preserve">Experis </w:t>
      </w:r>
      <w:r>
        <w:rPr>
          <w:rFonts w:ascii="Arial" w:cs="Arial" w:eastAsia="Arial" w:hAnsi="Arial"/>
          <w:sz w:val="16"/>
          <w:szCs w:val="16"/>
          <w:color w:val="auto"/>
        </w:rPr>
        <w:t>is a global leader in information technology (IT) professional resourcing and project services specializing in Enterprise Applications,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Transformation, Cloud and Infrastructure, Digital Workspace and Cyber Security. As digital transformation and skills shortages continue in the technology field, Experis provides talent with the combination of in-demand technical skills together with the soft skills that are critical for business success.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b w:val="1"/>
          <w:bCs w:val="1"/>
          <w:color w:val="auto"/>
        </w:rPr>
        <w:t xml:space="preserve">Talent Solutions </w:t>
      </w:r>
      <w:r>
        <w:rPr>
          <w:rFonts w:ascii="Arial" w:cs="Arial" w:eastAsia="Arial" w:hAnsi="Arial"/>
          <w:sz w:val="18"/>
          <w:szCs w:val="18"/>
          <w:color w:val="auto"/>
        </w:rPr>
        <w:t>combines leading global offerings Recruitment Process Outsourcing (RPO), TAPFIN - Managed Service Provider (MSP) and Right</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provide data-driven capabilities that help organizations with their workforce transformation. Talent Solutions helps organizations more effectively source, manage and develop talent at scale. From talent attraction and acquisition to upskilling, development and retention, we leverage our integrated HR tech stack PowerSuite™ to deliver workforce solutions across multiple countries at scale.</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leadership position enables us to be a pathway to quality employment opportunities for people at all points in their career journey and we have connected people to meaningful work for more than 70 years. Governments and policy makers in the markets where we operate look to us to provide employment advice, opportunities and training to assist the unemployed in gaining the skills they need to enter the workforce, providing a bridge to employment and helping build more sustainable communities.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and our predecessors, have been in business since 1948 when we were incorporated as a Wisconsin corporation, and have had our shares listed on the New York Stock Exchange since 1967.</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website address is www.manpowergroup.com. The Investor Relations section (investor.manpowergroup.com) provides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website:</w:t>
      </w:r>
    </w:p>
    <w:p>
      <w:pPr>
        <w:spacing w:after="0" w:line="159" w:lineRule="exact"/>
        <w:rPr>
          <w:sz w:val="20"/>
          <w:szCs w:val="20"/>
          <w:color w:val="auto"/>
        </w:rPr>
      </w:pPr>
    </w:p>
    <w:p>
      <w:pPr>
        <w:ind w:left="420" w:hanging="204"/>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amended and restated articles of incorporation and amended and restated bylaws;</w:t>
      </w:r>
    </w:p>
    <w:p>
      <w:pPr>
        <w:spacing w:after="0" w:line="22" w:lineRule="exact"/>
        <w:rPr>
          <w:rFonts w:ascii="Arial" w:cs="Arial" w:eastAsia="Arial" w:hAnsi="Arial"/>
          <w:sz w:val="18"/>
          <w:szCs w:val="18"/>
          <w:color w:val="auto"/>
        </w:rPr>
      </w:pPr>
    </w:p>
    <w:p>
      <w:pPr>
        <w:ind w:left="420" w:hanging="204"/>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ManpowerGroup code of business conduct and ethics;</w:t>
      </w:r>
    </w:p>
    <w:p>
      <w:pPr>
        <w:spacing w:after="0" w:line="8" w:lineRule="exact"/>
        <w:rPr>
          <w:rFonts w:ascii="Arial" w:cs="Arial" w:eastAsia="Arial" w:hAnsi="Arial"/>
          <w:sz w:val="18"/>
          <w:szCs w:val="18"/>
          <w:color w:val="auto"/>
        </w:rPr>
      </w:pPr>
    </w:p>
    <w:p>
      <w:pPr>
        <w:ind w:left="420" w:hanging="204"/>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corporate governance guidelines;</w:t>
      </w:r>
    </w:p>
    <w:p>
      <w:pPr>
        <w:spacing w:after="0" w:line="8" w:lineRule="exact"/>
        <w:rPr>
          <w:rFonts w:ascii="Arial" w:cs="Arial" w:eastAsia="Arial" w:hAnsi="Arial"/>
          <w:sz w:val="18"/>
          <w:szCs w:val="18"/>
          <w:color w:val="auto"/>
        </w:rPr>
      </w:pPr>
    </w:p>
    <w:p>
      <w:pPr>
        <w:ind w:left="420" w:hanging="204"/>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anti-corruption policy;</w:t>
      </w:r>
    </w:p>
    <w:p>
      <w:pPr>
        <w:spacing w:after="0" w:line="8" w:lineRule="exact"/>
        <w:rPr>
          <w:rFonts w:ascii="Arial" w:cs="Arial" w:eastAsia="Arial" w:hAnsi="Arial"/>
          <w:sz w:val="18"/>
          <w:szCs w:val="18"/>
          <w:color w:val="auto"/>
        </w:rPr>
      </w:pPr>
    </w:p>
    <w:p>
      <w:pPr>
        <w:ind w:left="420" w:hanging="204"/>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charters of the Audit, People, Culture &amp; Compensation and Governance &amp; Sustainability Committees of the Board of Directors;</w:t>
      </w:r>
    </w:p>
    <w:p>
      <w:pPr>
        <w:spacing w:after="0" w:line="8" w:lineRule="exact"/>
        <w:rPr>
          <w:rFonts w:ascii="Arial" w:cs="Arial" w:eastAsia="Arial" w:hAnsi="Arial"/>
          <w:sz w:val="18"/>
          <w:szCs w:val="18"/>
          <w:color w:val="auto"/>
        </w:rPr>
      </w:pPr>
    </w:p>
    <w:p>
      <w:pPr>
        <w:ind w:left="420" w:hanging="204"/>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guidelines for selecting board candidates;</w:t>
      </w:r>
    </w:p>
    <w:p>
      <w:pPr>
        <w:spacing w:after="0" w:line="8" w:lineRule="exact"/>
        <w:rPr>
          <w:rFonts w:ascii="Arial" w:cs="Arial" w:eastAsia="Arial" w:hAnsi="Arial"/>
          <w:sz w:val="18"/>
          <w:szCs w:val="18"/>
          <w:color w:val="auto"/>
        </w:rPr>
      </w:pPr>
    </w:p>
    <w:p>
      <w:pPr>
        <w:ind w:left="420" w:hanging="204"/>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categorical standards for relationships deemed not to impair independence of non-employee directors;</w:t>
      </w:r>
    </w:p>
    <w:p>
      <w:pPr>
        <w:spacing w:after="0" w:line="8" w:lineRule="exact"/>
        <w:rPr>
          <w:rFonts w:ascii="Arial" w:cs="Arial" w:eastAsia="Arial" w:hAnsi="Arial"/>
          <w:sz w:val="18"/>
          <w:szCs w:val="18"/>
          <w:color w:val="auto"/>
        </w:rPr>
      </w:pPr>
    </w:p>
    <w:p>
      <w:pPr>
        <w:ind w:left="420" w:hanging="204"/>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independent auditors' services policy;</w:t>
      </w:r>
    </w:p>
    <w:p>
      <w:pPr>
        <w:spacing w:after="0" w:line="8" w:lineRule="exact"/>
        <w:rPr>
          <w:rFonts w:ascii="Arial" w:cs="Arial" w:eastAsia="Arial" w:hAnsi="Arial"/>
          <w:sz w:val="18"/>
          <w:szCs w:val="18"/>
          <w:color w:val="auto"/>
        </w:rPr>
      </w:pPr>
    </w:p>
    <w:p>
      <w:pPr>
        <w:ind w:left="420" w:hanging="204"/>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executive officer stock ownership guidelines;</w:t>
      </w:r>
    </w:p>
    <w:p>
      <w:pPr>
        <w:spacing w:after="0" w:line="8" w:lineRule="exact"/>
        <w:rPr>
          <w:rFonts w:ascii="Arial" w:cs="Arial" w:eastAsia="Arial" w:hAnsi="Arial"/>
          <w:sz w:val="18"/>
          <w:szCs w:val="18"/>
          <w:color w:val="auto"/>
        </w:rPr>
      </w:pPr>
    </w:p>
    <w:p>
      <w:pPr>
        <w:ind w:left="420" w:hanging="204"/>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outside director stock ownership guidelines; and</w:t>
      </w:r>
    </w:p>
    <w:p>
      <w:pPr>
        <w:spacing w:after="0" w:line="8" w:lineRule="exact"/>
        <w:rPr>
          <w:rFonts w:ascii="Arial" w:cs="Arial" w:eastAsia="Arial" w:hAnsi="Arial"/>
          <w:sz w:val="18"/>
          <w:szCs w:val="18"/>
          <w:color w:val="auto"/>
        </w:rPr>
      </w:pPr>
    </w:p>
    <w:p>
      <w:pPr>
        <w:ind w:left="420" w:hanging="204"/>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regular updates on ESG (environmental, social, governance).</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Documents available on the website are also available in print for any shareholder who requests them. Requests may be made by writing to Richard Buchband, Secretary, ManpowerGroup, 100 Manpower Place, Milwaukee, Wisconsin 53212. We are not including the information contained on or available through our website as a part of, or incorporating such information by reference into,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workforce solutions and staffing services while demand for our outplacement services typically declines. During periods of increasing demand, we are generally able to improve our profitability and operating leverage as our cost base can support some increase in business without a similar increase in selling and administrative expenses.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Correspondingly, during periods of weak economic growth or economic contraction, the demand for our staffing services typically declines, while demand for our outplacement services typically accelerates. When demand drops,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 the long-term potential of our branch network and brands.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4" w:name="page5"/>
    <w:bookmarkEnd w:id="4"/>
    <w:p>
      <w:pPr>
        <w:jc w:val="both"/>
        <w:spacing w:after="0" w:line="278" w:lineRule="auto"/>
        <w:rPr>
          <w:sz w:val="20"/>
          <w:szCs w:val="20"/>
          <w:color w:val="auto"/>
        </w:rPr>
      </w:pPr>
      <w:r>
        <w:rPr>
          <w:rFonts w:ascii="Arial" w:cs="Arial" w:eastAsia="Arial" w:hAnsi="Arial"/>
          <w:sz w:val="17"/>
          <w:szCs w:val="17"/>
          <w:color w:val="auto"/>
        </w:rPr>
        <w:t>The nature of our operations is such that our most significant current asset is accounts receivable, with a days sales outstanding of 56 days as December 31, 2022.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is outstanding for much longer, which may result in a decline in operating cash flows.</w:t>
      </w:r>
    </w:p>
    <w:p>
      <w:pPr>
        <w:spacing w:after="0" w:line="14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Conversely, as the demand for our services declines,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expected to be sustained in the event that an economic downturn continued for an extended period.</w:t>
      </w:r>
    </w:p>
    <w:p>
      <w:pPr>
        <w:spacing w:after="0" w:line="13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Due to our industry’s sensitivity to economic factors, the inherent difficulty in forecasting the direction and strength of the economy and the short-term nature of staffing assignments, it is difficult to forecast future demand for our services with certainty. As a result, we monitor a number of economic indicators, as well as recent business trends, to predict future revenue trends for each of the countries and territories where we operate. Based upon these anticipated trends, we determine what level of personnel and office investments are necessary to take full advantage of growth opportunities.</w:t>
      </w:r>
    </w:p>
    <w:p>
      <w:pPr>
        <w:spacing w:after="0" w:line="13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During the last several years, secular trends toward greater workforce flexibility have helped create demand for our innovative workforce solutions and services around the world. As companies attempt to increase the variability of their cost base, the workforce solutions we provide help them to effectively address the fluctuating demand for their products or services. As the global economy continues to grow and adapt with new technology, we are helping clients manage their workforce transformation and ensure they have the right skills now and in the future. Whether it is through workforce assessments, targeted training or by creating longer-term development paths, we help organizations and candidates adapt their skills to changing workforce needs.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portfolio of recruitment services includes permanent, temporary and contract recruitment of professionals, as well as administrative, industrial and IT professional positions. These services are provided under our Manpower and Experis brands. We have provided services under our core Manpower brand for more than 70 years with a primary focus on the areas of office and industrial services and solutions. Our Talent Based Outsourcing offering within our Manpower brand includes outcome-based solutions such as management of financial and administrative processes, including call center and customer service activities.</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provide IT resourcing and services under our Experis brand. Our experience and expertise allow us to accurately assess candidates’ workplace potential and technical skills to match them to the needs of our clients. We plan to continue to build our Experis brand and attract the talent our clients need as skills shortages arise or continue.</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Talent Solutions brand specializes in the delivery of customized workforce strategies and new solutions and creating added value that addresses our clients’ complex global workforce needs. Through our RPO offering, we manage customized, large-scale recruiting and workforce productivity initiatives for clients through exclusive outsourcing contracts. We can manage a single element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 functions. Our Right Management offering includes our career management services that have historically been counter-cyclical to our staffing services, which helps to offset the impact of an economic downturn on our overall financial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Americas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provide services as Manpower, Experis and Talent Solutions through both branch and franchise offices. The Americas segment had 445 branch and 138 franchise offices as of December 31, 2022. In the United States, where we realized 71% of the Americas’ revenue, we had 302 branch and 131 franchise offices as of December 31, 2022, as well as on-site locations at clients with significant permanent, temporary and contract recruitment requirements. In Other Americas, the largest operations of which include Mexico, Canada and Argentina, we had 143 branch offices and 7 franchise offices as of December 31, 2022. We provide a number of central support services to our branches and franchises, which enable us to maintain consistent service quality throughout the region regardless of whether an office is a branch or franchise.</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franchise agreements provide the franchisee with the right to use the Manpower® service mark in a specifically defined exclusive territory. In the United States, franchise fees generally range from 2% to 3% of franchisee sales. Our franchise agreements provide that in the event of a proposed sale of a franchise to a third party, we have the right to acquire the franchise at the same price and on the same terms as proposed by the third party. We have exercised this right in the past and may do so in the future if opportunities arise.</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Manpower and Experis operations provide a variety of workforce solutions and services, including permanent, temporary and contract recruitment, assessment and selection, and training. During 2022 in this segment, approximately 29% of permanent, temporary and contract recruitment revenues were derived from placing industrial staff, 17% from placing office staff, and 54% from placing professional and technical staff. For our United States operations in 2022, approximately 31% of the permanent, temporary and contract recruitment revenues were derived from placing industrial staff, 11% from placing office staff, and 58% from placing professional and technical staff.</w:t>
      </w:r>
    </w:p>
    <w:p>
      <w:pPr>
        <w:spacing w:after="0" w:line="161" w:lineRule="exact"/>
        <w:rPr>
          <w:sz w:val="20"/>
          <w:szCs w:val="20"/>
          <w:color w:val="auto"/>
        </w:rPr>
      </w:pPr>
    </w:p>
    <w:p>
      <w:pPr>
        <w:ind w:right="2000"/>
        <w:spacing w:after="0" w:line="452" w:lineRule="auto"/>
        <w:rPr>
          <w:sz w:val="20"/>
          <w:szCs w:val="20"/>
          <w:color w:val="auto"/>
        </w:rPr>
      </w:pPr>
      <w:r>
        <w:rPr>
          <w:rFonts w:ascii="Arial" w:cs="Arial" w:eastAsia="Arial" w:hAnsi="Arial"/>
          <w:sz w:val="18"/>
          <w:szCs w:val="18"/>
          <w:color w:val="auto"/>
        </w:rPr>
        <w:t xml:space="preserve">Our Talent Solutions operations provide a variety of workforce solutions offerings including RPO, MSP and Right Management. </w:t>
      </w:r>
      <w:r>
        <w:rPr>
          <w:rFonts w:ascii="Arial" w:cs="Arial" w:eastAsia="Arial" w:hAnsi="Arial"/>
          <w:sz w:val="18"/>
          <w:szCs w:val="18"/>
          <w:i w:val="1"/>
          <w:iCs w:val="1"/>
          <w:color w:val="auto"/>
        </w:rPr>
        <w:t>Southern Europe</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leading provider of permanent, temporary and contract recruitment, assessment and selection, training and outsourcing services throughout Europe. The Southern Europe segment had 1,148 branch offices as of December 31, 2022. Our largest operations in this segment are in France (56% of the segment revenue) and Italy (20% of the segment revenue).</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2022 for our Southern Europe operations, approximately 72% of permanent, temporary and contract recruitment revenues were derived from placing industrial staff, 14% from placing office staff, and 14% from placing professional and technical staff.</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 our operations in France as a leading workforce solutions and service provider through 606 branch offices as Manpower, Experis, including our Proservia brand, and Talent Solutions, and 166 branch offices under the name Supplay as of December 31, 2022. The employment services market in France calls for a wide range of our services including permanent, temporary and contract recruitment, assessment and selection, and training. The temporary recruitment market is predominantly focused on recruitment for industrial positions. In 2022, we derived approximately 84% of our permanent, temporary and contract recruitment revenues in France from placing industrial and construction workers, 15% from the placing of office staff, and 1% from the placing of professional and technical staff.</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Italy, we are a leading workforce solutions and services provider. As of December 31, 2022, ManpowerGroup Italy conducted operations through a network of 207 branch offices. It provides a comprehensive suite of workforce solutions and services offered through Manpower, Experis or Talent Solutions, including permanent, temporary and contract recruitment, assessment and selection, training and outsourcing. In 2022, approximately 66% of our permanent, temporary and contract recruitment revenues in Italy were derived from placing industrial staff, 5% from placing office staff, including contact center staff, and 29% from placing professional and technical staff.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Northern Europe</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Our largest operations in Northern Europe are in the United Kingdom, Germany, the Nordics and the Netherlands, providing a comprehensive suite of workforce solutions and services through Manpower, Experis, and Talent Solutions. Collectively, we operate through 332 branch offices in this region.</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2022 for our Northern Europe operations, approximately 38% of permanent, temporary and contract recruitment revenues were derived from placing industrial staff, 22% from placing office staff, and 40% from placing professional and technical staff.</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United Kingdom, where we have the largest operation in this segment, we are a leading provider of workforce solutions and services. As of December 31, 2022, we conducted operations in the United Kingdom as Manpower, Experis and Talent Solutions through a network of 59 branch offices and also provided on-site services to clients who have significant permanent, temporary and contract recruitment requirements. During 2022 for our United Kingdom operations, approximately 22% of permanent, temporary, and contract recruitment revenues were derived from placing industrial staff, 38% from the placing of office staff, and 40% from the placing of professional and technical staff. In the United Kingdom, we also conduct operations as Brook Street Bureau PLC, or Brook Street.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operate through 137 branch offices in the Asia Pacific Middle East (APME) region. The largest of these operations are located in Japan, Australia, India and Korea, all of which operate through branch offices. Our APME operations provide a variety of workforce solutions and services offered through Manpower, Experis and Talent Solutions, including permanent, temporary and contract recruitment, assessment and selection, training and outsourcing. During 2022, approximately 8% of our APME permanent, temporary and contract recruitment revenues were derived from placing industrial staff, 56% from placing office staff, and 36% from placing professional and technical staff.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compete in the employment services industry by offering a broad range of services, including permanent, temporary and contract recruitment, project-based workforce solutions, assessment and selection, training, career and talent management, managed service solutions, outsourcing, consulting and professional services.</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industry is large and fragmented, comprised of thousands of firms employing millions of people and generating billions of United States dollars in annual revenues. In most areas, no single company has a dominant share of the employment services market. In addition to us, the largest publicly owned companies specializing in recruitment services are The Adecco Group and Randstad. We also compete against a variety of regional or specialized companies such as Recruit Holdings, Allegis Group, Kelly Services, Robert Half, Kforce, PageGroup, Korn/Ferry International and Alexander Mann. It is a highly competitive industry, reflecting several trends in the global marketplace such as the increasing demand for skilled people, employers’ desire for more flexible working models and consolidation among clients and in the employment services industry itself. We manage these trends by leveraging established strengths, including several of the employment services industry’s most recognized and respected brands; geographic diversification; size and service scope; an innovative product mix; recruiting and assessment expertise; and a strong client base. While staffing is an important aspect of our business, our strategy is focused on providing both the skilled employees our clients need and higher-value workforce management, outsourcing and consulting solutions.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client mix consists of both small- and medium-size businesses, and large national and multinational client relationships, which comprised approximately 60% of our revenues in 2022. Client relationships with small- and medium-size businesses are based on a local or regional relationship, and tend to rely less on longer-term contracts, and the competitors for this business are primarily locally-owned businesses. The large national and multinational clients, on the other hand, will frequently enter into non-exclusive arrangements with several firms, with the ultimate choice among them being left to local managers.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a result, employment services firms with a large network of offices compete most effectively for this business which generally has agreed-upon pricing or mark-up on services performed.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Legal Regulations</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employment services industry is closely regulated in all of the major markets in which we operate, except the United States and Canada. Employment services firms are generally subject to one or more of the following types of government regulation:</w:t>
      </w:r>
    </w:p>
    <w:p>
      <w:pPr>
        <w:spacing w:after="0" w:line="131" w:lineRule="exact"/>
        <w:rPr>
          <w:sz w:val="20"/>
          <w:szCs w:val="20"/>
          <w:color w:val="auto"/>
        </w:rPr>
      </w:pPr>
    </w:p>
    <w:p>
      <w:pPr>
        <w:ind w:left="420" w:hanging="204"/>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 of the employer/employee relationship between the firm and its temporary and contract employees;</w:t>
      </w:r>
    </w:p>
    <w:p>
      <w:pPr>
        <w:spacing w:after="0" w:line="22" w:lineRule="exact"/>
        <w:rPr>
          <w:rFonts w:ascii="Arial" w:cs="Arial" w:eastAsia="Arial" w:hAnsi="Arial"/>
          <w:sz w:val="18"/>
          <w:szCs w:val="18"/>
          <w:color w:val="auto"/>
        </w:rPr>
      </w:pPr>
    </w:p>
    <w:p>
      <w:pPr>
        <w:ind w:left="420" w:hanging="204"/>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registration, licensing, record keeping and reporting requirements;</w:t>
      </w:r>
    </w:p>
    <w:p>
      <w:pPr>
        <w:spacing w:after="0" w:line="8" w:lineRule="exact"/>
        <w:rPr>
          <w:rFonts w:ascii="Arial" w:cs="Arial" w:eastAsia="Arial" w:hAnsi="Arial"/>
          <w:sz w:val="18"/>
          <w:szCs w:val="18"/>
          <w:color w:val="auto"/>
        </w:rPr>
      </w:pPr>
    </w:p>
    <w:p>
      <w:pPr>
        <w:ind w:left="420" w:hanging="204"/>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substantive limitations on the operations or the use of temporary and contract employees by clients; and</w:t>
      </w:r>
    </w:p>
    <w:p>
      <w:pPr>
        <w:spacing w:after="0" w:line="8" w:lineRule="exact"/>
        <w:rPr>
          <w:rFonts w:ascii="Arial" w:cs="Arial" w:eastAsia="Arial" w:hAnsi="Arial"/>
          <w:sz w:val="18"/>
          <w:szCs w:val="18"/>
          <w:color w:val="auto"/>
        </w:rPr>
      </w:pPr>
    </w:p>
    <w:p>
      <w:pPr>
        <w:ind w:left="420" w:hanging="204"/>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 that requires new or additional benefits and pay parity for our associates.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most countries, workforce solutions and services firms are considered the legal employers of temporary and contract workers. Therefore, laws regulating the employer/employee relationship, such as tax withholding or reporting, social security or retirement, health and other benefits, anti-discrimination and workers’ compensation, govern the firm.</w:t>
      </w:r>
    </w:p>
    <w:p>
      <w:pPr>
        <w:spacing w:after="0" w:line="14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United Kingdom and Canada do not presently have any form of national registration or licensing requirement.</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outplacement and consulting services generally are not subject to governmental regulation in the markets in which we operate.</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maintain a number of registered trademarks, trade names and service marks in the United States and various other countries and territories. We believe that many of these marks and trade names, including ManpowerGroup</w:t>
      </w:r>
      <w:r>
        <w:rPr>
          <w:rFonts w:ascii="Arial" w:cs="Arial" w:eastAsia="Arial" w:hAnsi="Arial"/>
          <w:sz w:val="23"/>
          <w:szCs w:val="23"/>
          <w:color w:val="auto"/>
          <w:vertAlign w:val="superscript"/>
        </w:rPr>
        <w:t>®</w:t>
      </w:r>
      <w:r>
        <w:rPr>
          <w:rFonts w:ascii="Arial" w:cs="Arial" w:eastAsia="Arial" w:hAnsi="Arial"/>
          <w:sz w:val="17"/>
          <w:szCs w:val="17"/>
          <w:color w:val="auto"/>
        </w:rPr>
        <w:t>, Manpower</w:t>
      </w:r>
      <w:r>
        <w:rPr>
          <w:rFonts w:ascii="Arial" w:cs="Arial" w:eastAsia="Arial" w:hAnsi="Arial"/>
          <w:sz w:val="23"/>
          <w:szCs w:val="23"/>
          <w:color w:val="auto"/>
          <w:vertAlign w:val="superscript"/>
        </w:rPr>
        <w:t>®</w:t>
      </w:r>
      <w:r>
        <w:rPr>
          <w:rFonts w:ascii="Arial" w:cs="Arial" w:eastAsia="Arial" w:hAnsi="Arial"/>
          <w:sz w:val="17"/>
          <w:szCs w:val="17"/>
          <w:color w:val="auto"/>
        </w:rPr>
        <w:t>, Experis</w:t>
      </w:r>
      <w:r>
        <w:rPr>
          <w:rFonts w:ascii="Arial" w:cs="Arial" w:eastAsia="Arial" w:hAnsi="Arial"/>
          <w:sz w:val="23"/>
          <w:szCs w:val="23"/>
          <w:color w:val="auto"/>
          <w:vertAlign w:val="superscript"/>
        </w:rPr>
        <w:t>®</w:t>
      </w:r>
      <w:r>
        <w:rPr>
          <w:rFonts w:ascii="Arial" w:cs="Arial" w:eastAsia="Arial" w:hAnsi="Arial"/>
          <w:sz w:val="17"/>
          <w:szCs w:val="17"/>
          <w:color w:val="auto"/>
        </w:rPr>
        <w:t>, Right Management</w:t>
      </w:r>
      <w:r>
        <w:rPr>
          <w:rFonts w:ascii="Arial" w:cs="Arial" w:eastAsia="Arial" w:hAnsi="Arial"/>
          <w:sz w:val="23"/>
          <w:szCs w:val="23"/>
          <w:color w:val="auto"/>
          <w:vertAlign w:val="superscript"/>
        </w:rPr>
        <w:t>®</w:t>
      </w:r>
      <w:r>
        <w:rPr>
          <w:rFonts w:ascii="Arial" w:cs="Arial" w:eastAsia="Arial" w:hAnsi="Arial"/>
          <w:sz w:val="17"/>
          <w:szCs w:val="17"/>
          <w:color w:val="auto"/>
        </w:rPr>
        <w:t>, Brook Street</w:t>
      </w:r>
      <w:r>
        <w:rPr>
          <w:rFonts w:ascii="Arial" w:cs="Arial" w:eastAsia="Arial" w:hAnsi="Arial"/>
          <w:sz w:val="23"/>
          <w:szCs w:val="23"/>
          <w:color w:val="auto"/>
          <w:vertAlign w:val="superscript"/>
        </w:rPr>
        <w:t>®</w:t>
      </w:r>
      <w:r>
        <w:rPr>
          <w:rFonts w:ascii="Arial" w:cs="Arial" w:eastAsia="Arial" w:hAnsi="Arial"/>
          <w:sz w:val="17"/>
          <w:szCs w:val="17"/>
          <w:color w:val="auto"/>
        </w:rPr>
        <w:t>, Jefferson Wells</w:t>
      </w:r>
      <w:r>
        <w:rPr>
          <w:rFonts w:ascii="Arial" w:cs="Arial" w:eastAsia="Arial" w:hAnsi="Arial"/>
          <w:sz w:val="23"/>
          <w:szCs w:val="23"/>
          <w:color w:val="auto"/>
          <w:vertAlign w:val="superscript"/>
        </w:rPr>
        <w:t>®</w:t>
      </w:r>
      <w:r>
        <w:rPr>
          <w:rFonts w:ascii="Arial" w:cs="Arial" w:eastAsia="Arial" w:hAnsi="Arial"/>
          <w:sz w:val="17"/>
          <w:szCs w:val="17"/>
          <w:color w:val="auto"/>
        </w:rPr>
        <w:t>, Supplay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MyPath</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Employees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had approximately 30,900 full-time equivalent employees as of December 31, 2022. In addition, we recruit millions of permanent, temporary and contract workers on a worldwide basis each year on behalf of our clients.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Human Capital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 Workforce Solutions and Human Capital Company.</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Human capital management is at the core of our business. Our purpose is to provide meaningful and sustainable employment and is rooted in our values: People, Knowledge and Innovation. Our 30,900 employees, spanning approximately 75 countries, help improve the lives of more than 500,000 workers daily by providing guidance, advice, assessments, coaching, upskilling, reskilling and pathways to long-term sustainable employment. These efforts support local economies by increasing employability and opportunity for the millions of lives that we reach each year. Through our ESG Plan, Working to Change the World, we work to address these challenges under our People &amp; Prosperity pillar, with a focus on how we can become Creators of Talent at Scale and continue delivering on our purpose.</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more than 70 years, we have developed global insights on the issues and trends impacting organizations and individuals in today’s fast changing world of work. Our own research and solutions, coupled with partnerships with clients and Non-Governmental Organizations (e.g. World Economic Forum, World Employment Confederation, Junior Achievement, World Business Council on Sustainable Development), are helping us advance the global discussion around current topics. These include the impact of digitization, shifting in-demand skills, exacerbating talent shortages, and the increased need for reskilling and upskilling. Our most recent annual Talent Shortage Survey reported that 75% of companies cannot find the skilled workers they need – the highest number in 16 years.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Seek to Create Talent at Scale</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Manpower MyPath program is designed to deliver targeted upskilling at speed and scale to our Manpower associates in order to accelerate their employability at higher wage levels, while also growing the pool of in-demand talent for our clients. Through this program, Manpower recruiters provide personalized and data-driven guidance, development, training, and access to jobs especially in growth sectors including advanced manufacturing, information technology, supply chain and customer service. MyPath has impacted over 200,000 lives through 2022, and MyPath associates now represent 38% of our associate talent pool, across nearly 13,000 clients and 15 markets.</w:t>
      </w:r>
    </w:p>
    <w:p>
      <w:pPr>
        <w:spacing w:after="0" w:line="16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We are also targeting the creation of IT talent through our Experis Academy. This accelerated development program features custom-designed curricula to upskill people into specialized roles that can meet the demand for cloud, infrastructure, business transformation and digital workforces skills. Paired with coaching and soft skills training, upon completion most Academy graduates receive a permanent job offer from our clients. Through the end of 2022, we have graduated more than 1,700 developers while also bridging the skills gaps for more than 160 tech companies across 14 countries.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We Are Focused on Championing DEIB (Diversity, Equity, Inclusion, Belonging), Strengthening Our Culture and Developing Our People</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Global Footprint</w:t>
      </w:r>
    </w:p>
    <w:p>
      <w:pPr>
        <w:spacing w:after="0" w:line="223" w:lineRule="exact"/>
        <w:rPr>
          <w:sz w:val="20"/>
          <w:szCs w:val="20"/>
          <w:color w:val="auto"/>
        </w:rPr>
      </w:pPr>
    </w:p>
    <w:p>
      <w:pPr>
        <w:jc w:val="both"/>
        <w:ind w:left="240"/>
        <w:spacing w:after="0" w:line="275" w:lineRule="auto"/>
        <w:rPr>
          <w:sz w:val="20"/>
          <w:szCs w:val="20"/>
          <w:color w:val="auto"/>
        </w:rPr>
      </w:pPr>
      <w:r>
        <w:rPr>
          <w:rFonts w:ascii="Arial" w:cs="Arial" w:eastAsia="Arial" w:hAnsi="Arial"/>
          <w:sz w:val="18"/>
          <w:szCs w:val="18"/>
          <w:color w:val="auto"/>
        </w:rPr>
        <w:t>We have a global footprint, though our teams are managed locally: 30% of our people are in the Americas, 31% in Southern Europe, 22% in Northern Europe and 17% in Asia Pacific/Middle East.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Championing DEIB</w:t>
      </w:r>
    </w:p>
    <w:p>
      <w:pPr>
        <w:spacing w:after="0" w:line="223" w:lineRule="exact"/>
        <w:rPr>
          <w:sz w:val="20"/>
          <w:szCs w:val="20"/>
          <w:color w:val="auto"/>
        </w:rPr>
      </w:pPr>
    </w:p>
    <w:p>
      <w:pPr>
        <w:jc w:val="both"/>
        <w:ind w:left="240"/>
        <w:spacing w:after="0" w:line="258" w:lineRule="auto"/>
        <w:rPr>
          <w:sz w:val="20"/>
          <w:szCs w:val="20"/>
          <w:color w:val="auto"/>
        </w:rPr>
      </w:pPr>
      <w:r>
        <w:rPr>
          <w:rFonts w:ascii="Arial" w:cs="Arial" w:eastAsia="Arial" w:hAnsi="Arial"/>
          <w:sz w:val="18"/>
          <w:szCs w:val="18"/>
          <w:color w:val="auto"/>
        </w:rPr>
        <w:t>We believe that all people deserve to feel safe, respected and able to thrive in the workplace. Our focus on DEIB encompasses four goals: (1) globally, support gender diversity at leadership levels; (2) locally, address a second dimension of diversity based on gaps or opportunities within a country; (3) culturally, foster an inclusive environment that supports our diverse workforce; and (4) societally, advance employment security for workers while promoting upskilling, well-being, flexibility and income opportunity.</w:t>
      </w:r>
    </w:p>
    <w:p>
      <w:pPr>
        <w:spacing w:after="0" w:line="200" w:lineRule="exact"/>
        <w:rPr>
          <w:sz w:val="20"/>
          <w:szCs w:val="20"/>
          <w:color w:val="auto"/>
        </w:rPr>
      </w:pPr>
    </w:p>
    <w:p>
      <w:pPr>
        <w:spacing w:after="0" w:line="201" w:lineRule="exact"/>
        <w:rPr>
          <w:sz w:val="20"/>
          <w:szCs w:val="20"/>
          <w:color w:val="auto"/>
        </w:rPr>
      </w:pPr>
    </w:p>
    <w:p>
      <w:pPr>
        <w:jc w:val="both"/>
        <w:ind w:left="240"/>
        <w:spacing w:after="0" w:line="262" w:lineRule="auto"/>
        <w:rPr>
          <w:sz w:val="20"/>
          <w:szCs w:val="20"/>
          <w:color w:val="auto"/>
        </w:rPr>
      </w:pPr>
      <w:r>
        <w:rPr>
          <w:rFonts w:ascii="Arial" w:cs="Arial" w:eastAsia="Arial" w:hAnsi="Arial"/>
          <w:sz w:val="18"/>
          <w:szCs w:val="18"/>
          <w:color w:val="auto"/>
        </w:rPr>
        <w:t>We believe that diversity starts at the top. Our Board of Directors has exceeded 30% gender diversity for more than 10 years, is 17% racially diverse and 42% non-US born. Our Executive Leadership Team, which reports directly to the CEO, is 27% women, 36% racially diverse and 72% non-US born. Our Global Leadership Team, the top 95 leaders in the company, is 33% women.</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gender parity goal is 50% at the global leadership level by 2025.</w:t>
      </w:r>
    </w:p>
    <w:p>
      <w:pPr>
        <w:spacing w:after="0" w:line="223" w:lineRule="exact"/>
        <w:rPr>
          <w:sz w:val="20"/>
          <w:szCs w:val="20"/>
          <w:color w:val="auto"/>
        </w:rPr>
      </w:pPr>
    </w:p>
    <w:p>
      <w:pPr>
        <w:jc w:val="both"/>
        <w:ind w:left="240"/>
        <w:spacing w:after="0" w:line="258" w:lineRule="auto"/>
        <w:rPr>
          <w:sz w:val="20"/>
          <w:szCs w:val="20"/>
          <w:color w:val="auto"/>
        </w:rPr>
      </w:pPr>
      <w:r>
        <w:rPr>
          <w:rFonts w:ascii="Arial" w:cs="Arial" w:eastAsia="Arial" w:hAnsi="Arial"/>
          <w:sz w:val="18"/>
          <w:szCs w:val="18"/>
          <w:color w:val="auto"/>
        </w:rPr>
        <w:t>Gender diversity is our primary DEIB goal across all markets; in addition, our 17 largest markets have also established secondary diversity targets. These have been developed to reflect socio-economic challenges, cultural references and data privacy requirements specific to each of these countries. Examples include: First Nations representation in Australia, people with disabilities in Japan, young people in Mexico, LGBTQ+ in the Netherlands, age diversity in Spain, and racial and ethnic diversity in the US.</w:t>
      </w:r>
    </w:p>
    <w:p>
      <w:pPr>
        <w:spacing w:after="0" w:line="186" w:lineRule="exact"/>
        <w:rPr>
          <w:sz w:val="20"/>
          <w:szCs w:val="20"/>
          <w:color w:val="auto"/>
        </w:rPr>
      </w:pPr>
    </w:p>
    <w:p>
      <w:pPr>
        <w:jc w:val="both"/>
        <w:ind w:left="240"/>
        <w:spacing w:after="0" w:line="262" w:lineRule="auto"/>
        <w:rPr>
          <w:sz w:val="20"/>
          <w:szCs w:val="20"/>
          <w:color w:val="auto"/>
        </w:rPr>
      </w:pPr>
      <w:r>
        <w:rPr>
          <w:rFonts w:ascii="Arial" w:cs="Arial" w:eastAsia="Arial" w:hAnsi="Arial"/>
          <w:sz w:val="18"/>
          <w:szCs w:val="18"/>
          <w:color w:val="auto"/>
        </w:rPr>
        <w:t>Championing DEIB in our workplaces also means that we prioritize people’s health and wellbeing and have committed to flexible work models across the globe to attract, engage and retain our people. In a number of markets, we have launched initiatives and trained our managers to promote greater awareness of mental wellbeing.</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Developing our People</w:t>
      </w:r>
    </w:p>
    <w:p>
      <w:pPr>
        <w:spacing w:after="0" w:line="223" w:lineRule="exact"/>
        <w:rPr>
          <w:sz w:val="20"/>
          <w:szCs w:val="20"/>
          <w:color w:val="auto"/>
        </w:rPr>
      </w:pPr>
    </w:p>
    <w:p>
      <w:pPr>
        <w:jc w:val="both"/>
        <w:ind w:left="240" w:right="20"/>
        <w:spacing w:after="0" w:line="275" w:lineRule="auto"/>
        <w:rPr>
          <w:sz w:val="20"/>
          <w:szCs w:val="20"/>
          <w:color w:val="auto"/>
        </w:rPr>
      </w:pPr>
      <w:r>
        <w:rPr>
          <w:rFonts w:ascii="Arial" w:cs="Arial" w:eastAsia="Arial" w:hAnsi="Arial"/>
          <w:sz w:val="18"/>
          <w:szCs w:val="18"/>
          <w:color w:val="auto"/>
        </w:rPr>
        <w:t>We believe our success in creating value for individuals and organizations around the world will depend on our ability to leverage the potential of our own people. We are investing in our people to support both our strategic ambitions and their personal goals.</w:t>
      </w:r>
    </w:p>
    <w:p>
      <w:pPr>
        <w:spacing w:after="0" w:line="171" w:lineRule="exact"/>
        <w:rPr>
          <w:sz w:val="20"/>
          <w:szCs w:val="20"/>
          <w:color w:val="auto"/>
        </w:rPr>
      </w:pPr>
    </w:p>
    <w:p>
      <w:pPr>
        <w:jc w:val="both"/>
        <w:ind w:left="240"/>
        <w:spacing w:after="0" w:line="275" w:lineRule="auto"/>
        <w:rPr>
          <w:sz w:val="20"/>
          <w:szCs w:val="20"/>
          <w:color w:val="auto"/>
        </w:rPr>
      </w:pPr>
      <w:r>
        <w:rPr>
          <w:rFonts w:ascii="Arial" w:cs="Arial" w:eastAsia="Arial" w:hAnsi="Arial"/>
          <w:sz w:val="18"/>
          <w:szCs w:val="18"/>
          <w:color w:val="auto"/>
        </w:rPr>
        <w:t>In 2022, we continued to broaden and deepen our investment through our Leadership Development Programs, incorporating the 3 E’s of our development philosophy: Education, Exposure and Experience.</w:t>
      </w:r>
    </w:p>
    <w:p>
      <w:pPr>
        <w:spacing w:after="0" w:line="171" w:lineRule="exact"/>
        <w:rPr>
          <w:sz w:val="20"/>
          <w:szCs w:val="20"/>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Future Leader Program (FLP) supports people in transition from individual contributor roles to first-time managers.</w:t>
      </w:r>
    </w:p>
    <w:p>
      <w:pPr>
        <w:spacing w:after="0" w:line="223"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Accelerated Leadership Program (XLP) advances leaders into more senior roles.</w:t>
      </w:r>
    </w:p>
    <w:p>
      <w:pPr>
        <w:spacing w:after="0" w:line="223"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Strategic Leadership Program (SLP) supports leaders who have the potential to attain the most senior roles.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completion of these programs, the majority of our people have made positive leadership career moves.</w:t>
      </w:r>
    </w:p>
    <w:p>
      <w:pPr>
        <w:spacing w:after="0" w:line="223" w:lineRule="exact"/>
        <w:rPr>
          <w:sz w:val="20"/>
          <w:szCs w:val="20"/>
          <w:color w:val="auto"/>
        </w:rPr>
      </w:pPr>
    </w:p>
    <w:p>
      <w:pPr>
        <w:ind w:left="240" w:right="20"/>
        <w:spacing w:after="0" w:line="275" w:lineRule="auto"/>
        <w:rPr>
          <w:sz w:val="20"/>
          <w:szCs w:val="20"/>
          <w:color w:val="auto"/>
        </w:rPr>
      </w:pPr>
      <w:r>
        <w:rPr>
          <w:rFonts w:ascii="Arial" w:cs="Arial" w:eastAsia="Arial" w:hAnsi="Arial"/>
          <w:sz w:val="18"/>
          <w:szCs w:val="18"/>
          <w:color w:val="auto"/>
        </w:rPr>
        <w:t>In 2022, we also increased our focus on learning through investment in the development of our Sales Academy, our Talent Agent program and our internal Experis Talent Academy while curating new online micro-courses for all employees.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Strengthening our Culture</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Listening to our people is key to supporting an inclusive and resilient culture. Through annual and regular pulse surveys we can understand employee sentiment around various items from the effectiveness of our people and culture strategy, to leadership, ethics and values and development opportunities. After launching our Culture Matters initiative in 2021, we continued our commitment to strengthening our employee engagement during 2022. Over the last two years, thousands of employees across 30 countries have completed more than 28,000 “sprints” and “drills”, experimenting with new cultural behaviors to begin building them into daily routines.</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believe these efforts have enhanced employee engagement, as reflected in our ManpowerGroup Annual People Survey (MAPS) results. This survey, which had an 81% response rate in 2022, gives voice to our employees worldwide to share opinions, feedback, and opportunities for improvement. We have analyzed the results to identify actions we can take to strengthen our culture at the global and local levels.</w:t>
      </w:r>
    </w:p>
    <w:p>
      <w:pPr>
        <w:spacing w:after="0" w:line="200" w:lineRule="exact"/>
        <w:rPr>
          <w:sz w:val="20"/>
          <w:szCs w:val="20"/>
          <w:color w:val="auto"/>
        </w:rPr>
      </w:pPr>
    </w:p>
    <w:p>
      <w:pPr>
        <w:spacing w:after="0" w:line="39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69850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00"/>
          </w:cols>
          <w:pgMar w:left="560" w:top="3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and Section 21E of the Exchange Act of 1934, as amended, (each a "forward-looking statement"). Statements made in this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This section provides you with cautionary statements identifying, for purposes of the safe harbor provisions of the Private Securities Litigation Reform Act of 1995, important factors that could materially adversely affect our business, operational and financial results and cash flows. In addition, these factors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 We caution that any forward-looking statement reflects only our belief at the time the statement is made. We undertake no obligation to update any forward-looking statements to reflect subsequent events or circumstances.</w:t>
      </w:r>
    </w:p>
    <w:p>
      <w:pPr>
        <w:spacing w:after="0" w:line="14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following are some of the factors that could materially adversely affect our business, operational and financial results and cash flows or cause actual results to differ materially from estimates contained in our forward-looking statements. Risks in this section are grouped in the following categories: (1) Company and Operational Risks; (2) Strategic Risks; (3) Financial and Market Risks; and (4) Regulatory and Legal Risks. Many risks affect more than one category, and the risks are not in order of significance or probability of occurrence because they have been grouped by categories.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u w:val="single" w:color="auto"/>
          <w:color w:val="auto"/>
        </w:rPr>
        <w:t>Company and Operational Risks</w:t>
      </w:r>
    </w:p>
    <w:p>
      <w:pPr>
        <w:spacing w:after="0" w:line="197" w:lineRule="exact"/>
        <w:rPr>
          <w:sz w:val="20"/>
          <w:szCs w:val="20"/>
          <w:color w:val="auto"/>
        </w:rPr>
      </w:pPr>
    </w:p>
    <w:p>
      <w:pPr>
        <w:ind w:left="600" w:hanging="218"/>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Volatile, negative or uncertain economic conditions;</w:t>
      </w:r>
    </w:p>
    <w:p>
      <w:pPr>
        <w:spacing w:after="0" w:line="22" w:lineRule="exact"/>
        <w:rPr>
          <w:rFonts w:ascii="Arial" w:cs="Arial" w:eastAsia="Arial" w:hAnsi="Arial"/>
          <w:sz w:val="18"/>
          <w:szCs w:val="18"/>
          <w:color w:val="auto"/>
        </w:rPr>
      </w:pPr>
    </w:p>
    <w:p>
      <w:pPr>
        <w:ind w:left="580" w:hanging="19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timely operate our business or respond to the needs of our clients;</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worldwide employment services industry limiting our ability to maintain or increase market share or profitability;</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Cyberattack or improper disclosure or loss of sensitive or confidential company, employee, associate or client data, including personal data;</w:t>
      </w:r>
    </w:p>
    <w:p>
      <w:pPr>
        <w:spacing w:after="0" w:line="19" w:lineRule="exact"/>
        <w:rPr>
          <w:rFonts w:ascii="Arial" w:cs="Arial" w:eastAsia="Arial" w:hAnsi="Arial"/>
          <w:sz w:val="17"/>
          <w:szCs w:val="17"/>
          <w:color w:val="auto"/>
        </w:rPr>
      </w:pPr>
    </w:p>
    <w:p>
      <w:pPr>
        <w:ind w:left="580" w:hanging="19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 increased costs and reputational risk from outsourcing various aspects of our business;</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loss or reduction in revenues from one or more large clients;</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labor markets limiting our ability to attract, train and retain the personnel necessary to meet our clients’ staffing needs;</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unrest, natural disasters, health crises, infrastructure disruptions and other risks beyond our control;</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preserve our reputation in the marketplace;</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client attitudes toward the use of our services or our industry; and</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ability to protect our thought leadership and other intellectual property.</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u w:val="single" w:color="auto"/>
          <w:color w:val="auto"/>
        </w:rPr>
        <w:t>Strategic Risks</w:t>
      </w:r>
    </w:p>
    <w:p>
      <w:pPr>
        <w:spacing w:after="0" w:line="183" w:lineRule="exact"/>
        <w:rPr>
          <w:sz w:val="20"/>
          <w:szCs w:val="20"/>
          <w:color w:val="auto"/>
        </w:rPr>
      </w:pPr>
    </w:p>
    <w:p>
      <w:pPr>
        <w:ind w:left="580" w:hanging="19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effectively implement our business strategy or achieve our objectives;</w:t>
      </w:r>
    </w:p>
    <w:p>
      <w:pPr>
        <w:spacing w:after="0" w:line="22" w:lineRule="exact"/>
        <w:rPr>
          <w:rFonts w:ascii="Arial" w:cs="Arial" w:eastAsia="Arial" w:hAnsi="Arial"/>
          <w:sz w:val="18"/>
          <w:szCs w:val="18"/>
          <w:color w:val="auto"/>
        </w:rPr>
      </w:pPr>
    </w:p>
    <w:p>
      <w:pPr>
        <w:ind w:left="580" w:hanging="198"/>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keep pace with technological change and marketplace demand in the development and implementation of our services and solutions;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2" w:name="page13"/>
    <w:bookmarkEnd w:id="12"/>
    <w:p>
      <w:pPr>
        <w:ind w:left="600" w:hanging="218"/>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ESG strategy exposes us to business risks;</w:t>
      </w:r>
    </w:p>
    <w:p>
      <w:pPr>
        <w:spacing w:after="0" w:line="22" w:lineRule="exact"/>
        <w:rPr>
          <w:rFonts w:ascii="Arial" w:cs="Arial" w:eastAsia="Arial" w:hAnsi="Arial"/>
          <w:sz w:val="18"/>
          <w:szCs w:val="18"/>
          <w:color w:val="auto"/>
        </w:rPr>
      </w:pPr>
    </w:p>
    <w:p>
      <w:pPr>
        <w:ind w:left="580" w:hanging="19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or disruptions resulting from acquisitions we complete; and</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dispositions we may undertake via sales, franchises, joint ventures or other exit activities.</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u w:val="single" w:color="auto"/>
          <w:color w:val="auto"/>
        </w:rPr>
        <w:t>Financial and Market Risks</w:t>
      </w:r>
    </w:p>
    <w:p>
      <w:pPr>
        <w:spacing w:after="0" w:line="183" w:lineRule="exact"/>
        <w:rPr>
          <w:sz w:val="20"/>
          <w:szCs w:val="20"/>
          <w:color w:val="auto"/>
        </w:rPr>
      </w:pPr>
    </w:p>
    <w:p>
      <w:pPr>
        <w:ind w:left="580" w:hanging="19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22" w:lineRule="exact"/>
        <w:rPr>
          <w:rFonts w:ascii="Arial" w:cs="Arial" w:eastAsia="Arial" w:hAnsi="Arial"/>
          <w:sz w:val="18"/>
          <w:szCs w:val="18"/>
          <w:color w:val="auto"/>
        </w:rPr>
      </w:pPr>
    </w:p>
    <w:p>
      <w:pPr>
        <w:ind w:left="580" w:hanging="19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meet our liquidity or working capital needs;</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maintain effective internal controls;</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Material adverse effects on our operating flexibility resulting from our debt levels;</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comply with restrictive covenants under our revolving credit facilities and other debt instruments;</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obtain credit on terms acceptable to us or at all;</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performance of our subsidiaries and their ability to distribute cash to our parent company, ManpowerGroup, may vary;</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secure guarantees or letters of credit on acceptable terms;</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legislation; and</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 of our stock price.</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u w:val="single" w:color="auto"/>
          <w:color w:val="auto"/>
        </w:rPr>
        <w:t>Regulatory and Legal Risks</w:t>
      </w:r>
    </w:p>
    <w:p>
      <w:pPr>
        <w:spacing w:after="0" w:line="197" w:lineRule="exact"/>
        <w:rPr>
          <w:sz w:val="20"/>
          <w:szCs w:val="20"/>
          <w:color w:val="auto"/>
        </w:rPr>
      </w:pPr>
    </w:p>
    <w:p>
      <w:pPr>
        <w:ind w:left="580" w:hanging="19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meeting contractual obligations if we or third parties fail to deliver on performance commitments;</w:t>
      </w:r>
    </w:p>
    <w:p>
      <w:pPr>
        <w:spacing w:after="0" w:line="22" w:lineRule="exact"/>
        <w:rPr>
          <w:rFonts w:ascii="Arial" w:cs="Arial" w:eastAsia="Arial" w:hAnsi="Arial"/>
          <w:sz w:val="18"/>
          <w:szCs w:val="18"/>
          <w:color w:val="auto"/>
        </w:rPr>
      </w:pPr>
    </w:p>
    <w:p>
      <w:pPr>
        <w:ind w:left="580" w:right="20" w:hanging="198"/>
        <w:spacing w:after="0" w:line="24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regulations in places we do business or the regulatory prohibition or restriction of employment services or the imposition of additional licensing or tax requirements;</w:t>
      </w:r>
    </w:p>
    <w:p>
      <w:pPr>
        <w:ind w:left="580" w:hanging="19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comply with anti-corruption and bribery laws;</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claims, including employment-related claims, from clients or third parties;</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Liability resulting from competition law;</w:t>
      </w:r>
    </w:p>
    <w:p>
      <w:pPr>
        <w:spacing w:after="0" w:line="8" w:lineRule="exact"/>
        <w:rPr>
          <w:rFonts w:ascii="Arial" w:cs="Arial" w:eastAsia="Arial" w:hAnsi="Arial"/>
          <w:sz w:val="18"/>
          <w:szCs w:val="18"/>
          <w:color w:val="auto"/>
        </w:rPr>
      </w:pPr>
    </w:p>
    <w:p>
      <w:pPr>
        <w:ind w:left="580" w:hanging="198"/>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Provisions under Wisconsin law and our articles of incorporation and bylaws could make the takeover of our Company more difficult; and</w:t>
      </w:r>
    </w:p>
    <w:p>
      <w:pPr>
        <w:spacing w:after="0" w:line="19" w:lineRule="exact"/>
        <w:rPr>
          <w:rFonts w:ascii="Arial" w:cs="Arial" w:eastAsia="Arial" w:hAnsi="Arial"/>
          <w:sz w:val="17"/>
          <w:szCs w:val="17"/>
          <w:color w:val="auto"/>
        </w:rPr>
      </w:pPr>
    </w:p>
    <w:p>
      <w:pPr>
        <w:ind w:left="580" w:hanging="19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factors that may be disclosed below or from time to time in our SEC filings or otherwise.</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operations or stock price.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u w:val="single" w:color="auto"/>
          <w:color w:val="auto"/>
        </w:rPr>
        <w:t>Company and Operational Risks</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Our results of operations have been and may in the future be materially adversely affected by volatile, negative, or uncertain economic conditions, including the risk of recession.</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is sensitive to changes in global macroeconomic conditions. We have at times experienced uncertainty and volatility in global economic conditions, including in rates of growth or decline in the markets we serve. Our operating countries and regions, which are increasingly interdependent, have experienced periods of volatile growth patterns or declines, and we expect that global conditions will continue to be characterized by instability and unpredictability. Such conditions have and may continue to cause our clients to reduce or defer their spending on new projects that require our solutions which could decrease demand for our various staffing services. For example, the future economic impact of COVID-19 continues to be uncertain and unpredictable and global economic conditions, as well as our business, could be affected by the emergence of new variants, the effectiveness of vaccines and treatments, and governmental or individual actions in response to new COVID-19 developments. If our business growth is slow, or if it contracts for an extended period of time, this could have a material adverse effect on our business and results of operations.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profitability is sensitive to decreases in demand. Based on current macroeconomic conditions, there is a significant risk that our most important markets will experience a recession, which would likely be accompanied by a decline in demand for our services. When demand drops or remains low, our operating profit is impacted unfavorably as we experience a deleveraging of our selling and administrative expense base as expenses do not decline as quickly as revenues. In periods of decline, we may not be able to reduce selling and administrative expenses without negatively impacting the long-term potential of our branch network and brands. Additionally, some clients may slow the rate at which they pay us, or become unable to pay their obligations and our cash flow and profitability may suffer.</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Economic conditions in the countries and territories where we do business may be affected by recent or emerging events, such as the rise of populism, political volatility, civil violence and unrest, election results or other changes in ruling parties or governmental leadership, trade disputes, protectionism or changes in global trade policies, the global refugee crisis, social justice movements, energy shortages or instability in the global energy market, COVID-19 and other global health crises, changes in immigration policy, the impact of supply chain challenges on our clients, changes in employment policy, rising interest rates, inflation, the impact of terrorist activity, or by other political or economic developments. In addition, there is a risk the current inflationary environment could have an impact on the countries and territories where we do business. We are particularly susceptible to changes in demand patterns and economic conditions in Europe, which represents two of our operating segments and 64% of our revenue.</w:t>
      </w:r>
    </w:p>
    <w:p>
      <w:pPr>
        <w:spacing w:after="0" w:line="3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is a risk that economic conditions in European markets may continue to be negatively impacted by geopolitical events which, in recent years, have included labor unrest, civil protest, heightened trade tensions, refugee crises and, since early 2022, the Russia-Ukraine war. Numerous countries have instituted sanctions and other penalties against Russia. The measures that have been taken, and could be taken in the future, by the U.S., European Union, and others could result in retaliatory action by the Russian government, leading to an escalation and/or expansion in the scope of this conflict. The consequences of this are difficult to predict but may result in further sanctions, regional or global instability, and geopolitical shifts, heightened cybersecurity threats, further disruptions in the global supply chain, volatility in foreign exchange rates, and inflationary pressures. In addition, the conflict may cause energy shortages, price increases, or other instability in the global energy market, particularly in Europe where our business may be especially vulnerable to these conditions. For example, during 2022 our operations in France had an outsized exposure to the Russia-Ukraine war due to the impact of supply chain constraints on demand for our services in certain sectors, primarily automotive and construction, and to a lesser degree, logistics. Any of these events or trends could have a material adverse effect on our business and operating results, particularly our European operations.</w:t>
      </w:r>
    </w:p>
    <w:p>
      <w:pPr>
        <w:spacing w:after="0" w:line="1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is a risk that even when overall global economic conditions are positive, we could experience declines in all, or in portions, of our business. During past periods of recovery, we have experienced inconsistent results, with some geographical regions, or countries within a region, suffering declines or weakness in economic activity while others improve. Differing economic conditions and patterns of economic growth or contraction may affect demand for our solutions and services, and there is a risk that, even during times of strengthening global economic conditions, we may not experience uniform, or any, increases in demand for our solutions and services within the markets where our business is concentrated.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14" w:name="page15"/>
    <w:bookmarkEnd w:id="14"/>
    <w:p>
      <w:pPr>
        <w:jc w:val="both"/>
        <w:spacing w:after="0" w:line="258" w:lineRule="auto"/>
        <w:rPr>
          <w:sz w:val="20"/>
          <w:szCs w:val="20"/>
          <w:color w:val="auto"/>
        </w:rPr>
      </w:pPr>
      <w:r>
        <w:rPr>
          <w:rFonts w:ascii="Arial" w:cs="Arial" w:eastAsia="Arial" w:hAnsi="Arial"/>
          <w:sz w:val="18"/>
          <w:szCs w:val="18"/>
          <w:color w:val="auto"/>
        </w:rPr>
        <w:t>Even without uncertainty and volatility, it is difficult for us to forecast future demand for our services due to the inherent difficulty in forecasting the direction and strength of economic cycles, and the short-term nature of many of our staffing assignments. When it is difficult for us to accurately forecast future demand, we may not be able to determine the optimal level of personnel and office investments necessary to profitably operate our business or take advantage of growth opportunities.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lack the speed, agility, and resiliency to effectively operate our business and respond to the needs of our clients.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is a risk we may not be able to respond with sufficient speed and agility to the needs of our diverse clients, which span all industries and whose needs may change rapidly as their businesses and industries evolve. The size and breadth of our organization, comprising approximately 30,900 employees based out of over 2,200 offices in approximately 75 countries and territories, may make it difficult for us to effectively manage our resources, to maintain our corporate culture throughout the organization, to drive service improvements and to provide coordinated solutions to our clients who require our services in multiple locations. For example, client demands for uniform service across borders may be difficult to satisfy because of variation in local laws and customs. We see a trend in more multi-country and enterprise-level relationships, and we may have difficulty in profitably managing and delivering projects involving multiple countries. Also, our size and organizational structure may make it difficult to develop and implement new processes and tools across the enterprise in a consistent manner. If we are not effective at anticipating or meeting the widely ranging needs of our current and prospective clients, or our competitors are more agile or effective at doing so, our business and financial results could be materially adversely affected.</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perform at speed, and to meet client expectations, may also be adversely affected by limitations in our own information systems and those of our third-party vendors. We are increasingly dependent on these systems, which are subject to damage or interruption from multiple causes, including power outages, facility damage, computer and telecommunications failures, vandalism, malware, hacking and other malicious acts, catastrophic events and human error. If our information systems are damaged, fail to work properly, or otherwise become unavailable, we may incur substantial costs to repair or replace them, and may experience reputational damage, loss of critical information, customer disruption, and interruptions or delays in our ability to perform essential functions and implement new and innovative services.</w:t>
      </w:r>
    </w:p>
    <w:p>
      <w:pPr>
        <w:spacing w:after="0" w:line="36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The worldwide employment services industry is highly competitive with limited barriers to entry in many markets, which could limit our ability to maintain or increase our market share or profitability.</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worldwide employment services industry is highly competitive with limited barriers to entry in many markets, and in recent years has undergone significant consolidation. We compete in markets throughout the world with full-service and specialized employment services agencies. Several of our global competitors, including The Adecco Group and Randstad,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materially adversely affect our financial results. This may worsen as clients increasingly take advantage of low-cost alternatives including using their own in-house resources rather than engaging a third party.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15" w:name="page16"/>
    <w:bookmarkEnd w:id="15"/>
    <w:p>
      <w:pPr>
        <w:jc w:val="both"/>
        <w:spacing w:after="0" w:line="265" w:lineRule="auto"/>
        <w:rPr>
          <w:sz w:val="20"/>
          <w:szCs w:val="20"/>
          <w:color w:val="auto"/>
        </w:rPr>
      </w:pPr>
      <w:r>
        <w:rPr>
          <w:rFonts w:ascii="Arial" w:cs="Arial" w:eastAsia="Arial" w:hAnsi="Arial"/>
          <w:sz w:val="18"/>
          <w:szCs w:val="18"/>
          <w:b w:val="1"/>
          <w:bCs w:val="1"/>
          <w:color w:val="auto"/>
        </w:rPr>
        <w:t>We could incur liabilities or suffer reputational damage from a cyberattack or improper disclosure or loss of personal or confidential data, and our use of data is subject to complex and ever-changing privacy and cybersecurity legal requirements that could negatively impact our business or subject us to claims and/or fines for non-compliance.</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operation of our business, we store, process and transmit a large amount of data, including personnel and payment data, about our employees, clients, associates and candidates, a portion of which is personal data and/or confidential data. We expect our use of data to increase, including through the use of analytics, artificial intelligence (AI) and machine learning (ML). In engaging in these data-related activities, we rely on our own technology systems and software, and those of third-party vendors we use for a variety of processes, including, but not limited to cloud-based technology and systems, mobile technologies and social media. Unauthorized access to, disclosure, modification, use or loss of personal data and/or confidential data may occur through a variety of methods. These include, but are not limited to, ransomware, systems failure, employee negligence or malfeasance, fraud or misappropriation, or unauthorized access to or through our information systems, whether by our employees, vendors or third parties, including a cyberattack by hackers, members of organized crime and/or state-sponsored organizations, who may develop and deploy supply chain interruptions, social engineering attacks, viruses, worms or other malicious software programs, or obtain credentials to our systems through other unrelated cyberattacks.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 incident involving disclosure, system failure, data modification, loss or security breach could harm our reputation and subject us to significant monetary damages or losses, litigation, negative publicity, regulatory enforcement actions, fines, criminal prosecution, as well as liability under our contracts and laws that protect personal and/or confidential data, resulting in increased costs or loss of revenues. Cybersecurity threats continue to increase in frequency and sophistication, thereby increasing the difficulty of detecting and defending against them. In the past, we have experienced data security breaches resulting from unauthorized access to our systems and other fraudulent activities, such as social engineering, which to date have not had a material impact on our operations or financial results. We regularly engage an independent external security firm to assess our defenses to a potential cyberattack, and these assessments may uncover new or additional vulnerabilities and weaknesses that could lead to a compromise of our systems and/or a loss of personal data. In a recent evaluation, vulnerabilities were identified that could facilitate or contribute to a security incident involving personal data. The assessment firm was able to penetrate defensive protections adopted by us, as well as protections that we obtain from third party providers. We are prioritizing the resolution of security gaps that could lead to a loss of personal data or to other damage. Despite our efforts to identify and address vulnerabilities in our systems, vulnerabilities in software products used by us are disclosed by our software providers on a daily basis, and attackers grow continuously more sophisticated in their attack methods, making it impossible to give assurance that our cybersecurity efforts will be successful.</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is a risk that our and our third-party vendors’ preventative security controls and practices will be inadequate to prevent unauthorized access to, disclosure of, or loss of personal and/or confidential data, or fraudulent activity, especially given that third party attacks have become more common. In the past, our data has been exposed due to data security breaches at our third party vendors, but to date none of these incidents have had a material impact on our operations or financial results. Any such future events, such as unauthorized access or fraudulent activity with our third parties could have a material adverse effect on our business and financial results.</w:t>
      </w:r>
    </w:p>
    <w:p>
      <w:pPr>
        <w:spacing w:after="0" w:line="16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Since the beginning of the pandemic, more of our employees are working from their homes or other remote locations which makes it more difficult for us to monitor their activities, the security of their work locations, insider threats, and data exfiltration. This has increased the risk of security incidents, which could include unauthorized access to, disclosure of, or loss of personal and/or confidential data, as well as other types of fraudulent activity. Any such unauthorized access or fraudulent activity could have a material adverse effect on our business and financial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6" w:name="page17"/>
    <w:bookmarkEnd w:id="16"/>
    <w:p>
      <w:pPr>
        <w:jc w:val="both"/>
        <w:spacing w:after="0" w:line="267" w:lineRule="auto"/>
        <w:rPr>
          <w:sz w:val="20"/>
          <w:szCs w:val="20"/>
          <w:color w:val="auto"/>
        </w:rPr>
      </w:pPr>
      <w:r>
        <w:rPr>
          <w:rFonts w:ascii="Arial" w:cs="Arial" w:eastAsia="Arial" w:hAnsi="Arial"/>
          <w:sz w:val="17"/>
          <w:szCs w:val="17"/>
          <w:color w:val="auto"/>
        </w:rPr>
        <w:t>The potential risk of security breaches, fraud and cyberattacks may increase as we continue to introduce services and offerings, whether mobile, cloud, or otherwise. Any additional services and offerings inevitably increase the potential for a cyberattack against us. Further, data privacy and cybersecurity are subject to frequently changing laws and regulations, including the European Union’s General Data Protection Regulation (the “GDPR”), the EU Court of Justice’s opinion in the “Schrems II” decision (which invalidated the EU-US Privacy Shield) and the California Privacy Rights Act (the “CPRA”), as well as additional legislation in place, or expected to become effective, in various U.S. states and other countries. These laws and regulations are increasing in number, complexity, burden and potential financial penalties, and are often inconsistent among the various jurisdictions and countries in which we provide services. For example, the GDPR and the CPRA impose significant compliance obligations that add costs and operational burdens to our business with respect to our collection, use, storage and retention of personal data. Compliance with these obligations could reduce operational efficiency and increase our regulatory compliance costs, and failure to satisfy these requirements may lead to significant regulatory enforcement actions and/or large private litigation in the event of a security breach or other violation. Under the GDPR, the maximum fine can be up to 4% of a company’s global revenue, and there is no maximum penalty under the CPRA. In addition, our liability insurance might not be sufficient in scope or amount to cover us against claims and losses related to violations of data privacy and cybersecurity laws or security breaches, social engineering, cyberattacks and other related data disclosure, loss or breach.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outsourced aspects of our business, which could result in disruption, increased costs, and reputational risk.</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increasingly outsourced, and may further outsource, important processes of our business to third party vendors, which exposes us to other risks, including increased costs, supply chain interruptions, potential disruptions to our business operations, and reputational risk. For example, we rely on third parties to host, manage and secure certain aspects of our data center information and technology infrastructure, to develop and maintain new technology for attracting, onboarding, managing, and analyzing our workforce, and to provide important back-office support. We have increasingly centralized our vendor profile so that we are reliant on a small number of vendors for highly critical corporate and technology functions. While we believe these third-party vendors provide greater efficiency and expertise, our dependence on a small number of vendors increases the risk that our business will be adversely affected if our vendors are unable to provide these services consistent with our needs. Similarly, our business continuity and our margins could be adversely affected if we needed to replace one of our critical vendors for performance or economic reasons.</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operations also depend significantly upon these vendors’ and our ability to protect our data and to ensure the availability of our servers, software applications and websites. Despite our and our third-party vendors’ implementation of security measures, our systems remain susceptible to system failures, computer viruses, natural disasters, unauthorized access, cyberattacks and other similar incidents, any of which could result in disruptions to our operations. Our vendors have experienced data losses in the past, and we can expect such data incidents will occur in the future. A successful breach of the security of our technology systems, or those of our vendors, could result in the theft of confidential, personally identifiable, or other sensitive data, including data about our employees and/or associates, or our human resources operations, any of which could damage our reputation in the market. If we are not able to realize the savings associated with outsourcing services or if there is a disruption or security breach of our outsourced services that results in a loss or damage to our data, or in an inappropriate disclosure of confidential, personally identifiable, or sensitive data, our business and financial results could be materially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loss or reduction in revenues from large client accounts could have a material adverse effect on our business.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client mix consists of both small- and medium-size businesses, which are based upon a local or regional relationship with our presence in each market, and large national and multinational client relationships. These large national and multinational clients will frequently enter into non-exclusive arrangements with several firms, and the client is generally able to terminate their contract with us on short notice without penalty. The deterioration of the financial condition or business prospects of one or more large national and/or multinational clients, or a change in their strategy around the use of our services, could reduce their need for our services and result in a significant decrease in the revenues and earnings we derive from them. A loss or reduction in revenues from our large national and multinational clients could have a material adverse effect on our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If we lose our key personnel, then our business may suffer.</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operations are dependent on the continued efforts of our officers and executive management and the performance and productivity of headquarters management and staff,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or in key markets, it could have a significant impact on our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Intense competition may limit our ability to attract, train and retain the qualified personnel necessary for us to meet our clients’ staffing needs.</w:t>
      </w:r>
    </w:p>
    <w:p>
      <w:pPr>
        <w:spacing w:after="0" w:line="21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business depends on our ability to attract and retain qualified associates who meet the requirements of our clients and possess skill sets and experience that match client needs. In many markets, we have recently experienced an unusually tight labor market, with historically low levels of unemployment, and there is a risk that we may be unable to meet our clients’ requirements in identifying an adequate number of associates. These labor shortages have been exacerbated by employees and potential employees leaving the labor market due to burn-out, resignation, early retirement, immigration challenges, workplace safety concerns, vaccine mandates, and childcare responsibilities. Workers have also impacted the labor market through increasing demands for change in employment conditions, such as demands for higher wages, remote work, and additional flexibility in work schedule. We must continually evaluate and upgrade our base of available qualified personnel through recruiting and training programs to keep pace with changing client needs and emerging technologies. This is especially acute for individuals with critical IT capabilities and other technology skills that are in high demand by many companies, as competition for such individuals with proven professional skills is intense, and we expect demand for such individuals to remain very strong for the foreseeable future. Qualified personnel with relevant skills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skillsets. These needs may change due to business requirements, or in response to geopolitical and societal trends. There is a risk that we may not be able to identify workers with skills that match client demand,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operations subject us to certain risks beyond our control.</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operations in approximately 75 countries and territories around the world, we are subject to numerous risks outside of our control, including risks arising from political unrest and other political events, regional and international hostilities and international responses to these hostilities, strikes and other worker unrest, natural disasters, the impact of global climate change, acts of war, terrorism, international conflict, severe weather conditions, pandemics, including COVID-19, and other global health emergencies, disruptions of infrastructure and utilities including energy, cyberattacks, and other events beyond our control.</w:t>
      </w:r>
    </w:p>
    <w:p>
      <w:pPr>
        <w:spacing w:after="0" w:line="14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Although it is not possible to predict such events or their consequences, these events could materially adversely affect our reputation, business and financial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Our ability to attract and retain business and employees may depend on our reputation in the marketplace.</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believe our reputation, along with our brand equity in the ManpowerGroup name and our various other brands, are important corporate resources that help distinguish our services from those of competitors and also contribute to our efforts to recruit and retain talented employees. However, our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franchisees and other third-party brand licensees, adversaries in legal proceedings, government regulators, as well as members of the investment community or the media. There is a risk that negative information about ManpowerGroup, even if based on rumor or misunderstanding, could materially adversely affect our business. Damage to our reputation could be difficult, expensive and time-consuming to repair, could make potential or existing clients reluctant to select us for new engagements, resulting in a loss of business, and could materially adversely affect our recruitment and retention efforts. Damage to our reputation could also reduce the value and effectiveness of the ManpowerGroup name and our other brand names, and could reduce investor confidence in us, materially adversely affecting our share price.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sentiment toward the staffing industry could affect the marketplace for our services.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the staffing industry has come under criticism from unions, works councils, regulatory agencies and other constituents that maintain that labor and employment protections, such as wage and benefits regulations, are subverted when clients use contingent staffing services. Our business is dependent on the continued acceptance of contingent staffing arrangements as a source of flexible labor for our clients. If attitudes or business practices in some locations change due to pressure from organized labor, political groups or regulatory agencies, it could have a material adverse effect on our business,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only a limited ability to protect our thought leadership and other intellectual property, which is important to our success.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license and other contractual agreements, and patent, copyright, and trademark laws to protect our intellectual property rights. We cannot be certain that the legal steps we are taking around the world are sufficient to protect our intellectual property rights and may not be adequate to prevent or deter infringement or other misappropriation of our intellectual property by competitors, former employees or other third parties. In addition, our intellectual property rights may not prevent competitors from independently developing products, services and solutions similar to ours. Failure to adequately protect our intellectual property rights, or changes in law that diminish or remove our current legal protections could have a material adverse impact on our business and financial results.</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we cannot be sure that our services and solutions do not infringe on the intellectual property rights of third parties, and these third parties could claim that we or our clients are infringing upon their intellectual property rights. These claims could harm our reputation, cause us to incur substantial costs or prevent us from offering some services or solutions in the future.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u w:val="single" w:color="auto"/>
          <w:color w:val="auto"/>
        </w:rPr>
        <w:t>Strategic Risks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effectively implement our business strategy, and there can be no assurance that we will achieve our objectives.</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business strategy focuses on growing revenues while improving our operating profits. An important element of our strategy is our effort to diversify our revenues beyond our core staffing and employment services. This includes expanding our sales in higher margin professional resourcing, such as our Experis brand in IT recruitment. There is a risk that our growth strategy in Experis may be impeded due to the scarcity of talent in the IT field, which is particularly in demand, and which may restrict our ability to fulfill customer requirements. Similarly, another aspect of our strategy to expand beyond our core staffing and employment services is through the sale of innovative workforce solutions designed to achieve higher operating margins. Our higher-margin Right Management career management services have historically performed well in periods of downturn, and it is part of our business strategy that this counter-cyclical effect would help cushion our results in the event of a future period of decline. However, in the event of a downturn, there can be no assurances that the margin contribution from Right Management would increase, or that it would significantly offset other declines we might experience in the business. Additionally, our workforce solutions are often unique, non-repeatable and tailored to a client’s needs, and present costs, risks and complexity that may be difficult to calculate. These solutions may be unprofitable if we are not able to accurately anticipate these costs and risks in our pricing for these solutions. For example, we may fail to structure and price our solutions in a manner that properly compensates us to create an adequate delivery model, to adequately manage new solutions, or to obtain adequate insurance coverage in amount or scope to cover potential risks arising from such solutions.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strategy also includes continuing efforts to transform how we use personnel and technology to enhance our delivery of services. Our goal is to become a more agile and effective competitor, to reduce the cost of operating our business and to increase our operating profit and operating profit margin. These efforts to transform how we do business may not be successful, and we may not succeed at reducing our operating costs or preventing the return of any costs that are eliminated. Additionally, reductions in personnel and other changes could materially adversely affect our ability to effectively operate our business. If, for these or other reasons, we are not successful in implementing our business strategy or achieving the anticipated results, our business, financial condition and results of operations could be materially adversely affected.</w:t>
      </w:r>
    </w:p>
    <w:p>
      <w:pPr>
        <w:spacing w:after="0" w:line="147"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Our results of operations and ability to grow could be materially negatively affected if we cannot successfully keep pace with technological changes in the development and implementation of our services and solutions.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success depends on our ability to keep pace with rapid technological changes in the development and implementation of our services and solutions. For example, rapid changes and regulatory restrictions on the use of artificial intelligence, machine learning and robotics are having a significant impact on some of the industries we serve and could have significant and unforeseen consequences for the workforce services industry and for our business. There is a risk that these, or other developments, could result in significant rapid disruption to our business model, and that we will be unprepared to compete effectively.</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our business is reliant on a variety of technologies, including those which support applicant on-boarding and tracking systems, order management, billing, payroll, and client data analytics. There is a risk we will not sufficiently invest in technology or industry developments, or evolve our business with the right strategic investments, or at sufficient speed and scale, to adapt to changes in our marketplace. Similarly, from time to time we make strategic commitments to particular technologies to recruit, manage or analyze our workforce or support our business, and there is a risk they will be unsuccessful. These and similar risks could have a negative effect on our services and solutions, our results of operations, and our ability to develop and maintain a competitive advantage in the marketplace.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Our environmental, social, and governance (ESG) commitments and disclosures may expose us to risks and legal liability.</w:t>
      </w:r>
    </w:p>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business could be impacted in several ways by our corporate environmental, social and governance (ESG) initiatives, including our goals for sustainability, diversity, equity, and inclusion.</w:t>
      </w:r>
    </w:p>
    <w:p>
      <w:pPr>
        <w:spacing w:after="0" w:line="131" w:lineRule="exact"/>
        <w:rPr>
          <w:sz w:val="20"/>
          <w:szCs w:val="20"/>
          <w:color w:val="auto"/>
        </w:rPr>
      </w:pPr>
    </w:p>
    <w:p>
      <w:pPr>
        <w:jc w:val="both"/>
        <w:ind w:left="420" w:hanging="203"/>
        <w:spacing w:after="0" w:line="252"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positions and disclosures on these matters, or failure to achieve our commitments, could harm our reputation or brand image. For example, we have made various commitments regarding the future reduction of our greenhouse gas emissions, and there is a risk we will be unsuccessful in making progress toward our goals or ultimately meeting them, which could have adverse reputational impacts. Reputational concerns could also cause us to examine our relationships with certain clients and vendors, and choose not to conduct business with certain partners, which could negatively affect our performance or operational efficiency.</w:t>
      </w:r>
    </w:p>
    <w:p>
      <w:pPr>
        <w:spacing w:after="0" w:line="4" w:lineRule="exact"/>
        <w:rPr>
          <w:rFonts w:ascii="Arial" w:cs="Arial" w:eastAsia="Arial" w:hAnsi="Arial"/>
          <w:sz w:val="18"/>
          <w:szCs w:val="18"/>
          <w:color w:val="auto"/>
        </w:rPr>
      </w:pPr>
    </w:p>
    <w:p>
      <w:pPr>
        <w:ind w:left="420" w:right="20" w:hanging="203"/>
        <w:spacing w:after="0" w:line="249"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Positions we take, or do not take, on politically sensitive social issues or other ESG matters may be unpopular with certain existing or potential clients and employees, which may impact our ability to attract and retain those clients and employees.</w:t>
      </w:r>
    </w:p>
    <w:p>
      <w:pPr>
        <w:jc w:val="both"/>
        <w:ind w:left="420" w:hanging="203"/>
        <w:spacing w:after="0" w:line="249"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increased compliance burdens and costs in order to implement our initiatives, including those costs associated with any new legal or regulatory requirements, or voluntary standards and commitments, designed to mitigate climate change or address human capital management concerns.</w:t>
      </w:r>
    </w:p>
    <w:p>
      <w:pPr>
        <w:spacing w:after="0" w:line="1" w:lineRule="exact"/>
        <w:rPr>
          <w:rFonts w:ascii="Arial" w:cs="Arial" w:eastAsia="Arial" w:hAnsi="Arial"/>
          <w:sz w:val="18"/>
          <w:szCs w:val="18"/>
          <w:color w:val="auto"/>
        </w:rPr>
      </w:pPr>
    </w:p>
    <w:p>
      <w:pPr>
        <w:jc w:val="both"/>
        <w:ind w:left="420" w:hanging="203"/>
        <w:spacing w:after="0" w:line="280"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achieve our ESG commitments may be subject to numerous external factors outside of our control, including: (1) the availability and cost of low-carbon energy sources; (2) evolving regulatory requirements affecting ESG standards or disclosures; (3) the availability of vendors and other business partners that can meet our sustainability, diversity, and other standards; and (4) our ability to recruit, develop, and retain diverse talent.</w:t>
      </w:r>
    </w:p>
    <w:p>
      <w:pPr>
        <w:spacing w:after="0" w:line="1" w:lineRule="exact"/>
        <w:rPr>
          <w:rFonts w:ascii="Arial" w:cs="Arial" w:eastAsia="Arial" w:hAnsi="Arial"/>
          <w:sz w:val="16"/>
          <w:szCs w:val="16"/>
          <w:color w:val="auto"/>
        </w:rPr>
      </w:pPr>
    </w:p>
    <w:p>
      <w:pPr>
        <w:jc w:val="both"/>
        <w:ind w:left="420" w:hanging="203"/>
        <w:spacing w:after="0" w:line="252"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Standard methodologies and frameworks, as well as our processes and controls, for measuring and reporting ESG matters across our operations are continuously evolving, including ESG-related disclosures that may be required by the SEC, European and other regulators; and such changing standards could result in significant revisions to our current goals, reported progress in achieving such goals, or our ability to achieve such goals in the future.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strategy may be unsuccessful and may introduce unexpected costs.</w:t>
      </w:r>
    </w:p>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From time to time, we make acquisitions of other companies or operating assets, including, in 2021, a significant acquisition of ettain group. These activities involve significant strategic and operational risks, including:</w:t>
      </w:r>
    </w:p>
    <w:p>
      <w:pPr>
        <w:spacing w:after="0" w:line="131" w:lineRule="exact"/>
        <w:rPr>
          <w:sz w:val="20"/>
          <w:szCs w:val="20"/>
          <w:color w:val="auto"/>
        </w:rPr>
      </w:pPr>
    </w:p>
    <w:p>
      <w:pPr>
        <w:ind w:left="420" w:hanging="203"/>
        <w:spacing w:after="0" w:line="257"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may fail to achieve our strategic objectives or fail to meet our performance expectations, including as a result of challenges integrating the acquired company and assimilating their corporate culture;</w:t>
      </w:r>
    </w:p>
    <w:p>
      <w:pPr>
        <w:spacing w:after="0" w:line="1" w:lineRule="exact"/>
        <w:rPr>
          <w:rFonts w:ascii="Arial" w:cs="Arial" w:eastAsia="Arial" w:hAnsi="Arial"/>
          <w:sz w:val="18"/>
          <w:szCs w:val="18"/>
          <w:color w:val="auto"/>
        </w:rPr>
      </w:pPr>
    </w:p>
    <w:p>
      <w:pPr>
        <w:ind w:left="420" w:hanging="203"/>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over-valuation by us of any companies or assets that we acquire;</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have difficulties integrating the operations, leadership, personnel, financial reporting, services or other functions of acquired companies;</w:t>
      </w:r>
    </w:p>
    <w:p>
      <w:pPr>
        <w:spacing w:after="0" w:line="19" w:lineRule="exact"/>
        <w:rPr>
          <w:rFonts w:ascii="Arial" w:cs="Arial" w:eastAsia="Arial" w:hAnsi="Arial"/>
          <w:sz w:val="17"/>
          <w:szCs w:val="17"/>
          <w:color w:val="auto"/>
        </w:rPr>
      </w:pPr>
    </w:p>
    <w:p>
      <w:pPr>
        <w:ind w:left="420" w:hanging="203"/>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disputes that arise with the sellers;</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fail to effectively monitor compliance with corporate policies as well as regulatory requirements;</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face unanticipated risks and liabilities in connection with the acquired company's operations;</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obtain insufficient indemnification from the selling parties for liabilities incurred by the acquired companies prior to the acquisitions; and</w:t>
      </w:r>
    </w:p>
    <w:p>
      <w:pPr>
        <w:spacing w:after="0" w:line="19" w:lineRule="exact"/>
        <w:rPr>
          <w:rFonts w:ascii="Arial" w:cs="Arial" w:eastAsia="Arial" w:hAnsi="Arial"/>
          <w:sz w:val="17"/>
          <w:szCs w:val="17"/>
          <w:color w:val="auto"/>
        </w:rPr>
      </w:pPr>
    </w:p>
    <w:p>
      <w:pPr>
        <w:ind w:left="420" w:hanging="203"/>
        <w:spacing w:after="0" w:line="259"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transactions, and the integration of acquired entities, may result in a diversion of our management’s attention from other business concerns.</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These risks could have a material adverse effect on our business because they may result in substantial costs to us and disrupt our business. The integration of prior acquisitions, as well as entry into future acquisition transactions, could materially adversely affect our business, financial condition, results of operations and liquidity. We could also incur impairment losses on goodwill and intangible assets with an indefinite life or restructuring charges as a result of acquisitions we make.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1" w:name="page22"/>
    <w:bookmarkEnd w:id="21"/>
    <w:p>
      <w:pPr>
        <w:jc w:val="both"/>
        <w:spacing w:after="0" w:line="280" w:lineRule="auto"/>
        <w:rPr>
          <w:sz w:val="20"/>
          <w:szCs w:val="20"/>
          <w:color w:val="auto"/>
        </w:rPr>
      </w:pPr>
      <w:r>
        <w:rPr>
          <w:rFonts w:ascii="Arial" w:cs="Arial" w:eastAsia="Arial" w:hAnsi="Arial"/>
          <w:sz w:val="18"/>
          <w:szCs w:val="18"/>
          <w:b w:val="1"/>
          <w:bCs w:val="1"/>
          <w:color w:val="auto"/>
        </w:rPr>
        <w:t>From time to time, we undertake dispositions via sales, franchises, joint ventures or other exit activities, and we may face risks related to such transactions.</w:t>
      </w:r>
    </w:p>
    <w:p>
      <w:pPr>
        <w:spacing w:after="0" w:line="14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Occasionally, we dispose of parts of our operations in order to optimize our global strategic and geographic footprint and synergies. We have engaged in such dispositions in the past, including our dispositions of our businesses in Russia in January 2022, and in Hungary in December 2022, and we expect that we will continue to dispose of portions of our business that are not meeting our performance or strategic objectives. Among other alternatives, this could take the form of a closure of a business, the contribution of the business to a joint venture, or an exit by means of a sale to, or a franchise arrangement with, a third party. There are risks and costs associated with any exit activities, which could include difficulties in the separation of operations, services or personnel, the diversion of management attention, and the disruption of our business. Any such transactions may require regulatory or governmental approvals, which could impede the transaction. Divestitures may also involve continued financial involvement in, or liability with respect to, the divested businesses. As a result of divestiture transactions, we could incur severance charges for personnel and payments for lease and other commitments, charges from the impairment or write-off of assets, and other financial loss due to the transaction. Furthermore, there is the risk that we might lose customers, in particular multinational clients with operations in the exited countries or operations. Additionally, if we choose to enter into a franchise arrangement for a third party to operate our business in the exited region using our trademarks and other licensed assets, we face potential counterparty and reputational risks arising from the franchisee’s operation of the business. The reputational risks include the risk that marketplace participants, including clients, candidates and the media, may believe that we continue to control the operations of a divested or franchised business that operates utilizing our name or other trademarks.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and Market Risks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fluctuations may have a material adverse effect on our operating results.</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Although we report our results of operations in United States dollars, the majority of our revenues and expenses are denominated in currencies other than the United States dollar, and unfavorable fluctuations in foreign currency exchange rates could have a material adverse effect on our reported financial results. Highly inflationary economies of certain foreign countries, such as Argentina in 2018, can result in foreign currency devaluation, which may also negatively impact our reported financial results.</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2022, approximately 82% of our revenues were generated outside of the United States, the majority of which were generated in Europe. Furthermore, $986.5 million of our outstanding indebtedness as of December 31, 2022, was denominated in foreign currencies, including $956.6 million related to our Euro-denominated notes (€900.0 million).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Our exposure to foreign currencies, in particular the Euro, could have a material adverse effect on our reported results and shareholders’ equity, however, such fluctuations generally do not affect our cash flow or result in actual economic gains or losses unless we repatriate funds. Furthermore, the volatility of currencies may make year-over-year comparability of our financial results difficult.</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seek to mitigate our exposure to foreign currency fluctuations by utilizing net investment hedges and, from time to time, foreign currency forward exchange contracts and cross-currency swaps. Our Euro-denominated notes are designated as a hedge of our net investment in subsidiaries with a Euro-functional currency as of December 31, 2022, to mitigate our Euro currency translation exposure. The effectiveness of this hedge in part depends on our ability to accurately forecast future cash flows, which is particularly difficult during periods of uncertain or uneven demand for our services and highly volatile exchange rates. Further, hedging activities may only offset a portion, or none at all, of the material adverse financial effects of unfavorable fluctuations in foreign exchange rates over the time the hedge is in place or effective.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Our liquidity could be adversely impacted by economic conditions affecting our clients.</w:t>
      </w:r>
    </w:p>
    <w:p>
      <w:pPr>
        <w:spacing w:after="0" w:line="20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working capital is primarily in the form of trade receivables which generally increase as sales increase. One of the ways in which we measure our working capital is in terms of working capital as a percent of revenue with a focus on Days Sales Outstanding (“DSO”). During periods of decline or uncertainty, our clients may slow the rate at which they pay their vendors, or they may become unable to pay their obligations. In addition, some clients have begun to impose more challenging billing terms, which increases the length of time before we receive payment for services. If our clients become unable to pay amounts owed to us, or pay us more slowly, then our DSO will increase, and our cash flow, liquidity, and profitability may suffer.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of operations and share price could be materially adversely affected if we are unable to maintain effective internal controls.</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and fraud. Because of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we could suffer harm to our reputation, fail to meet our public reporting requirements timely, be unable to properly report on our business and our results of operations, or be required to restate our financial statements. If any of these were to occur, the market price of our securities and our ability to obtain new business could be materially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levels could materially adversely affect our operating flexibility and put us at a competitive disadvantage.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December 31, 2022, we had $986.5 million of total debt. Our level of debt and the limitations imposed on us by our credit agreements could have important consequences for investors, including the following:</w:t>
      </w:r>
    </w:p>
    <w:p>
      <w:pPr>
        <w:spacing w:after="0" w:line="131" w:lineRule="exact"/>
        <w:rPr>
          <w:sz w:val="20"/>
          <w:szCs w:val="20"/>
          <w:color w:val="auto"/>
        </w:rPr>
      </w:pPr>
    </w:p>
    <w:p>
      <w:pPr>
        <w:ind w:left="420" w:hanging="203"/>
        <w:spacing w:after="0" w:line="257"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additional debt financing for future working capital, capital expenditures, significant acquisition opportunities, or other corporate purposes or may have to pay more for such financing;</w:t>
      </w:r>
    </w:p>
    <w:p>
      <w:pPr>
        <w:spacing w:after="0" w:line="1" w:lineRule="exact"/>
        <w:rPr>
          <w:rFonts w:ascii="Arial" w:cs="Arial" w:eastAsia="Arial" w:hAnsi="Arial"/>
          <w:sz w:val="18"/>
          <w:szCs w:val="18"/>
          <w:color w:val="auto"/>
        </w:rPr>
      </w:pPr>
    </w:p>
    <w:p>
      <w:pPr>
        <w:ind w:left="420" w:hanging="203"/>
        <w:spacing w:after="0"/>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borrowings under our revolving credit facilities are at a variable interest rate, making us more vulnerable to increases in interest rates; and</w:t>
      </w:r>
    </w:p>
    <w:p>
      <w:pPr>
        <w:spacing w:after="0" w:line="19" w:lineRule="exact"/>
        <w:rPr>
          <w:rFonts w:ascii="Arial" w:cs="Arial" w:eastAsia="Arial" w:hAnsi="Arial"/>
          <w:sz w:val="17"/>
          <w:szCs w:val="17"/>
          <w:color w:val="auto"/>
        </w:rPr>
      </w:pPr>
    </w:p>
    <w:p>
      <w:pPr>
        <w:ind w:left="420" w:hanging="203"/>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less able to take advantage of significant business opportunities and to react to changes in market or industry conditions.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Our failure to comply with restrictive covenants under our revolving credit facilities and other debt instruments could trigger prepayment obligations.</w:t>
      </w:r>
    </w:p>
    <w:p>
      <w:pPr>
        <w:spacing w:after="0" w:line="12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materially adversely affected by increased costs and rates.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lenders under our and our subsidiaries’ credit facilities may be unwilling or unable to extend credit to us on acceptable terms or at all.</w:t>
      </w:r>
    </w:p>
    <w:p>
      <w:pPr>
        <w:spacing w:after="0" w:line="21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If our liquidity needs increase, we would expect to use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materially adversely affected, or our interest expense may increase substantially.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3" w:name="page24"/>
    <w:bookmarkEnd w:id="23"/>
    <w:p>
      <w:pPr>
        <w:jc w:val="both"/>
        <w:spacing w:after="0" w:line="258" w:lineRule="auto"/>
        <w:rPr>
          <w:sz w:val="20"/>
          <w:szCs w:val="20"/>
          <w:color w:val="auto"/>
        </w:rPr>
      </w:pPr>
      <w:r>
        <w:rPr>
          <w:rFonts w:ascii="Arial" w:cs="Arial" w:eastAsia="Arial" w:hAnsi="Arial"/>
          <w:sz w:val="18"/>
          <w:szCs w:val="18"/>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materially adversely affected.</w:t>
      </w:r>
    </w:p>
    <w:p>
      <w:pPr>
        <w:spacing w:after="0" w:line="15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The performance of our subsidiaries and their ability to distribute cash to our parent company may vary, negatively affecting our ability to service our debt at the parent company level or in other subsidiaries.</w:t>
      </w:r>
    </w:p>
    <w:p>
      <w:pPr>
        <w:spacing w:after="0" w:line="12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working capital requirements, and be subject to various business considerations, including the ability of such subsidiaries to pay such dividends or make such loans and advances.</w:t>
      </w:r>
    </w:p>
    <w:p>
      <w:pPr>
        <w:spacing w:after="0" w:line="11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Our inability to secure guarantees or letters of credit on acceptable terms may substantially increase our cost of doing business in various countries.</w:t>
      </w:r>
    </w:p>
    <w:p>
      <w:pPr>
        <w:spacing w:after="0" w:line="14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a number of countries and territories in which we conduct business we are obligated to provide guarantees or letters of credit to secure licenses, lease space or for insurance coverage. We typically receive these guarantees and letters of credit from a number of financial institutions around the world. In the event that we are unable to secure these arrangements from a bank, lender or other third party on acceptable terms, our liquidity may be materially adversely affected, there could be a disruption to our business or there could be a substantial increase in cost for our business.</w:t>
      </w:r>
    </w:p>
    <w:p>
      <w:pPr>
        <w:spacing w:after="0" w:line="126"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We could be subject to changes in tax rates, adoption of new United States or international tax legislation or tax audits that could result in additional income tax liabilities.</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subject to income and other taxes in the United States and international jurisdictions where we have operations. The tax bases and rates of these respective tax jurisdictions change from time to time due to economic and political conditions. Our effective income tax rate is affected by changes in earnings in countries with differing tax rates, changes in valuation of deferred tax assets and liabilities or changes in the respective tax laws. Our other taxes are impacted by changes in local tax laws or changes in our business.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tax accounting involves complex matters and requires our judgment to determine our worldwide provision for income and other taxes and tax assets and liabilities. These complex matters include transfer pricing and reporting related to intercompany transactions. We are routinely subject to tax examinations by the United States Internal Revenue Service and other tax authorities. Tax authorities have disagreed, and may disagree in the future, with our judgments. Many taxing authorities are taking increasingly aggressive positions opposing the judgments we make, including with respect to our intercompany transactions. We regularly assess the likely outcomes of our audits and tax proceedings to determine the appropriateness of our tax liabilities. However, our judgments might not be sustained as a result of these audits and tax proceedings, and the amounts ultimately paid could be materially different from the amounts previously recorded.</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changes in tax laws, treaties or regulations, or their interpretation or enforcement, have become more unpredictable and may become more stringent, which could materially adversely affect our tax position. A number of countries where we do business, including the United States and many countries in the European Union, have implemented, and are considering implementing, changes in relevant tax, accounting and other laws, regulations and interpretations. The overall tax environment has made it increasingly challenging for multinational corporations to operate with certainty about taxation in many jurisdictions. For example, the Organization for Economic Co-operation and Development (“OECD”), which represents a coalition of member countries, recently agreed to enact Pillar Two, which introduces a global minimum effective tax rate whereby certain multinational groups are subject to a 15% minimum tax on income derived in low-tax jurisdictions. These rules are to become effective beginning in 2024. In the United States, various proposals to raise corporate income taxes are periodically considered including the recently enacted Inflation Reduction Act, which introduced a 15% Corporate Alternative Minimum Tax beginning in 2023. These proposed and enacted changes in tax laws, treaties or regulations, or their interpretation or enforcement, could have a material adverse impact on our current or future tax positions.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The price of our common stock may fluctuate significantly, which may result in losses for investors.</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market price for our common stock may be subject to significant volatility. For example, during 2022, the price of our common stock as reported on the New York Stock Exchange ranged from a high of $115.54 to a low of $64.00. Our stock price can fluctuate as a result of a variety of factors, including factors listed in these “Risk Factors” and others, many of which are beyond our control. These factors include:</w:t>
      </w:r>
    </w:p>
    <w:p>
      <w:pPr>
        <w:spacing w:after="0" w:line="143" w:lineRule="exact"/>
        <w:rPr>
          <w:sz w:val="20"/>
          <w:szCs w:val="20"/>
          <w:color w:val="auto"/>
        </w:rPr>
      </w:pPr>
    </w:p>
    <w:p>
      <w:pPr>
        <w:ind w:left="420" w:hanging="203"/>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2" w:lineRule="exact"/>
        <w:rPr>
          <w:rFonts w:ascii="Arial" w:cs="Arial" w:eastAsia="Arial" w:hAnsi="Arial"/>
          <w:sz w:val="18"/>
          <w:szCs w:val="18"/>
          <w:color w:val="auto"/>
        </w:rPr>
      </w:pPr>
    </w:p>
    <w:p>
      <w:pPr>
        <w:ind w:left="420" w:hanging="203"/>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 of new services by us or our competitors;</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investor sentiment regarding the company arising from these or other events, or the economy in general.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and Legal Risks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on contracts may be materially adversely affected if we or third parties fail to deliver on commitments.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contracts are increasingly complex and, in most instances, require that we partner with other parties or subcontractors to provide the workforce solutions required by our clients. Our clients have become more sophisticated in their contractual negotiation process and more detailed in defining their operational requirements, including requirements to use the client's form of agreement. Our ability to deliver these solutions and provide the services required by our clients is dependent on our and our partners’ ability to meet our clients’ delivery requirements and schedules. If we or our partners fail to deliver services on time and in accordance with contractual performance obligations, then our ability to successfully complete our contracts may be affected, which may have a material and adverse impact on our client relations, revenues and profitability. Additionally, we may incur liability for the actions or omissions of our partners, subcontractors or vendors and we may face challenges or be unable to enforce these obligations against those partners.</w:t>
      </w:r>
    </w:p>
    <w:p>
      <w:pPr>
        <w:spacing w:after="0" w:line="12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many jurisdictions in which we operate, such as France, Italy, Germany, Japan and Mexico, the employment services industry is heavily regulated and scrutinized. For example, in April 2021, new legislation was adopted in Mexico that affects many types of temporary placements under the country’s labor laws. The new law broadly prohibits the provision of our traditional temporary staffing services, only allowing outsourced worker assignments for special, deliverables-based projects outside of the client’s core business activity. This has had a material adverse impact on our business in Mexico. In Europe,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 Moreover, many countries, including the Netherlands and Japan, have established regulations that require equal-pay for equal-work for temporary workers and fixed term employees. Furthermore, some countries are adopting more restrictive immigration regulations, which may lead to greater expense or inability to fulfill client demand, particularly in our cross-border talent solutions business. All of these continuously-evolving regulations could have a significant impact to our revenues, costs, and operating margins as we and customers adjust to these new regulations.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countries and territories in which we operate may, among other things:</w:t>
      </w:r>
    </w:p>
    <w:p>
      <w:pPr>
        <w:spacing w:after="0" w:line="183" w:lineRule="exact"/>
        <w:rPr>
          <w:sz w:val="20"/>
          <w:szCs w:val="20"/>
          <w:color w:val="auto"/>
        </w:rPr>
      </w:pPr>
    </w:p>
    <w:p>
      <w:pPr>
        <w:ind w:left="420" w:hanging="203"/>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or categories of job roles that we may provide;</w:t>
      </w:r>
    </w:p>
    <w:p>
      <w:pPr>
        <w:spacing w:after="0" w:line="22" w:lineRule="exact"/>
        <w:rPr>
          <w:rFonts w:ascii="Arial" w:cs="Arial" w:eastAsia="Arial" w:hAnsi="Arial"/>
          <w:sz w:val="18"/>
          <w:szCs w:val="18"/>
          <w:color w:val="auto"/>
        </w:rPr>
      </w:pPr>
    </w:p>
    <w:p>
      <w:pPr>
        <w:ind w:left="420" w:hanging="203"/>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new or additional benefits be paid to our associates;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5" w:name="page26"/>
    <w:bookmarkEnd w:id="25"/>
    <w:p>
      <w:pPr>
        <w:ind w:left="420" w:hanging="203"/>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pay parity for our associates or impose mandatory thresholds for employee diversity;</w:t>
      </w:r>
    </w:p>
    <w:p>
      <w:pPr>
        <w:spacing w:after="0" w:line="22" w:lineRule="exact"/>
        <w:rPr>
          <w:rFonts w:ascii="Arial" w:cs="Arial" w:eastAsia="Arial" w:hAnsi="Arial"/>
          <w:sz w:val="18"/>
          <w:szCs w:val="18"/>
          <w:color w:val="auto"/>
        </w:rPr>
      </w:pPr>
    </w:p>
    <w:p>
      <w:pPr>
        <w:ind w:left="420" w:hanging="203"/>
        <w:spacing w:after="0" w:line="24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regulate the period of time for which we may or may not employ our workers, including maximum term limits or minimum time requirements for associates on assignment at our clients;</w:t>
      </w:r>
    </w:p>
    <w:p>
      <w:pPr>
        <w:ind w:left="420" w:hanging="203"/>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 new COVID-19 regulations that impact our business;</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to obtain additional licensing to provide employment services; or</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taxes, such as sales or value-added taxes.</w:t>
      </w:r>
    </w:p>
    <w:p>
      <w:pPr>
        <w:spacing w:after="0" w:line="16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Other types of future regulation may have a material adverse effect on our business and financial results by making it more difficult or expensive for us to continue to cost-effectively provide employment services, particularly if we cannot pass along increases in costs to our clients.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antibribery and corruption laws could materially adversely affect our business.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additionally subject to numerous legal and regulatory requirements that prohibit bribery and corrupt acts. These include the Foreign Corrupt Practices Act and the UK Bribery Act 2010, as well as similar legislation in many of the countries and territories in which we operate. Our employees (but not our temporary associates) are required to participate in a global anticorruption compliance training program designed to ensure compliance with these laws and regulations. However, there are no assurances this program will be effective. In many countries where we operate, practices in the local business community may not conform to international business standards and could violate anticorruption law or regulations. Furthermore, we remain subject to the risk that one of our employees (or one of our associates on a temporary or contract-based assignment) could engage in business practices that are prohibited by our policies and these laws and regulations. Any such violations could materially adversely affect our business.</w:t>
      </w:r>
    </w:p>
    <w:p>
      <w:pPr>
        <w:spacing w:after="0" w:line="12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We may be exposed to legal claims, including employment-related claims that could materially adversely affect our business, financial condition and results of operations.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subject to a wide variety of potential litigation and other legal claims that arise in the ordinary course of our business. The results of litigation and other legal proceedings are inherently uncertain, and adverse judgments or settlements in some, or all of these legal disputes may result in materially adverse monetary damages, fines, penalties or injunctive relief against us.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through our direct interaction with our clients’ businesses and facilities, including functions and systems that are sensitive or critical to their core businesses, we may be exposed to operational, regulatory, reputational and other risks specific to their business, including data security risks. These risks may be reduced through contractual provisions that limit damages or mitigate our responsibility for losses caused by our assigned workers; but these types of contractual protections are not always possible because we may perceive an important economic opportunity, because of the contracting practices of our industry competitors or because our personnel did not adequately follow our contracting guidelines. In addition, as we expand our services and solutions into new areas, we may be exposed to additional and evolving risks specific to these new areas.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are in the business of employing people and placing them in the workplaces of other businesses. Risks relating to these activities could include possible claims of or relating to:</w:t>
      </w:r>
    </w:p>
    <w:p>
      <w:pPr>
        <w:spacing w:after="0" w:line="144" w:lineRule="exact"/>
        <w:rPr>
          <w:sz w:val="20"/>
          <w:szCs w:val="20"/>
          <w:color w:val="auto"/>
        </w:rPr>
      </w:pPr>
    </w:p>
    <w:p>
      <w:pPr>
        <w:ind w:left="420" w:hanging="203"/>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discrimination or harassment;</w:t>
      </w:r>
    </w:p>
    <w:p>
      <w:pPr>
        <w:spacing w:after="0" w:line="22" w:lineRule="exact"/>
        <w:rPr>
          <w:rFonts w:ascii="Arial" w:cs="Arial" w:eastAsia="Arial" w:hAnsi="Arial"/>
          <w:sz w:val="18"/>
          <w:szCs w:val="18"/>
          <w:color w:val="auto"/>
        </w:rPr>
      </w:pPr>
    </w:p>
    <w:p>
      <w:pPr>
        <w:ind w:left="420" w:hanging="203"/>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pay, including wage and hour requirements;</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wrongful termination or retaliation;</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or inactions of our workers, including matters for which we may have to indemnify a client;</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governing employment screening and privacy;</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classification of workers as employees or independent contractors;</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employment of undocumented or illegal workers;</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issues relating to health and safety, including workers’ compensation;</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benefits, including leave and healthcare coverage;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6" w:name="page27"/>
    <w:bookmarkEnd w:id="26"/>
    <w:p>
      <w:pPr>
        <w:ind w:left="420" w:hanging="203"/>
        <w:spacing w:after="0"/>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errors and omissions relating to the performance of professional roles such as IT professionals, accountants, engineers and the like; and</w:t>
      </w:r>
    </w:p>
    <w:p>
      <w:pPr>
        <w:spacing w:after="0" w:line="34" w:lineRule="exact"/>
        <w:rPr>
          <w:rFonts w:ascii="Arial" w:cs="Arial" w:eastAsia="Arial" w:hAnsi="Arial"/>
          <w:sz w:val="17"/>
          <w:szCs w:val="17"/>
          <w:color w:val="auto"/>
        </w:rPr>
      </w:pPr>
    </w:p>
    <w:p>
      <w:pPr>
        <w:ind w:left="420" w:hanging="203"/>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workers’ misuse of proprietary information, misappropriation of funds, other criminal activity or torts or other similar claims.</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incur fines and other losses or negative publicity with respect to the above risks. In addition, some or all of these claims may give rise to litigation, which could be time-consuming to our management team and costly and could have a negative impact on our business regardless of the merits of the claim. For example, in the past, we have devoted considerable time and expense to resolve several California-based “wage and hour” claims that asserted deficiencies in our payroll practices, and we are often sued by plaintiffs in various other employment-related matters, including those seeking class action status in the US. It is likely we will continue to experience similar claims in the future, which may increase in number as a result of remote working assignments as well as increasing employment regulation at the state and local level.</w:t>
      </w:r>
    </w:p>
    <w:p>
      <w:pPr>
        <w:spacing w:after="0" w:line="15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exposes us to competition law risk.</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antitrust and competition law in the United States, the European Union, and many other regions in which we operate. Some of our business models may carry a heightened risk of regulatory inquiry under relevant competition laws. Although we have put in place safeguards designed to maintain compliance with applicable competition laws, there can be no assurance these protections will be adequate. Competition law authorities have investigated our business practices in the past in France and in other countries, and there continues to be a risk of such inquiries in the future. There is no assurance we would successfully defend against any such regulatory inquiries, and they could consume substantial amounts of our financial and managerial resources, remain outstanding for a significant duration, and result in adverse publicity, even if successfully resolved. An unfavorable outcome could result in liabilities that have a material adverse effect upon our business, financial condition or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Wisconsin law and our articles of incorporation and bylaws contain provisions that could make the takeover of our company more difficult.</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spacing w:after="0" w:line="143" w:lineRule="exact"/>
        <w:rPr>
          <w:sz w:val="20"/>
          <w:szCs w:val="20"/>
          <w:color w:val="auto"/>
        </w:rPr>
      </w:pPr>
    </w:p>
    <w:p>
      <w:pPr>
        <w:ind w:left="420" w:hanging="203"/>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22" w:lineRule="exact"/>
        <w:rPr>
          <w:rFonts w:ascii="Arial" w:cs="Arial" w:eastAsia="Arial" w:hAnsi="Arial"/>
          <w:sz w:val="18"/>
          <w:szCs w:val="18"/>
          <w:color w:val="auto"/>
        </w:rPr>
      </w:pPr>
    </w:p>
    <w:p>
      <w:pPr>
        <w:ind w:left="420" w:hanging="203"/>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8" w:lineRule="exact"/>
        <w:rPr>
          <w:rFonts w:ascii="Arial" w:cs="Arial" w:eastAsia="Arial" w:hAnsi="Arial"/>
          <w:sz w:val="18"/>
          <w:szCs w:val="18"/>
          <w:color w:val="auto"/>
        </w:rPr>
      </w:pPr>
    </w:p>
    <w:p>
      <w:pPr>
        <w:ind w:left="420" w:hanging="203"/>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addition, the Wisconsin control share acquisition statute and Wisconsin’s “fair price” and “business combination” provisions, in addition to other provisions of Wisconsin law, limit the ability of an acquiring person to engage in certain 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are involved in litigation of a routine nature and various legal matters, which are being defended and handled in the ordinary course of business.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9260" w:type="dxa"/>
            <w:vAlign w:val="bottom"/>
          </w:tcPr>
          <w:p>
            <w:pPr>
              <w:jc w:val="center"/>
              <w:ind w:right="1890"/>
              <w:spacing w:after="0"/>
              <w:rPr>
                <w:sz w:val="20"/>
                <w:szCs w:val="20"/>
                <w:color w:val="auto"/>
              </w:rPr>
            </w:pPr>
            <w:r>
              <w:rPr>
                <w:rFonts w:ascii="Arial" w:cs="Arial" w:eastAsia="Arial" w:hAnsi="Arial"/>
                <w:sz w:val="18"/>
                <w:szCs w:val="18"/>
                <w:b w:val="1"/>
                <w:bCs w:val="1"/>
                <w:color w:val="auto"/>
              </w:rPr>
              <w:t>EXECUTIVE OFFICERS OF MANPOWERGROUP</w:t>
            </w:r>
          </w:p>
        </w:tc>
      </w:tr>
      <w:tr>
        <w:trPr>
          <w:trHeight w:val="234"/>
        </w:trPr>
        <w:tc>
          <w:tcPr>
            <w:tcW w:w="1980" w:type="dxa"/>
            <w:vAlign w:val="bottom"/>
          </w:tcPr>
          <w:p>
            <w:pPr>
              <w:spacing w:after="0"/>
              <w:rPr>
                <w:sz w:val="20"/>
                <w:szCs w:val="20"/>
                <w:color w:val="auto"/>
              </w:rPr>
            </w:pPr>
          </w:p>
        </w:tc>
        <w:tc>
          <w:tcPr>
            <w:tcW w:w="926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(as of February 17, 2023)</w:t>
            </w:r>
          </w:p>
        </w:tc>
      </w:tr>
      <w:tr>
        <w:trPr>
          <w:trHeight w:val="464"/>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Officer</w:t>
            </w:r>
          </w:p>
        </w:tc>
        <w:tc>
          <w:tcPr>
            <w:tcW w:w="92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Office</w:t>
            </w:r>
          </w:p>
        </w:tc>
      </w:tr>
      <w:tr>
        <w:trPr>
          <w:trHeight w:val="456"/>
        </w:trPr>
        <w:tc>
          <w:tcPr>
            <w:tcW w:w="1980" w:type="dxa"/>
            <w:vAlign w:val="bottom"/>
          </w:tcPr>
          <w:p>
            <w:pPr>
              <w:ind w:left="20"/>
              <w:spacing w:after="0"/>
              <w:rPr>
                <w:sz w:val="20"/>
                <w:szCs w:val="20"/>
                <w:color w:val="auto"/>
              </w:rPr>
            </w:pPr>
            <w:r>
              <w:rPr>
                <w:rFonts w:ascii="Arial" w:cs="Arial" w:eastAsia="Arial" w:hAnsi="Arial"/>
                <w:sz w:val="18"/>
                <w:szCs w:val="18"/>
                <w:color w:val="auto"/>
              </w:rPr>
              <w:t>Jonas Prising</w:t>
            </w:r>
          </w:p>
        </w:tc>
        <w:tc>
          <w:tcPr>
            <w:tcW w:w="9260" w:type="dxa"/>
            <w:vAlign w:val="bottom"/>
          </w:tcPr>
          <w:p>
            <w:pPr>
              <w:ind w:left="400"/>
              <w:spacing w:after="0"/>
              <w:rPr>
                <w:sz w:val="20"/>
                <w:szCs w:val="20"/>
                <w:color w:val="auto"/>
              </w:rPr>
            </w:pPr>
            <w:r>
              <w:rPr>
                <w:rFonts w:ascii="Arial" w:cs="Arial" w:eastAsia="Arial" w:hAnsi="Arial"/>
                <w:sz w:val="18"/>
                <w:szCs w:val="18"/>
                <w:color w:val="auto"/>
                <w:w w:val="97"/>
              </w:rPr>
              <w:t>Chairman of ManpowerGroup since December 2015. Chief Executive Officer of ManpowerGroup since May 2014.</w:t>
            </w:r>
          </w:p>
        </w:tc>
      </w:tr>
      <w:tr>
        <w:trPr>
          <w:trHeight w:val="215"/>
        </w:trPr>
        <w:tc>
          <w:tcPr>
            <w:tcW w:w="1980" w:type="dxa"/>
            <w:vAlign w:val="bottom"/>
          </w:tcPr>
          <w:p>
            <w:pPr>
              <w:ind w:left="20"/>
              <w:spacing w:after="0"/>
              <w:rPr>
                <w:sz w:val="20"/>
                <w:szCs w:val="20"/>
                <w:color w:val="auto"/>
              </w:rPr>
            </w:pPr>
            <w:r>
              <w:rPr>
                <w:rFonts w:ascii="Arial" w:cs="Arial" w:eastAsia="Arial" w:hAnsi="Arial"/>
                <w:sz w:val="18"/>
                <w:szCs w:val="18"/>
                <w:color w:val="auto"/>
              </w:rPr>
              <w:t>Age 58</w:t>
            </w:r>
          </w:p>
        </w:tc>
        <w:tc>
          <w:tcPr>
            <w:tcW w:w="9260" w:type="dxa"/>
            <w:vAlign w:val="bottom"/>
          </w:tcPr>
          <w:p>
            <w:pPr>
              <w:ind w:left="400"/>
              <w:spacing w:after="0"/>
              <w:rPr>
                <w:sz w:val="20"/>
                <w:szCs w:val="20"/>
                <w:color w:val="auto"/>
              </w:rPr>
            </w:pPr>
            <w:r>
              <w:rPr>
                <w:rFonts w:ascii="Arial" w:cs="Arial" w:eastAsia="Arial" w:hAnsi="Arial"/>
                <w:sz w:val="18"/>
                <w:szCs w:val="18"/>
                <w:color w:val="auto"/>
                <w:w w:val="92"/>
              </w:rPr>
              <w:t>ManpowerGroup President from November 2012 to May 2014. Executive Vice President, President of ManpowerGroup -</w:t>
            </w:r>
          </w:p>
        </w:tc>
      </w:tr>
      <w:tr>
        <w:trPr>
          <w:trHeight w:val="215"/>
        </w:trPr>
        <w:tc>
          <w:tcPr>
            <w:tcW w:w="198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w w:val="94"/>
              </w:rPr>
              <w:t>the Americas from January 2009 to October 2012. Executive Vice President, President – United States and Canadian</w:t>
            </w:r>
          </w:p>
        </w:tc>
      </w:tr>
      <w:tr>
        <w:trPr>
          <w:trHeight w:val="215"/>
        </w:trPr>
        <w:tc>
          <w:tcPr>
            <w:tcW w:w="198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w w:val="97"/>
              </w:rPr>
              <w:t>Operations from January 2006 to December 2008. A director of ManpowerGroup since May 2014. An employee of</w:t>
            </w:r>
          </w:p>
        </w:tc>
      </w:tr>
      <w:tr>
        <w:trPr>
          <w:trHeight w:val="230"/>
        </w:trPr>
        <w:tc>
          <w:tcPr>
            <w:tcW w:w="1980" w:type="dxa"/>
            <w:vAlign w:val="bottom"/>
          </w:tcPr>
          <w:p>
            <w:pPr>
              <w:spacing w:after="0"/>
              <w:rPr>
                <w:sz w:val="19"/>
                <w:szCs w:val="19"/>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ManpowerGroup since May 1999. A director of Kohl's Corporation since August 2015.</w:t>
            </w:r>
          </w:p>
        </w:tc>
      </w:tr>
      <w:tr>
        <w:trPr>
          <w:trHeight w:val="470"/>
        </w:trPr>
        <w:tc>
          <w:tcPr>
            <w:tcW w:w="1980" w:type="dxa"/>
            <w:vAlign w:val="bottom"/>
          </w:tcPr>
          <w:p>
            <w:pPr>
              <w:ind w:left="20"/>
              <w:spacing w:after="0"/>
              <w:rPr>
                <w:sz w:val="20"/>
                <w:szCs w:val="20"/>
                <w:color w:val="auto"/>
              </w:rPr>
            </w:pPr>
            <w:r>
              <w:rPr>
                <w:rFonts w:ascii="Arial" w:cs="Arial" w:eastAsia="Arial" w:hAnsi="Arial"/>
                <w:sz w:val="18"/>
                <w:szCs w:val="18"/>
                <w:color w:val="auto"/>
              </w:rPr>
              <w:t>John T. McGinnis</w:t>
            </w:r>
          </w:p>
        </w:tc>
        <w:tc>
          <w:tcPr>
            <w:tcW w:w="9260" w:type="dxa"/>
            <w:vAlign w:val="bottom"/>
          </w:tcPr>
          <w:p>
            <w:pPr>
              <w:ind w:left="400"/>
              <w:spacing w:after="0"/>
              <w:rPr>
                <w:sz w:val="20"/>
                <w:szCs w:val="20"/>
                <w:color w:val="auto"/>
              </w:rPr>
            </w:pPr>
            <w:r>
              <w:rPr>
                <w:rFonts w:ascii="Arial" w:cs="Arial" w:eastAsia="Arial" w:hAnsi="Arial"/>
                <w:sz w:val="18"/>
                <w:szCs w:val="18"/>
                <w:color w:val="auto"/>
                <w:w w:val="93"/>
              </w:rPr>
              <w:t>Executive Vice President, Chief Financial Officer of ManpowerGroup since February 2016. Global Controller of Morgan</w:t>
            </w:r>
          </w:p>
        </w:tc>
      </w:tr>
      <w:tr>
        <w:trPr>
          <w:trHeight w:val="215"/>
        </w:trPr>
        <w:tc>
          <w:tcPr>
            <w:tcW w:w="1980" w:type="dxa"/>
            <w:vAlign w:val="bottom"/>
          </w:tcPr>
          <w:p>
            <w:pPr>
              <w:ind w:left="20"/>
              <w:spacing w:after="0"/>
              <w:rPr>
                <w:sz w:val="20"/>
                <w:szCs w:val="20"/>
                <w:color w:val="auto"/>
              </w:rPr>
            </w:pPr>
            <w:r>
              <w:rPr>
                <w:rFonts w:ascii="Arial" w:cs="Arial" w:eastAsia="Arial" w:hAnsi="Arial"/>
                <w:sz w:val="18"/>
                <w:szCs w:val="18"/>
                <w:color w:val="auto"/>
              </w:rPr>
              <w:t>Age 56</w:t>
            </w:r>
          </w:p>
        </w:tc>
        <w:tc>
          <w:tcPr>
            <w:tcW w:w="9260" w:type="dxa"/>
            <w:vAlign w:val="bottom"/>
          </w:tcPr>
          <w:p>
            <w:pPr>
              <w:ind w:left="400"/>
              <w:spacing w:after="0"/>
              <w:rPr>
                <w:sz w:val="20"/>
                <w:szCs w:val="20"/>
                <w:color w:val="auto"/>
              </w:rPr>
            </w:pPr>
            <w:r>
              <w:rPr>
                <w:rFonts w:ascii="Arial" w:cs="Arial" w:eastAsia="Arial" w:hAnsi="Arial"/>
                <w:sz w:val="18"/>
                <w:szCs w:val="18"/>
                <w:color w:val="auto"/>
                <w:w w:val="94"/>
              </w:rPr>
              <w:t>Stanley from January 2014 to February 2016. Chief Financial Officer, HSBC North America from July 2012 to January</w:t>
            </w:r>
          </w:p>
        </w:tc>
      </w:tr>
      <w:tr>
        <w:trPr>
          <w:trHeight w:val="215"/>
        </w:trPr>
        <w:tc>
          <w:tcPr>
            <w:tcW w:w="198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w w:val="92"/>
              </w:rPr>
              <w:t>2014. Chief Financial Officer, HSBC Bank USA from July 2010 to January 2014. An employee of ManpowerGroup since</w:t>
            </w:r>
          </w:p>
        </w:tc>
      </w:tr>
      <w:tr>
        <w:trPr>
          <w:trHeight w:val="230"/>
        </w:trPr>
        <w:tc>
          <w:tcPr>
            <w:tcW w:w="1980" w:type="dxa"/>
            <w:vAlign w:val="bottom"/>
          </w:tcPr>
          <w:p>
            <w:pPr>
              <w:spacing w:after="0"/>
              <w:rPr>
                <w:sz w:val="19"/>
                <w:szCs w:val="19"/>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February 2016.</w:t>
            </w:r>
          </w:p>
        </w:tc>
      </w:tr>
      <w:tr>
        <w:trPr>
          <w:trHeight w:val="470"/>
        </w:trPr>
        <w:tc>
          <w:tcPr>
            <w:tcW w:w="1980" w:type="dxa"/>
            <w:vAlign w:val="bottom"/>
          </w:tcPr>
          <w:p>
            <w:pPr>
              <w:ind w:left="20"/>
              <w:spacing w:after="0"/>
              <w:rPr>
                <w:sz w:val="20"/>
                <w:szCs w:val="20"/>
                <w:color w:val="auto"/>
              </w:rPr>
            </w:pPr>
            <w:r>
              <w:rPr>
                <w:rFonts w:ascii="Arial" w:cs="Arial" w:eastAsia="Arial" w:hAnsi="Arial"/>
                <w:sz w:val="18"/>
                <w:szCs w:val="18"/>
                <w:color w:val="auto"/>
              </w:rPr>
              <w:t>Michelle S. Nettles</w:t>
            </w:r>
          </w:p>
        </w:tc>
        <w:tc>
          <w:tcPr>
            <w:tcW w:w="9260" w:type="dxa"/>
            <w:vAlign w:val="bottom"/>
          </w:tcPr>
          <w:p>
            <w:pPr>
              <w:ind w:left="400"/>
              <w:spacing w:after="0"/>
              <w:rPr>
                <w:sz w:val="20"/>
                <w:szCs w:val="20"/>
                <w:color w:val="auto"/>
              </w:rPr>
            </w:pPr>
            <w:r>
              <w:rPr>
                <w:rFonts w:ascii="Arial" w:cs="Arial" w:eastAsia="Arial" w:hAnsi="Arial"/>
                <w:sz w:val="18"/>
                <w:szCs w:val="18"/>
                <w:color w:val="auto"/>
                <w:w w:val="92"/>
              </w:rPr>
              <w:t>Chief People and Culture Officer since July 2019. Chief People and Diversity Officer of Molson Coors Brewing Company</w:t>
            </w:r>
          </w:p>
        </w:tc>
      </w:tr>
      <w:tr>
        <w:trPr>
          <w:trHeight w:val="215"/>
        </w:trPr>
        <w:tc>
          <w:tcPr>
            <w:tcW w:w="1980" w:type="dxa"/>
            <w:vAlign w:val="bottom"/>
          </w:tcPr>
          <w:p>
            <w:pPr>
              <w:ind w:left="20"/>
              <w:spacing w:after="0"/>
              <w:rPr>
                <w:sz w:val="20"/>
                <w:szCs w:val="20"/>
                <w:color w:val="auto"/>
              </w:rPr>
            </w:pPr>
            <w:r>
              <w:rPr>
                <w:rFonts w:ascii="Arial" w:cs="Arial" w:eastAsia="Arial" w:hAnsi="Arial"/>
                <w:sz w:val="18"/>
                <w:szCs w:val="18"/>
                <w:color w:val="auto"/>
              </w:rPr>
              <w:t>Age 51</w:t>
            </w:r>
          </w:p>
        </w:tc>
        <w:tc>
          <w:tcPr>
            <w:tcW w:w="9260" w:type="dxa"/>
            <w:vAlign w:val="bottom"/>
          </w:tcPr>
          <w:p>
            <w:pPr>
              <w:ind w:left="400"/>
              <w:spacing w:after="0"/>
              <w:rPr>
                <w:sz w:val="20"/>
                <w:szCs w:val="20"/>
                <w:color w:val="auto"/>
              </w:rPr>
            </w:pPr>
            <w:r>
              <w:rPr>
                <w:rFonts w:ascii="Arial" w:cs="Arial" w:eastAsia="Arial" w:hAnsi="Arial"/>
                <w:sz w:val="18"/>
                <w:szCs w:val="18"/>
                <w:color w:val="auto"/>
                <w:w w:val="95"/>
              </w:rPr>
              <w:t>from October 2016 to July 2019. Chief Human Resources Officer of MillerCoors from October 2014 to October 2016.</w:t>
            </w:r>
          </w:p>
        </w:tc>
      </w:tr>
      <w:tr>
        <w:trPr>
          <w:trHeight w:val="215"/>
        </w:trPr>
        <w:tc>
          <w:tcPr>
            <w:tcW w:w="198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w w:val="91"/>
              </w:rPr>
              <w:t>Prior thereto, held other positions at MillerCoors since 2009. An employee of ManpowerGroup since July 2019. A director</w:t>
            </w:r>
          </w:p>
        </w:tc>
      </w:tr>
      <w:tr>
        <w:trPr>
          <w:trHeight w:val="230"/>
        </w:trPr>
        <w:tc>
          <w:tcPr>
            <w:tcW w:w="1980" w:type="dxa"/>
            <w:vAlign w:val="bottom"/>
          </w:tcPr>
          <w:p>
            <w:pPr>
              <w:spacing w:after="0"/>
              <w:rPr>
                <w:sz w:val="19"/>
                <w:szCs w:val="19"/>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of RXO, Inc. since November 2022.</w:t>
            </w:r>
          </w:p>
        </w:tc>
      </w:tr>
      <w:tr>
        <w:trPr>
          <w:trHeight w:val="470"/>
        </w:trPr>
        <w:tc>
          <w:tcPr>
            <w:tcW w:w="1980" w:type="dxa"/>
            <w:vAlign w:val="bottom"/>
          </w:tcPr>
          <w:p>
            <w:pPr>
              <w:ind w:left="20"/>
              <w:spacing w:after="0"/>
              <w:rPr>
                <w:sz w:val="20"/>
                <w:szCs w:val="20"/>
                <w:color w:val="auto"/>
              </w:rPr>
            </w:pPr>
            <w:r>
              <w:rPr>
                <w:rFonts w:ascii="Arial" w:cs="Arial" w:eastAsia="Arial" w:hAnsi="Arial"/>
                <w:sz w:val="18"/>
                <w:szCs w:val="18"/>
                <w:color w:val="auto"/>
              </w:rPr>
              <w:t>Richard D. Buchband</w:t>
            </w:r>
          </w:p>
        </w:tc>
        <w:tc>
          <w:tcPr>
            <w:tcW w:w="9260" w:type="dxa"/>
            <w:vAlign w:val="bottom"/>
          </w:tcPr>
          <w:p>
            <w:pPr>
              <w:ind w:left="400"/>
              <w:spacing w:after="0"/>
              <w:rPr>
                <w:sz w:val="20"/>
                <w:szCs w:val="20"/>
                <w:color w:val="auto"/>
              </w:rPr>
            </w:pPr>
            <w:r>
              <w:rPr>
                <w:rFonts w:ascii="Arial" w:cs="Arial" w:eastAsia="Arial" w:hAnsi="Arial"/>
                <w:sz w:val="18"/>
                <w:szCs w:val="18"/>
                <w:color w:val="auto"/>
                <w:w w:val="93"/>
              </w:rPr>
              <w:t>Senior Vice President, General Counsel and Secretary of ManpowerGroup since January 2013. Partner and Associate</w:t>
            </w: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Age 59</w:t>
            </w:r>
          </w:p>
        </w:tc>
        <w:tc>
          <w:tcPr>
            <w:tcW w:w="9260" w:type="dxa"/>
            <w:vAlign w:val="bottom"/>
          </w:tcPr>
          <w:p>
            <w:pPr>
              <w:ind w:left="400"/>
              <w:spacing w:after="0"/>
              <w:rPr>
                <w:sz w:val="20"/>
                <w:szCs w:val="20"/>
                <w:color w:val="auto"/>
              </w:rPr>
            </w:pPr>
            <w:r>
              <w:rPr>
                <w:rFonts w:ascii="Arial" w:cs="Arial" w:eastAsia="Arial" w:hAnsi="Arial"/>
                <w:sz w:val="18"/>
                <w:szCs w:val="18"/>
                <w:color w:val="auto"/>
              </w:rPr>
              <w:t>General Counsel for Accenture plc from 2006 to 2011. An employee of ManpowerGroup since January 2013.</w:t>
            </w:r>
          </w:p>
        </w:tc>
      </w:tr>
      <w:tr>
        <w:trPr>
          <w:trHeight w:val="659"/>
        </w:trPr>
        <w:tc>
          <w:tcPr>
            <w:tcW w:w="1980" w:type="dxa"/>
            <w:vAlign w:val="bottom"/>
          </w:tcPr>
          <w:p>
            <w:pPr>
              <w:spacing w:after="0"/>
              <w:rPr>
                <w:sz w:val="24"/>
                <w:szCs w:val="24"/>
                <w:color w:val="auto"/>
              </w:rPr>
            </w:pPr>
          </w:p>
        </w:tc>
        <w:tc>
          <w:tcPr>
            <w:tcW w:w="9260" w:type="dxa"/>
            <w:vAlign w:val="bottom"/>
          </w:tcPr>
          <w:p>
            <w:pPr>
              <w:jc w:val="center"/>
              <w:ind w:right="1870"/>
              <w:spacing w:after="0"/>
              <w:rPr>
                <w:sz w:val="20"/>
                <w:szCs w:val="20"/>
                <w:color w:val="auto"/>
              </w:rPr>
            </w:pPr>
            <w:r>
              <w:rPr>
                <w:rFonts w:ascii="Arial" w:cs="Arial" w:eastAsia="Arial" w:hAnsi="Arial"/>
                <w:sz w:val="18"/>
                <w:szCs w:val="18"/>
                <w:color w:val="auto"/>
                <w:w w:val="89"/>
              </w:rPr>
              <w:t>29</w:t>
            </w:r>
          </w:p>
        </w:tc>
      </w:tr>
      <w:tr>
        <w:trPr>
          <w:trHeight w:val="114"/>
        </w:trPr>
        <w:tc>
          <w:tcPr>
            <w:tcW w:w="1980" w:type="dxa"/>
            <w:vAlign w:val="bottom"/>
            <w:tcBorders>
              <w:bottom w:val="single" w:sz="8" w:color="9A9A9A"/>
            </w:tcBorders>
          </w:tcPr>
          <w:p>
            <w:pPr>
              <w:spacing w:after="0"/>
              <w:rPr>
                <w:sz w:val="9"/>
                <w:szCs w:val="9"/>
                <w:color w:val="auto"/>
              </w:rPr>
            </w:pPr>
          </w:p>
        </w:tc>
        <w:tc>
          <w:tcPr>
            <w:tcW w:w="9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9" w:name="page30"/>
    <w:bookmarkEnd w:id="29"/>
    <w:p>
      <w:pPr>
        <w:ind w:left="4620"/>
        <w:spacing w:after="0"/>
        <w:rPr>
          <w:sz w:val="20"/>
          <w:szCs w:val="20"/>
          <w:color w:val="auto"/>
        </w:rPr>
      </w:pPr>
      <w:r>
        <w:rPr>
          <w:rFonts w:ascii="Arial" w:cs="Arial" w:eastAsia="Arial" w:hAnsi="Arial"/>
          <w:sz w:val="18"/>
          <w:szCs w:val="18"/>
          <w:b w:val="1"/>
          <w:bCs w:val="1"/>
          <w:color w:val="auto"/>
        </w:rPr>
        <w:t>OTHER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15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in 2022:</w:t>
      </w:r>
    </w:p>
    <w:p>
      <w:pPr>
        <w:spacing w:after="0" w:line="131" w:lineRule="exact"/>
        <w:rPr>
          <w:sz w:val="20"/>
          <w:szCs w:val="20"/>
          <w:color w:val="auto"/>
        </w:rPr>
      </w:pPr>
    </w:p>
    <w:p>
      <w:pPr>
        <w:ind w:left="520" w:hanging="512"/>
        <w:spacing w:after="0" w:line="275"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 added tax and consultation regarding appropriate handling of items on the United States and international tax returns;</w:t>
      </w:r>
    </w:p>
    <w:p>
      <w:pPr>
        <w:spacing w:after="0" w:line="144" w:lineRule="exact"/>
        <w:rPr>
          <w:rFonts w:ascii="Arial" w:cs="Arial" w:eastAsia="Arial" w:hAnsi="Arial"/>
          <w:sz w:val="18"/>
          <w:szCs w:val="18"/>
          <w:color w:val="auto"/>
        </w:rPr>
      </w:pPr>
    </w:p>
    <w:p>
      <w:pPr>
        <w:ind w:left="520" w:hanging="512"/>
        <w:spacing w:after="0" w:line="275"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31"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Listing and Trading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listed for trading on the New York Stock Exchange under the symbol MAN.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Shareholders of Record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15, 2023, the Company's common stock was held by approximately 2,600 record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w:t>
      </w:r>
    </w:p>
    <w:p>
      <w:pPr>
        <w:spacing w:after="0" w:line="18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While we currently expect that future semi-annual dividends will continue to be paid, our dividend policy is subject to review and change at the discretion of our Board of Directors and may depend upon, among other factors, earnings, financial condition, and other requirements.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Purchases of Equity Securities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August 2021, the Board of Directors authorized the repurchase of 4.0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fourth quarter of 2022. As of December 31, 2022, there were 2.0 million shares remaining authorized for repurchase under the 2021 authorization.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jc w:val="center"/>
              <w:ind w:left="510"/>
              <w:spacing w:after="0"/>
              <w:rPr>
                <w:sz w:val="20"/>
                <w:szCs w:val="20"/>
                <w:color w:val="auto"/>
              </w:rPr>
            </w:pPr>
            <w:r>
              <w:rPr>
                <w:rFonts w:ascii="Arial" w:cs="Arial" w:eastAsia="Arial" w:hAnsi="Arial"/>
                <w:sz w:val="18"/>
                <w:szCs w:val="18"/>
                <w:b w:val="1"/>
                <w:bCs w:val="1"/>
                <w:color w:val="auto"/>
                <w:w w:val="91"/>
              </w:rPr>
              <w:t>Total number of</w:t>
            </w:r>
          </w:p>
        </w:tc>
        <w:tc>
          <w:tcPr>
            <w:tcW w:w="7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jc w:val="center"/>
              <w:ind w:left="510"/>
              <w:spacing w:after="0"/>
              <w:rPr>
                <w:sz w:val="20"/>
                <w:szCs w:val="20"/>
                <w:color w:val="auto"/>
              </w:rPr>
            </w:pPr>
            <w:r>
              <w:rPr>
                <w:rFonts w:ascii="Arial" w:cs="Arial" w:eastAsia="Arial" w:hAnsi="Arial"/>
                <w:sz w:val="18"/>
                <w:szCs w:val="18"/>
                <w:b w:val="1"/>
                <w:bCs w:val="1"/>
                <w:color w:val="auto"/>
                <w:w w:val="85"/>
              </w:rPr>
              <w:t>shares purchased</w:t>
            </w:r>
          </w:p>
        </w:tc>
        <w:tc>
          <w:tcPr>
            <w:tcW w:w="7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of shares that may</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9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 number of</w:t>
            </w:r>
          </w:p>
        </w:tc>
        <w:tc>
          <w:tcPr>
            <w:tcW w:w="440" w:type="dxa"/>
            <w:vAlign w:val="bottom"/>
          </w:tcPr>
          <w:p>
            <w:pPr>
              <w:spacing w:after="0"/>
              <w:rPr>
                <w:sz w:val="18"/>
                <w:szCs w:val="18"/>
                <w:color w:val="auto"/>
              </w:rPr>
            </w:pPr>
          </w:p>
        </w:tc>
        <w:tc>
          <w:tcPr>
            <w:tcW w:w="126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Average</w:t>
            </w:r>
          </w:p>
        </w:tc>
        <w:tc>
          <w:tcPr>
            <w:tcW w:w="204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as part of publicly</w:t>
            </w:r>
          </w:p>
        </w:tc>
        <w:tc>
          <w:tcPr>
            <w:tcW w:w="7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jc w:val="center"/>
              <w:ind w:right="270"/>
              <w:spacing w:after="0" w:line="201" w:lineRule="exact"/>
              <w:rPr>
                <w:sz w:val="20"/>
                <w:szCs w:val="20"/>
                <w:color w:val="auto"/>
              </w:rPr>
            </w:pPr>
            <w:r>
              <w:rPr>
                <w:rFonts w:ascii="Arial" w:cs="Arial" w:eastAsia="Arial" w:hAnsi="Arial"/>
                <w:sz w:val="18"/>
                <w:szCs w:val="18"/>
                <w:b w:val="1"/>
                <w:bCs w:val="1"/>
                <w:color w:val="auto"/>
                <w:w w:val="91"/>
              </w:rPr>
              <w:t>price paid</w:t>
            </w:r>
          </w:p>
        </w:tc>
        <w:tc>
          <w:tcPr>
            <w:tcW w:w="2040" w:type="dxa"/>
            <w:vAlign w:val="bottom"/>
          </w:tcPr>
          <w:p>
            <w:pPr>
              <w:jc w:val="center"/>
              <w:ind w:left="510"/>
              <w:spacing w:after="0" w:line="201" w:lineRule="exact"/>
              <w:rPr>
                <w:sz w:val="20"/>
                <w:szCs w:val="20"/>
                <w:color w:val="auto"/>
              </w:rPr>
            </w:pPr>
            <w:r>
              <w:rPr>
                <w:rFonts w:ascii="Arial" w:cs="Arial" w:eastAsia="Arial" w:hAnsi="Arial"/>
                <w:sz w:val="18"/>
                <w:szCs w:val="18"/>
                <w:b w:val="1"/>
                <w:bCs w:val="1"/>
                <w:color w:val="auto"/>
                <w:w w:val="89"/>
              </w:rPr>
              <w:t>announced plan or</w:t>
            </w:r>
          </w:p>
        </w:tc>
        <w:tc>
          <w:tcPr>
            <w:tcW w:w="720" w:type="dxa"/>
            <w:vAlign w:val="bottom"/>
          </w:tcPr>
          <w:p>
            <w:pPr>
              <w:spacing w:after="0"/>
              <w:rPr>
                <w:sz w:val="17"/>
                <w:szCs w:val="17"/>
                <w:color w:val="auto"/>
              </w:rPr>
            </w:pPr>
          </w:p>
        </w:tc>
        <w:tc>
          <w:tcPr>
            <w:tcW w:w="26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under the plan or</w:t>
            </w:r>
          </w:p>
        </w:tc>
        <w:tc>
          <w:tcPr>
            <w:tcW w:w="0" w:type="dxa"/>
            <w:vAlign w:val="bottom"/>
          </w:tcPr>
          <w:p>
            <w:pPr>
              <w:spacing w:after="0"/>
              <w:rPr>
                <w:sz w:val="1"/>
                <w:szCs w:val="1"/>
                <w:color w:val="auto"/>
              </w:rPr>
            </w:pPr>
          </w:p>
        </w:tc>
      </w:tr>
      <w:tr>
        <w:trPr>
          <w:trHeight w:val="247"/>
        </w:trPr>
        <w:tc>
          <w:tcPr>
            <w:tcW w:w="2240" w:type="dxa"/>
            <w:vAlign w:val="bottom"/>
          </w:tcPr>
          <w:p>
            <w:pPr>
              <w:spacing w:after="0"/>
              <w:rPr>
                <w:sz w:val="21"/>
                <w:szCs w:val="21"/>
                <w:color w:val="auto"/>
              </w:rPr>
            </w:pPr>
          </w:p>
        </w:tc>
        <w:tc>
          <w:tcPr>
            <w:tcW w:w="1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shares purchased</w:t>
            </w:r>
          </w:p>
        </w:tc>
        <w:tc>
          <w:tcPr>
            <w:tcW w:w="440" w:type="dxa"/>
            <w:vAlign w:val="bottom"/>
          </w:tcPr>
          <w:p>
            <w:pPr>
              <w:spacing w:after="0"/>
              <w:rPr>
                <w:sz w:val="21"/>
                <w:szCs w:val="21"/>
                <w:color w:val="auto"/>
              </w:rPr>
            </w:pPr>
          </w:p>
        </w:tc>
        <w:tc>
          <w:tcPr>
            <w:tcW w:w="126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per share</w:t>
            </w:r>
          </w:p>
        </w:tc>
        <w:tc>
          <w:tcPr>
            <w:tcW w:w="204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programs</w:t>
            </w:r>
          </w:p>
        </w:tc>
        <w:tc>
          <w:tcPr>
            <w:tcW w:w="72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0" w:type="dxa"/>
            <w:vAlign w:val="bottom"/>
          </w:tcPr>
          <w:p>
            <w:pPr>
              <w:spacing w:after="0"/>
              <w:rPr>
                <w:sz w:val="1"/>
                <w:szCs w:val="1"/>
                <w:color w:val="auto"/>
              </w:rPr>
            </w:pPr>
          </w:p>
        </w:tc>
      </w:tr>
      <w:tr>
        <w:trPr>
          <w:trHeight w:val="182"/>
        </w:trPr>
        <w:tc>
          <w:tcPr>
            <w:tcW w:w="2240" w:type="dxa"/>
            <w:vAlign w:val="bottom"/>
          </w:tcPr>
          <w:p>
            <w:pPr>
              <w:ind w:left="20"/>
              <w:spacing w:after="0" w:line="182" w:lineRule="exact"/>
              <w:rPr>
                <w:sz w:val="20"/>
                <w:szCs w:val="20"/>
                <w:color w:val="auto"/>
              </w:rPr>
            </w:pPr>
            <w:r>
              <w:rPr>
                <w:rFonts w:ascii="Arial" w:cs="Arial" w:eastAsia="Arial" w:hAnsi="Arial"/>
                <w:sz w:val="18"/>
                <w:szCs w:val="18"/>
                <w:color w:val="auto"/>
              </w:rPr>
              <w:t>October 1 - 31, 2022</w:t>
            </w:r>
          </w:p>
        </w:tc>
        <w:tc>
          <w:tcPr>
            <w:tcW w:w="1920" w:type="dxa"/>
            <w:vAlign w:val="bottom"/>
          </w:tcPr>
          <w:p>
            <w:pPr>
              <w:jc w:val="right"/>
              <w:ind w:right="50"/>
              <w:spacing w:after="0" w:line="182" w:lineRule="exact"/>
              <w:rPr>
                <w:sz w:val="20"/>
                <w:szCs w:val="20"/>
                <w:color w:val="auto"/>
              </w:rPr>
            </w:pPr>
            <w:r>
              <w:rPr>
                <w:rFonts w:ascii="Arial" w:cs="Arial" w:eastAsia="Arial" w:hAnsi="Arial"/>
                <w:sz w:val="18"/>
                <w:szCs w:val="18"/>
                <w:color w:val="auto"/>
              </w:rPr>
              <w:t>376,067</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line="182" w:lineRule="exact"/>
              <w:rPr>
                <w:sz w:val="20"/>
                <w:szCs w:val="20"/>
                <w:color w:val="auto"/>
              </w:rPr>
            </w:pPr>
            <w:r>
              <w:rPr>
                <w:rFonts w:ascii="Arial" w:cs="Arial" w:eastAsia="Arial" w:hAnsi="Arial"/>
                <w:sz w:val="18"/>
                <w:szCs w:val="18"/>
                <w:color w:val="auto"/>
              </w:rPr>
              <w:t>66.48</w:t>
            </w:r>
          </w:p>
        </w:tc>
        <w:tc>
          <w:tcPr>
            <w:tcW w:w="2040" w:type="dxa"/>
            <w:vAlign w:val="bottom"/>
          </w:tcPr>
          <w:p>
            <w:pPr>
              <w:spacing w:after="0"/>
              <w:rPr>
                <w:sz w:val="15"/>
                <w:szCs w:val="15"/>
                <w:color w:val="auto"/>
              </w:rPr>
            </w:pPr>
          </w:p>
        </w:tc>
        <w:tc>
          <w:tcPr>
            <w:tcW w:w="7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89"/>
              </w:rPr>
              <w:t>376,067</w:t>
            </w:r>
          </w:p>
        </w:tc>
        <w:tc>
          <w:tcPr>
            <w:tcW w:w="26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1,984,318</w:t>
            </w:r>
          </w:p>
        </w:tc>
        <w:tc>
          <w:tcPr>
            <w:tcW w:w="0" w:type="dxa"/>
            <w:vAlign w:val="bottom"/>
          </w:tcPr>
          <w:p>
            <w:pPr>
              <w:spacing w:after="0"/>
              <w:rPr>
                <w:sz w:val="1"/>
                <w:szCs w:val="1"/>
                <w:color w:val="auto"/>
              </w:rPr>
            </w:pPr>
          </w:p>
        </w:tc>
      </w:tr>
      <w:tr>
        <w:trPr>
          <w:trHeight w:val="242"/>
        </w:trPr>
        <w:tc>
          <w:tcPr>
            <w:tcW w:w="2240" w:type="dxa"/>
            <w:vAlign w:val="bottom"/>
          </w:tcPr>
          <w:p>
            <w:pPr>
              <w:ind w:left="20"/>
              <w:spacing w:after="0"/>
              <w:rPr>
                <w:sz w:val="20"/>
                <w:szCs w:val="20"/>
                <w:color w:val="auto"/>
              </w:rPr>
            </w:pPr>
            <w:r>
              <w:rPr>
                <w:rFonts w:ascii="Arial" w:cs="Arial" w:eastAsia="Arial" w:hAnsi="Arial"/>
                <w:sz w:val="18"/>
                <w:szCs w:val="18"/>
                <w:color w:val="auto"/>
              </w:rPr>
              <w:t>November 1 - 30, 2022</w:t>
            </w:r>
          </w:p>
        </w:tc>
        <w:tc>
          <w:tcPr>
            <w:tcW w:w="1920" w:type="dxa"/>
            <w:vAlign w:val="bottom"/>
          </w:tcPr>
          <w:p>
            <w:pPr>
              <w:jc w:val="right"/>
              <w:ind w:right="50"/>
              <w:spacing w:after="0"/>
              <w:rPr>
                <w:sz w:val="20"/>
                <w:szCs w:val="20"/>
                <w:color w:val="auto"/>
              </w:rPr>
            </w:pPr>
            <w:r>
              <w:rPr>
                <w:rFonts w:ascii="Arial" w:cs="Arial" w:eastAsia="Arial" w:hAnsi="Arial"/>
                <w:sz w:val="18"/>
                <w:szCs w:val="18"/>
                <w:color w:val="auto"/>
              </w:rPr>
              <w:t>479</w:t>
            </w:r>
          </w:p>
        </w:tc>
        <w:tc>
          <w:tcPr>
            <w:tcW w:w="440" w:type="dxa"/>
            <w:vAlign w:val="bottom"/>
          </w:tcPr>
          <w:p>
            <w:pPr>
              <w:jc w:val="right"/>
              <w:ind w:right="162"/>
              <w:spacing w:after="0"/>
              <w:rPr>
                <w:sz w:val="20"/>
                <w:szCs w:val="20"/>
                <w:color w:val="auto"/>
              </w:rPr>
            </w:pPr>
            <w:r>
              <w:rPr>
                <w:rFonts w:ascii="Arial" w:cs="Arial" w:eastAsia="Arial" w:hAnsi="Arial"/>
                <w:sz w:val="13"/>
                <w:szCs w:val="13"/>
                <w:color w:val="auto"/>
              </w:rPr>
              <w:t>(1)</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1,984,318</w:t>
            </w:r>
          </w:p>
        </w:tc>
        <w:tc>
          <w:tcPr>
            <w:tcW w:w="0" w:type="dxa"/>
            <w:vAlign w:val="bottom"/>
          </w:tcPr>
          <w:p>
            <w:pPr>
              <w:spacing w:after="0"/>
              <w:rPr>
                <w:sz w:val="1"/>
                <w:szCs w:val="1"/>
                <w:color w:val="auto"/>
              </w:rPr>
            </w:pPr>
          </w:p>
        </w:tc>
      </w:tr>
      <w:tr>
        <w:trPr>
          <w:trHeight w:val="309"/>
        </w:trPr>
        <w:tc>
          <w:tcPr>
            <w:tcW w:w="2240" w:type="dxa"/>
            <w:vAlign w:val="bottom"/>
          </w:tcPr>
          <w:p>
            <w:pPr>
              <w:ind w:left="20"/>
              <w:spacing w:after="0"/>
              <w:rPr>
                <w:sz w:val="20"/>
                <w:szCs w:val="20"/>
                <w:color w:val="auto"/>
              </w:rPr>
            </w:pPr>
            <w:r>
              <w:rPr>
                <w:rFonts w:ascii="Arial" w:cs="Arial" w:eastAsia="Arial" w:hAnsi="Arial"/>
                <w:sz w:val="18"/>
                <w:szCs w:val="18"/>
                <w:color w:val="auto"/>
              </w:rPr>
              <w:t>December 1 - 31, 2022</w:t>
            </w:r>
          </w:p>
        </w:tc>
        <w:tc>
          <w:tcPr>
            <w:tcW w:w="1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875</w:t>
            </w:r>
          </w:p>
        </w:tc>
        <w:tc>
          <w:tcPr>
            <w:tcW w:w="440" w:type="dxa"/>
            <w:vAlign w:val="bottom"/>
          </w:tcPr>
          <w:p>
            <w:pPr>
              <w:jc w:val="right"/>
              <w:ind w:right="162"/>
              <w:spacing w:after="0"/>
              <w:rPr>
                <w:sz w:val="20"/>
                <w:szCs w:val="20"/>
                <w:color w:val="auto"/>
              </w:rPr>
            </w:pPr>
            <w:r>
              <w:rPr>
                <w:rFonts w:ascii="Arial" w:cs="Arial" w:eastAsia="Arial" w:hAnsi="Arial"/>
                <w:sz w:val="13"/>
                <w:szCs w:val="13"/>
                <w:color w:val="auto"/>
              </w:rPr>
              <w:t>(1)</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1,984,318</w:t>
            </w:r>
          </w:p>
        </w:tc>
        <w:tc>
          <w:tcPr>
            <w:tcW w:w="0" w:type="dxa"/>
            <w:vAlign w:val="bottom"/>
          </w:tcPr>
          <w:p>
            <w:pPr>
              <w:spacing w:after="0"/>
              <w:rPr>
                <w:sz w:val="1"/>
                <w:szCs w:val="1"/>
                <w:color w:val="auto"/>
              </w:rPr>
            </w:pPr>
          </w:p>
        </w:tc>
      </w:tr>
      <w:tr>
        <w:trPr>
          <w:trHeight w:val="236"/>
        </w:trPr>
        <w:tc>
          <w:tcPr>
            <w:tcW w:w="2240" w:type="dxa"/>
            <w:vAlign w:val="bottom"/>
          </w:tcPr>
          <w:p>
            <w:pPr>
              <w:ind w:left="20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377,421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66.48</w:t>
            </w:r>
          </w:p>
        </w:tc>
        <w:tc>
          <w:tcPr>
            <w:tcW w:w="20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376,067</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1,984,318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-657225</wp:posOffset>
            </wp:positionV>
            <wp:extent cx="713295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955" cy="341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341630"/>
                    </a:xfrm>
                    <a:prstGeom prst="rect">
                      <a:avLst/>
                    </a:prstGeom>
                    <a:noFill/>
                  </pic:spPr>
                </pic:pic>
              </a:graphicData>
            </a:graphic>
          </wp:anchor>
        </w:drawing>
      </w:r>
    </w:p>
    <w:p>
      <w:pPr>
        <w:ind w:firstLine="8"/>
        <w:spacing w:after="0" w:line="278" w:lineRule="auto"/>
        <w:tabs>
          <w:tab w:leader="none" w:pos="2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shares of common stock withheld by ManpowerGroup to satisfy tax withholding obligations on shares acquired by certain officers in settlement of restricted stock.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Performance Graph</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Set forth below is a graph for the periods ending December 31, 2017-2022 comparing the cumulative total shareholder return on our common stock with the cumulative total return of companies in the Standard &amp; Poor’s 400 Midcap Stock Index and the Standard &amp; Poor’s 1500 Human Resources and Employment Services Sub-Industry Index. We are included in the Standard &amp; Poor’s 1500 Human Resources and Employment Services Sub-Industry Index and we estimate that we constituted approximately 13% of the total market capitalization of the companies included in the index. The graph assumes a $100 investment on December 31, 2017 in our common stock, the Standard &amp; Poor’s 400 Midcap Stock Index and the Standard &amp; Poor’s 1500 Human Resources and Employment Services Sub-Industry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121920</wp:posOffset>
            </wp:positionV>
            <wp:extent cx="4783455" cy="1939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83455"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2018</w:t>
            </w: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2019</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42"/>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ManpowerGroup</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   100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77</w:t>
            </w: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   72</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   77</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   66</w:t>
            </w:r>
          </w:p>
        </w:tc>
      </w:tr>
      <w:tr>
        <w:trPr>
          <w:trHeight w:val="236"/>
        </w:trPr>
        <w:tc>
          <w:tcPr>
            <w:tcW w:w="5820" w:type="dxa"/>
            <w:vAlign w:val="bottom"/>
          </w:tcPr>
          <w:p>
            <w:pPr>
              <w:ind w:left="20"/>
              <w:spacing w:after="0"/>
              <w:rPr>
                <w:sz w:val="20"/>
                <w:szCs w:val="20"/>
                <w:color w:val="auto"/>
              </w:rPr>
            </w:pPr>
            <w:r>
              <w:rPr>
                <w:rFonts w:ascii="Arial" w:cs="Arial" w:eastAsia="Arial" w:hAnsi="Arial"/>
                <w:sz w:val="18"/>
                <w:szCs w:val="18"/>
                <w:color w:val="auto"/>
              </w:rPr>
              <w:t>S&amp;P 400 Midcap Stock Index</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121</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150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128</w:t>
            </w:r>
          </w:p>
        </w:tc>
      </w:tr>
      <w:tr>
        <w:trPr>
          <w:trHeight w:val="242"/>
        </w:trPr>
        <w:tc>
          <w:tcPr>
            <w:tcW w:w="58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5"/>
              </w:rPr>
              <w:t>S&amp;P 1500 Human Resources and Employment Services Sub-Industry Index</w:t>
            </w: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83</w:t>
            </w:r>
          </w:p>
        </w:tc>
        <w:tc>
          <w:tcPr>
            <w:tcW w:w="3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100</w:t>
            </w: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99</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148</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32" w:name="page33"/>
    <w:bookmarkEnd w:id="32"/>
    <w:p>
      <w:pPr>
        <w:ind w:right="3840"/>
        <w:spacing w:after="0" w:line="462"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u w:val="single" w:color="auto"/>
          <w:color w:val="auto"/>
        </w:rPr>
        <w:t>Financial Measures — Constant Currency And Organic Constant Currency</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4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ongoing business.</w:t>
      </w:r>
    </w:p>
    <w:p>
      <w:pPr>
        <w:spacing w:after="0" w:line="15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16"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Constant currency and organic constant currency percent variances, along with a reconciliation of these amounts to certain of our reported results, are included in the Financial Measures section found in Item 7. "Management's Discussion and Analysis of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 - For Years of Operation Ending December 31, 2022 and 2021</w:t>
      </w:r>
    </w:p>
    <w:p>
      <w:pPr>
        <w:spacing w:after="0" w:line="197" w:lineRule="exact"/>
        <w:rPr>
          <w:sz w:val="20"/>
          <w:szCs w:val="20"/>
          <w:color w:val="auto"/>
        </w:rPr>
      </w:pPr>
    </w:p>
    <w:p>
      <w:pPr>
        <w:jc w:val="both"/>
        <w:spacing w:after="0" w:line="275" w:lineRule="auto"/>
        <w:rPr>
          <w:rFonts w:ascii="Arial" w:cs="Arial" w:eastAsia="Arial" w:hAnsi="Arial"/>
          <w:sz w:val="18"/>
          <w:szCs w:val="18"/>
          <w:color w:val="0000FF"/>
        </w:rPr>
      </w:pPr>
      <w:r>
        <w:rPr>
          <w:rFonts w:ascii="Arial" w:cs="Arial" w:eastAsia="Arial" w:hAnsi="Arial"/>
          <w:sz w:val="18"/>
          <w:szCs w:val="18"/>
          <w:color w:val="auto"/>
        </w:rPr>
        <w:t xml:space="preserve">The financial discussion that follows focuses on 2022 results compared to 2021. For a discussion of 2021 results compared to 2020, see the company’s </w:t>
      </w:r>
      <w:hyperlink r:id="rId45">
        <w:r>
          <w:rPr>
            <w:rFonts w:ascii="Arial" w:cs="Arial" w:eastAsia="Arial" w:hAnsi="Arial"/>
            <w:sz w:val="18"/>
            <w:szCs w:val="18"/>
            <w:u w:val="single" w:color="auto"/>
            <w:color w:val="0000FF"/>
          </w:rPr>
          <w:t>Annual Report on Form 10-K for the year ended December 31, 2021</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31299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2022, revenues decreased -4.3% in 2022 compared to 2021. Our 2022 results reflected the negative impact of foreign currency translation, partially offset by increased demand for our services in most of our key markets. However, we also believe that downside risks to the global economic outlook have increased significantly in Europe and North America. This economic risk is particularly high in Europe, driven by elevated inflation, rising energy prices, the Russia-Ukraine war and higher interest rates. Within Europe, Germany's industrial economy is especially sensitive to increases in energy costs, which could impact other countries given the importance of the German economy. Our France operation has an outsized exposure to the Russia-Ukraine war due to the impact of supply chain constraints on demand for our services in certain sectors, primarily automotive and construction, and to a lesser degree, logistics. As Europe represents a significant portion of our operations, we continue to monitor economic conditions in our Southern Europe and Northern Europe regions.</w:t>
      </w:r>
    </w:p>
    <w:p>
      <w:pPr>
        <w:spacing w:after="0" w:line="15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During 2022, the United States dollar was stronger, on average, relative to the currencies in our European markets, which therefore had an unfavorable impact on our reported results. The changes in the foreign currency exchange rates had a -9.2% unfavorable impact on revenues from services and an approximately $0.88 per share unfavorable impact on net earnings per share – diluted in 2022. Substantially all of our subsidiaries derive revenues from services and incur expenses within the same local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3" w:name="page34"/>
    <w:bookmarkEnd w:id="33"/>
    <w:p>
      <w:pPr>
        <w:jc w:val="both"/>
        <w:spacing w:after="0" w:line="271" w:lineRule="auto"/>
        <w:rPr>
          <w:sz w:val="20"/>
          <w:szCs w:val="20"/>
          <w:color w:val="auto"/>
        </w:rPr>
      </w:pPr>
      <w:r>
        <w:rPr>
          <w:rFonts w:ascii="Arial" w:cs="Arial" w:eastAsia="Arial" w:hAnsi="Arial"/>
          <w:sz w:val="17"/>
          <w:szCs w:val="17"/>
          <w:color w:val="auto"/>
        </w:rPr>
        <w:t>During 2022, we experienced the following quarterly changes to our consolidated revenues compared to 2021: a 4.4% increase in revenue in the first quarter due to the impact of acquisitions and increased demand, partially offset by the unfavorable impact of currency exchange rates; a revenue decrease of -3.8% in the second quarter due to the significant strengthening of the dollar causing an unfavorable impact of currency exchange rates, partially offset by the impact of acquisitions and slightly more billing days; -6.6% decrease in revenues in the third quarter due to the continued unfavorable impact of currency exchange rates, partially offset by increased demand for our staffing/interim services in key markets and the impact of acquisitions; and ending the year with a -10.6% revenue decrease in the fourth quarter of 2022 reflecting a deteriorating economic environment during the quarter, particularly across Europe and North America, and the unfavorable impact of currency exchange rates.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2022 compared to 2021, most of our markets experienced revenue decreases due to the strengthening of the dollar, partially offset by strong labor markets and continued solid demand. We experienced a -8.7% revenue decrease in Southern Europe, mainly driven by the unfavorable impact of currency exchange rates, offset by increased demand in France and Italy. We experienced a -13.3% revenue decrease in Northern Europe primarily due to the unfavorable impact of currency exchange rates, partially offset by increased demand in our permanent recruitment business. Revenues increased 15.8% in the Americas primarily driven by our acquisition of the ettain group in the United States in the fourth quarter of 2021, which now operates as part of our Experis brand, increased demand for our staffing/interim services and increased demand for our permanent recruitment business. We refer to the ettain group acquisition as the "Experis acquisition". We experienced a -3.8% revenue decrease in APME primarily due to the unfavorable impact of changes in currency exchange rates.</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a brand perspective, we experienced a revenue decrease in Manpower, and revenue increases in Experis and Talent Solutions during 2022 compared to 2021. The revenue decrease in our Manpower brand was due to the unfavorable currency exchange rate impact, partially offset by increased demand for staffing services and solid demand in our permanent recruitment business. In our Experis brand, the revenue increase was primarily due to the Experis acquisition in the United States, improved demand for our interim services and increased demand in our permanent recruitment business, partially offset by unfavorable exchange rates. On an overall basis, the revenue increase in our Talent Solutions brand, which includes Recruitment Process Outsourcing (RPO), TAPFIN - Managed Service Provider (MSP) and our Right Management offerings, was driven mostly by increased demand for our RPO services as the permanent recruitment environment was strong during the year.</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gross profit margin improved in 2022 compared to 2021 primarily due to a favorable change in business mix as our higher-margin permanent recruitment business, which experienced a 22.5% increase (32.3% in constant currency and 31.0% in organic constant currency) during 2022 as a result of stronger hiring activity, represented a higher percentage of the revenue mix in our largest markets. The increase was also due to the improvement in our staffing/interim margin in all of our major markets, margin improvement in our Experis managed services business in Europe, and a higher percentage of revenue mix coming from our higher-margin consulting and MSP services. These increases were partially offset by a lower mix of revenues coming from our higher-margin Right Management career transition business.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recorded a $50.0 million goodwill impairment charge related to our Netherlands reporting unit in the fourth quarter of 2022. We recorded restructuring costs of $3.6 million in 2022, compared to $15.2 million in 2021. We recorded integration costs of $14.7 million in 2022 relating to our Experis acquisition in the fourth quarter of 2021, compared to Experis acquisition and integration costs of $18.8 million in 2021. We recorded a net loss on the sale of our Russia business of $8.0 million, which was comprised of a $9.7 million loss in selling and administrative expenses, offset by a $1.7 million gain in interest and other expenses representing a cumulative translation adjustment. We recorded a net loss on the sale of our Hungary business of $2.0 million, which was comprised of a $0.8 million loss in selling and administrative expenses and a $1.2 million loss in interest and other expenses representing cumulative translation adjustments. We also recognized a one-time gain of $10.0 million related to a long-term obligation in Northern Europe in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34" w:name="page35"/>
    <w:bookmarkEnd w:id="34"/>
    <w:p>
      <w:pPr>
        <w:jc w:val="both"/>
        <w:ind w:right="60"/>
        <w:spacing w:after="0" w:line="272" w:lineRule="auto"/>
        <w:rPr>
          <w:sz w:val="20"/>
          <w:szCs w:val="20"/>
          <w:color w:val="auto"/>
        </w:rPr>
      </w:pPr>
      <w:r>
        <w:rPr>
          <w:rFonts w:ascii="Arial" w:cs="Arial" w:eastAsia="Arial" w:hAnsi="Arial"/>
          <w:sz w:val="17"/>
          <w:szCs w:val="17"/>
          <w:color w:val="auto"/>
        </w:rPr>
        <w:t>Our operating profit decreased -0.6% in 2022 while our operating profit margin increased 10 basis points compared to 2021. Excluding the effects of currency exchange rates, a goodwill impairment charge incurred in 2022 related to our Netherlands reporting unit, a loss from the disposition of subsidiaries incurred in 2022, the one-time gain related to a Northern Europe long-term obligation in 2021, restructuring costs incurred in 2022 and 2021, and acquisition integration costs incurred in 2022 and 2021, our operating profit was up 20.8%. Excluding the impact of the items previously listed, our operating profit margin increased 50 basis points compared to 2021. The operating profit margin increased mostly due to the improvement in our gross profit margin and our ability to support an increase in revenues without a similar increase in selling and administrative expenses.</w:t>
      </w:r>
    </w:p>
    <w:p>
      <w:pPr>
        <w:spacing w:after="0" w:line="151"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color w:val="auto"/>
        </w:rPr>
        <w:t>We continue to monitor expenses closely to ensure we maintain the benefit of our efforts to optimize our organizational and cost structures, while investing appropriately to support the ability of the business to grow in the future and enhance our productivity, technology and digital capabilities. We are focused on managing costs as efficiently as possible in the short-term while continuing to progress transformational actions aligned with our strategic priorities.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Results - 2022 compared to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2022 as compared to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Variance in</w:t>
            </w:r>
          </w:p>
        </w:tc>
      </w:tr>
      <w:tr>
        <w:trPr>
          <w:trHeight w:val="148"/>
        </w:trPr>
        <w:tc>
          <w:tcPr>
            <w:tcW w:w="5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jc w:val="right"/>
              <w:ind w:right="235"/>
              <w:spacing w:after="0" w:line="148" w:lineRule="exact"/>
              <w:rPr>
                <w:sz w:val="20"/>
                <w:szCs w:val="20"/>
                <w:color w:val="auto"/>
              </w:rPr>
            </w:pPr>
            <w:r>
              <w:rPr>
                <w:rFonts w:ascii="Arial" w:cs="Arial" w:eastAsia="Arial" w:hAnsi="Arial"/>
                <w:sz w:val="14"/>
                <w:szCs w:val="14"/>
                <w:color w:val="auto"/>
              </w:rPr>
              <w:t>Variance in</w:t>
            </w:r>
          </w:p>
        </w:tc>
        <w:tc>
          <w:tcPr>
            <w:tcW w:w="9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Organic</w:t>
            </w:r>
          </w:p>
        </w:tc>
      </w:tr>
      <w:tr>
        <w:trPr>
          <w:trHeight w:val="148"/>
        </w:trPr>
        <w:tc>
          <w:tcPr>
            <w:tcW w:w="5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jc w:val="right"/>
              <w:ind w:right="273"/>
              <w:spacing w:after="0" w:line="148" w:lineRule="exact"/>
              <w:rPr>
                <w:sz w:val="20"/>
                <w:szCs w:val="20"/>
                <w:color w:val="auto"/>
              </w:rPr>
            </w:pPr>
            <w:r>
              <w:rPr>
                <w:rFonts w:ascii="Arial" w:cs="Arial" w:eastAsia="Arial" w:hAnsi="Arial"/>
                <w:sz w:val="14"/>
                <w:szCs w:val="14"/>
                <w:color w:val="auto"/>
              </w:rPr>
              <w:t>Reported</w:t>
            </w:r>
          </w:p>
        </w:tc>
        <w:tc>
          <w:tcPr>
            <w:tcW w:w="1080" w:type="dxa"/>
            <w:vAlign w:val="bottom"/>
          </w:tcPr>
          <w:p>
            <w:pPr>
              <w:jc w:val="right"/>
              <w:ind w:right="235"/>
              <w:spacing w:after="0" w:line="148" w:lineRule="exact"/>
              <w:rPr>
                <w:sz w:val="20"/>
                <w:szCs w:val="20"/>
                <w:color w:val="auto"/>
              </w:rPr>
            </w:pPr>
            <w:r>
              <w:rPr>
                <w:rFonts w:ascii="Arial" w:cs="Arial" w:eastAsia="Arial" w:hAnsi="Arial"/>
                <w:sz w:val="14"/>
                <w:szCs w:val="14"/>
                <w:color w:val="auto"/>
              </w:rPr>
              <w:t>Constant</w:t>
            </w:r>
          </w:p>
        </w:tc>
        <w:tc>
          <w:tcPr>
            <w:tcW w:w="9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Constant</w:t>
            </w:r>
          </w:p>
        </w:tc>
      </w:tr>
      <w:tr>
        <w:trPr>
          <w:trHeight w:val="18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2021</w:t>
            </w: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Variance</w:t>
            </w: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Currency</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Currency</w:t>
            </w:r>
          </w:p>
        </w:tc>
        <w:tc>
          <w:tcPr>
            <w:tcW w:w="60" w:type="dxa"/>
            <w:vAlign w:val="bottom"/>
          </w:tcPr>
          <w:p>
            <w:pPr>
              <w:spacing w:after="0"/>
              <w:rPr>
                <w:sz w:val="15"/>
                <w:szCs w:val="15"/>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Revenues from services</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19,827.5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20,724.4</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(4.3 )%</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4.9 %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2.6 %</w:t>
            </w:r>
          </w:p>
        </w:tc>
      </w:tr>
      <w:tr>
        <w:trPr>
          <w:trHeight w:val="248"/>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services</w:t>
            </w:r>
          </w:p>
        </w:tc>
        <w:tc>
          <w:tcPr>
            <w:tcW w:w="6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16,255.1</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17,316.9</w:t>
            </w:r>
          </w:p>
        </w:tc>
        <w:tc>
          <w:tcPr>
            <w:tcW w:w="10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(6.1 )</w:t>
            </w: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3.1</w:t>
            </w:r>
          </w:p>
        </w:tc>
        <w:tc>
          <w:tcPr>
            <w:tcW w:w="9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42"/>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3,572.4</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3,407.5</w:t>
            </w:r>
          </w:p>
        </w:tc>
        <w:tc>
          <w:tcPr>
            <w:tcW w:w="104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4.8</w:t>
            </w:r>
          </w:p>
        </w:tc>
        <w:tc>
          <w:tcPr>
            <w:tcW w:w="1080" w:type="dxa"/>
            <w:vAlign w:val="bottom"/>
            <w:shd w:val="clear" w:color="auto" w:fill="CFF0FC"/>
          </w:tcPr>
          <w:p>
            <w:pPr>
              <w:jc w:val="right"/>
              <w:ind w:right="235"/>
              <w:spacing w:after="0"/>
              <w:rPr>
                <w:sz w:val="20"/>
                <w:szCs w:val="20"/>
                <w:color w:val="auto"/>
              </w:rPr>
            </w:pPr>
            <w:r>
              <w:rPr>
                <w:rFonts w:ascii="Arial" w:cs="Arial" w:eastAsia="Arial" w:hAnsi="Arial"/>
                <w:sz w:val="18"/>
                <w:szCs w:val="18"/>
                <w:color w:val="auto"/>
              </w:rPr>
              <w:t>13.8</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1"/>
                <w:szCs w:val="2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Gross profit margin</w:t>
            </w:r>
          </w:p>
        </w:tc>
        <w:tc>
          <w:tcPr>
            <w:tcW w:w="620" w:type="dxa"/>
            <w:vAlign w:val="bottom"/>
          </w:tcPr>
          <w:p>
            <w:pPr>
              <w:spacing w:after="0"/>
              <w:rPr>
                <w:sz w:val="20"/>
                <w:szCs w:val="20"/>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8"/>
                <w:szCs w:val="18"/>
                <w:i w:val="1"/>
                <w:iCs w:val="1"/>
                <w:color w:val="auto"/>
              </w:rPr>
              <w:t>18.0 %</w:t>
            </w:r>
          </w:p>
        </w:tc>
        <w:tc>
          <w:tcPr>
            <w:tcW w:w="1160" w:type="dxa"/>
            <w:vAlign w:val="bottom"/>
          </w:tcPr>
          <w:p>
            <w:pPr>
              <w:jc w:val="right"/>
              <w:ind w:right="71"/>
              <w:spacing w:after="0"/>
              <w:rPr>
                <w:sz w:val="20"/>
                <w:szCs w:val="20"/>
                <w:color w:val="auto"/>
              </w:rPr>
            </w:pPr>
            <w:r>
              <w:rPr>
                <w:rFonts w:ascii="Arial" w:cs="Arial" w:eastAsia="Arial" w:hAnsi="Arial"/>
                <w:sz w:val="18"/>
                <w:szCs w:val="18"/>
                <w:i w:val="1"/>
                <w:iCs w:val="1"/>
                <w:color w:val="auto"/>
              </w:rPr>
              <w:t>16.4 %</w:t>
            </w: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1"/>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Selling and administrative expenses, excluding goodwill impairment</w:t>
            </w:r>
          </w:p>
        </w:tc>
        <w:tc>
          <w:tcPr>
            <w:tcW w:w="6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charges</w:t>
            </w:r>
          </w:p>
        </w:tc>
        <w:tc>
          <w:tcPr>
            <w:tcW w:w="6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2,940.7</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2,822.1</w:t>
            </w:r>
          </w:p>
        </w:tc>
        <w:tc>
          <w:tcPr>
            <w:tcW w:w="104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4.2</w:t>
            </w:r>
          </w:p>
        </w:tc>
        <w:tc>
          <w:tcPr>
            <w:tcW w:w="1080" w:type="dxa"/>
            <w:vAlign w:val="bottom"/>
            <w:shd w:val="clear" w:color="auto" w:fill="CFF0FC"/>
          </w:tcPr>
          <w:p>
            <w:pPr>
              <w:jc w:val="right"/>
              <w:ind w:right="235"/>
              <w:spacing w:after="0"/>
              <w:rPr>
                <w:sz w:val="20"/>
                <w:szCs w:val="20"/>
                <w:color w:val="auto"/>
              </w:rPr>
            </w:pPr>
            <w:r>
              <w:rPr>
                <w:rFonts w:ascii="Arial" w:cs="Arial" w:eastAsia="Arial" w:hAnsi="Arial"/>
                <w:sz w:val="18"/>
                <w:szCs w:val="18"/>
                <w:color w:val="auto"/>
              </w:rPr>
              <w:t>12.4</w:t>
            </w:r>
          </w:p>
        </w:tc>
        <w:tc>
          <w:tcPr>
            <w:tcW w:w="9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impairment charges</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50.0</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and administrative expenses</w:t>
            </w:r>
          </w:p>
        </w:tc>
        <w:tc>
          <w:tcPr>
            <w:tcW w:w="6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2,990.7</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2,822.1</w:t>
            </w:r>
          </w:p>
        </w:tc>
        <w:tc>
          <w:tcPr>
            <w:tcW w:w="104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6.0</w:t>
            </w:r>
          </w:p>
        </w:tc>
        <w:tc>
          <w:tcPr>
            <w:tcW w:w="1080" w:type="dxa"/>
            <w:vAlign w:val="bottom"/>
            <w:shd w:val="clear" w:color="auto" w:fill="CFF0FC"/>
          </w:tcPr>
          <w:p>
            <w:pPr>
              <w:jc w:val="right"/>
              <w:ind w:right="235"/>
              <w:spacing w:after="0"/>
              <w:rPr>
                <w:sz w:val="20"/>
                <w:szCs w:val="20"/>
                <w:color w:val="auto"/>
              </w:rPr>
            </w:pPr>
            <w:r>
              <w:rPr>
                <w:rFonts w:ascii="Arial" w:cs="Arial" w:eastAsia="Arial" w:hAnsi="Arial"/>
                <w:sz w:val="18"/>
                <w:szCs w:val="18"/>
                <w:color w:val="auto"/>
              </w:rPr>
              <w:t>14.3</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1"/>
                <w:szCs w:val="21"/>
                <w:color w:val="auto"/>
              </w:rPr>
            </w:pPr>
          </w:p>
        </w:tc>
      </w:tr>
      <w:tr>
        <w:trPr>
          <w:trHeight w:val="23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Selling and administrative expenses as a % of revenues</w:t>
            </w:r>
          </w:p>
        </w:tc>
        <w:tc>
          <w:tcPr>
            <w:tcW w:w="6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i w:val="1"/>
                <w:iCs w:val="1"/>
                <w:color w:val="auto"/>
              </w:rPr>
              <w:t>15.1 %</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i w:val="1"/>
                <w:iCs w:val="1"/>
                <w:color w:val="auto"/>
              </w:rPr>
              <w:t>13.6 %</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profit</w:t>
            </w:r>
          </w:p>
        </w:tc>
        <w:tc>
          <w:tcPr>
            <w:tcW w:w="6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581.7</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585.4</w:t>
            </w:r>
          </w:p>
        </w:tc>
        <w:tc>
          <w:tcPr>
            <w:tcW w:w="104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(0.6 )</w:t>
            </w:r>
          </w:p>
        </w:tc>
        <w:tc>
          <w:tcPr>
            <w:tcW w:w="1080" w:type="dxa"/>
            <w:vAlign w:val="bottom"/>
            <w:shd w:val="clear" w:color="auto" w:fill="CFF0FC"/>
          </w:tcPr>
          <w:p>
            <w:pPr>
              <w:jc w:val="right"/>
              <w:ind w:right="235"/>
              <w:spacing w:after="0"/>
              <w:rPr>
                <w:sz w:val="20"/>
                <w:szCs w:val="20"/>
                <w:color w:val="auto"/>
              </w:rPr>
            </w:pPr>
            <w:r>
              <w:rPr>
                <w:rFonts w:ascii="Arial" w:cs="Arial" w:eastAsia="Arial" w:hAnsi="Arial"/>
                <w:sz w:val="18"/>
                <w:szCs w:val="18"/>
                <w:color w:val="auto"/>
              </w:rPr>
              <w:t>11.7</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1"/>
                <w:szCs w:val="2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Operating profit margin</w:t>
            </w:r>
          </w:p>
        </w:tc>
        <w:tc>
          <w:tcPr>
            <w:tcW w:w="620" w:type="dxa"/>
            <w:vAlign w:val="bottom"/>
          </w:tcPr>
          <w:p>
            <w:pPr>
              <w:spacing w:after="0"/>
              <w:rPr>
                <w:sz w:val="20"/>
                <w:szCs w:val="20"/>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8"/>
                <w:szCs w:val="18"/>
                <w:i w:val="1"/>
                <w:iCs w:val="1"/>
                <w:color w:val="auto"/>
              </w:rPr>
              <w:t>2.9 %</w:t>
            </w:r>
          </w:p>
        </w:tc>
        <w:tc>
          <w:tcPr>
            <w:tcW w:w="1160" w:type="dxa"/>
            <w:vAlign w:val="bottom"/>
          </w:tcPr>
          <w:p>
            <w:pPr>
              <w:jc w:val="right"/>
              <w:ind w:right="71"/>
              <w:spacing w:after="0"/>
              <w:rPr>
                <w:sz w:val="20"/>
                <w:szCs w:val="20"/>
                <w:color w:val="auto"/>
              </w:rPr>
            </w:pPr>
            <w:r>
              <w:rPr>
                <w:rFonts w:ascii="Arial" w:cs="Arial" w:eastAsia="Arial" w:hAnsi="Arial"/>
                <w:sz w:val="18"/>
                <w:szCs w:val="18"/>
                <w:i w:val="1"/>
                <w:iCs w:val="1"/>
                <w:color w:val="auto"/>
              </w:rPr>
              <w:t>2.8 %</w:t>
            </w: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interest expense</w:t>
            </w:r>
          </w:p>
        </w:tc>
        <w:tc>
          <w:tcPr>
            <w:tcW w:w="6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29.0</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26.8</w:t>
            </w:r>
          </w:p>
        </w:tc>
        <w:tc>
          <w:tcPr>
            <w:tcW w:w="10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2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expenses (income), net</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(9.5 )</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before income taxes</w:t>
            </w:r>
          </w:p>
        </w:tc>
        <w:tc>
          <w:tcPr>
            <w:tcW w:w="6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557.1</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568.1</w:t>
            </w:r>
          </w:p>
        </w:tc>
        <w:tc>
          <w:tcPr>
            <w:tcW w:w="104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(1.9 )</w:t>
            </w:r>
          </w:p>
        </w:tc>
        <w:tc>
          <w:tcPr>
            <w:tcW w:w="1080" w:type="dxa"/>
            <w:vAlign w:val="bottom"/>
            <w:shd w:val="clear" w:color="auto" w:fill="CFF0FC"/>
          </w:tcPr>
          <w:p>
            <w:pPr>
              <w:jc w:val="right"/>
              <w:ind w:right="235"/>
              <w:spacing w:after="0"/>
              <w:rPr>
                <w:sz w:val="20"/>
                <w:szCs w:val="20"/>
                <w:color w:val="auto"/>
              </w:rPr>
            </w:pPr>
            <w:r>
              <w:rPr>
                <w:rFonts w:ascii="Arial" w:cs="Arial" w:eastAsia="Arial" w:hAnsi="Arial"/>
                <w:sz w:val="18"/>
                <w:szCs w:val="18"/>
                <w:color w:val="auto"/>
              </w:rPr>
              <w:t>10.2</w:t>
            </w:r>
          </w:p>
        </w:tc>
        <w:tc>
          <w:tcPr>
            <w:tcW w:w="9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183.3</w:t>
            </w:r>
          </w:p>
        </w:tc>
        <w:tc>
          <w:tcPr>
            <w:tcW w:w="320" w:type="dxa"/>
            <w:vAlign w:val="bottom"/>
          </w:tcPr>
          <w:p>
            <w:pPr>
              <w:spacing w:after="0"/>
              <w:rPr>
                <w:sz w:val="20"/>
                <w:szCs w:val="20"/>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185.7</w:t>
            </w:r>
          </w:p>
        </w:tc>
        <w:tc>
          <w:tcPr>
            <w:tcW w:w="1040" w:type="dxa"/>
            <w:vAlign w:val="bottom"/>
          </w:tcPr>
          <w:p>
            <w:pPr>
              <w:jc w:val="right"/>
              <w:ind w:right="193"/>
              <w:spacing w:after="0"/>
              <w:rPr>
                <w:sz w:val="20"/>
                <w:szCs w:val="20"/>
                <w:color w:val="auto"/>
              </w:rPr>
            </w:pPr>
            <w:r>
              <w:rPr>
                <w:rFonts w:ascii="Arial" w:cs="Arial" w:eastAsia="Arial" w:hAnsi="Arial"/>
                <w:sz w:val="18"/>
                <w:szCs w:val="18"/>
                <w:color w:val="auto"/>
              </w:rPr>
              <w:t>(1.3 )</w:t>
            </w: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52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i w:val="1"/>
                <w:iCs w:val="1"/>
                <w:color w:val="auto"/>
              </w:rPr>
              <w:t>Effective income tax rate</w:t>
            </w:r>
          </w:p>
        </w:tc>
        <w:tc>
          <w:tcPr>
            <w:tcW w:w="6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ind w:right="190"/>
              <w:spacing w:after="0"/>
              <w:rPr>
                <w:sz w:val="20"/>
                <w:szCs w:val="20"/>
                <w:color w:val="auto"/>
              </w:rPr>
            </w:pPr>
            <w:r>
              <w:rPr>
                <w:rFonts w:ascii="Arial" w:cs="Arial" w:eastAsia="Arial" w:hAnsi="Arial"/>
                <w:sz w:val="18"/>
                <w:szCs w:val="18"/>
                <w:i w:val="1"/>
                <w:iCs w:val="1"/>
                <w:color w:val="auto"/>
              </w:rPr>
              <w:t>32.9 %</w:t>
            </w:r>
          </w:p>
        </w:tc>
        <w:tc>
          <w:tcPr>
            <w:tcW w:w="11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i w:val="1"/>
                <w:iCs w:val="1"/>
                <w:color w:val="auto"/>
              </w:rPr>
              <w:t>32.7 %</w:t>
            </w:r>
          </w:p>
        </w:tc>
        <w:tc>
          <w:tcPr>
            <w:tcW w:w="10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w:t>
            </w: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373.8</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382.4</w:t>
            </w:r>
          </w:p>
        </w:tc>
        <w:tc>
          <w:tcPr>
            <w:tcW w:w="10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(2.2 )</w:t>
            </w: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9.9</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5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earnings per share - diluted</w:t>
            </w:r>
          </w:p>
        </w:tc>
        <w:tc>
          <w:tcPr>
            <w:tcW w:w="62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7.08</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251"/>
              <w:spacing w:after="0"/>
              <w:rPr>
                <w:sz w:val="20"/>
                <w:szCs w:val="20"/>
                <w:color w:val="auto"/>
              </w:rPr>
            </w:pPr>
            <w:r>
              <w:rPr>
                <w:rFonts w:ascii="Arial" w:cs="Arial" w:eastAsia="Arial" w:hAnsi="Arial"/>
                <w:sz w:val="18"/>
                <w:szCs w:val="18"/>
                <w:color w:val="auto"/>
              </w:rPr>
              <w:t>6.91</w:t>
            </w:r>
          </w:p>
        </w:tc>
        <w:tc>
          <w:tcPr>
            <w:tcW w:w="1040" w:type="dxa"/>
            <w:vAlign w:val="bottom"/>
            <w:tcBorders>
              <w:bottom w:val="single" w:sz="8" w:color="auto"/>
            </w:tcBorders>
            <w:shd w:val="clear" w:color="auto" w:fill="CFF0FC"/>
          </w:tcPr>
          <w:p>
            <w:pPr>
              <w:jc w:val="right"/>
              <w:ind w:right="273"/>
              <w:spacing w:after="0"/>
              <w:rPr>
                <w:sz w:val="20"/>
                <w:szCs w:val="20"/>
                <w:color w:val="auto"/>
              </w:rPr>
            </w:pPr>
            <w:r>
              <w:rPr>
                <w:rFonts w:ascii="Arial" w:cs="Arial" w:eastAsia="Arial" w:hAnsi="Arial"/>
                <w:sz w:val="18"/>
                <w:szCs w:val="18"/>
                <w:color w:val="auto"/>
              </w:rPr>
              <w:t>2.6</w:t>
            </w:r>
          </w:p>
        </w:tc>
        <w:tc>
          <w:tcPr>
            <w:tcW w:w="1080" w:type="dxa"/>
            <w:vAlign w:val="bottom"/>
            <w:tcBorders>
              <w:bottom w:val="single" w:sz="8" w:color="auto"/>
            </w:tcBorders>
            <w:shd w:val="clear" w:color="auto" w:fill="CFF0FC"/>
          </w:tcPr>
          <w:p>
            <w:pPr>
              <w:jc w:val="right"/>
              <w:ind w:right="235"/>
              <w:spacing w:after="0"/>
              <w:rPr>
                <w:sz w:val="20"/>
                <w:szCs w:val="20"/>
                <w:color w:val="auto"/>
              </w:rPr>
            </w:pPr>
            <w:r>
              <w:rPr>
                <w:rFonts w:ascii="Arial" w:cs="Arial" w:eastAsia="Arial" w:hAnsi="Arial"/>
                <w:sz w:val="18"/>
                <w:szCs w:val="18"/>
                <w:color w:val="auto"/>
              </w:rPr>
              <w:t>15.3</w:t>
            </w:r>
          </w:p>
        </w:tc>
        <w:tc>
          <w:tcPr>
            <w:tcW w:w="900" w:type="dxa"/>
            <w:vAlign w:val="bottom"/>
            <w:tcBorders>
              <w:bottom w:val="single" w:sz="8" w:color="auto"/>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52.8</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55.4</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(4.7 )%</w:t>
            </w:r>
          </w:p>
        </w:tc>
        <w:tc>
          <w:tcPr>
            <w:tcW w:w="10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646"/>
        </w:trPr>
        <w:tc>
          <w:tcPr>
            <w:tcW w:w="52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4"/>
        </w:trPr>
        <w:tc>
          <w:tcPr>
            <w:tcW w:w="52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-3467735</wp:posOffset>
            </wp:positionV>
            <wp:extent cx="7132955" cy="153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15" w:right="279" w:bottom="1440" w:gutter="0" w:footer="0" w:header="0"/>
        </w:sectPr>
      </w:pPr>
    </w:p>
    <w:bookmarkStart w:id="35" w:name="page36"/>
    <w:bookmarkEnd w:id="35"/>
    <w:p>
      <w:pPr>
        <w:spacing w:after="0" w:line="275" w:lineRule="auto"/>
        <w:rPr>
          <w:sz w:val="20"/>
          <w:szCs w:val="20"/>
          <w:color w:val="auto"/>
        </w:rPr>
      </w:pPr>
      <w:r>
        <w:rPr>
          <w:rFonts w:ascii="Arial" w:cs="Arial" w:eastAsia="Arial" w:hAnsi="Arial"/>
          <w:sz w:val="18"/>
          <w:szCs w:val="18"/>
          <w:color w:val="auto"/>
        </w:rPr>
        <w:t>The year-over-year decrease in revenues from services of -4.3% (increase of 4.9% in constant currency and 2.6% in organic constant currency) was attributed to:</w:t>
      </w:r>
    </w:p>
    <w:p>
      <w:pPr>
        <w:spacing w:after="0" w:line="131" w:lineRule="exact"/>
        <w:rPr>
          <w:sz w:val="20"/>
          <w:szCs w:val="20"/>
          <w:color w:val="auto"/>
        </w:rPr>
      </w:pPr>
    </w:p>
    <w:p>
      <w:pPr>
        <w:jc w:val="both"/>
        <w:ind w:left="760" w:hanging="378"/>
        <w:spacing w:after="0" w:line="271" w:lineRule="auto"/>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revenue decrease in Southern Europe of -8.7% (increase of 2.0% in constant currency and 1.7% in organic constant currency). France, the largest market in Southern Europe, experienced a revenue decrease of -7.5% (increase of 4.0% in constant currency and 3.6% in organic constant currency), which was primarily due to the unfavorable impact of currency exchange rates, partially offset by increased demand for our Manpower staffing services and a 8.2% increase (21.7% in constant currency) in the permanent recruitment business. Italy, also part of Southern Europe, experienced a revenue decrease of -4.9% (increase of 6.8% in constant currency), which was primarily due to the unfavorable impact of changes in currency exchange rates, partially offset by increased demand for our Manpower staffing services and Experis interim services and a 12.4% increase (26.4% in constant currency) in the permanent recruitment business;</w:t>
      </w:r>
    </w:p>
    <w:p>
      <w:pPr>
        <w:spacing w:after="0" w:line="149" w:lineRule="exact"/>
        <w:rPr>
          <w:rFonts w:ascii="Arial" w:cs="Arial" w:eastAsia="Arial" w:hAnsi="Arial"/>
          <w:sz w:val="17"/>
          <w:szCs w:val="17"/>
          <w:color w:val="auto"/>
        </w:rPr>
      </w:pPr>
    </w:p>
    <w:p>
      <w:pPr>
        <w:jc w:val="both"/>
        <w:ind w:left="760" w:hanging="378"/>
        <w:spacing w:after="0" w:line="256"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revenue decrease in Northern Europe of -13.3% (-2.5% in constant currency and 0.0% in organic constant currency) primarily due to the unfavorable impact of changes in currency exchange rates and the decreased demand for our staffing/interim services, partially offset by the 22.0% increase (37.9% in constant currency) in the permanent recruitment business. We experienced revenue decreases in the United Kingdom, the Nordics, Germany, the Netherlands and Belgium of -13.9%, -5.1%, -18.0%, -15.7% and -8.8%, respectively (-4.3%, +8.6%, -8.0%, -5.5% and +2.6%, respectively, in constant currency);</w:t>
      </w:r>
    </w:p>
    <w:p>
      <w:pPr>
        <w:spacing w:after="0" w:line="147" w:lineRule="exact"/>
        <w:rPr>
          <w:rFonts w:ascii="Arial" w:cs="Arial" w:eastAsia="Arial" w:hAnsi="Arial"/>
          <w:sz w:val="18"/>
          <w:szCs w:val="18"/>
          <w:color w:val="auto"/>
        </w:rPr>
      </w:pPr>
    </w:p>
    <w:p>
      <w:pPr>
        <w:jc w:val="both"/>
        <w:ind w:left="760" w:hanging="378"/>
        <w:spacing w:after="0" w:line="262"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revenue decrease in APME of -3.8% (increase of 9.0% in constant currency) primarily due to the decrease in our Experis business, and the unfavorable impact of changes in currency exchange rates; partially offset by the 4.7% increase (15.7% in constant currency) in the permanent recruitment business; and</w:t>
      </w:r>
    </w:p>
    <w:p>
      <w:pPr>
        <w:spacing w:after="0" w:line="142" w:lineRule="exact"/>
        <w:rPr>
          <w:rFonts w:ascii="Arial" w:cs="Arial" w:eastAsia="Arial" w:hAnsi="Arial"/>
          <w:sz w:val="18"/>
          <w:szCs w:val="18"/>
          <w:color w:val="auto"/>
        </w:rPr>
      </w:pPr>
    </w:p>
    <w:p>
      <w:pPr>
        <w:jc w:val="both"/>
        <w:ind w:left="760" w:hanging="378"/>
        <w:spacing w:after="0" w:line="262"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revenue increase in the United States of 27.6% (6.5% on an organic basis) primarily driven by increased demand for our Experis staffing/interim services including the significant contribution to revenues from our Experis acquisition and increased demand in our permanent recruitment business of 41.6% (34.3% on an organic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160 basis point increase in gross profit margin was primarily attributed to:</w:t>
      </w:r>
    </w:p>
    <w:p>
      <w:pPr>
        <w:spacing w:after="0" w:line="197" w:lineRule="exact"/>
        <w:rPr>
          <w:sz w:val="20"/>
          <w:szCs w:val="20"/>
          <w:color w:val="auto"/>
        </w:rPr>
      </w:pPr>
    </w:p>
    <w:p>
      <w:pPr>
        <w:ind w:left="760" w:hanging="378"/>
        <w:spacing w:after="0" w:line="275"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60 basis point favorable change in business mix as the higher-margin permanent recruitment and Talent Solutions businesses saw increased hiring activity contribute to an increase in gross profit;</w:t>
      </w:r>
    </w:p>
    <w:p>
      <w:pPr>
        <w:spacing w:after="0" w:line="131"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40 basis point favorable impact from the improvement in the staffing/interim margins driven by our Manpower businesses;</w:t>
      </w:r>
    </w:p>
    <w:p>
      <w:pPr>
        <w:spacing w:after="0" w:line="183" w:lineRule="exact"/>
        <w:rPr>
          <w:rFonts w:ascii="Arial" w:cs="Arial" w:eastAsia="Arial" w:hAnsi="Arial"/>
          <w:sz w:val="18"/>
          <w:szCs w:val="18"/>
          <w:color w:val="auto"/>
        </w:rPr>
      </w:pPr>
    </w:p>
    <w:p>
      <w:pPr>
        <w:ind w:left="760" w:hanging="378"/>
        <w:spacing w:after="0" w:line="275"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40 basis point favorable impact from the Experis acquisition and the margin improvement and other solutions related services within Experis managed services; and</w:t>
      </w:r>
    </w:p>
    <w:p>
      <w:pPr>
        <w:spacing w:after="0" w:line="144"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20 basis point favorable impact from changes in currency exchange rates.</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6.0% increase in selling and administrative expenses in the year ended December 31, 2022 (14.3% in constant currency; 10.9% in organic constant currency) was primarily attributed to:</w:t>
      </w:r>
    </w:p>
    <w:p>
      <w:pPr>
        <w:spacing w:after="0" w:line="131" w:lineRule="exact"/>
        <w:rPr>
          <w:sz w:val="20"/>
          <w:szCs w:val="20"/>
          <w:color w:val="auto"/>
        </w:rPr>
      </w:pPr>
    </w:p>
    <w:p>
      <w:pPr>
        <w:ind w:left="760" w:hanging="378"/>
        <w:spacing w:after="0" w:line="275"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goodwill impairment charge of $50.0 million incurred in the year ended December 31, 2022 which was related to our Netherlands reporting unit;</w:t>
      </w:r>
    </w:p>
    <w:p>
      <w:pPr>
        <w:spacing w:after="0" w:line="144" w:lineRule="exact"/>
        <w:rPr>
          <w:rFonts w:ascii="Arial" w:cs="Arial" w:eastAsia="Arial" w:hAnsi="Arial"/>
          <w:sz w:val="18"/>
          <w:szCs w:val="18"/>
          <w:color w:val="auto"/>
        </w:rPr>
      </w:pPr>
    </w:p>
    <w:p>
      <w:pPr>
        <w:jc w:val="both"/>
        <w:ind w:left="760" w:right="20" w:hanging="378"/>
        <w:spacing w:after="0" w:line="262"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5.9% increase (14.2% in constant currency and 11.1% in organic constant currency) in personnel costs due to the increase in salary costs related to additional headcount as we invested in incremental recruiters and sales talent to support revenue. The increase in salary costs was also due to an increase in variable incentive costs as a result of increased profitability in most markets;</w:t>
      </w:r>
    </w:p>
    <w:p>
      <w:pPr>
        <w:spacing w:after="0" w:line="142"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$10.5 million loss on the disposition of subsidiaries in the year ended December 31, 2022;</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anniversary of a gain of $10.0 million related to a long-term obligation in Northern Europe in 2021; partially offset by</w:t>
      </w:r>
    </w:p>
    <w:p>
      <w:pPr>
        <w:spacing w:after="0" w:line="196" w:lineRule="exact"/>
        <w:rPr>
          <w:rFonts w:ascii="Arial" w:cs="Arial" w:eastAsia="Arial" w:hAnsi="Arial"/>
          <w:sz w:val="18"/>
          <w:szCs w:val="18"/>
          <w:color w:val="auto"/>
        </w:rPr>
      </w:pPr>
    </w:p>
    <w:p>
      <w:pPr>
        <w:ind w:left="760" w:hanging="378"/>
        <w:spacing w:after="0" w:line="275"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$14.7 million of acquisition transaction and integration costs incurred in the year ended December 31, 2022 compared to $18.8 million in the year ended December 31,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36" w:name="page37"/>
    <w:bookmarkEnd w:id="36"/>
    <w:p>
      <w:pPr>
        <w:jc w:val="both"/>
        <w:ind w:left="760" w:hanging="378"/>
        <w:spacing w:after="0" w:line="285"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-1.0% decrease (increase of 7.0% in constant currency and 5.0% in organic constant currency) in non-personnel related costs, excluding acquisition transaction and integration costs, restructuring costs, goodwill and other impairment charges, loss on disposition of subsidiaries and gain related to a long-term obligation in Northern Europe, primarily to support the increase in revenues;</w:t>
      </w:r>
    </w:p>
    <w:p>
      <w:pPr>
        <w:spacing w:after="0" w:line="137" w:lineRule="exact"/>
        <w:rPr>
          <w:rFonts w:ascii="Arial" w:cs="Arial" w:eastAsia="Arial" w:hAnsi="Arial"/>
          <w:sz w:val="17"/>
          <w:szCs w:val="17"/>
          <w:color w:val="auto"/>
        </w:rPr>
      </w:pPr>
    </w:p>
    <w:p>
      <w:pPr>
        <w:ind w:left="760" w:hanging="378"/>
        <w:spacing w:after="0" w:line="275"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restructuring costs to $3.6 million incurred in the year ended December 31, 2022 from $15.2 million in the year ended December 31, 2021; and</w:t>
      </w:r>
    </w:p>
    <w:p>
      <w:pPr>
        <w:spacing w:after="0" w:line="13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-8.3% decrease due to the impact of changes in currency exchange rates in markets.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Selling and administrative expenses as a percent of revenues increased 150 basis points in the year ended December 31, 2022 compared to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due primarily to:</w:t>
      </w:r>
    </w:p>
    <w:p>
      <w:pPr>
        <w:spacing w:after="0" w:line="182" w:lineRule="exact"/>
        <w:rPr>
          <w:sz w:val="20"/>
          <w:szCs w:val="20"/>
          <w:color w:val="auto"/>
        </w:rPr>
      </w:pPr>
    </w:p>
    <w:p>
      <w:pPr>
        <w:jc w:val="both"/>
        <w:ind w:left="760" w:right="20" w:hanging="378"/>
        <w:spacing w:after="0" w:line="262"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100 basis point unfavorable impact as personnel costs increased, due to the investment in incremental recruiters and sales talent based on increased market activity, without a similar rate of increase in revenues. The increase in salary costs was also due to an increase in variable incentive costs as a result of increased profitability in most markets;</w:t>
      </w:r>
    </w:p>
    <w:p>
      <w:pPr>
        <w:spacing w:after="0" w:line="142"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30 basis point unfavorable impact as a result of the increase in goodwill;</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30 basis point unfavorable impact from changes in currency exchange rates; partially offset by</w:t>
      </w:r>
    </w:p>
    <w:p>
      <w:pPr>
        <w:spacing w:after="0" w:line="196" w:lineRule="exact"/>
        <w:rPr>
          <w:rFonts w:ascii="Arial" w:cs="Arial" w:eastAsia="Arial" w:hAnsi="Arial"/>
          <w:sz w:val="18"/>
          <w:szCs w:val="18"/>
          <w:color w:val="auto"/>
        </w:rPr>
      </w:pPr>
    </w:p>
    <w:p>
      <w:pPr>
        <w:ind w:left="760" w:hanging="378"/>
        <w:spacing w:after="0" w:line="275"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10 basis point favorable impact as a result of the decrease in restructuring costs in the year ended December 31, 2022 compared to the year ended December 31, 2021.</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and other expenses, net is comprised of interest, foreign exchange gains and losses and other miscellaneous non-operating income and expenses, including noncontrolling interests. Interest and other expenses, net was $24.6 million in 2022 compared to $17.3 million in 2021. Net interest expense increased $8.1 million in 2022 to $46.9 million from $38.8 million in 2021 primarily due to the higher interest rate on our €400.0 million notes offered and sold in June 2022 compared to the interest rate on the €400.0 million notes due September 2022 that were repaid in July 2022. Miscellaneous income was $16.3 million in 2022 compared to miscellaneous expense of $14.7 million in 2021.</w:t>
      </w:r>
    </w:p>
    <w:p>
      <w:pPr>
        <w:spacing w:after="0" w:line="14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recorded income tax expense at an effective rate of 32.9% for 2022, as compared to an effective rate of 32.7% for 2021. The 2022 rate was higher than the 2021 rate due to the non-deductible goodwill impairment charge in the Netherlands. This was partially offset by the scheduled reduction in the French corporate tax rate to 25%. The 32.9% effective tax rate for 2022 was higher than the United States Federal statutory rate of 21% primarily due to the French business tax, tax losses in certain countries for which we did not recognize a corresponding tax benefit due to valuation allowances, the Netherlands non-deductible goodwill impairment charge and the overall mix of earnings.</w:t>
      </w:r>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earnings per share - diluted was $7.08 in 2022 compared to $6.91 in 2021. Foreign currency exchange rates unfavorably impacted net earnings per share - diluted by approximately $0.88 per share in 2022. Goodwill and other impairment charges recorded in 2022 negatively impacted net loss per share - diluted by approximately $0.93. The acquisition transaction and integration costs recorded in 2022 and 2021 negatively impacted net earnings per share - diluted by approximately $0.22 and $0.27, net of tax, in 2022 and 2021, respectively. The loss from the disposition of subsidiaries recorded in 2022 negatively impacted net earnings per share - diluted by approximately $0.19 per share, net of tax, in 2022 . Restructuring costs recorded in 2022 and 2021 negatively impacted net earnings per share - diluted by approximately $0.05 and $0.07 per share, net of tax, in 2022 and 2021, respectively. The pension settlement expense recorded in 2022 negatively impacted net loss per share - diluted by approximately $0.05, net of tax, in 2022.</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Weighted average shares - diluted decreased to 52.8 million in 2022 from 55.4 million in 2021. This decrease was due to the impact of share repurchases completed in 2021 and 2022 and the full year weighting of the repurchases completed in 2021, partially offset by shares issued as a result of exercises and vesting of share-based awards since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corporate expenses, interest and other income and expense amounts or income taxes.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Americas</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Americas, revenues from services increased 15.8% (18.1% in constant currency and 4.5% in organic constant currency) in 2022 compared to 2021. In the United States, revenues from services increased 27.6% (6.5% on an organic basis) in 2022 compared to 2021, primarily driven by increased demand for our Experis staffing/interim services including the significant contribution to revenues from our Experis acquisition and increased demand in our permanent recruitment business of 41.6% (34.3% on an organic basis). In Other Americas, revenues from services decreased -5.5% (increase of 0.9% in constant currency) in 2022 compared to 2021 primarily due to decreased demand for our staffing/interim services and the unfavorable impact of currency exchange rates, partially offset by increased demand in our permanent recruitment business of 41.5% (47.3% in constant currency). This decline was driven by a decrease in Mexico of -46.9% (-47.4% in constant currency) primarily due to labor legislation implemented in the third quarter of 2021.The decline was partially offset by increases in Canada, Argentina, Colombia, Peru and Brazil of 3.4%, 21.9%, 3.9%, 5.2% and 8.1%, respectively (7.2%, 64.5%, 17.5%, 4.0% and 3.3%, respectively, in constant currency), with the increase in Argentina being primarily due to inflation.</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margin increased in 2022 compared to 2021 primarily due to the increased demand in our permanent recruitment business, improvement in the staffing/interim margin, the Experis acquisition and increases in revenues from our higher-margin professional staffing and Talent Solutions offerings in the United States.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2022, selling and administrative expenses increased 20.3% (21.4% in constant currency and 11.5% in organic constant currency) primarily due to the Experis acquisition and an increase in salary-related costs due to higher headcount as we invested in incremental recruiters and sales talent based on increased market activity. The increases were partially offset by the decrease in restructuring costs to $1.0 million in 2022 compared to $5.2 million in 2021, and a decrease in Experis acquisition and integration costs of $14.7 million in 2022 compared to Experis acquisition and integration costs of $18.8 million in 2021.</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Operating Unit Profit (“OUP”) margin in the Americas was 5.7% and 4.6% for 2022 and 2021, respectively. In the United States, OUP margin increased to 6.3% in 2022 from 5.0% in 2021 primarily due to increased demand in our permanent recruitment business, the Experis acquisition, increased operating leverage, an increase in the gross profit margin due to a favorable business mix and a decrease in Experis acquisition and integration costs incurred in 2022 compared to 2021, partially offset by an increase in salary-related costs due to higher headcount. Other Americas OUP margin increased to 4.4% in 2022 from 3.9% in 2021 primarily due to the gross profit margin improvement and a decrease in restructuring costs.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Southern Europe, which includes operations in France and Italy, revenues from services decreased -8.7% (increase of 2.0% in constant currency and 1.7% in organic constant currency) in 2022 compared to 2021. In 2022, revenues from services decreased -7.5% (increase of 4.0% in constant currency and</w:t>
      </w:r>
    </w:p>
    <w:p>
      <w:pPr>
        <w:jc w:val="both"/>
        <w:spacing w:after="0" w:line="266" w:lineRule="auto"/>
        <w:rPr>
          <w:sz w:val="20"/>
          <w:szCs w:val="20"/>
          <w:color w:val="auto"/>
        </w:rPr>
      </w:pPr>
      <w:r>
        <w:rPr>
          <w:rFonts w:ascii="Arial" w:cs="Arial" w:eastAsia="Arial" w:hAnsi="Arial"/>
          <w:sz w:val="17"/>
          <w:szCs w:val="17"/>
          <w:color w:val="auto"/>
        </w:rPr>
        <w:t>3.6% in organic constant currency) in France and decreased -4.9% (increase of 6.8% in constant currency) in Italy. The decrease in France is primarily due to the unfavorable impact of changes in currency exchange rates, partially offset by the increased demand for our Manpower staffing services, although supply chain constraints have negatively impacted the demand for our services in certain sectors, primarily automotive and construction, and to a lesser degree, logistics. The decrease was also offset by an 8.2% increase (21.7% in constant currency) in the permanent recruitment business. The decrease in Italy was primarily due to the unfavorable impact of changes in currency exchange rates, partially offset by the increased demand for our Manpower staffing services and Experis interim services and a 12.4% increase (26.4% in constant currency) in the permanent recruitment business. In Other Southern Europe, revenues from services decreased -14.1% (-6.2% in constant currency and -6.2% in organic constant currency) during 2022 compared to 2021, due to the unfavorable impact of changes in currency exchange rates and decreased demand for our Manpower staffing services, partially offset by increased demand for our Experis business services and increased demand in our permanent recruitment business of 19.4% (33.4% in constant currency and 33.4% in organic constant currency).</w:t>
      </w:r>
    </w:p>
    <w:p>
      <w:pPr>
        <w:spacing w:after="0" w:line="16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Gross profit margin increased in 2022 compared to 2021. The increases were primarily due to the increased demand in our permanent recruitment business and increases in our staffing/interim margin across our key markets.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38" w:name="page39"/>
    <w:bookmarkEnd w:id="38"/>
    <w:p>
      <w:pPr>
        <w:jc w:val="both"/>
        <w:spacing w:after="0" w:line="258" w:lineRule="auto"/>
        <w:rPr>
          <w:sz w:val="20"/>
          <w:szCs w:val="20"/>
          <w:color w:val="auto"/>
        </w:rPr>
      </w:pPr>
      <w:r>
        <w:rPr>
          <w:rFonts w:ascii="Arial" w:cs="Arial" w:eastAsia="Arial" w:hAnsi="Arial"/>
          <w:sz w:val="18"/>
          <w:szCs w:val="18"/>
          <w:color w:val="auto"/>
        </w:rPr>
        <w:t>Selling and administrative expenses decreased -4.0% (increase of 7.1% in constant currency) during 2022 compared to 2021 primarily due to the favorable impact of changes in currency exchange rates, partially offset by an increase in salary-related costs due to higher headcount to support an increase in revenues in the period and an increase in variable incentive costs as a result of increased profitability in certain markets. The decreases were also partially offset by the increase in restructuring costs to $0.9 million in 2022 from zero in 2021.</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OUP margin in Southern Europe was 4.8% for 2022 compared to 4.5% for 2021. In France, the OUP margin increased to 4.7% for 2022 from 4.5% in 2021 primarily due to the increase in the gross profit margin. In Italy, the OUP margin increased to 7.2% for 2022 from 6.4% for 2021 primarily due to the increase in the gross profit margin. Other Southern Europe’s OUP margin increased to 3.1% in 2022 from 2.8% in 2021 primarily due to an increase in the gross profit margin.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Northern Europe, which includes operations in the United Kingdom, the Nordics, Germany, the Netherlands and Belgium (comprising 37%, 24%, 13%, 10%, and 7%, respectively, of Northern Europe’s revenues), revenues from services decreased -13.3% (-2.5% in constant currency and 0.0% in organic constant currency) in 2022 compared to 2021. We experienced revenue decreases in the United Kingdom, the Nordics, Germany, the Netherlands and Belgium of -13.9%, -5.1%, -18.0%, -15.7% and -8.8%, respectively (-4.3%, +8.6%, -8.0%, -5.5% and +2.6%, respectively, in constant currency). The revenue decreases in Northern Europe were primarily due to the unfavorable impact of changes in currency exchange rates and the decreased demand for our staffing/interim services, partially offset by the 22.0% increase (37.9% in constant currency) in the permanent recruitment business.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Gross profit margin increased in 2022 compared to 2021 due to the increases in staffing/interim margin, the increased demand in our permanent recruitment business and the underlying business mix.</w:t>
      </w:r>
    </w:p>
    <w:p>
      <w:pPr>
        <w:spacing w:after="0" w:line="131"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Selling and administrative expenses decreased -1.1% (increase of 11.3% in constant currency) in 2022 compared to 2021. The decreases are primarily due to the favorable impact of changes in currency exchange rates, partially offset by an increase in salary-related costs due to higher headcount.</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OUP margin for Northern Europe decreased to 1.0% in 2022 from 1.5% in 2021. The decrease was primarily due to the loss on the sale of our Russia business, partially offset by the increase in gross profit margin.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from services decreased -3.8% (increase 9.0% in constant currency) in 2022 compared to 2021. In Japan (which represents 46% of APME's revenues), revenues from services decreased -6.1% (increase of 12.0% in constant currency) primarily due to the unfavorable impact of the change in currency exchange rates, partially offset by an increase in our Experis business and an increased demand for our Manpower staffing services. In Australia (which represents 12% of APME's revenues), revenues from services decreased -13.7% (-6.7% in constant currency) primarily due to the exit of a low margin client arrangement in 2021 and the unfavorable impact of the change in currency exchange rates, partially offset by increased demand for our staffing/interim business. The revenue increase in the remaining markets in APME is due to the increase in demand for our staffing/interim business and our Experis business, partially offset by the unfavorable impact of changes in currency exchange rates.</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Gross profit margin increased in 2022 compared to 2021 due to the increases in our staffing/interim margin and the increased demand in our permanent recruitment business.</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Selling and administrative expenses decreased -2.7% (increase of 9.6% in constant currency) in 2022 compared to 2021. The decreases are primarily due to the favorable impact of the change in currency exchange rates, partially offset by higher salary-related costs due to higher headcount to support increases in revenues, increases in variable incentive costs as a result of increases in profitability in certain markets, and the increases in non-personnel related costs to support the increases in revenues.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OUP margin increased to 3.7% in 2022 from 3.4% in 2021 primarily due to the improvements in the gross profit margin.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197"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Certain constant currency and organic constant currency percent variances are discussed throughout this report. A reconciliation of these Non-GAAP percent variances to the percent variances calculated based on our annual GAAP financial results is provided below. (See Constant Currency and Organic Constant Currency on page 30 for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w w:val="97"/>
              </w:rPr>
              <w:t>Impact of</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gridSpan w:val="2"/>
          </w:tcPr>
          <w:p>
            <w:pPr>
              <w:jc w:val="right"/>
              <w:ind w:right="159"/>
              <w:spacing w:after="0"/>
              <w:rPr>
                <w:sz w:val="20"/>
                <w:szCs w:val="20"/>
                <w:color w:val="auto"/>
              </w:rPr>
            </w:pPr>
            <w:r>
              <w:rPr>
                <w:rFonts w:ascii="Arial" w:cs="Arial" w:eastAsia="Arial" w:hAnsi="Arial"/>
                <w:sz w:val="16"/>
                <w:szCs w:val="16"/>
                <w:color w:val="auto"/>
              </w:rPr>
              <w:t>Acquisitio</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ns</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and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w w:val="92"/>
              </w:rPr>
              <w:t>Dispositio</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Amounts represent 2022</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ns</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Organic</w:t>
            </w:r>
          </w:p>
        </w:tc>
        <w:tc>
          <w:tcPr>
            <w:tcW w:w="0" w:type="dxa"/>
            <w:vAlign w:val="bottom"/>
          </w:tcPr>
          <w:p>
            <w:pPr>
              <w:spacing w:after="0"/>
              <w:rPr>
                <w:sz w:val="1"/>
                <w:szCs w:val="1"/>
                <w:color w:val="auto"/>
              </w:rPr>
            </w:pPr>
          </w:p>
        </w:tc>
      </w:tr>
      <w:tr>
        <w:trPr>
          <w:trHeight w:val="198"/>
        </w:trPr>
        <w:tc>
          <w:tcPr>
            <w:tcW w:w="400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Reported</w:t>
            </w:r>
          </w:p>
        </w:tc>
        <w:tc>
          <w:tcPr>
            <w:tcW w:w="1120" w:type="dxa"/>
            <w:vAlign w:val="bottom"/>
          </w:tcPr>
          <w:p>
            <w:pPr>
              <w:spacing w:after="0"/>
              <w:rPr>
                <w:sz w:val="17"/>
                <w:szCs w:val="17"/>
                <w:color w:val="auto"/>
              </w:rPr>
            </w:pPr>
          </w:p>
        </w:tc>
        <w:tc>
          <w:tcPr>
            <w:tcW w:w="1840" w:type="dxa"/>
            <w:vAlign w:val="bottom"/>
            <w:gridSpan w:val="2"/>
          </w:tcPr>
          <w:p>
            <w:pPr>
              <w:jc w:val="right"/>
              <w:ind w:right="79"/>
              <w:spacing w:after="0"/>
              <w:rPr>
                <w:sz w:val="20"/>
                <w:szCs w:val="20"/>
                <w:color w:val="auto"/>
              </w:rPr>
            </w:pPr>
            <w:r>
              <w:rPr>
                <w:rFonts w:ascii="Arial" w:cs="Arial" w:eastAsia="Arial" w:hAnsi="Arial"/>
                <w:sz w:val="16"/>
                <w:szCs w:val="16"/>
                <w:color w:val="auto"/>
              </w:rPr>
              <w:t>Variance in</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(in</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Percentages represent 2022 compared</w:t>
            </w:r>
          </w:p>
        </w:tc>
        <w:tc>
          <w:tcPr>
            <w:tcW w:w="1360" w:type="dxa"/>
            <w:vAlign w:val="bottom"/>
          </w:tcPr>
          <w:p>
            <w:pPr>
              <w:spacing w:after="0"/>
              <w:rPr>
                <w:sz w:val="17"/>
                <w:szCs w:val="17"/>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Amount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Reported</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Impact of</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w w:val="99"/>
              </w:rPr>
              <w:t>Constant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w w:val="99"/>
              </w:rPr>
              <w:t>Constant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to 2021</w:t>
            </w:r>
          </w:p>
        </w:tc>
        <w:tc>
          <w:tcPr>
            <w:tcW w:w="1360" w:type="dxa"/>
            <w:vAlign w:val="bottom"/>
          </w:tcPr>
          <w:p>
            <w:pPr>
              <w:spacing w:after="0"/>
              <w:rPr>
                <w:sz w:val="19"/>
                <w:szCs w:val="19"/>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(in millions)</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Variance</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Currency</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w w:val="98"/>
              </w:rPr>
              <w:t>Currency</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w w:val="91"/>
              </w:rPr>
              <w:t>Currency)</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Variance</w:t>
            </w:r>
          </w:p>
        </w:tc>
        <w:tc>
          <w:tcPr>
            <w:tcW w:w="0" w:type="dxa"/>
            <w:vAlign w:val="bottom"/>
          </w:tcPr>
          <w:p>
            <w:pPr>
              <w:spacing w:after="0"/>
              <w:rPr>
                <w:sz w:val="1"/>
                <w:szCs w:val="1"/>
                <w:color w:val="auto"/>
              </w:rPr>
            </w:pPr>
          </w:p>
        </w:tc>
      </w:tr>
      <w:tr>
        <w:trPr>
          <w:trHeight w:val="229"/>
        </w:trPr>
        <w:tc>
          <w:tcPr>
            <w:tcW w:w="40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Revenues from Services</w:t>
            </w:r>
          </w:p>
        </w:tc>
        <w:tc>
          <w:tcPr>
            <w:tcW w:w="1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120"/>
              <w:spacing w:after="0"/>
              <w:rPr>
                <w:sz w:val="20"/>
                <w:szCs w:val="20"/>
                <w:color w:val="auto"/>
              </w:rPr>
            </w:pPr>
            <w:r>
              <w:rPr>
                <w:rFonts w:ascii="Arial" w:cs="Arial" w:eastAsia="Arial" w:hAnsi="Arial"/>
                <w:sz w:val="16"/>
                <w:szCs w:val="16"/>
                <w:color w:val="auto"/>
              </w:rPr>
              <w:t>Americas:</w:t>
            </w: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3,499.3</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27.6 %</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27.6 %</w:t>
            </w:r>
          </w:p>
        </w:tc>
        <w:tc>
          <w:tcPr>
            <w:tcW w:w="900" w:type="dxa"/>
            <w:vAlign w:val="bottom"/>
          </w:tcPr>
          <w:p>
            <w:pPr>
              <w:jc w:val="right"/>
              <w:spacing w:after="0"/>
              <w:rPr>
                <w:sz w:val="20"/>
                <w:szCs w:val="20"/>
                <w:color w:val="auto"/>
              </w:rPr>
            </w:pPr>
            <w:r>
              <w:rPr>
                <w:rFonts w:ascii="Arial" w:cs="Arial" w:eastAsia="Arial" w:hAnsi="Arial"/>
                <w:sz w:val="16"/>
                <w:szCs w:val="16"/>
                <w:color w:val="auto"/>
              </w:rPr>
              <w:t>21.1 %</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Other Americas</w:t>
            </w:r>
          </w:p>
        </w:tc>
        <w:tc>
          <w:tcPr>
            <w:tcW w:w="1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1,436.4</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(5.5 )</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(6.4 )</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0.9</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4,935.7</w:t>
            </w:r>
          </w:p>
        </w:tc>
        <w:tc>
          <w:tcPr>
            <w:tcW w:w="11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15.8</w:t>
            </w:r>
          </w:p>
        </w:tc>
        <w:tc>
          <w:tcPr>
            <w:tcW w:w="10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(2.3 )</w:t>
            </w: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18.1</w:t>
            </w:r>
          </w:p>
        </w:tc>
        <w:tc>
          <w:tcPr>
            <w:tcW w:w="9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13.6</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Pr>
          <w:p>
            <w:pPr>
              <w:ind w:left="120"/>
              <w:spacing w:after="0"/>
              <w:rPr>
                <w:sz w:val="20"/>
                <w:szCs w:val="20"/>
                <w:color w:val="auto"/>
              </w:rPr>
            </w:pPr>
            <w:r>
              <w:rPr>
                <w:rFonts w:ascii="Arial" w:cs="Arial" w:eastAsia="Arial" w:hAnsi="Arial"/>
                <w:sz w:val="16"/>
                <w:szCs w:val="16"/>
                <w:color w:val="auto"/>
              </w:rPr>
              <w:t>Southern Europe:</w:t>
            </w: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France</w:t>
            </w:r>
          </w:p>
        </w:tc>
        <w:tc>
          <w:tcPr>
            <w:tcW w:w="1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4,785.0</w:t>
            </w:r>
          </w:p>
        </w:tc>
        <w:tc>
          <w:tcPr>
            <w:tcW w:w="11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(7.5 )</w:t>
            </w:r>
          </w:p>
        </w:tc>
        <w:tc>
          <w:tcPr>
            <w:tcW w:w="10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(11.5 )</w:t>
            </w:r>
          </w:p>
        </w:tc>
        <w:tc>
          <w:tcPr>
            <w:tcW w:w="8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4.0</w:t>
            </w:r>
          </w:p>
        </w:tc>
        <w:tc>
          <w:tcPr>
            <w:tcW w:w="9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0.4</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00" w:type="dxa"/>
            <w:vAlign w:val="bottom"/>
          </w:tcPr>
          <w:p>
            <w:pPr>
              <w:ind w:left="200"/>
              <w:spacing w:after="0"/>
              <w:rPr>
                <w:sz w:val="20"/>
                <w:szCs w:val="20"/>
                <w:color w:val="auto"/>
              </w:rPr>
            </w:pPr>
            <w:r>
              <w:rPr>
                <w:rFonts w:ascii="Arial" w:cs="Arial" w:eastAsia="Arial" w:hAnsi="Arial"/>
                <w:sz w:val="16"/>
                <w:szCs w:val="16"/>
                <w:color w:val="auto"/>
              </w:rPr>
              <w:t>Italy</w:t>
            </w:r>
          </w:p>
        </w:tc>
        <w:tc>
          <w:tcPr>
            <w:tcW w:w="1360" w:type="dxa"/>
            <w:vAlign w:val="bottom"/>
          </w:tcPr>
          <w:p>
            <w:pPr>
              <w:spacing w:after="0"/>
              <w:rPr>
                <w:sz w:val="19"/>
                <w:szCs w:val="19"/>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1,706.9</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(4.9 )</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(11.7 )</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6.8</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Southern Europe</w:t>
            </w:r>
          </w:p>
        </w:tc>
        <w:tc>
          <w:tcPr>
            <w:tcW w:w="1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2,044.4</w:t>
            </w:r>
          </w:p>
        </w:tc>
        <w:tc>
          <w:tcPr>
            <w:tcW w:w="11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(14.1 )</w:t>
            </w:r>
          </w:p>
        </w:tc>
        <w:tc>
          <w:tcPr>
            <w:tcW w:w="10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(7.9 )</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(6.2 )</w:t>
            </w:r>
          </w:p>
        </w:tc>
        <w:tc>
          <w:tcPr>
            <w:tcW w:w="9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8,536.3</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(8.7 )</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(10.6 )</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0.3</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Northern Europe</w:t>
            </w:r>
          </w:p>
        </w:tc>
        <w:tc>
          <w:tcPr>
            <w:tcW w:w="1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4,048.3</w:t>
            </w:r>
          </w:p>
        </w:tc>
        <w:tc>
          <w:tcPr>
            <w:tcW w:w="11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(13.3 )</w:t>
            </w:r>
          </w:p>
        </w:tc>
        <w:tc>
          <w:tcPr>
            <w:tcW w:w="10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(10.9 )</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(2.5 )</w:t>
            </w: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(2.5 )</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APME</w:t>
            </w:r>
          </w:p>
        </w:tc>
        <w:tc>
          <w:tcPr>
            <w:tcW w:w="1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2,387.3</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(3.8 )</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(12.8 )</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19,907.6</w:t>
            </w:r>
          </w:p>
        </w:tc>
        <w:tc>
          <w:tcPr>
            <w:tcW w:w="1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Intercompany Eliminations</w:t>
            </w:r>
          </w:p>
        </w:tc>
        <w:tc>
          <w:tcPr>
            <w:tcW w:w="1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(80.1 )</w:t>
            </w:r>
          </w:p>
        </w:tc>
        <w:tc>
          <w:tcPr>
            <w:tcW w:w="1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Pr>
          <w:p>
            <w:pPr>
              <w:ind w:left="20"/>
              <w:spacing w:after="0"/>
              <w:rPr>
                <w:sz w:val="20"/>
                <w:szCs w:val="20"/>
                <w:color w:val="auto"/>
              </w:rPr>
            </w:pPr>
            <w:r>
              <w:rPr>
                <w:rFonts w:ascii="Arial" w:cs="Arial" w:eastAsia="Arial" w:hAnsi="Arial"/>
                <w:sz w:val="16"/>
                <w:szCs w:val="16"/>
                <w:color w:val="auto"/>
              </w:rPr>
              <w:t>ManpowerGroup</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19,827.5</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(4.3 )%</w:t>
            </w:r>
          </w:p>
        </w:tc>
        <w:tc>
          <w:tcPr>
            <w:tcW w:w="1020" w:type="dxa"/>
            <w:vAlign w:val="bottom"/>
          </w:tcPr>
          <w:p>
            <w:pPr>
              <w:jc w:val="right"/>
              <w:spacing w:after="0"/>
              <w:rPr>
                <w:sz w:val="20"/>
                <w:szCs w:val="20"/>
                <w:color w:val="auto"/>
              </w:rPr>
            </w:pPr>
            <w:r>
              <w:rPr>
                <w:rFonts w:ascii="Arial" w:cs="Arial" w:eastAsia="Arial" w:hAnsi="Arial"/>
                <w:sz w:val="16"/>
                <w:szCs w:val="16"/>
                <w:color w:val="auto"/>
              </w:rPr>
              <w:t>(9.2 )%</w:t>
            </w:r>
          </w:p>
        </w:tc>
        <w:tc>
          <w:tcPr>
            <w:tcW w:w="820" w:type="dxa"/>
            <w:vAlign w:val="bottom"/>
          </w:tcPr>
          <w:p>
            <w:pPr>
              <w:jc w:val="right"/>
              <w:spacing w:after="0"/>
              <w:rPr>
                <w:sz w:val="20"/>
                <w:szCs w:val="20"/>
                <w:color w:val="auto"/>
              </w:rPr>
            </w:pPr>
            <w:r>
              <w:rPr>
                <w:rFonts w:ascii="Arial" w:cs="Arial" w:eastAsia="Arial" w:hAnsi="Arial"/>
                <w:sz w:val="16"/>
                <w:szCs w:val="16"/>
                <w:color w:val="auto"/>
              </w:rPr>
              <w:t>4.9 %</w:t>
            </w:r>
          </w:p>
        </w:tc>
        <w:tc>
          <w:tcPr>
            <w:tcW w:w="900" w:type="dxa"/>
            <w:vAlign w:val="bottom"/>
          </w:tcPr>
          <w:p>
            <w:pPr>
              <w:jc w:val="right"/>
              <w:spacing w:after="0"/>
              <w:rPr>
                <w:sz w:val="20"/>
                <w:szCs w:val="20"/>
                <w:color w:val="auto"/>
              </w:rPr>
            </w:pPr>
            <w:r>
              <w:rPr>
                <w:rFonts w:ascii="Arial" w:cs="Arial" w:eastAsia="Arial" w:hAnsi="Arial"/>
                <w:sz w:val="16"/>
                <w:szCs w:val="16"/>
                <w:color w:val="auto"/>
              </w:rPr>
              <w:t>2.3 %</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3"/>
        </w:trPr>
        <w:tc>
          <w:tcPr>
            <w:tcW w:w="40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Gross Profit - ManpowerGroup</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3,572.4</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4.8 %</w:t>
            </w:r>
          </w:p>
        </w:tc>
        <w:tc>
          <w:tcPr>
            <w:tcW w:w="1020" w:type="dxa"/>
            <w:vAlign w:val="bottom"/>
          </w:tcPr>
          <w:p>
            <w:pPr>
              <w:jc w:val="right"/>
              <w:spacing w:after="0"/>
              <w:rPr>
                <w:sz w:val="20"/>
                <w:szCs w:val="20"/>
                <w:color w:val="auto"/>
              </w:rPr>
            </w:pPr>
            <w:r>
              <w:rPr>
                <w:rFonts w:ascii="Arial" w:cs="Arial" w:eastAsia="Arial" w:hAnsi="Arial"/>
                <w:sz w:val="16"/>
                <w:szCs w:val="16"/>
                <w:color w:val="auto"/>
              </w:rPr>
              <w:t>(9.0 )%</w:t>
            </w:r>
          </w:p>
        </w:tc>
        <w:tc>
          <w:tcPr>
            <w:tcW w:w="820" w:type="dxa"/>
            <w:vAlign w:val="bottom"/>
          </w:tcPr>
          <w:p>
            <w:pPr>
              <w:jc w:val="right"/>
              <w:spacing w:after="0"/>
              <w:rPr>
                <w:sz w:val="20"/>
                <w:szCs w:val="20"/>
                <w:color w:val="auto"/>
              </w:rPr>
            </w:pPr>
            <w:r>
              <w:rPr>
                <w:rFonts w:ascii="Arial" w:cs="Arial" w:eastAsia="Arial" w:hAnsi="Arial"/>
                <w:sz w:val="16"/>
                <w:szCs w:val="16"/>
                <w:color w:val="auto"/>
              </w:rPr>
              <w:t>13.8 %</w:t>
            </w:r>
          </w:p>
        </w:tc>
        <w:tc>
          <w:tcPr>
            <w:tcW w:w="900" w:type="dxa"/>
            <w:vAlign w:val="bottom"/>
          </w:tcPr>
          <w:p>
            <w:pPr>
              <w:jc w:val="right"/>
              <w:spacing w:after="0"/>
              <w:rPr>
                <w:sz w:val="20"/>
                <w:szCs w:val="20"/>
                <w:color w:val="auto"/>
              </w:rPr>
            </w:pPr>
            <w:r>
              <w:rPr>
                <w:rFonts w:ascii="Arial" w:cs="Arial" w:eastAsia="Arial" w:hAnsi="Arial"/>
                <w:sz w:val="16"/>
                <w:szCs w:val="16"/>
                <w:color w:val="auto"/>
              </w:rPr>
              <w:t>4.0 %</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38"/>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Unit Profit</w:t>
            </w:r>
          </w:p>
        </w:tc>
        <w:tc>
          <w:tcPr>
            <w:tcW w:w="1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120"/>
              <w:spacing w:after="0"/>
              <w:rPr>
                <w:sz w:val="20"/>
                <w:szCs w:val="20"/>
                <w:color w:val="auto"/>
              </w:rPr>
            </w:pPr>
            <w:r>
              <w:rPr>
                <w:rFonts w:ascii="Arial" w:cs="Arial" w:eastAsia="Arial" w:hAnsi="Arial"/>
                <w:sz w:val="16"/>
                <w:szCs w:val="16"/>
                <w:color w:val="auto"/>
              </w:rPr>
              <w:t>Americas:</w:t>
            </w: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219.2</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61.2 %</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61.2 %</w:t>
            </w:r>
          </w:p>
        </w:tc>
        <w:tc>
          <w:tcPr>
            <w:tcW w:w="900" w:type="dxa"/>
            <w:vAlign w:val="bottom"/>
          </w:tcPr>
          <w:p>
            <w:pPr>
              <w:jc w:val="right"/>
              <w:spacing w:after="0"/>
              <w:rPr>
                <w:sz w:val="20"/>
                <w:szCs w:val="20"/>
                <w:color w:val="auto"/>
              </w:rPr>
            </w:pPr>
            <w:r>
              <w:rPr>
                <w:rFonts w:ascii="Arial" w:cs="Arial" w:eastAsia="Arial" w:hAnsi="Arial"/>
                <w:sz w:val="16"/>
                <w:szCs w:val="16"/>
                <w:color w:val="auto"/>
              </w:rPr>
              <w:t>45.2 %</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16.0 %</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Other Americas</w:t>
            </w:r>
          </w:p>
        </w:tc>
        <w:tc>
          <w:tcPr>
            <w:tcW w:w="1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63.4</w:t>
            </w: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7.0</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(9.5 )</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16.5</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282.6</w:t>
            </w:r>
          </w:p>
        </w:tc>
        <w:tc>
          <w:tcPr>
            <w:tcW w:w="11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44.8</w:t>
            </w:r>
          </w:p>
        </w:tc>
        <w:tc>
          <w:tcPr>
            <w:tcW w:w="10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(2.9 )</w:t>
            </w: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47.7</w:t>
            </w:r>
          </w:p>
        </w:tc>
        <w:tc>
          <w:tcPr>
            <w:tcW w:w="9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31.5</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Pr>
          <w:p>
            <w:pPr>
              <w:ind w:left="120"/>
              <w:spacing w:after="0"/>
              <w:rPr>
                <w:sz w:val="20"/>
                <w:szCs w:val="20"/>
                <w:color w:val="auto"/>
              </w:rPr>
            </w:pPr>
            <w:r>
              <w:rPr>
                <w:rFonts w:ascii="Arial" w:cs="Arial" w:eastAsia="Arial" w:hAnsi="Arial"/>
                <w:sz w:val="16"/>
                <w:szCs w:val="16"/>
                <w:color w:val="auto"/>
              </w:rPr>
              <w:t>Southern Europe:</w:t>
            </w: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France</w:t>
            </w:r>
          </w:p>
        </w:tc>
        <w:tc>
          <w:tcPr>
            <w:tcW w:w="1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226.7</w:t>
            </w:r>
          </w:p>
        </w:tc>
        <w:tc>
          <w:tcPr>
            <w:tcW w:w="11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(2.9 )</w:t>
            </w:r>
          </w:p>
        </w:tc>
        <w:tc>
          <w:tcPr>
            <w:tcW w:w="10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(12.4 )</w:t>
            </w:r>
          </w:p>
        </w:tc>
        <w:tc>
          <w:tcPr>
            <w:tcW w:w="8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9.4</w:t>
            </w:r>
          </w:p>
        </w:tc>
        <w:tc>
          <w:tcPr>
            <w:tcW w:w="9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0.6</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00" w:type="dxa"/>
            <w:vAlign w:val="bottom"/>
          </w:tcPr>
          <w:p>
            <w:pPr>
              <w:ind w:left="200"/>
              <w:spacing w:after="0"/>
              <w:rPr>
                <w:sz w:val="20"/>
                <w:szCs w:val="20"/>
                <w:color w:val="auto"/>
              </w:rPr>
            </w:pPr>
            <w:r>
              <w:rPr>
                <w:rFonts w:ascii="Arial" w:cs="Arial" w:eastAsia="Arial" w:hAnsi="Arial"/>
                <w:sz w:val="16"/>
                <w:szCs w:val="16"/>
                <w:color w:val="auto"/>
              </w:rPr>
              <w:t>Italy</w:t>
            </w:r>
          </w:p>
        </w:tc>
        <w:tc>
          <w:tcPr>
            <w:tcW w:w="1360" w:type="dxa"/>
            <w:vAlign w:val="bottom"/>
          </w:tcPr>
          <w:p>
            <w:pPr>
              <w:spacing w:after="0"/>
              <w:rPr>
                <w:sz w:val="19"/>
                <w:szCs w:val="19"/>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122.9</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6.6</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(13.4 )</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20.0</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Other Southern Europe</w:t>
            </w:r>
          </w:p>
        </w:tc>
        <w:tc>
          <w:tcPr>
            <w:tcW w:w="1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63.4</w:t>
            </w:r>
          </w:p>
        </w:tc>
        <w:tc>
          <w:tcPr>
            <w:tcW w:w="11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(6.1 )</w:t>
            </w:r>
          </w:p>
        </w:tc>
        <w:tc>
          <w:tcPr>
            <w:tcW w:w="10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(7.6 )</w:t>
            </w: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1.6</w:t>
            </w:r>
          </w:p>
        </w:tc>
        <w:tc>
          <w:tcPr>
            <w:tcW w:w="9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413.0</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(0.8 )</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(11.9 )</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11.1</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0.4</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Northern Europe</w:t>
            </w:r>
          </w:p>
        </w:tc>
        <w:tc>
          <w:tcPr>
            <w:tcW w:w="1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42.4</w:t>
            </w:r>
          </w:p>
        </w:tc>
        <w:tc>
          <w:tcPr>
            <w:tcW w:w="11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(37.4 )</w:t>
            </w:r>
          </w:p>
        </w:tc>
        <w:tc>
          <w:tcPr>
            <w:tcW w:w="10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(11.1 )</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(26.2 )</w:t>
            </w: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(3.9 )</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120"/>
              <w:spacing w:after="0"/>
              <w:rPr>
                <w:sz w:val="20"/>
                <w:szCs w:val="20"/>
                <w:color w:val="auto"/>
              </w:rPr>
            </w:pPr>
            <w:r>
              <w:rPr>
                <w:rFonts w:ascii="Arial" w:cs="Arial" w:eastAsia="Arial" w:hAnsi="Arial"/>
                <w:sz w:val="16"/>
                <w:szCs w:val="16"/>
                <w:color w:val="auto"/>
              </w:rPr>
              <w:t>APME</w:t>
            </w:r>
          </w:p>
        </w:tc>
        <w:tc>
          <w:tcPr>
            <w:tcW w:w="1360" w:type="dxa"/>
            <w:vAlign w:val="bottom"/>
          </w:tcPr>
          <w:p>
            <w:pPr>
              <w:spacing w:after="0"/>
              <w:rPr>
                <w:sz w:val="18"/>
                <w:szCs w:val="18"/>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87.8</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3.6</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(16.2 )</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19.8</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Operating Unit Profit - ManpowerGroup</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581.7</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(0.6 )%</w:t>
            </w:r>
          </w:p>
        </w:tc>
        <w:tc>
          <w:tcPr>
            <w:tcW w:w="1020" w:type="dxa"/>
            <w:vAlign w:val="bottom"/>
          </w:tcPr>
          <w:p>
            <w:pPr>
              <w:jc w:val="right"/>
              <w:spacing w:after="0"/>
              <w:rPr>
                <w:sz w:val="20"/>
                <w:szCs w:val="20"/>
                <w:color w:val="auto"/>
              </w:rPr>
            </w:pPr>
            <w:r>
              <w:rPr>
                <w:rFonts w:ascii="Arial" w:cs="Arial" w:eastAsia="Arial" w:hAnsi="Arial"/>
                <w:sz w:val="16"/>
                <w:szCs w:val="16"/>
                <w:color w:val="auto"/>
              </w:rPr>
              <w:t>(12.3 )%</w:t>
            </w:r>
          </w:p>
        </w:tc>
        <w:tc>
          <w:tcPr>
            <w:tcW w:w="820" w:type="dxa"/>
            <w:vAlign w:val="bottom"/>
          </w:tcPr>
          <w:p>
            <w:pPr>
              <w:jc w:val="right"/>
              <w:spacing w:after="0"/>
              <w:rPr>
                <w:sz w:val="20"/>
                <w:szCs w:val="20"/>
                <w:color w:val="auto"/>
              </w:rPr>
            </w:pPr>
            <w:r>
              <w:rPr>
                <w:rFonts w:ascii="Arial" w:cs="Arial" w:eastAsia="Arial" w:hAnsi="Arial"/>
                <w:sz w:val="16"/>
                <w:szCs w:val="16"/>
                <w:color w:val="auto"/>
              </w:rPr>
              <w:t>11.7 %</w:t>
            </w:r>
          </w:p>
        </w:tc>
        <w:tc>
          <w:tcPr>
            <w:tcW w:w="900" w:type="dxa"/>
            <w:vAlign w:val="bottom"/>
          </w:tcPr>
          <w:p>
            <w:pPr>
              <w:jc w:val="right"/>
              <w:spacing w:after="0"/>
              <w:rPr>
                <w:sz w:val="20"/>
                <w:szCs w:val="20"/>
                <w:color w:val="auto"/>
              </w:rPr>
            </w:pPr>
            <w:r>
              <w:rPr>
                <w:rFonts w:ascii="Arial" w:cs="Arial" w:eastAsia="Arial" w:hAnsi="Arial"/>
                <w:sz w:val="16"/>
                <w:szCs w:val="16"/>
                <w:color w:val="auto"/>
              </w:rPr>
              <w:t>7.1 %</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3"/>
        </w:trPr>
        <w:tc>
          <w:tcPr>
            <w:tcW w:w="40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-4022725</wp:posOffset>
            </wp:positionV>
            <wp:extent cx="7132955"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-2228850</wp:posOffset>
            </wp:positionV>
            <wp:extent cx="7132955" cy="1536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-1639570</wp:posOffset>
            </wp:positionV>
            <wp:extent cx="713295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955" cy="1536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80"/>
          </w:cols>
          <w:pgMar w:left="320" w:top="340"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Cash Sources and Uses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December 31, 2022, we had $554.3 million of cash held by foreign subsidiaries. We have historically made and anticipate future cash repatriations to the United States from certain foreign subsidiaries to fund corporate activities. As of December 31, 2022, deferred taxes related to non-United States withholding and other taxes were provided on $1,277.8 million of accumulated unremitted earnings of non-United States subsidiaries that may be remitted to the United States. As of December 31, 2022 and 2021, we have recorded a deferred tax liability of $18.4 million and $16.1 million, respectively, related to these non-United States earnings that may be remitted. As of December 31, 2022, we had an additional $339.9 million of accumulated unremitted earnings of non-United States subsidiaries for which we have not currently provided deferred taxes as amounts are deemed indefinitely reinvested. We have not estimated the deferred tax liability on these earnings as such estimation is not practicable to determine or immaterial to the financial statements.</w:t>
      </w:r>
    </w:p>
    <w:p>
      <w:pPr>
        <w:spacing w:after="0" w:line="15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Our principal ongoing cash needs are to finance working capital, capital expenditures, debt payments, interest expense, dividends,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provided by operating activities was $423.3 million, $644.8 million and $936.4 million for 2022, 2021 and 2020, respectively. Changes in operating assets and liabilities utilized $139.7 million, compared to $135.6 million and $703.6 million of cash generated in 2022, 2021 and 2020, respectively. The change in 2022 from 2021 was primarily attributable to a decrease in accounts payable due to timing. The change in 2021 from 2020 was primarily attributable to an increase in accounts receivable due to the stronger market environment as the impact of the COVID-19 crisis had stabilized in many parts of the world by 2021, offset by an increase in accounts payable due to timing. In 2021, these improvements in our cash flows were partially offset by the decrease in our payroll-related liabilities due to lower activity.</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Accounts receivable decreased to $5,137.4 million as of December 31, 2022 from $5,448.2 million as of December 31, 2021. This decrease was primarily due to the impact of changes in currency exchange rates. DSO increased by one day from December 31, 2021 to 56 days as of December 31, 2022 due to unfavorable mix changes, with higher growth in countries with a higher average DSO.</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Capital expenditures were $75.6 million, $64.2 million and $50.7 million during 2022, 2021 and 2020, respectively. These expenditures were comprised of purchases of computer equipment, office furniture and other costs related to office openings and refurbishments, as well as capitalized software costs of $34.2 million, $26.9 million and $14.0 million in 2022, 2021 and 2020, respectively. The year-over-year increases in expenditures were primarily due to additional technology investments and the timing of capital expenditures.</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debt repayments were $58.7 million in 2022 as compared to net borrowings of $70.3 million in 2021 and net debt payments of $38.5 million in 2020. The change in 2022 from 2021 is mainly due to the $75.0 million repayment we made into our revolving credit facility during 2022 to clear the outstanding borrowings as of December 31, 2021 related to the Experis acquisition. The acquisition was funded through cash on hand and a $150.0 million draw on our revolving credit facility on October 1, 2021.</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Board of Directors authorized the repurchase of 4.0 million, 6.0 million and 6.0 million shares of our common stock in August 2021, August 2019 and August 2018. Share repurchases may be made from time to time through a variety of methods, including open market purchases, block transactions, privately negotiated transactions or similar facilities. In 2022, we repurchased a total of 3.2 million shares comprised of 1.2 million shares under the 2019 authorization and 2.0 million shares under the 2021 authorization, at a total cost of $270.0 million. In 2021, we repurchased 2.1 million shares under the 2019 authorization at a total cost of $210.0 million. In 2020, we repurchased a total of 3.4 million shares comprised of 0.8 million shares under the 2018 authorization and 2.6 million shares under the 2019 authorization, at a total cost of $264.7 million. As of December 31, 2022, there were 2.0 million shares remaining authorized for repurchase under the 2021 authorization and no shares remaining authorized for repurchase under the 2019 or 2018 authorization.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41" w:name="page42"/>
    <w:bookmarkEnd w:id="41"/>
    <w:p>
      <w:pPr>
        <w:jc w:val="both"/>
        <w:spacing w:after="0" w:line="275" w:lineRule="auto"/>
        <w:rPr>
          <w:sz w:val="20"/>
          <w:szCs w:val="20"/>
          <w:color w:val="auto"/>
        </w:rPr>
      </w:pPr>
      <w:r>
        <w:rPr>
          <w:rFonts w:ascii="Arial" w:cs="Arial" w:eastAsia="Arial" w:hAnsi="Arial"/>
          <w:sz w:val="18"/>
          <w:szCs w:val="18"/>
          <w:color w:val="auto"/>
        </w:rPr>
        <w:t>During 2022, 2021 and 2020, the Board of Directors declared total cash dividends of $2.72, $2.52 and $2.26 per share, respectively, resulting in total dividend payments of $139.9 million, $136.6 million and $129.1 million, respectively.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aggregate commitments of $1,961.2 million related to debt, operating leases, restructuring costs, transition tax resulting from the Tax Act and certain other commitments,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2024-2025</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2026-2027</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6"/>
              </w:rPr>
              <w:t>Thereafter</w:t>
            </w:r>
          </w:p>
        </w:tc>
      </w:tr>
      <w:tr>
        <w:trPr>
          <w:trHeight w:val="242"/>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including interest</w:t>
            </w:r>
          </w:p>
        </w:tc>
        <w:tc>
          <w:tcPr>
            <w:tcW w:w="1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1,081.7</w:t>
            </w:r>
          </w:p>
        </w:tc>
        <w:tc>
          <w:tcPr>
            <w:tcW w:w="4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1,008.6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r>
      <w:tr>
        <w:trPr>
          <w:trHeight w:val="236"/>
        </w:trPr>
        <w:tc>
          <w:tcPr>
            <w:tcW w:w="404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136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26.6</w:t>
            </w:r>
          </w:p>
        </w:tc>
        <w:tc>
          <w:tcPr>
            <w:tcW w:w="4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8"/>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1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383.4</w:t>
            </w:r>
          </w:p>
        </w:tc>
        <w:tc>
          <w:tcPr>
            <w:tcW w:w="48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113.9</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136.8</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69.1</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63.6</w:t>
            </w:r>
          </w:p>
        </w:tc>
      </w:tr>
      <w:tr>
        <w:trPr>
          <w:trHeight w:val="236"/>
        </w:trPr>
        <w:tc>
          <w:tcPr>
            <w:tcW w:w="404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36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13.2</w:t>
            </w:r>
          </w:p>
        </w:tc>
        <w:tc>
          <w:tcPr>
            <w:tcW w:w="4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8"/>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Transition tax resulting from the Tax Act</w:t>
            </w:r>
          </w:p>
        </w:tc>
        <w:tc>
          <w:tcPr>
            <w:tcW w:w="1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89.3</w:t>
            </w:r>
          </w:p>
        </w:tc>
        <w:tc>
          <w:tcPr>
            <w:tcW w:w="48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67.0</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367.0</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183.4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107.5</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44.9</w:t>
            </w:r>
          </w:p>
        </w:tc>
      </w:tr>
      <w:tr>
        <w:trPr>
          <w:trHeight w:val="236"/>
        </w:trPr>
        <w:tc>
          <w:tcPr>
            <w:tcW w:w="40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1,961.2</w:t>
            </w:r>
          </w:p>
        </w:tc>
        <w:tc>
          <w:tcPr>
            <w:tcW w:w="4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364.4</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363.1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1,110.2</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123.5</w:t>
            </w: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liability for unrecognized tax benefits, including related interest and penalties, of $59.1 million is excluded from the commitments above as we cannot determine the years in which these positions might ultimately be settled.</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recorded net restructuring costs of $3.6 million, $15.2 million and $110.7 million during 2022, 2021 and 2020, respectively, in selling and administrative expenses, primarily related to severances and office closures and consolidations in multiple countries and territories. The costs paid out of our restructuring reserve were $13.7 million during 2022.</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entered into guarantee contracts and stand-by letters of credit that total $840.2 million as of December 31, 2022 ($793.0 million for guarantees and $47.2 million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$1.7 million for 2022.</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Total capitalization as of December 31, 2022 was $3,444.6 million, comprised of $986.5 million in debt and $2,458.1 million in equity. Debt as a percentage of total capitalization was 29%, 31% and 31% as of December 31, 2022, 2021 and 2020,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9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October 1, 2021, we acquired ettain group, one of the largest privately held IT resourcing and services providers in North America. Effective that date, ettain group became part of our Experis business in the Americas segment. The acquisition is intended to accelerate our strategy of diversifying our business mix into higher growth and higher value services. The aggregate cash consideration paid was $930.9 million. Of the total consideration paid, $925.0 million was for the acquired interests and the remaining $5.9 million was for excess working capital and cash. The transaction was funded through cash on hand and a $150.0 million draw on our revolving debt facility on October 1, 2021. We finalized the purchase accounting during the third quarter of 2022 and recognized post-closing working capital adjustments of $3.4 million and income tax adjustments of $3.1 million with a corresponding offset to goodwill.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42" w:name="page43"/>
    <w:bookmarkEnd w:id="42"/>
    <w:p>
      <w:pPr>
        <w:jc w:val="both"/>
        <w:spacing w:after="0" w:line="289" w:lineRule="auto"/>
        <w:rPr>
          <w:sz w:val="20"/>
          <w:szCs w:val="20"/>
          <w:color w:val="auto"/>
        </w:rPr>
      </w:pPr>
      <w:r>
        <w:rPr>
          <w:rFonts w:ascii="Arial" w:cs="Arial" w:eastAsia="Arial" w:hAnsi="Arial"/>
          <w:sz w:val="16"/>
          <w:szCs w:val="16"/>
          <w:color w:val="auto"/>
        </w:rPr>
        <w:t>The acquisition of ettain group was accounted for as a business combination, and the assets and liabilities of ettain group were included in the Consolidated Balance Sheets as of the acquisition date and the results of its operations have been included in the Consolidated Statements of Operations subsequent to the acquisition date. The customer relationship intangible asset is amortized over a 15-year useful life. The customer relationship intangible asset and goodwill from the acquisition are partially deductible for income tax purposes. As of December 31, 2022, the carrying value of intangible assets and goodwill was $330.0 million and $513.1 million, respectively. As of December 31, 2021, the carrying value of intangible assets and goodwill was $354.0 million and $519.6 million, respectively. The $6.5 million decrease in goodwill during 2022 resulted from the post-closing working capital adjustments discussed above. The goodwill is included within the United States reporting unit and is attributable to the workforce of the acquired business and expected synergies to occur post-acquisition as a result of diversifying the business into higher growth and higher value services.</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From time to time, we acquire and invest in companies throughout the world, including franchises. The total cash consideration paid for acquisitions excluding ettain group, net of cash acquired, for the years ended December 31, 2022, 2021 and 2020 was $20.2 million, $8.1 million and $2.6 million, respectively. The 2022 payments primarily represent a consideration payment for the acquisition of Tingari, a talent solutions company in France. The 2022, 2021 and 2020 balances include consideration payments for franchises in the United States and contingent consideration payments related to previous acquisitions, of which $3.8 million, $6.3 million and $1.9 million, respectively, had been recognized as a liability at the acquisition date.</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2022, goodwill and intangible assets resulting from the 2022 acquisitions were $8.8 million and $5.3 million, respectively. As of December 31, 2021, goodwill and intangible assets resulting from the 2021 acquisitions, excluding ettain group, were $3.1 million and $0.6 million, respectively. No goodwill and intangible assets resulted from acquisitions in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Occasionally, we dispose of parts of our operations based on risk considerations and to optimize our global strategic and geographic footprint and overall efficiency. On January 17, 2022, we disposed of our Russia business in our Northern Europe segment for cash proceeds of $3.2 million. In connection with the disposition, we recognized a one-time net loss on disposition of $8.0 million, of which $9.7 million was included in selling and administrative expenses and a gain of $1.7 million was included in interest and other expenses in the Consolidated Statements of Operations in the year ended December 31, 2022. On September 30, 2022, our Belgium business disposed of its Service Voucher Division and recognized a one-time gain of $4.1 million, which was included in selling and administrative expenses in the Consolidated Statements of Operations in the year ended December 31, 2022. On December 15, 2022, we disposed of our Hungary business in our Southern Europe segment and recognized a one-time loss of $2.1 million, of which $0.9 million was included in selling and administrative expenses and $1.2 million was included in interest and other expenses in the Consolidated Statements of Operations in the year ended December 31, 2022.</w:t>
      </w:r>
    </w:p>
    <w:p>
      <w:pPr>
        <w:spacing w:after="0" w:line="113"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In November 2021, we disposed of our Tunisia business in our Southern Europe segment and recognized a one-time loss of $1.2 million, which was included in selling and administrative expenses in the Consolidated Statements of Operations in the year ended December 31, 2021.</w:t>
      </w:r>
    </w:p>
    <w:p>
      <w:pPr>
        <w:spacing w:after="0" w:line="14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September 30, 2020, we disposed of four businesses (Serbia, Croatia, Slovenia, Bulgaria) in our Southern Europe segment for cash proceeds of $5.8 million, subject to normal post close working capital adjustments, and simultaneously entered into franchise agreements with the new ownership of these businesses. In connection with the disposition, we recognized a one-time loss on disposition of $5.8 million, which was included in selling and administrative expenses in the Consolidated Statements of Operations in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Notes</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June 30, 2022, we offered and sold €400.0 million aggregate principal amount of the Company’s 3.50% notes due June 30, 2027 (the “€400.0 million notes”). The proceeds from the €400.0 million notes were used in July 2022 to repay our €400.0 million 1.875% notes due September 11, 2022. The €400.0 million notes were issued at a price of 99.465% to yield an effective interest rate of 3.514%, net of a favorable impact of a forward starting interest rate swap. Interest on the €400.0 million notes is payable in arrears on June 30 of each year. The Notes are unsecured senior obligations and rank equally with all of the Company’s existing and future senior unsecured debt and other liabilities.</w:t>
      </w:r>
    </w:p>
    <w:p>
      <w:pPr>
        <w:spacing w:after="0" w:line="176"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On June 22, 2018, we offered and sold €500.0 million aggregate principal amount of the Company’s 1.750% notes due June 2026 (the “€500.0 million notes”). The net proceeds from the €500.0 million notes of €495.7 million were used to repay our €350.0 million notes due June 22, 2018, with the remaining balance used for general corporate purposes, which included share repurchases. The €500.0 million notes were issued at a price of 99.564% to yield an effective interest rate of 1.809%. Interest on the €500.0 million notes is payable in arrears on June 22 of each year. The €500.0 million notes are unsecured senior obligations and rank equally with all of the Company’s existing and future senior unsecured debt and other liabilities.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43" w:name="page44"/>
    <w:bookmarkEnd w:id="43"/>
    <w:p>
      <w:pPr>
        <w:jc w:val="both"/>
        <w:spacing w:after="0" w:line="272" w:lineRule="auto"/>
        <w:rPr>
          <w:sz w:val="20"/>
          <w:szCs w:val="20"/>
          <w:color w:val="auto"/>
        </w:rPr>
      </w:pPr>
      <w:r>
        <w:rPr>
          <w:rFonts w:ascii="Arial" w:cs="Arial" w:eastAsia="Arial" w:hAnsi="Arial"/>
          <w:sz w:val="17"/>
          <w:szCs w:val="17"/>
          <w:color w:val="auto"/>
        </w:rPr>
        <w:t>Both the €500.0 million notes and €400.0 million 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2022. Since our net investment in these subsidiaries exceeds the respective amount of the designated borrowings, the related translation gains or losses are included as a component of accumulated other comprehensive loss. (See the Significant Matters Affecting Results of Operations section and Notes 8 and 12 to the Consolidated Financial Statements found in Item 8. "Financial Statements and Supplementary Data" for further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27, 2022, we entered into a new Credit Agreement (the “Credit Agreement”) with a syndicate of commercial banks with a termination date of May 27, 2027 to replace our previous $600.0 million revolving credit facility. The Credit Agreement includes terms generally consistent with our previous 5-year credit facility, except the Credit Agreement uses Secured Overnight Financing Rate (SOFR) as the base rate index instead of London Interbank Offered Rate (LIBOR). The Credit Agreement allows for borrowing of $600.0 million in various currencies, and up to $150.0 million may be used for the issuance of stand-by letters of credit. We had no borrowings under this facility as of December 31, 2022 and $75.0 million as of December 31, 2021 under the previous facility. Outstanding letters of credit issued totaled $0.4 million and $0.5 million as of December 31, 2022 and 2021, respectively. Additional borrowings of $599.6 million and $524.5 million were available to us under the facility as of December 31, 2022 and 2021, respectively.</w:t>
      </w:r>
    </w:p>
    <w:p>
      <w:pPr>
        <w:spacing w:after="0" w:line="166"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Under the Credit Agreement, a credit ratings-based pricing grid determines the facility fee and the credit spread that we add to the applicable interbank borrowing rate on all borrowings. At our current credit rating, the annual facility fee is 10 basis points paid on the entire facility and the credit spread is 102.5 basis points on any borrowings. A downgrade from both credit agencies would unfavorably impact our interest and facility fees and result in additional costs ranging from approximately $0.2 million to $0.5 million annually.</w:t>
      </w:r>
    </w:p>
    <w:p>
      <w:pPr>
        <w:spacing w:after="0" w:line="18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In the Credit Agreement, Net Debt is defined as total debt less cash in excess of $400.0 million. The Credit Agreement also contains customary events of default, including, among others, payment defaults, material inaccuracy of representations and warranties, covenant defaults, bankruptcy or involuntary proceedings, certain monetary and non-monetary judgements, change of control and customary ERISA defaults.</w:t>
      </w:r>
    </w:p>
    <w:p>
      <w:pPr>
        <w:spacing w:after="0" w:line="13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As defined in the Credit Agreement, we had a net Debt-to-EBITDA ratio of 1.01 to 1 (compared to the maximum allowable ratio of 3.5 to 1) and a Fixed Charge Coverage ratio of 5.66 to 1 (compared to the minimum required ratio of 1.5 to 1) as of December 31,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97"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color w:val="auto"/>
        </w:rPr>
        <w:t>In addition to the previously mentioned facilities, we maintain separate bank credit lines with financial institutions to meet working capital needs of our subsidiary operations. As of December 31, 2022, such uncommitted credit lines totaled $318.4 million, of which $288.5 million was unused. Under the Credit Agreement, total subsidiary borrowings cannot exceed $300.0 million in the first, second and fourth quarters, and $600.0 million in the third quarter of each year. Due to these limitations, additional borrowings of $270.1 million could have been made under these lines as of December 31, 2021.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44" w:name="page45"/>
    <w:bookmarkEnd w:id="44"/>
    <w:p>
      <w:pPr>
        <w:ind w:right="160"/>
        <w:spacing w:after="0" w:line="262" w:lineRule="auto"/>
        <w:rPr>
          <w:sz w:val="20"/>
          <w:szCs w:val="20"/>
          <w:color w:val="auto"/>
        </w:rPr>
      </w:pPr>
      <w:r>
        <w:rPr>
          <w:rFonts w:ascii="Arial" w:cs="Arial" w:eastAsia="Arial" w:hAnsi="Arial"/>
          <w:sz w:val="18"/>
          <w:szCs w:val="18"/>
          <w:color w:val="auto"/>
        </w:rPr>
        <w:t>Our long-term debt has a rating of Baa1 from Moody's Investor Services and BBB from Standard and Poor's, both with a stable outlook. Both of the credit ratings are investment grade. Rating agencies use proprietary methodology in determining their ratings and outlook which includes, among other things, financial ratios based upon debt levels and earnings performance.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the Liquidity Position</w:t>
      </w:r>
    </w:p>
    <w:p>
      <w:pPr>
        <w:spacing w:after="0" w:line="1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assessed our liquidity position as of December 31, 2022 and for the near future. As of December 31, 2022, our cash and cash equivalents balance was $639.0 million. We also have access to the previously mentioned revolving credit facility that could have immediately provided us with up to $600.0 million of additional cash, less any outstanding borrowings and letters of credit, and we have an option to request an increase to the total availability under the revolving credit facility by an additional $300.0 million and each lender may participate in the requested increase at their discretion. In addition, we have access to the previously mentioned credit lines of up to $300.0 million ($600.0 million in the third quarter) to meet the working capital needs of our subsidiaries, of which $270.1 million was available to use as of December 31, 2022. Our €500.0 ($532.7) million notes mature in June 2026, and our €400.0 ($423.9) million notes mature in June 2027. Based on the above, we believe we have sufficient liquidity and capital resources to satisfy future requirements and meet our obligations currently and in the near future.</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200" w:lineRule="exact"/>
        <w:rPr>
          <w:sz w:val="20"/>
          <w:szCs w:val="20"/>
          <w:color w:val="auto"/>
        </w:rPr>
      </w:pP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requires management to make estimates, which are based on all available information and in some cases assumptions with respect to the timing and amount of future revenues and expenses associated with an asset. On October 1, 2021, we acquired ettain group (see Note 4 to the Consolidated Financial Statements for further information). As part of the accounting for the acquisition, we identified and recorded a customer relationship intangible asset of $360.0 million which is amortized over a 15 year useful life. We utilized the discounted cash flow method to estimate the fair value of the customer relationship asset, which required management to make significant assumptions in the model, but was calculated based on the historical customer sales of the acquired company. A change in the customer attrition rate of 250 basis points would result in a decrease of $66.0 million or an increase of $87.0 million in intangible assets, respectively, but would not result in a material change to future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28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auto"/>
        </w:rPr>
        <w:t>Defined Benefit Pension Plans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sponsor several qualified and nonqualified pension plans covering permanent employees. The most significant plans are located in Switzerland, the United Kingdom, the Netherlands, Germany and France. Annual expense relating to these plans was $18.6, $22.2 million and $34.1 million in 2022, 2021 and 2020, respectively. The decrease in 2021 pension expense from 2020 was primarily due to the settlement of a U.S. pension plan in the first quarter of 2020. Pension expense is estimated to be approximately $15.0 million in 2023.</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determine the discount rate based on an index of high-quality corporate bond yields and matched-funding yield curve analysis as of the end of each fiscal year. The expected return on plan assets is determined based on the expected returns of the various investment asset classes held in the plans. We estimate compensation increases and employee turnover rates for each plan based on the historical rates and the expected future rates for each respective country. Changes to any of these assumptions will impact annual expense recorded related to the plans.</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determining the estimated 2023 pension expense for non-United States plans, we used a weighted-average discount rate of 3.2% compared to 1.0% for 2022, reflecting the current interest rate environment. We have selected a weighted-average expected return on plan assets of 3.5% for the non-United States plans in determining the 2023 estimated pension expense compared to 2.2% used for the calculation of the 2022 pension expense. Absent any other changes, a 25 basis point increase and decrease in the weighted-average discount rate would decrease or increase our 2023 consolidated pension expense by $0.6 million. Absent any other changes, a 25 basis point increase or decrease in the weighted-average expected return on plan assets would decrease or increase our 2023 consolidated pension expense by $1.3 million. Changes to these assumptions have historically not been significant in any jurisdiction for any reporting period, and no significant adjustments to the amounts recorded have been required in the past or are expected in the future. (See Note 9 to the Consolidated Financial Statements found in Item 8. "Financial Statements and Supplementary Data" for further information.)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based on cumulative probability, that is greater than 50% likely of being realized upon settlement is recognized. An uncertain tax position, one which does not exceed the 50% threshold, will not be recognized in the financial statements.</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Impairment</w:t>
      </w:r>
    </w:p>
    <w:p>
      <w:pPr>
        <w:spacing w:after="0" w:line="19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31" w:lineRule="exact"/>
        <w:rPr>
          <w:sz w:val="20"/>
          <w:szCs w:val="20"/>
          <w:color w:val="auto"/>
        </w:rPr>
      </w:pPr>
    </w:p>
    <w:p>
      <w:pPr>
        <w:ind w:right="480"/>
        <w:spacing w:after="0" w:line="300" w:lineRule="auto"/>
        <w:rPr>
          <w:sz w:val="20"/>
          <w:szCs w:val="20"/>
          <w:color w:val="auto"/>
        </w:rPr>
      </w:pPr>
      <w:r>
        <w:rPr>
          <w:rFonts w:ascii="Arial" w:cs="Arial" w:eastAsia="Arial" w:hAnsi="Arial"/>
          <w:sz w:val="16"/>
          <w:szCs w:val="16"/>
          <w:color w:val="auto"/>
        </w:rPr>
        <w:t>We evaluate the recoverability of goodwill utilizing an income approach that estimates the fair value of the future discounted cash flows to which the goodwill relates. This approach reflects management’s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performed our annual impairment test of our goodwill during the third quarter of 2022 and determined that there was no impairment.</w:t>
      </w:r>
    </w:p>
    <w:p>
      <w:pPr>
        <w:spacing w:after="0" w:line="19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table below provides estimated fair values and carrying values for our reporting units with the largest goodwill balances, determined as part of our annual goodwill impairment test performed in the third quarter, representing approximately 85% of our consolidated goodwill balance as of September 30, 2022 (measurement date of July 1, 2022).</w:t>
      </w:r>
    </w:p>
    <w:tbl>
      <w:tblPr>
        <w:tblLayout w:type="fixed"/>
        <w:tblInd w:w="240" w:type="dxa"/>
        <w:tblCellMar>
          <w:top w:w="0" w:type="dxa"/>
          <w:left w:w="0" w:type="dxa"/>
          <w:bottom w:w="0" w:type="dxa"/>
          <w:right w:w="0" w:type="dxa"/>
        </w:tblCellMar>
      </w:tblPr>
      <w:tr>
        <w:trPr>
          <w:trHeight w:val="214"/>
        </w:trPr>
        <w:tc>
          <w:tcPr>
            <w:tcW w:w="3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United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6"/>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278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w w:val="99"/>
              </w:rPr>
              <w:t>United States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6"/>
              </w:rPr>
              <w:t>France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Kingdom</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1"/>
              </w:rPr>
              <w:t>Canada</w:t>
            </w:r>
          </w:p>
        </w:tc>
        <w:tc>
          <w:tcPr>
            <w:tcW w:w="12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Netherlands</w:t>
            </w:r>
          </w:p>
        </w:tc>
      </w:tr>
      <w:tr>
        <w:trPr>
          <w:trHeight w:val="242"/>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Estimated fair values</w:t>
            </w:r>
          </w:p>
        </w:tc>
        <w:tc>
          <w:tcPr>
            <w:tcW w:w="1940" w:type="dxa"/>
            <w:vAlign w:val="bottom"/>
            <w:shd w:val="clear" w:color="auto" w:fill="CFF0FC"/>
          </w:tcPr>
          <w:p>
            <w:pPr>
              <w:ind w:left="1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2,650.4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2,372.2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359.0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240.7</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115.1</w:t>
            </w:r>
          </w:p>
        </w:tc>
      </w:tr>
      <w:tr>
        <w:trPr>
          <w:trHeight w:val="236"/>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Carrying values</w:t>
            </w:r>
          </w:p>
        </w:tc>
        <w:tc>
          <w:tcPr>
            <w:tcW w:w="19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1,758.5</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841.4</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249.9</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127.1</w:t>
            </w: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115.0</w:t>
            </w:r>
          </w:p>
        </w:tc>
      </w:tr>
    </w:tbl>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each reporting unit at the time of our annual impairment test was at least 20% in excess of the respective reporting unit’s carrying value with the exception of the Netherlands reporting unit, which is part of the Northern Europe segment. The Netherlands reporting unit had a fair value that approximated its carrying value. Key assumptions included in the Netherlands discounted cash flow valuation performed during the third quarter of 2022 included a discount rate of 12.5%, revenue growth for the next 10 years ranging from 3.0% to 8.4%, a terminal value revenue growth rate of 2.0%, and a terminal value OUP margin of 4.0%.</w:t>
      </w:r>
    </w:p>
    <w:p>
      <w:pPr>
        <w:spacing w:after="0" w:line="147" w:lineRule="exact"/>
        <w:rPr>
          <w:sz w:val="20"/>
          <w:szCs w:val="20"/>
          <w:color w:val="auto"/>
        </w:rPr>
      </w:pPr>
    </w:p>
    <w:p>
      <w:pPr>
        <w:ind w:right="400"/>
        <w:spacing w:after="0" w:line="340" w:lineRule="auto"/>
        <w:rPr>
          <w:sz w:val="20"/>
          <w:szCs w:val="20"/>
          <w:color w:val="auto"/>
        </w:rPr>
      </w:pPr>
      <w:r>
        <w:rPr>
          <w:rFonts w:ascii="Arial" w:cs="Arial" w:eastAsia="Arial" w:hAnsi="Arial"/>
          <w:sz w:val="16"/>
          <w:szCs w:val="16"/>
          <w:color w:val="auto"/>
        </w:rPr>
        <w:t>During the fourth quarter of 2022, in connection with the preparation of our annual financial statements, we assessed the changes in circumstances that occurred during the quarter to determine if it was more likely than not that the fair value of any reporting unit was below its carrying amount.</w:t>
      </w:r>
    </w:p>
    <w:p>
      <w:pPr>
        <w:spacing w:after="0" w:line="9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Since the assessment conducted in the third quarter of 2022, we identified several factors related to our Netherlands reporting unit that led us to conclude that it was more likely than not that the fair value of the reporting unit was below its carrying amount which triggered us to perform an interim impairment assessment. These factors included further deterioration of the macroeconomic conditions, including downward revisions to projected Netherlands economic expansion in 2023, an increasing interest rate environment and financial performance that came in below management's planned revenue and OUP expectations for the fourth quarter of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47" w:name="page48"/>
    <w:bookmarkEnd w:id="47"/>
    <w:p>
      <w:pPr>
        <w:ind w:right="80"/>
        <w:spacing w:after="0" w:line="275" w:lineRule="auto"/>
        <w:rPr>
          <w:sz w:val="20"/>
          <w:szCs w:val="20"/>
          <w:color w:val="auto"/>
        </w:rPr>
      </w:pPr>
      <w:r>
        <w:rPr>
          <w:rFonts w:ascii="Arial" w:cs="Arial" w:eastAsia="Arial" w:hAnsi="Arial"/>
          <w:sz w:val="18"/>
          <w:szCs w:val="18"/>
          <w:color w:val="auto"/>
        </w:rPr>
        <w:t>During the fourth quarter of 2022, we wrote the carrying value of the Netherlands reporting unit down to its estimated fair value and recognized a non-cash impairment charge loss of $50.0 million.</w:t>
      </w:r>
    </w:p>
    <w:p>
      <w:pPr>
        <w:spacing w:after="0" w:line="144"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Key assumptions included in the Netherlands discounted cash flow valuation performed during the fourth quarter of 2022 included a discount rate of 13.5%, revenue growth for the next 10 years ranging from 0.0% to 3.0%, a terminal value revenue growth rate of 2.0%, and a terminal value OUP margin of 4.0%.</w:t>
      </w:r>
    </w:p>
    <w:p>
      <w:pPr>
        <w:spacing w:after="0" w:line="8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Management continues to closely monitor the results of the reporting unit and comparisons to the key assumptions used in our fair value estimate, in addition to operational initiatives and macroeconomic conditions, which may impact the results of the reporting unit. The performance of the Netherlands reporting unit and the potential for future developments in the global economic environment, including the prospect of higher interest rates, introduces a heightened risk for additional impairment in the Netherlands reporting unit. If the Netherlands reporting unit cannot improve from its current operating levels and meet its operating targets to achieve the growth and margin assumptions noted above, or if there is continued deterioration in the market due to macroeconomic conditions, some or all of the recorded goodwill for the Netherlands reporting unit, which was $55.1 million as of December 31, 2022, could be subject to further impairment.</w:t>
      </w:r>
    </w:p>
    <w:p>
      <w:pPr>
        <w:spacing w:after="0" w:line="154"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While our other reporting units' fair values exceeded 20% or more of their respective carrying values, there could be significant further decreases in the operating results of our reporting units for a sustained period, which may result in a recognition of goodwill impairment that could be material to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Matters Affecting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Risks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impact of foreign currency exchange rate fluctuations and interest rate changes.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Rates</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exposure to foreign currency exchange rates relates primarily to our foreign subsidiaries and our Euro-denominated borrowings. For our foreign subsidiaries, exchange rates impact the United States dollar value of our reported earnings, our investments in the subsidiaries and the intercompany transactions with the subsidiaries.</w:t>
      </w:r>
    </w:p>
    <w:p>
      <w:pPr>
        <w:spacing w:after="0" w:line="14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Approximately 82% of our revenues and profits are generated outside of the United States, with 44% generated from our European operations with a Euro-functional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average exchange rates each month. Consequently, as the value of the United States dollar changes relative to the currencies of our major markets, our reported results vary.</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United States dollar generally strengthened against the currencies of our major markets during 2022, whereas it weakened in 2021 on average. Revenues from services in constant currency were 9.2% higher than reported revenues in 2022 and 3.0% lower than reported revenues in 2021. A change in the strength of the United States dollar by an additional 10% would have impacted our revenues from services by approximately 8.2% and 8.7% from the amounts reported in 2022 and 2021, respectively.</w:t>
      </w:r>
    </w:p>
    <w:p>
      <w:pPr>
        <w:spacing w:after="0" w:line="15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accumulated other comprehensive loss. The United States dollar strengthened relative to many foreign currencies as of December 31, 2022 compared to December 31, 2021. Consequently, shareholders’ equity decreased by $116.3 million as a result of the foreign currency translation as of December 31, 2022. If the United States dollar had strengthened an additional 10% as of December 31, 2022, resulting translation adjustments recorded in shareholders’ equity would have decreased by approximately $170.0 million from the amounts reported.</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December 31, 2021, the United States dollar strengthened relative to many foreign currencies compared to December 31, 2020, particularly in Euro-and GBP-functional currencies. Consequently, shareholders’ equity decreased by $46.9 million as a result of the foreign currency translation as of December 31, 2021. If the United States dollar had strengthened an additional 10% as of December 31, 2021, resulting translation adjustments recorded in shareholders’ equity would have decreased by approximately $80.0 million from the amounts reported.</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intercompany franchise fees and interest expense on intercompany loans, working capital loans made between the United States and our foreign subsidiaries, dividends from our foreign subsidiaries, and payments between certain countries and territories for services provided. To reduce the currency risk related to these transactions, we may borrow funds in the relevant foreign currency under our revolving credit agreement or we may enter into a forward contract to hedge the transfer.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9" w:name="page50"/>
    <w:bookmarkEnd w:id="49"/>
    <w:p>
      <w:pPr>
        <w:jc w:val="both"/>
        <w:ind w:right="60"/>
        <w:spacing w:after="0" w:line="256" w:lineRule="auto"/>
        <w:rPr>
          <w:sz w:val="20"/>
          <w:szCs w:val="20"/>
          <w:color w:val="auto"/>
        </w:rPr>
      </w:pPr>
      <w:r>
        <w:rPr>
          <w:rFonts w:ascii="Arial" w:cs="Arial" w:eastAsia="Arial" w:hAnsi="Arial"/>
          <w:sz w:val="18"/>
          <w:szCs w:val="18"/>
          <w:color w:val="auto"/>
        </w:rPr>
        <w:t>As of December 31, 2022, we had outstanding $956.6 million in principal amount of Euro-denominated notes (€900.0 million). These notes have been designated as a hedge of our net investment in subsidiaries with a Euro-functional currency as of December 31, 2022. Since our net investment in these subsidiaries exceeds the respective amount of the designated borrowings, both net of tax, the related translation gains or losses are included as a component of accumulated other comprehensive loss. Shareholders’ equity increased by $46.6 million, net of tax, due to changes in accumulated other comprehensive loss during 2022, due to the currency impact on these designated borrowings.</w:t>
      </w:r>
    </w:p>
    <w:p>
      <w:pPr>
        <w:spacing w:after="0" w:line="161"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hypothetical impact of the stated change in rates on 2022 total other comprehensive income (loss) for the Euro Notes and forward contracts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20" w:type="dxa"/>
            <w:vAlign w:val="bottom"/>
          </w:tcPr>
          <w:p>
            <w:pPr>
              <w:ind w:left="20"/>
              <w:spacing w:after="0"/>
              <w:rPr>
                <w:sz w:val="20"/>
                <w:szCs w:val="20"/>
                <w:color w:val="auto"/>
              </w:rPr>
            </w:pPr>
            <w:r>
              <w:rPr>
                <w:rFonts w:ascii="Arial" w:cs="Arial" w:eastAsia="Arial" w:hAnsi="Arial"/>
                <w:sz w:val="18"/>
                <w:szCs w:val="18"/>
                <w:color w:val="auto"/>
              </w:rPr>
              <w:t xml:space="preserve">2022 </w:t>
            </w:r>
            <w:r>
              <w:rPr>
                <w:rFonts w:ascii="Arial" w:cs="Arial" w:eastAsia="Arial" w:hAnsi="Arial"/>
                <w:sz w:val="18"/>
                <w:szCs w:val="18"/>
                <w:i w:val="1"/>
                <w:iCs w:val="1"/>
                <w:color w:val="auto"/>
              </w:rPr>
              <w:t>(in millions)</w:t>
            </w:r>
          </w:p>
        </w:tc>
        <w:tc>
          <w:tcPr>
            <w:tcW w:w="4300" w:type="dxa"/>
            <w:vAlign w:val="bottom"/>
            <w:gridSpan w:val="2"/>
          </w:tcPr>
          <w:p>
            <w:pPr>
              <w:ind w:left="2520"/>
              <w:spacing w:after="0"/>
              <w:rPr>
                <w:sz w:val="20"/>
                <w:szCs w:val="20"/>
                <w:color w:val="auto"/>
              </w:rPr>
            </w:pPr>
            <w:r>
              <w:rPr>
                <w:rFonts w:ascii="Arial" w:cs="Arial" w:eastAsia="Arial" w:hAnsi="Arial"/>
                <w:sz w:val="18"/>
                <w:szCs w:val="18"/>
                <w:color w:val="auto"/>
              </w:rPr>
              <w:t>10% Depreciation in</w:t>
            </w: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10% Appreciation in</w:t>
            </w:r>
          </w:p>
        </w:tc>
      </w:tr>
      <w:tr>
        <w:trPr>
          <w:trHeight w:val="236"/>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Market Sensitive Instrument</w:t>
            </w:r>
          </w:p>
        </w:tc>
        <w:tc>
          <w:tcPr>
            <w:tcW w:w="27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6"/>
              </w:rPr>
              <w:t>Exchange Rates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6"/>
              </w:rPr>
              <w:t>Exchange Rates</w:t>
            </w:r>
          </w:p>
        </w:tc>
      </w:tr>
      <w:tr>
        <w:trPr>
          <w:trHeight w:val="242"/>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Euro Notes:</w:t>
            </w:r>
          </w:p>
        </w:tc>
        <w:tc>
          <w:tcPr>
            <w:tcW w:w="27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6"/>
        </w:trPr>
        <w:tc>
          <w:tcPr>
            <w:tcW w:w="5120" w:type="dxa"/>
            <w:vAlign w:val="bottom"/>
          </w:tcPr>
          <w:p>
            <w:pPr>
              <w:ind w:left="20"/>
              <w:spacing w:after="0"/>
              <w:rPr>
                <w:sz w:val="20"/>
                <w:szCs w:val="20"/>
                <w:color w:val="auto"/>
              </w:rPr>
            </w:pPr>
            <w:r>
              <w:rPr>
                <w:rFonts w:ascii="Arial" w:cs="Arial" w:eastAsia="Arial" w:hAnsi="Arial"/>
                <w:sz w:val="18"/>
                <w:szCs w:val="18"/>
                <w:color w:val="auto"/>
              </w:rPr>
              <w:t>€500.0, 1.81% Notes due June 2026</w:t>
            </w:r>
          </w:p>
        </w:tc>
        <w:tc>
          <w:tcPr>
            <w:tcW w:w="2740" w:type="dxa"/>
            <w:vAlign w:val="bottom"/>
          </w:tcPr>
          <w:p>
            <w:pPr>
              <w:ind w:left="25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53.5</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(53.5 )</w:t>
            </w:r>
          </w:p>
        </w:tc>
      </w:tr>
      <w:tr>
        <w:trPr>
          <w:trHeight w:val="248"/>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€400.0, 3.50% Notes due June 2027</w:t>
            </w:r>
          </w:p>
        </w:tc>
        <w:tc>
          <w:tcPr>
            <w:tcW w:w="274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42.8</w:t>
            </w: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(42.8 )</w:t>
            </w:r>
          </w:p>
        </w:tc>
      </w:tr>
      <w:tr>
        <w:trPr>
          <w:trHeight w:val="238"/>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Forward contracts:</w:t>
            </w:r>
          </w:p>
        </w:tc>
        <w:tc>
          <w:tcPr>
            <w:tcW w:w="27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€(73.0) to $(78.1)</w:t>
            </w:r>
          </w:p>
        </w:tc>
        <w:tc>
          <w:tcPr>
            <w:tcW w:w="274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7.8</w:t>
            </w: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(7.8 )</w:t>
            </w:r>
          </w:p>
        </w:tc>
      </w:tr>
      <w:tr>
        <w:trPr>
          <w:trHeight w:val="236"/>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¥271.0 to $2.1</w:t>
            </w:r>
          </w:p>
        </w:tc>
        <w:tc>
          <w:tcPr>
            <w:tcW w:w="27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(0.2 )</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8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Our exposure to market risk for changes in interest rates relates primarily to our variable rate long-term debt obligations. We have historically managed interest rates through the use of a combination of fixed- and variable-rate borrowings. As of December 31, 2022, we had the following fixed- and variable-rate borrowings:</w:t>
      </w:r>
    </w:p>
    <w:tbl>
      <w:tblPr>
        <w:tblLayout w:type="fixed"/>
        <w:tblInd w:w="0" w:type="dxa"/>
        <w:tblCellMar>
          <w:top w:w="0" w:type="dxa"/>
          <w:left w:w="0" w:type="dxa"/>
          <w:bottom w:w="0" w:type="dxa"/>
          <w:right w:w="0" w:type="dxa"/>
        </w:tblCellMar>
      </w:tblPr>
      <w:tr>
        <w:trPr>
          <w:trHeight w:val="214"/>
        </w:trPr>
        <w:tc>
          <w:tcPr>
            <w:tcW w:w="47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Weighted-</w:t>
            </w:r>
          </w:p>
        </w:tc>
      </w:tr>
      <w:tr>
        <w:trPr>
          <w:trHeight w:val="193"/>
        </w:trPr>
        <w:tc>
          <w:tcPr>
            <w:tcW w:w="47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60" w:type="dxa"/>
            <w:vAlign w:val="bottom"/>
            <w:gridSpan w:val="2"/>
          </w:tcPr>
          <w:p>
            <w:pPr>
              <w:jc w:val="right"/>
              <w:ind w:right="180"/>
              <w:spacing w:after="0" w:line="194" w:lineRule="exact"/>
              <w:rPr>
                <w:sz w:val="20"/>
                <w:szCs w:val="20"/>
                <w:color w:val="auto"/>
              </w:rPr>
            </w:pPr>
            <w:r>
              <w:rPr>
                <w:rFonts w:ascii="Arial" w:cs="Arial" w:eastAsia="Arial" w:hAnsi="Arial"/>
                <w:sz w:val="18"/>
                <w:szCs w:val="18"/>
                <w:color w:val="auto"/>
              </w:rPr>
              <w:t>Average</w:t>
            </w:r>
          </w:p>
        </w:tc>
      </w:tr>
      <w:tr>
        <w:trPr>
          <w:trHeight w:val="26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Amount</w:t>
            </w:r>
          </w:p>
        </w:tc>
        <w:tc>
          <w:tcPr>
            <w:tcW w:w="1600" w:type="dxa"/>
            <w:vAlign w:val="bottom"/>
            <w:tcBorders>
              <w:bottom w:val="single" w:sz="8" w:color="auto"/>
            </w:tcBorders>
          </w:tcPr>
          <w:p>
            <w:pPr>
              <w:jc w:val="right"/>
              <w:ind w:right="30"/>
              <w:spacing w:after="0" w:line="265" w:lineRule="exact"/>
              <w:rPr>
                <w:sz w:val="20"/>
                <w:szCs w:val="20"/>
                <w:color w:val="auto"/>
              </w:rPr>
            </w:pPr>
            <w:r>
              <w:rPr>
                <w:rFonts w:ascii="Arial" w:cs="Arial" w:eastAsia="Arial" w:hAnsi="Arial"/>
                <w:sz w:val="18"/>
                <w:szCs w:val="18"/>
                <w:color w:val="auto"/>
              </w:rPr>
              <w:t>Interest Rate</w:t>
            </w:r>
            <w:r>
              <w:rPr>
                <w:rFonts w:ascii="Arial" w:cs="Arial" w:eastAsia="Arial" w:hAnsi="Arial"/>
                <w:sz w:val="24"/>
                <w:szCs w:val="24"/>
                <w:color w:val="auto"/>
                <w:vertAlign w:val="superscript"/>
              </w:rPr>
              <w:t>(1)</w:t>
            </w:r>
          </w:p>
        </w:tc>
        <w:tc>
          <w:tcPr>
            <w:tcW w:w="60" w:type="dxa"/>
            <w:vAlign w:val="bottom"/>
          </w:tcPr>
          <w:p>
            <w:pPr>
              <w:spacing w:after="0"/>
              <w:rPr>
                <w:sz w:val="23"/>
                <w:szCs w:val="23"/>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Variable-rate borrowings</w:t>
            </w:r>
          </w:p>
        </w:tc>
        <w:tc>
          <w:tcPr>
            <w:tcW w:w="34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21.5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6.1 %</w:t>
            </w:r>
          </w:p>
        </w:tc>
      </w:tr>
      <w:tr>
        <w:trPr>
          <w:trHeight w:val="248"/>
        </w:trPr>
        <w:tc>
          <w:tcPr>
            <w:tcW w:w="4740" w:type="dxa"/>
            <w:vAlign w:val="bottom"/>
          </w:tcPr>
          <w:p>
            <w:pPr>
              <w:ind w:left="20"/>
              <w:spacing w:after="0"/>
              <w:rPr>
                <w:sz w:val="20"/>
                <w:szCs w:val="20"/>
                <w:color w:val="auto"/>
              </w:rPr>
            </w:pPr>
            <w:r>
              <w:rPr>
                <w:rFonts w:ascii="Arial" w:cs="Arial" w:eastAsia="Arial" w:hAnsi="Arial"/>
                <w:sz w:val="18"/>
                <w:szCs w:val="18"/>
                <w:color w:val="auto"/>
              </w:rPr>
              <w:t>Fixed-rate borrowings</w:t>
            </w:r>
          </w:p>
        </w:tc>
        <w:tc>
          <w:tcPr>
            <w:tcW w:w="3440" w:type="dxa"/>
            <w:vAlign w:val="bottom"/>
          </w:tcPr>
          <w:p>
            <w:pPr>
              <w:spacing w:after="0"/>
              <w:rPr>
                <w:sz w:val="21"/>
                <w:szCs w:val="21"/>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965.0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2.6 %</w:t>
            </w:r>
          </w:p>
        </w:tc>
      </w:tr>
      <w:tr>
        <w:trPr>
          <w:trHeight w:val="236"/>
        </w:trPr>
        <w:tc>
          <w:tcPr>
            <w:tcW w:w="47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debt</w:t>
            </w:r>
          </w:p>
        </w:tc>
        <w:tc>
          <w:tcPr>
            <w:tcW w:w="344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986.5</w:t>
            </w:r>
          </w:p>
        </w:tc>
        <w:tc>
          <w:tcPr>
            <w:tcW w:w="1600" w:type="dxa"/>
            <w:vAlign w:val="bottom"/>
            <w:tcBorders>
              <w:top w:val="single" w:sz="8" w:color="auto"/>
              <w:bottom w:val="single" w:sz="8" w:color="auto"/>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955" cy="1536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282A32"/>
        </w:rPr>
        <w:t>(1) The rates are impacted by currency exchange rate movements.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of Economic Conditions</w:t>
      </w:r>
    </w:p>
    <w:p>
      <w:pPr>
        <w:spacing w:after="0" w:line="197" w:lineRule="exact"/>
        <w:rPr>
          <w:sz w:val="20"/>
          <w:szCs w:val="20"/>
          <w:color w:val="auto"/>
        </w:rPr>
      </w:pPr>
    </w:p>
    <w:p>
      <w:pPr>
        <w:jc w:val="both"/>
        <w:ind w:right="60"/>
        <w:spacing w:after="0" w:line="295" w:lineRule="auto"/>
        <w:rPr>
          <w:sz w:val="20"/>
          <w:szCs w:val="20"/>
          <w:color w:val="auto"/>
        </w:rPr>
      </w:pPr>
      <w:r>
        <w:rPr>
          <w:rFonts w:ascii="Arial" w:cs="Arial" w:eastAsia="Arial" w:hAnsi="Arial"/>
          <w:sz w:val="16"/>
          <w:szCs w:val="16"/>
          <w:color w:val="auto"/>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Consolidated Financial Statements found in Item 8. "Financial Statements and Supplementary Data."</w:t>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515" w:right="279" w:bottom="1440" w:gutter="0" w:footer="0" w:header="0"/>
        </w:sectPr>
      </w:pPr>
    </w:p>
    <w:bookmarkStart w:id="50" w:name="page51"/>
    <w:bookmarkEnd w:id="50"/>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tcPr>
          <w:p>
            <w:pPr>
              <w:jc w:val="center"/>
              <w:ind w:left="770"/>
              <w:spacing w:after="0"/>
              <w:rPr>
                <w:sz w:val="20"/>
                <w:szCs w:val="20"/>
                <w:color w:val="auto"/>
              </w:rPr>
            </w:pPr>
            <w:r>
              <w:rPr>
                <w:rFonts w:ascii="Arial" w:cs="Arial" w:eastAsia="Arial" w:hAnsi="Arial"/>
                <w:sz w:val="18"/>
                <w:szCs w:val="18"/>
                <w:b w:val="1"/>
                <w:bCs w:val="1"/>
                <w:color w:val="auto"/>
                <w:w w:val="91"/>
              </w:rPr>
              <w:t>Page Number</w:t>
            </w:r>
          </w:p>
        </w:tc>
      </w:tr>
      <w:tr>
        <w:trPr>
          <w:trHeight w:val="249"/>
        </w:trPr>
        <w:tc>
          <w:tcPr>
            <w:tcW w:w="9160" w:type="dxa"/>
            <w:vAlign w:val="bottom"/>
            <w:gridSpan w:val="10"/>
            <w:shd w:val="clear" w:color="auto" w:fill="CFF0FC"/>
          </w:tcPr>
          <w:p>
            <w:pPr>
              <w:ind w:left="20"/>
              <w:spacing w:after="0"/>
              <w:rPr>
                <w:sz w:val="20"/>
                <w:szCs w:val="20"/>
                <w:color w:val="auto"/>
              </w:rPr>
            </w:pPr>
            <w:r>
              <w:rPr>
                <w:rFonts w:ascii="Arial" w:cs="Arial" w:eastAsia="Arial" w:hAnsi="Arial"/>
                <w:sz w:val="18"/>
                <w:szCs w:val="18"/>
                <w:color w:val="auto"/>
              </w:rPr>
              <w:t>Index to Consolidated Financial Statements:</w:t>
            </w:r>
          </w:p>
        </w:tc>
        <w:tc>
          <w:tcPr>
            <w:tcW w:w="2080" w:type="dxa"/>
            <w:vAlign w:val="bottom"/>
            <w:shd w:val="clear" w:color="auto" w:fill="CFF0FC"/>
          </w:tcPr>
          <w:p>
            <w:pPr>
              <w:spacing w:after="0"/>
              <w:rPr>
                <w:sz w:val="21"/>
                <w:szCs w:val="21"/>
                <w:color w:val="auto"/>
              </w:rPr>
            </w:pPr>
          </w:p>
        </w:tc>
      </w:tr>
      <w:tr>
        <w:trPr>
          <w:trHeight w:val="188"/>
        </w:trPr>
        <w:tc>
          <w:tcPr>
            <w:tcW w:w="460" w:type="dxa"/>
            <w:vAlign w:val="bottom"/>
          </w:tcPr>
          <w:p>
            <w:pPr>
              <w:spacing w:after="0"/>
              <w:rPr>
                <w:sz w:val="16"/>
                <w:szCs w:val="16"/>
                <w:color w:val="auto"/>
              </w:rPr>
            </w:pPr>
          </w:p>
        </w:tc>
        <w:tc>
          <w:tcPr>
            <w:tcW w:w="8700" w:type="dxa"/>
            <w:vAlign w:val="bottom"/>
            <w:gridSpan w:val="9"/>
          </w:tcPr>
          <w:p>
            <w:pPr>
              <w:spacing w:after="0" w:line="189" w:lineRule="exact"/>
              <w:rPr>
                <w:sz w:val="20"/>
                <w:szCs w:val="20"/>
                <w:color w:val="auto"/>
              </w:rPr>
            </w:pPr>
            <w:r>
              <w:rPr>
                <w:rFonts w:ascii="Arial" w:cs="Arial" w:eastAsia="Arial" w:hAnsi="Arial"/>
                <w:sz w:val="18"/>
                <w:szCs w:val="18"/>
                <w:color w:val="0000FF"/>
              </w:rPr>
              <w:t>Report of Independent Registered Public Accounting Firm</w:t>
            </w:r>
          </w:p>
        </w:tc>
        <w:tc>
          <w:tcPr>
            <w:tcW w:w="2080" w:type="dxa"/>
            <w:vAlign w:val="bottom"/>
          </w:tcPr>
          <w:p>
            <w:pPr>
              <w:jc w:val="center"/>
              <w:ind w:left="770"/>
              <w:spacing w:after="0" w:line="189" w:lineRule="exact"/>
              <w:rPr>
                <w:sz w:val="20"/>
                <w:szCs w:val="20"/>
                <w:color w:val="auto"/>
              </w:rPr>
            </w:pPr>
            <w:r>
              <w:rPr>
                <w:rFonts w:ascii="Arial" w:cs="Arial" w:eastAsia="Arial" w:hAnsi="Arial"/>
                <w:sz w:val="18"/>
                <w:szCs w:val="18"/>
                <w:color w:val="auto"/>
                <w:w w:val="89"/>
              </w:rPr>
              <w:t>52</w:t>
            </w:r>
          </w:p>
        </w:tc>
      </w:tr>
      <w:tr>
        <w:trPr>
          <w:trHeight w:val="34"/>
        </w:trPr>
        <w:tc>
          <w:tcPr>
            <w:tcW w:w="460" w:type="dxa"/>
            <w:vAlign w:val="bottom"/>
          </w:tcPr>
          <w:p>
            <w:pPr>
              <w:spacing w:after="0"/>
              <w:rPr>
                <w:sz w:val="2"/>
                <w:szCs w:val="2"/>
                <w:color w:val="auto"/>
              </w:rPr>
            </w:pPr>
          </w:p>
        </w:tc>
        <w:tc>
          <w:tcPr>
            <w:tcW w:w="3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188"/>
        </w:trPr>
        <w:tc>
          <w:tcPr>
            <w:tcW w:w="460" w:type="dxa"/>
            <w:vAlign w:val="bottom"/>
            <w:shd w:val="clear" w:color="auto" w:fill="CFF0FC"/>
          </w:tcPr>
          <w:p>
            <w:pPr>
              <w:spacing w:after="0"/>
              <w:rPr>
                <w:sz w:val="16"/>
                <w:szCs w:val="16"/>
                <w:color w:val="auto"/>
              </w:rPr>
            </w:pPr>
          </w:p>
        </w:tc>
        <w:tc>
          <w:tcPr>
            <w:tcW w:w="8700" w:type="dxa"/>
            <w:vAlign w:val="bottom"/>
            <w:gridSpan w:val="9"/>
            <w:shd w:val="clear" w:color="auto" w:fill="CFF0FC"/>
          </w:tcPr>
          <w:p>
            <w:pPr>
              <w:spacing w:after="0" w:line="189" w:lineRule="exact"/>
              <w:rPr>
                <w:sz w:val="20"/>
                <w:szCs w:val="20"/>
                <w:color w:val="auto"/>
              </w:rPr>
            </w:pPr>
            <w:r>
              <w:rPr>
                <w:rFonts w:ascii="Arial" w:cs="Arial" w:eastAsia="Arial" w:hAnsi="Arial"/>
                <w:sz w:val="18"/>
                <w:szCs w:val="18"/>
                <w:color w:val="0000FF"/>
              </w:rPr>
              <w:t>Consolidated Statements of Operations for the years ended December 31, 2022, 2021 and 2020</w:t>
            </w:r>
          </w:p>
        </w:tc>
        <w:tc>
          <w:tcPr>
            <w:tcW w:w="2080" w:type="dxa"/>
            <w:vAlign w:val="bottom"/>
            <w:shd w:val="clear" w:color="auto" w:fill="CFF0FC"/>
          </w:tcPr>
          <w:p>
            <w:pPr>
              <w:jc w:val="center"/>
              <w:ind w:left="770"/>
              <w:spacing w:after="0" w:line="189" w:lineRule="exact"/>
              <w:rPr>
                <w:sz w:val="20"/>
                <w:szCs w:val="20"/>
                <w:color w:val="auto"/>
              </w:rPr>
            </w:pPr>
            <w:r>
              <w:rPr>
                <w:rFonts w:ascii="Arial" w:cs="Arial" w:eastAsia="Arial" w:hAnsi="Arial"/>
                <w:sz w:val="18"/>
                <w:szCs w:val="18"/>
                <w:color w:val="auto"/>
                <w:w w:val="89"/>
              </w:rPr>
              <w:t>55</w:t>
            </w:r>
          </w:p>
        </w:tc>
      </w:tr>
      <w:tr>
        <w:trPr>
          <w:trHeight w:val="34"/>
        </w:trPr>
        <w:tc>
          <w:tcPr>
            <w:tcW w:w="460" w:type="dxa"/>
            <w:vAlign w:val="bottom"/>
            <w:tcBorders>
              <w:top w:val="single" w:sz="8" w:color="CFF0FC"/>
            </w:tcBorders>
            <w:shd w:val="clear" w:color="auto" w:fill="CFF0FC"/>
          </w:tcPr>
          <w:p>
            <w:pPr>
              <w:spacing w:after="0"/>
              <w:rPr>
                <w:sz w:val="2"/>
                <w:szCs w:val="2"/>
                <w:color w:val="auto"/>
              </w:rPr>
            </w:pPr>
          </w:p>
        </w:tc>
        <w:tc>
          <w:tcPr>
            <w:tcW w:w="3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4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21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2080" w:type="dxa"/>
            <w:vAlign w:val="bottom"/>
            <w:tcBorders>
              <w:top w:val="single" w:sz="8" w:color="CFF0FC"/>
            </w:tcBorders>
            <w:shd w:val="clear" w:color="auto" w:fill="CFF0FC"/>
          </w:tcPr>
          <w:p>
            <w:pPr>
              <w:spacing w:after="0"/>
              <w:rPr>
                <w:sz w:val="2"/>
                <w:szCs w:val="2"/>
                <w:color w:val="auto"/>
              </w:rPr>
            </w:pPr>
          </w:p>
        </w:tc>
      </w:tr>
      <w:tr>
        <w:trPr>
          <w:trHeight w:val="188"/>
        </w:trPr>
        <w:tc>
          <w:tcPr>
            <w:tcW w:w="460" w:type="dxa"/>
            <w:vAlign w:val="bottom"/>
          </w:tcPr>
          <w:p>
            <w:pPr>
              <w:spacing w:after="0"/>
              <w:rPr>
                <w:sz w:val="16"/>
                <w:szCs w:val="16"/>
                <w:color w:val="auto"/>
              </w:rPr>
            </w:pPr>
          </w:p>
        </w:tc>
        <w:tc>
          <w:tcPr>
            <w:tcW w:w="8700" w:type="dxa"/>
            <w:vAlign w:val="bottom"/>
            <w:gridSpan w:val="9"/>
          </w:tcPr>
          <w:p>
            <w:pPr>
              <w:spacing w:after="0" w:line="189" w:lineRule="exact"/>
              <w:rPr>
                <w:sz w:val="20"/>
                <w:szCs w:val="20"/>
                <w:color w:val="auto"/>
              </w:rPr>
            </w:pPr>
            <w:r>
              <w:rPr>
                <w:rFonts w:ascii="Arial" w:cs="Arial" w:eastAsia="Arial" w:hAnsi="Arial"/>
                <w:sz w:val="18"/>
                <w:szCs w:val="18"/>
                <w:color w:val="0000FF"/>
                <w:w w:val="99"/>
              </w:rPr>
              <w:t>Consolidated Statements of Comprehensive Income for the years ended December 31, 2022, 2021 and 2020</w:t>
            </w:r>
          </w:p>
        </w:tc>
        <w:tc>
          <w:tcPr>
            <w:tcW w:w="2080" w:type="dxa"/>
            <w:vAlign w:val="bottom"/>
          </w:tcPr>
          <w:p>
            <w:pPr>
              <w:jc w:val="center"/>
              <w:ind w:left="770"/>
              <w:spacing w:after="0" w:line="189" w:lineRule="exact"/>
              <w:rPr>
                <w:sz w:val="20"/>
                <w:szCs w:val="20"/>
                <w:color w:val="auto"/>
              </w:rPr>
            </w:pPr>
            <w:r>
              <w:rPr>
                <w:rFonts w:ascii="Arial" w:cs="Arial" w:eastAsia="Arial" w:hAnsi="Arial"/>
                <w:sz w:val="18"/>
                <w:szCs w:val="18"/>
                <w:color w:val="auto"/>
                <w:w w:val="89"/>
              </w:rPr>
              <w:t>55</w:t>
            </w:r>
          </w:p>
        </w:tc>
      </w:tr>
      <w:tr>
        <w:trPr>
          <w:trHeight w:val="34"/>
        </w:trPr>
        <w:tc>
          <w:tcPr>
            <w:tcW w:w="460" w:type="dxa"/>
            <w:vAlign w:val="bottom"/>
          </w:tcPr>
          <w:p>
            <w:pPr>
              <w:spacing w:after="0"/>
              <w:rPr>
                <w:sz w:val="2"/>
                <w:szCs w:val="2"/>
                <w:color w:val="auto"/>
              </w:rPr>
            </w:pPr>
          </w:p>
        </w:tc>
        <w:tc>
          <w:tcPr>
            <w:tcW w:w="3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2"/>
        </w:trPr>
        <w:tc>
          <w:tcPr>
            <w:tcW w:w="460" w:type="dxa"/>
            <w:vAlign w:val="bottom"/>
            <w:tcBorders>
              <w:bottom w:val="single" w:sz="8" w:color="CFF0FC"/>
            </w:tcBorders>
            <w:shd w:val="clear" w:color="auto" w:fill="CFF0FC"/>
          </w:tcPr>
          <w:p>
            <w:pPr>
              <w:spacing w:after="0"/>
              <w:rPr>
                <w:sz w:val="19"/>
                <w:szCs w:val="19"/>
                <w:color w:val="auto"/>
              </w:rPr>
            </w:pPr>
          </w:p>
        </w:tc>
        <w:tc>
          <w:tcPr>
            <w:tcW w:w="4640" w:type="dxa"/>
            <w:vAlign w:val="bottom"/>
            <w:tcBorders>
              <w:bottom w:val="single" w:sz="8" w:color="0000FF"/>
            </w:tcBorders>
            <w:gridSpan w:val="4"/>
            <w:shd w:val="clear" w:color="auto" w:fill="CFF0FC"/>
          </w:tcPr>
          <w:p>
            <w:pPr>
              <w:spacing w:after="0" w:line="189" w:lineRule="exact"/>
              <w:rPr>
                <w:sz w:val="20"/>
                <w:szCs w:val="20"/>
                <w:color w:val="auto"/>
              </w:rPr>
            </w:pPr>
            <w:r>
              <w:rPr>
                <w:rFonts w:ascii="Arial" w:cs="Arial" w:eastAsia="Arial" w:hAnsi="Arial"/>
                <w:sz w:val="18"/>
                <w:szCs w:val="18"/>
                <w:color w:val="0000FF"/>
                <w:w w:val="88"/>
              </w:rPr>
              <w:t>Consolidated Balance Sheets as of December 31, 2022 and 2021</w:t>
            </w:r>
          </w:p>
        </w:tc>
        <w:tc>
          <w:tcPr>
            <w:tcW w:w="4060" w:type="dxa"/>
            <w:vAlign w:val="bottom"/>
            <w:tcBorders>
              <w:bottom w:val="single" w:sz="8" w:color="CFF0FC"/>
            </w:tcBorders>
            <w:gridSpan w:val="5"/>
            <w:shd w:val="clear" w:color="auto" w:fill="CFF0FC"/>
          </w:tcPr>
          <w:p>
            <w:pPr>
              <w:spacing w:after="0"/>
              <w:rPr>
                <w:sz w:val="19"/>
                <w:szCs w:val="19"/>
                <w:color w:val="auto"/>
              </w:rPr>
            </w:pPr>
          </w:p>
        </w:tc>
        <w:tc>
          <w:tcPr>
            <w:tcW w:w="2080" w:type="dxa"/>
            <w:vAlign w:val="bottom"/>
            <w:tcBorders>
              <w:bottom w:val="single" w:sz="8" w:color="CFF0FC"/>
            </w:tcBorders>
            <w:shd w:val="clear" w:color="auto" w:fill="CFF0FC"/>
          </w:tcPr>
          <w:p>
            <w:pPr>
              <w:jc w:val="center"/>
              <w:ind w:left="770"/>
              <w:spacing w:after="0" w:line="189" w:lineRule="exact"/>
              <w:rPr>
                <w:sz w:val="20"/>
                <w:szCs w:val="20"/>
                <w:color w:val="auto"/>
              </w:rPr>
            </w:pPr>
            <w:r>
              <w:rPr>
                <w:rFonts w:ascii="Arial" w:cs="Arial" w:eastAsia="Arial" w:hAnsi="Arial"/>
                <w:sz w:val="18"/>
                <w:szCs w:val="18"/>
                <w:color w:val="auto"/>
                <w:w w:val="89"/>
              </w:rPr>
              <w:t>56</w:t>
            </w:r>
          </w:p>
        </w:tc>
      </w:tr>
      <w:tr>
        <w:trPr>
          <w:trHeight w:val="188"/>
        </w:trPr>
        <w:tc>
          <w:tcPr>
            <w:tcW w:w="460" w:type="dxa"/>
            <w:vAlign w:val="bottom"/>
          </w:tcPr>
          <w:p>
            <w:pPr>
              <w:spacing w:after="0"/>
              <w:rPr>
                <w:sz w:val="16"/>
                <w:szCs w:val="16"/>
                <w:color w:val="auto"/>
              </w:rPr>
            </w:pPr>
          </w:p>
        </w:tc>
        <w:tc>
          <w:tcPr>
            <w:tcW w:w="8700" w:type="dxa"/>
            <w:vAlign w:val="bottom"/>
            <w:gridSpan w:val="9"/>
          </w:tcPr>
          <w:p>
            <w:pPr>
              <w:spacing w:after="0" w:line="189" w:lineRule="exact"/>
              <w:rPr>
                <w:sz w:val="20"/>
                <w:szCs w:val="20"/>
                <w:color w:val="auto"/>
              </w:rPr>
            </w:pPr>
            <w:r>
              <w:rPr>
                <w:rFonts w:ascii="Arial" w:cs="Arial" w:eastAsia="Arial" w:hAnsi="Arial"/>
                <w:sz w:val="18"/>
                <w:szCs w:val="18"/>
                <w:color w:val="0000FF"/>
              </w:rPr>
              <w:t>Consolidated Statements of Cash Flows for the years ended December 31, 2022, 2021 and 2020</w:t>
            </w:r>
          </w:p>
        </w:tc>
        <w:tc>
          <w:tcPr>
            <w:tcW w:w="2080" w:type="dxa"/>
            <w:vAlign w:val="bottom"/>
          </w:tcPr>
          <w:p>
            <w:pPr>
              <w:jc w:val="center"/>
              <w:ind w:left="770"/>
              <w:spacing w:after="0" w:line="189" w:lineRule="exact"/>
              <w:rPr>
                <w:sz w:val="20"/>
                <w:szCs w:val="20"/>
                <w:color w:val="auto"/>
              </w:rPr>
            </w:pPr>
            <w:r>
              <w:rPr>
                <w:rFonts w:ascii="Arial" w:cs="Arial" w:eastAsia="Arial" w:hAnsi="Arial"/>
                <w:sz w:val="18"/>
                <w:szCs w:val="18"/>
                <w:color w:val="auto"/>
                <w:w w:val="89"/>
              </w:rPr>
              <w:t>57</w:t>
            </w:r>
          </w:p>
        </w:tc>
      </w:tr>
      <w:tr>
        <w:trPr>
          <w:trHeight w:val="34"/>
        </w:trPr>
        <w:tc>
          <w:tcPr>
            <w:tcW w:w="460" w:type="dxa"/>
            <w:vAlign w:val="bottom"/>
          </w:tcPr>
          <w:p>
            <w:pPr>
              <w:spacing w:after="0"/>
              <w:rPr>
                <w:sz w:val="2"/>
                <w:szCs w:val="2"/>
                <w:color w:val="auto"/>
              </w:rPr>
            </w:pPr>
          </w:p>
        </w:tc>
        <w:tc>
          <w:tcPr>
            <w:tcW w:w="3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2"/>
        </w:trPr>
        <w:tc>
          <w:tcPr>
            <w:tcW w:w="460" w:type="dxa"/>
            <w:vAlign w:val="bottom"/>
            <w:tcBorders>
              <w:bottom w:val="single" w:sz="8" w:color="CFF0FC"/>
            </w:tcBorders>
            <w:shd w:val="clear" w:color="auto" w:fill="CFF0FC"/>
          </w:tcPr>
          <w:p>
            <w:pPr>
              <w:spacing w:after="0"/>
              <w:rPr>
                <w:sz w:val="19"/>
                <w:szCs w:val="19"/>
                <w:color w:val="auto"/>
              </w:rPr>
            </w:pPr>
          </w:p>
        </w:tc>
        <w:tc>
          <w:tcPr>
            <w:tcW w:w="7560" w:type="dxa"/>
            <w:vAlign w:val="bottom"/>
            <w:tcBorders>
              <w:bottom w:val="single" w:sz="8" w:color="0000FF"/>
            </w:tcBorders>
            <w:gridSpan w:val="7"/>
            <w:shd w:val="clear" w:color="auto" w:fill="CFF0FC"/>
          </w:tcPr>
          <w:p>
            <w:pPr>
              <w:spacing w:after="0" w:line="189" w:lineRule="exact"/>
              <w:rPr>
                <w:sz w:val="20"/>
                <w:szCs w:val="20"/>
                <w:color w:val="auto"/>
              </w:rPr>
            </w:pPr>
            <w:r>
              <w:rPr>
                <w:rFonts w:ascii="Arial" w:cs="Arial" w:eastAsia="Arial" w:hAnsi="Arial"/>
                <w:sz w:val="18"/>
                <w:szCs w:val="18"/>
                <w:color w:val="0000FF"/>
                <w:w w:val="89"/>
              </w:rPr>
              <w:t>Consolidated Statements of Shareholders’ Equity for the years ended December 31, 2022, 2021 and 2020</w:t>
            </w:r>
          </w:p>
        </w:tc>
        <w:tc>
          <w:tcPr>
            <w:tcW w:w="1140" w:type="dxa"/>
            <w:vAlign w:val="bottom"/>
            <w:tcBorders>
              <w:bottom w:val="single" w:sz="8" w:color="CFF0FC"/>
            </w:tcBorders>
            <w:gridSpan w:val="2"/>
            <w:shd w:val="clear" w:color="auto" w:fill="CFF0FC"/>
          </w:tcPr>
          <w:p>
            <w:pPr>
              <w:spacing w:after="0"/>
              <w:rPr>
                <w:sz w:val="19"/>
                <w:szCs w:val="19"/>
                <w:color w:val="auto"/>
              </w:rPr>
            </w:pPr>
          </w:p>
        </w:tc>
        <w:tc>
          <w:tcPr>
            <w:tcW w:w="2080" w:type="dxa"/>
            <w:vAlign w:val="bottom"/>
            <w:tcBorders>
              <w:bottom w:val="single" w:sz="8" w:color="CFF0FC"/>
            </w:tcBorders>
            <w:shd w:val="clear" w:color="auto" w:fill="CFF0FC"/>
          </w:tcPr>
          <w:p>
            <w:pPr>
              <w:jc w:val="center"/>
              <w:ind w:left="770"/>
              <w:spacing w:after="0" w:line="189" w:lineRule="exact"/>
              <w:rPr>
                <w:sz w:val="20"/>
                <w:szCs w:val="20"/>
                <w:color w:val="auto"/>
              </w:rPr>
            </w:pPr>
            <w:r>
              <w:rPr>
                <w:rFonts w:ascii="Arial" w:cs="Arial" w:eastAsia="Arial" w:hAnsi="Arial"/>
                <w:sz w:val="18"/>
                <w:szCs w:val="18"/>
                <w:color w:val="auto"/>
                <w:w w:val="89"/>
              </w:rPr>
              <w:t>58</w:t>
            </w:r>
          </w:p>
        </w:tc>
      </w:tr>
      <w:tr>
        <w:trPr>
          <w:trHeight w:val="188"/>
        </w:trPr>
        <w:tc>
          <w:tcPr>
            <w:tcW w:w="460" w:type="dxa"/>
            <w:vAlign w:val="bottom"/>
          </w:tcPr>
          <w:p>
            <w:pPr>
              <w:spacing w:after="0"/>
              <w:rPr>
                <w:sz w:val="16"/>
                <w:szCs w:val="16"/>
                <w:color w:val="auto"/>
              </w:rPr>
            </w:pPr>
          </w:p>
        </w:tc>
        <w:tc>
          <w:tcPr>
            <w:tcW w:w="314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color w:val="0000FF"/>
                <w:w w:val="89"/>
              </w:rPr>
              <w:t>Notes to Consolidated Financial Statements</w:t>
            </w:r>
          </w:p>
        </w:tc>
        <w:tc>
          <w:tcPr>
            <w:tcW w:w="20" w:type="dxa"/>
            <w:vAlign w:val="bottom"/>
            <w:tcBorders>
              <w:bottom w:val="single" w:sz="8" w:color="0000EE"/>
            </w:tcBorders>
          </w:tcPr>
          <w:p>
            <w:pPr>
              <w:spacing w:after="0"/>
              <w:rPr>
                <w:sz w:val="16"/>
                <w:szCs w:val="16"/>
                <w:color w:val="auto"/>
              </w:rPr>
            </w:pPr>
          </w:p>
        </w:tc>
        <w:tc>
          <w:tcPr>
            <w:tcW w:w="5540" w:type="dxa"/>
            <w:vAlign w:val="bottom"/>
            <w:gridSpan w:val="7"/>
          </w:tcPr>
          <w:p>
            <w:pPr>
              <w:spacing w:after="0"/>
              <w:rPr>
                <w:sz w:val="16"/>
                <w:szCs w:val="16"/>
                <w:color w:val="auto"/>
              </w:rPr>
            </w:pPr>
          </w:p>
        </w:tc>
        <w:tc>
          <w:tcPr>
            <w:tcW w:w="2080" w:type="dxa"/>
            <w:vAlign w:val="bottom"/>
          </w:tcPr>
          <w:p>
            <w:pPr>
              <w:jc w:val="center"/>
              <w:ind w:left="770"/>
              <w:spacing w:after="0" w:line="189" w:lineRule="exact"/>
              <w:rPr>
                <w:sz w:val="20"/>
                <w:szCs w:val="20"/>
                <w:color w:val="auto"/>
              </w:rPr>
            </w:pPr>
            <w:r>
              <w:rPr>
                <w:rFonts w:ascii="Arial" w:cs="Arial" w:eastAsia="Arial" w:hAnsi="Arial"/>
                <w:sz w:val="18"/>
                <w:szCs w:val="18"/>
                <w:color w:val="auto"/>
                <w:w w:val="89"/>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ManpowerGroup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 xml:space="preserve">We have audited the internal control over financial reporting of ManpowerGroup Inc. and subsidiaries (the “Company”)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0"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17, 2023, expressed an unqualified opinion on those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36"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ManpowerGroup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audited the accompanying consolidated balance sheets of ManpowerGroup Inc. and subsidiaries (the "Company") as of December 31, 2022 and 2021, the related consolidated statements of operations, comprehensive income, shareholders' equity, and cash flows, for each of the three years in the period ended December 31, 2022, and the related notes and the schedule listed in the Index at Item 15(a)(2)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7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17, 2023, expressed an unqualified opinion on the Company's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 Netherlands Reporting Unit – Refer to Notes 1 and 7 to the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Company’s evaluation of goodwill for impairment involves the comparison of the estimated fair value of each reporting unit to its carrying value. The annual impairment test of goodwill at a reporting unit level is performed annually as of July 1, or more frequently if events or circumstances indicate the fair value of a reporting unit may be below its respective carrying value. The Company used the discounted cash flow method to estimate fair value, which requires management to make significant estimates and assumptions related to discount rates and forecasts of future revenues and operating unit profit margins. Changes in these assumptions could have a significant impact on either the fair value, the amount of any goodwill impairment charge, or both.</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53" w:name="page54"/>
    <w:bookmarkEnd w:id="53"/>
    <w:p>
      <w:pPr>
        <w:jc w:val="both"/>
        <w:ind w:right="180"/>
        <w:spacing w:after="0" w:line="262" w:lineRule="auto"/>
        <w:rPr>
          <w:sz w:val="20"/>
          <w:szCs w:val="20"/>
          <w:color w:val="auto"/>
        </w:rPr>
      </w:pPr>
      <w:r>
        <w:rPr>
          <w:rFonts w:ascii="Arial" w:cs="Arial" w:eastAsia="Arial" w:hAnsi="Arial"/>
          <w:sz w:val="18"/>
          <w:szCs w:val="18"/>
          <w:color w:val="auto"/>
        </w:rPr>
        <w:t>Following the July 1 annual impairment test of goodwill, the Netherlands reporting unit’s fair value approximated it’s carrying value. Given the fair value approximated the carrying value of this reporting unit, the performance of the Netherlands reporting unit and the potential for future developments in the economic environment introduced a heightened risk for impairment following the July 1 assessment.</w:t>
      </w:r>
    </w:p>
    <w:p>
      <w:pPr>
        <w:spacing w:after="0" w:line="1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fourth quarter of 2022 the company identified factors that caused it to evaluate the goodwill associated with the Netherlands reporting unit for potential impairment. These factors included operating results that were below management targets and deterioration of the macroeconomic and local market conditions since the time of management’s annual assessment. The Company updated its fair value estimate as of December 31, 2022 to reflect current market conditions and as a result of the test recorded a $50.0 million impairment of goodwill based on the excess of the Netherlands reporting unit’s carrying amount over its estimated fair value. As of December 31, 2022, the remaining goodwill balance for the Netherlands reporting unit was $55.1 million.</w:t>
      </w:r>
    </w:p>
    <w:p>
      <w:pPr>
        <w:spacing w:after="0" w:line="19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Given that forecasted revenues and operating unit profit margins for the Netherlands reporting unit are highly sensitive to changes in demand and efficiency of operations, and considering the breakeven excess of fair value over carrying value of this reporting unit, auditing these estimates and assumptions including the selected discount rates and long-term growth rates, and auditing the appropriateness of the impairment charge, involved especially subjective judgment. As a result, we identified the Company’s evaluation of goodwill impairment for the Netherlands reporting unit as a critical audit matter due to the high degree of auditor judgment and the increased extent of effort that was required when performing audit procedures to evaluate the reasonableness of management’s significant estimates and assumptions, including the need to involve our fair value specialists.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Our audit procedures related to forecasts of future revenues and operating unit profit margins, and the selection of discount rates and long-term revenue growth rates for the Netherlands reporting unit included the following, among others:</w:t>
      </w:r>
    </w:p>
    <w:p>
      <w:pPr>
        <w:spacing w:after="0" w:line="64" w:lineRule="exact"/>
        <w:rPr>
          <w:sz w:val="20"/>
          <w:szCs w:val="20"/>
          <w:color w:val="auto"/>
        </w:rPr>
      </w:pPr>
    </w:p>
    <w:p>
      <w:pPr>
        <w:ind w:left="1020" w:right="280" w:hanging="504"/>
        <w:spacing w:after="0" w:line="27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tested the effectiveness of controls over goodwill, including controls over the review of forecasts related to revenue and operating unit profit margin and selection of discount rates and long-term growth rates.</w:t>
      </w:r>
    </w:p>
    <w:p>
      <w:pPr>
        <w:spacing w:after="0" w:line="63" w:lineRule="exact"/>
        <w:rPr>
          <w:rFonts w:ascii="Arial" w:cs="Arial" w:eastAsia="Arial" w:hAnsi="Arial"/>
          <w:sz w:val="18"/>
          <w:szCs w:val="18"/>
          <w:color w:val="auto"/>
        </w:rPr>
      </w:pPr>
    </w:p>
    <w:p>
      <w:pPr>
        <w:ind w:left="1020" w:hanging="504"/>
        <w:spacing w:after="0" w:line="27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revenue and operating unit profit margins by performing a retrospective comparison of prior forecasts to actual results.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evaluated the reasonableness of management’s current revenue and operating unit profit margin forecasts by comparing the forecasts to</w:t>
      </w:r>
    </w:p>
    <w:p>
      <w:pPr>
        <w:spacing w:after="0" w:line="45" w:lineRule="exact"/>
        <w:rPr>
          <w:rFonts w:ascii="Arial" w:cs="Arial" w:eastAsia="Arial" w:hAnsi="Arial"/>
          <w:sz w:val="16"/>
          <w:szCs w:val="16"/>
          <w:color w:val="auto"/>
        </w:rPr>
      </w:pPr>
    </w:p>
    <w:p>
      <w:pPr>
        <w:ind w:left="1020" w:right="460"/>
        <w:spacing w:after="0" w:line="288" w:lineRule="auto"/>
        <w:rPr>
          <w:rFonts w:ascii="Arial" w:cs="Arial" w:eastAsia="Arial" w:hAnsi="Arial"/>
          <w:sz w:val="16"/>
          <w:szCs w:val="16"/>
          <w:color w:val="auto"/>
        </w:rPr>
      </w:pPr>
      <w:r>
        <w:rPr>
          <w:rFonts w:ascii="Arial" w:cs="Arial" w:eastAsia="Arial" w:hAnsi="Arial"/>
          <w:sz w:val="17"/>
          <w:szCs w:val="17"/>
          <w:color w:val="auto"/>
        </w:rPr>
        <w:t>(1) historical results (2) internal communications to management and the Board of Directors, and (3) forecasted information included in Company press releases, analyst and industry reports of the Company and companies in its peer group.</w:t>
      </w:r>
    </w:p>
    <w:p>
      <w:pPr>
        <w:spacing w:after="0" w:line="54" w:lineRule="exact"/>
        <w:rPr>
          <w:rFonts w:ascii="Arial" w:cs="Arial" w:eastAsia="Arial" w:hAnsi="Arial"/>
          <w:sz w:val="16"/>
          <w:szCs w:val="16"/>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management’s fair value estimate by:</w:t>
      </w:r>
    </w:p>
    <w:p>
      <w:pPr>
        <w:spacing w:after="0" w:line="115" w:lineRule="exact"/>
        <w:rPr>
          <w:rFonts w:ascii="Arial" w:cs="Arial" w:eastAsia="Arial" w:hAnsi="Arial"/>
          <w:sz w:val="18"/>
          <w:szCs w:val="18"/>
          <w:color w:val="auto"/>
        </w:rPr>
      </w:pPr>
    </w:p>
    <w:p>
      <w:pPr>
        <w:ind w:left="1540" w:right="100" w:hanging="510"/>
        <w:spacing w:after="0" w:line="275" w:lineRule="auto"/>
        <w:rPr>
          <w:rFonts w:ascii="Arial" w:cs="Arial" w:eastAsia="Arial" w:hAnsi="Arial"/>
          <w:sz w:val="18"/>
          <w:szCs w:val="18"/>
          <w:color w:val="auto"/>
        </w:rPr>
      </w:pPr>
      <w:r>
        <w:rPr>
          <w:rFonts w:ascii="Arial" w:cs="Arial" w:eastAsia="Arial" w:hAnsi="Arial"/>
          <w:sz w:val="18"/>
          <w:szCs w:val="18"/>
          <w:color w:val="auto"/>
        </w:rPr>
        <w:t>oDeveloping an independent range of fair values based on market multiples of similar companies and comparing this to the company’s estimated fair values.</w:t>
      </w:r>
    </w:p>
    <w:p>
      <w:pPr>
        <w:spacing w:after="0" w:line="6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Testing the source information underlying the determination of the discount rate and the mathematical accuracy of the calculation.</w:t>
      </w:r>
    </w:p>
    <w:p>
      <w:pPr>
        <w:spacing w:after="0" w:line="11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Developing a range of independent estimates of discount rates and comparing those to the discount rates selected by management.</w:t>
      </w:r>
    </w:p>
    <w:p>
      <w:pPr>
        <w:spacing w:after="0" w:line="115" w:lineRule="exact"/>
        <w:rPr>
          <w:rFonts w:ascii="Arial" w:cs="Arial" w:eastAsia="Arial" w:hAnsi="Arial"/>
          <w:sz w:val="18"/>
          <w:szCs w:val="18"/>
          <w:color w:val="auto"/>
        </w:rPr>
      </w:pPr>
    </w:p>
    <w:p>
      <w:pPr>
        <w:ind w:left="1540" w:right="700" w:hanging="510"/>
        <w:spacing w:after="0" w:line="340"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Developing a range of independent estimates of long-term revenue growth rates using reporting-unit specific macroeconomic indicators and industry projections, and comparing those to the long-term growth rates selected by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282A32"/>
        </w:rPr>
        <w:t>CONSOLIDATED STATEMENTS OF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282A32"/>
        </w:rPr>
        <w:t>in millions,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42"/>
        </w:trPr>
        <w:tc>
          <w:tcPr>
            <w:tcW w:w="6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services</w:t>
            </w: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19,827.5</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20,724.4</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18,001.0</w:t>
            </w:r>
          </w:p>
        </w:tc>
      </w:tr>
      <w:tr>
        <w:trPr>
          <w:trHeight w:val="236"/>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services</w:t>
            </w:r>
          </w:p>
        </w:tc>
        <w:tc>
          <w:tcPr>
            <w:tcW w:w="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16,255.1</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17,316.9</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15,176.3</w:t>
            </w:r>
          </w:p>
        </w:tc>
      </w:tr>
      <w:tr>
        <w:trPr>
          <w:trHeight w:val="242"/>
        </w:trPr>
        <w:tc>
          <w:tcPr>
            <w:tcW w:w="6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3,572.4</w:t>
            </w: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3,407.5</w:t>
            </w: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2,824.7</w:t>
            </w:r>
          </w:p>
        </w:tc>
      </w:tr>
      <w:tr>
        <w:trPr>
          <w:trHeight w:val="236"/>
        </w:trPr>
        <w:tc>
          <w:tcPr>
            <w:tcW w:w="6140" w:type="dxa"/>
            <w:vAlign w:val="bottom"/>
          </w:tcPr>
          <w:p>
            <w:pPr>
              <w:ind w:left="20"/>
              <w:spacing w:after="0"/>
              <w:rPr>
                <w:sz w:val="20"/>
                <w:szCs w:val="20"/>
                <w:color w:val="auto"/>
              </w:rPr>
            </w:pPr>
            <w:r>
              <w:rPr>
                <w:rFonts w:ascii="Arial" w:cs="Arial" w:eastAsia="Arial" w:hAnsi="Arial"/>
                <w:sz w:val="18"/>
                <w:szCs w:val="18"/>
                <w:color w:val="auto"/>
              </w:rPr>
              <w:t>Selling and administrative expenses, excluding goodwill impairment charges</w:t>
            </w:r>
          </w:p>
        </w:tc>
        <w:tc>
          <w:tcPr>
            <w:tcW w:w="9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2,940.7</w:t>
            </w:r>
          </w:p>
        </w:tc>
        <w:tc>
          <w:tcPr>
            <w:tcW w:w="4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2,822.1</w:t>
            </w:r>
          </w:p>
        </w:tc>
        <w:tc>
          <w:tcPr>
            <w:tcW w:w="4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2,570.3</w:t>
            </w:r>
          </w:p>
        </w:tc>
      </w:tr>
      <w:tr>
        <w:trPr>
          <w:trHeight w:val="242"/>
        </w:trPr>
        <w:tc>
          <w:tcPr>
            <w:tcW w:w="6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Goodwill impairment charges</w:t>
            </w:r>
          </w:p>
        </w:tc>
        <w:tc>
          <w:tcPr>
            <w:tcW w:w="9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50.0</w:t>
            </w:r>
          </w:p>
        </w:tc>
        <w:tc>
          <w:tcPr>
            <w:tcW w:w="4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66.8</w:t>
            </w:r>
          </w:p>
        </w:tc>
      </w:tr>
      <w:tr>
        <w:trPr>
          <w:trHeight w:val="236"/>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Selling and administrative expenses</w:t>
            </w:r>
          </w:p>
        </w:tc>
        <w:tc>
          <w:tcPr>
            <w:tcW w:w="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2,990.7</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2,822.1</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2,637.1</w:t>
            </w:r>
          </w:p>
        </w:tc>
      </w:tr>
      <w:tr>
        <w:trPr>
          <w:trHeight w:val="242"/>
        </w:trPr>
        <w:tc>
          <w:tcPr>
            <w:tcW w:w="6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profit</w:t>
            </w:r>
          </w:p>
        </w:tc>
        <w:tc>
          <w:tcPr>
            <w:tcW w:w="9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581.7</w:t>
            </w: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585.4</w:t>
            </w: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187.6</w:t>
            </w:r>
          </w:p>
        </w:tc>
      </w:tr>
      <w:tr>
        <w:trPr>
          <w:trHeight w:val="236"/>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24.6</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39.9</w:t>
            </w:r>
          </w:p>
        </w:tc>
      </w:tr>
      <w:tr>
        <w:trPr>
          <w:trHeight w:val="242"/>
        </w:trPr>
        <w:tc>
          <w:tcPr>
            <w:tcW w:w="6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Earnings before income taxes</w:t>
            </w:r>
          </w:p>
        </w:tc>
        <w:tc>
          <w:tcPr>
            <w:tcW w:w="9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557.1</w:t>
            </w: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568.1</w:t>
            </w: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147.7</w:t>
            </w:r>
          </w:p>
        </w:tc>
      </w:tr>
      <w:tr>
        <w:trPr>
          <w:trHeight w:val="236"/>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183.3</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185.7</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123.9</w:t>
            </w:r>
          </w:p>
        </w:tc>
      </w:tr>
      <w:tr>
        <w:trPr>
          <w:trHeight w:val="236"/>
        </w:trPr>
        <w:tc>
          <w:tcPr>
            <w:tcW w:w="614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Net earnings</w:t>
            </w: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373.8</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382.4</w:t>
            </w:r>
          </w:p>
        </w:tc>
        <w:tc>
          <w:tcPr>
            <w:tcW w:w="4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23.8</w:t>
            </w:r>
          </w:p>
        </w:tc>
      </w:tr>
      <w:tr>
        <w:trPr>
          <w:trHeight w:val="236"/>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 per share - basic</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7.17</w:t>
            </w: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7.01</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0.41</w:t>
            </w:r>
          </w:p>
        </w:tc>
      </w:tr>
      <w:tr>
        <w:trPr>
          <w:trHeight w:val="236"/>
        </w:trPr>
        <w:tc>
          <w:tcPr>
            <w:tcW w:w="6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earnings per share - diluted</w:t>
            </w: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7.08</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6.91</w:t>
            </w:r>
          </w:p>
        </w:tc>
        <w:tc>
          <w:tcPr>
            <w:tcW w:w="4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0.41</w:t>
            </w:r>
          </w:p>
        </w:tc>
      </w:tr>
      <w:tr>
        <w:trPr>
          <w:trHeight w:val="236"/>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shares - basic</w:t>
            </w:r>
          </w:p>
        </w:tc>
        <w:tc>
          <w:tcPr>
            <w:tcW w:w="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52.2</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54.5</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58.0</w:t>
            </w:r>
          </w:p>
        </w:tc>
      </w:tr>
      <w:tr>
        <w:trPr>
          <w:trHeight w:val="236"/>
        </w:trPr>
        <w:tc>
          <w:tcPr>
            <w:tcW w:w="6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 diluted</w:t>
            </w:r>
          </w:p>
        </w:tc>
        <w:tc>
          <w:tcPr>
            <w:tcW w:w="9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52.8</w:t>
            </w:r>
          </w:p>
        </w:tc>
        <w:tc>
          <w:tcPr>
            <w:tcW w:w="4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55.4</w:t>
            </w:r>
          </w:p>
        </w:tc>
        <w:tc>
          <w:tcPr>
            <w:tcW w:w="4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58.3</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282A32"/>
        </w:rPr>
        <w:t>The accompanying Notes to Consolidated Financial Statements are an integral part of these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82A32"/>
        </w:rPr>
        <w:t>CONSOLIDATED STATEMENTS OF COMPREHENSIVE INCOME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5220"/>
              <w:spacing w:after="0"/>
              <w:rPr>
                <w:sz w:val="20"/>
                <w:szCs w:val="20"/>
                <w:color w:val="auto"/>
              </w:rPr>
            </w:pPr>
            <w:r>
              <w:rPr>
                <w:rFonts w:ascii="Arial" w:cs="Arial" w:eastAsia="Arial" w:hAnsi="Arial"/>
                <w:sz w:val="18"/>
                <w:szCs w:val="18"/>
                <w:b w:val="1"/>
                <w:bCs w:val="1"/>
                <w:i w:val="1"/>
                <w:iCs w:val="1"/>
                <w:color w:val="282A32"/>
              </w:rPr>
              <w:t>in millions</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51"/>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42"/>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w:t>
            </w:r>
          </w:p>
        </w:tc>
        <w:tc>
          <w:tcPr>
            <w:tcW w:w="6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373.8</w:t>
            </w:r>
          </w:p>
        </w:tc>
        <w:tc>
          <w:tcPr>
            <w:tcW w:w="4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382.4</w:t>
            </w:r>
          </w:p>
        </w:tc>
        <w:tc>
          <w:tcPr>
            <w:tcW w:w="5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23.8</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8"/>
        </w:trPr>
        <w:tc>
          <w:tcPr>
            <w:tcW w:w="6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w:t>
            </w:r>
          </w:p>
        </w:tc>
        <w:tc>
          <w:tcPr>
            <w:tcW w:w="6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(188.9 )</w:t>
            </w: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(108.7 )</w:t>
            </w: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188.4</w:t>
            </w:r>
          </w:p>
        </w:tc>
      </w:tr>
      <w:tr>
        <w:trPr>
          <w:trHeight w:val="214"/>
        </w:trPr>
        <w:tc>
          <w:tcPr>
            <w:tcW w:w="6800" w:type="dxa"/>
            <w:vAlign w:val="bottom"/>
          </w:tcPr>
          <w:p>
            <w:pPr>
              <w:ind w:left="200"/>
              <w:spacing w:after="0"/>
              <w:rPr>
                <w:sz w:val="20"/>
                <w:szCs w:val="20"/>
                <w:color w:val="auto"/>
              </w:rPr>
            </w:pPr>
            <w:r>
              <w:rPr>
                <w:rFonts w:ascii="Arial" w:cs="Arial" w:eastAsia="Arial" w:hAnsi="Arial"/>
                <w:sz w:val="18"/>
                <w:szCs w:val="18"/>
                <w:color w:val="auto"/>
                <w:w w:val="93"/>
              </w:rPr>
              <w:t>Translation adjustments on long-term intercompany loans, net of income taxes of $(0.8),</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6"/>
        </w:trPr>
        <w:tc>
          <w:tcPr>
            <w:tcW w:w="6800" w:type="dxa"/>
            <w:vAlign w:val="bottom"/>
          </w:tcPr>
          <w:p>
            <w:pPr>
              <w:ind w:left="200"/>
              <w:spacing w:after="0"/>
              <w:rPr>
                <w:sz w:val="20"/>
                <w:szCs w:val="20"/>
                <w:color w:val="auto"/>
              </w:rPr>
            </w:pPr>
            <w:r>
              <w:rPr>
                <w:rFonts w:ascii="Arial" w:cs="Arial" w:eastAsia="Arial" w:hAnsi="Arial"/>
                <w:sz w:val="18"/>
                <w:szCs w:val="18"/>
                <w:color w:val="auto"/>
              </w:rPr>
              <w:t>$0.3 and ($3.9), respectively</w:t>
            </w:r>
          </w:p>
        </w:tc>
        <w:tc>
          <w:tcPr>
            <w:tcW w:w="6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(0.3 )</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(11.8 )</w:t>
            </w:r>
          </w:p>
        </w:tc>
      </w:tr>
      <w:tr>
        <w:trPr>
          <w:trHeight w:val="221"/>
        </w:trPr>
        <w:tc>
          <w:tcPr>
            <w:tcW w:w="68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4"/>
              </w:rPr>
              <w:t>Adjustments on derivative instruments, net of income taxes of $11.1, $18.5 and $(25.8),</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43"/>
        </w:trPr>
        <w:tc>
          <w:tcPr>
            <w:tcW w:w="6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6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71.8</w:t>
            </w: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62.8</w:t>
            </w: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(94.3 )</w:t>
            </w:r>
          </w:p>
        </w:tc>
      </w:tr>
      <w:tr>
        <w:trPr>
          <w:trHeight w:val="236"/>
        </w:trPr>
        <w:tc>
          <w:tcPr>
            <w:tcW w:w="6800" w:type="dxa"/>
            <w:vAlign w:val="bottom"/>
          </w:tcPr>
          <w:p>
            <w:pPr>
              <w:ind w:left="200"/>
              <w:spacing w:after="0"/>
              <w:rPr>
                <w:sz w:val="20"/>
                <w:szCs w:val="20"/>
                <w:color w:val="auto"/>
              </w:rPr>
            </w:pPr>
            <w:r>
              <w:rPr>
                <w:rFonts w:ascii="Arial" w:cs="Arial" w:eastAsia="Arial" w:hAnsi="Arial"/>
                <w:sz w:val="18"/>
                <w:szCs w:val="18"/>
                <w:color w:val="auto"/>
              </w:rPr>
              <w:t>Unrealized adjustments on interest rate swap, net of income taxes of $0.4 for 2022</w:t>
            </w:r>
          </w:p>
        </w:tc>
        <w:tc>
          <w:tcPr>
            <w:tcW w:w="6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1"/>
        </w:trPr>
        <w:tc>
          <w:tcPr>
            <w:tcW w:w="68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Defined benefit pension plans and retiree health care plan, net of income taxes of $2.2,</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43"/>
        </w:trPr>
        <w:tc>
          <w:tcPr>
            <w:tcW w:w="6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$15.2 and $(11.6), respectively</w:t>
            </w:r>
          </w:p>
        </w:tc>
        <w:tc>
          <w:tcPr>
            <w:tcW w:w="6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42.9</w:t>
            </w: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53.1</w:t>
            </w:r>
          </w:p>
        </w:tc>
        <w:tc>
          <w:tcPr>
            <w:tcW w:w="5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(47.9 )</w:t>
            </w:r>
          </w:p>
        </w:tc>
      </w:tr>
      <w:tr>
        <w:trPr>
          <w:trHeight w:val="236"/>
        </w:trPr>
        <w:tc>
          <w:tcPr>
            <w:tcW w:w="68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Pension settlements, net of income taxes of $0.5, $0.0 and $4.5, respectively</w:t>
            </w:r>
          </w:p>
        </w:tc>
        <w:tc>
          <w:tcPr>
            <w:tcW w:w="6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r>
      <w:tr>
        <w:trPr>
          <w:trHeight w:val="236"/>
        </w:trPr>
        <w:tc>
          <w:tcPr>
            <w:tcW w:w="68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(loss) income</w:t>
            </w:r>
          </w:p>
        </w:tc>
        <w:tc>
          <w:tcPr>
            <w:tcW w:w="68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(69.3 )</w:t>
            </w:r>
          </w:p>
        </w:tc>
        <w:tc>
          <w:tcPr>
            <w:tcW w:w="46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7.9</w:t>
            </w:r>
          </w:p>
        </w:tc>
        <w:tc>
          <w:tcPr>
            <w:tcW w:w="52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43.7</w:t>
            </w:r>
          </w:p>
        </w:tc>
      </w:tr>
      <w:tr>
        <w:trPr>
          <w:trHeight w:val="23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w:t>
            </w: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304.5</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390.3</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67.5</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282A32"/>
        </w:rPr>
        <w:t>The accompanying Notes to Consolidated Financial Statements are an integral part of these statements.</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5" w:name="page56"/>
    <w:bookmarkEnd w:id="55"/>
    <w:p>
      <w:pPr>
        <w:ind w:left="4080"/>
        <w:spacing w:after="0"/>
        <w:rPr>
          <w:sz w:val="20"/>
          <w:szCs w:val="20"/>
          <w:color w:val="auto"/>
        </w:rPr>
      </w:pPr>
      <w:r>
        <w:rPr>
          <w:rFonts w:ascii="Arial" w:cs="Arial" w:eastAsia="Arial" w:hAnsi="Arial"/>
          <w:sz w:val="18"/>
          <w:szCs w:val="18"/>
          <w:b w:val="1"/>
          <w:bCs w:val="1"/>
          <w:color w:val="282A32"/>
        </w:rPr>
        <w:t>CONSOLIDATED BALANCE SHEETS</w:t>
      </w:r>
    </w:p>
    <w:p>
      <w:pPr>
        <w:spacing w:after="0" w:line="120" w:lineRule="exact"/>
        <w:rPr>
          <w:sz w:val="20"/>
          <w:szCs w:val="20"/>
          <w:color w:val="auto"/>
        </w:rPr>
      </w:pPr>
    </w:p>
    <w:p>
      <w:pPr>
        <w:ind w:left="4020"/>
        <w:spacing w:after="0"/>
        <w:rPr>
          <w:sz w:val="20"/>
          <w:szCs w:val="20"/>
          <w:color w:val="auto"/>
        </w:rPr>
      </w:pPr>
      <w:r>
        <w:rPr>
          <w:rFonts w:ascii="Arial" w:cs="Arial" w:eastAsia="Arial" w:hAnsi="Arial"/>
          <w:sz w:val="18"/>
          <w:szCs w:val="18"/>
          <w:b w:val="1"/>
          <w:bCs w:val="1"/>
          <w:i w:val="1"/>
          <w:iCs w:val="1"/>
          <w:color w:val="282A32"/>
        </w:rPr>
        <w:t>in millions, except share and per share data</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42"/>
        </w:trPr>
        <w:tc>
          <w:tcPr>
            <w:tcW w:w="20" w:type="dxa"/>
            <w:vAlign w:val="bottom"/>
          </w:tcPr>
          <w:p>
            <w:pPr>
              <w:spacing w:after="0"/>
              <w:rPr>
                <w:sz w:val="21"/>
                <w:szCs w:val="21"/>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8"/>
        </w:trPr>
        <w:tc>
          <w:tcPr>
            <w:tcW w:w="20" w:type="dxa"/>
            <w:vAlign w:val="bottom"/>
          </w:tcPr>
          <w:p>
            <w:pPr>
              <w:spacing w:after="0"/>
              <w:rPr>
                <w:sz w:val="21"/>
                <w:szCs w:val="21"/>
                <w:color w:val="auto"/>
              </w:rPr>
            </w:pPr>
          </w:p>
        </w:tc>
        <w:tc>
          <w:tcPr>
            <w:tcW w:w="7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Cash and cash equivalents</w:t>
            </w:r>
          </w:p>
        </w:tc>
        <w:tc>
          <w:tcPr>
            <w:tcW w:w="8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639.0</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847.8</w:t>
            </w:r>
          </w:p>
        </w:tc>
      </w:tr>
      <w:tr>
        <w:trPr>
          <w:trHeight w:val="236"/>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w w:val="96"/>
              </w:rPr>
              <w:t>Accounts receivable, less allowance for doubtful accounts of $109.3 and $121.6, respectively</w:t>
            </w:r>
          </w:p>
        </w:tc>
        <w:tc>
          <w:tcPr>
            <w:tcW w:w="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5,137.4</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5,448.2</w:t>
            </w:r>
          </w:p>
        </w:tc>
      </w:tr>
      <w:tr>
        <w:trPr>
          <w:trHeight w:val="242"/>
        </w:trPr>
        <w:tc>
          <w:tcPr>
            <w:tcW w:w="20" w:type="dxa"/>
            <w:vAlign w:val="bottom"/>
          </w:tcPr>
          <w:p>
            <w:pPr>
              <w:spacing w:after="0"/>
              <w:rPr>
                <w:sz w:val="21"/>
                <w:szCs w:val="21"/>
                <w:color w:val="auto"/>
              </w:rPr>
            </w:pPr>
          </w:p>
        </w:tc>
        <w:tc>
          <w:tcPr>
            <w:tcW w:w="72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Prepaid expenses and other assets</w:t>
            </w:r>
          </w:p>
        </w:tc>
        <w:tc>
          <w:tcPr>
            <w:tcW w:w="8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158.0</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126.7</w:t>
            </w:r>
          </w:p>
        </w:tc>
      </w:tr>
      <w:tr>
        <w:trPr>
          <w:trHeight w:val="236"/>
        </w:trPr>
        <w:tc>
          <w:tcPr>
            <w:tcW w:w="2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5,934.4</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6,422.7</w:t>
            </w:r>
          </w:p>
        </w:tc>
      </w:tr>
      <w:tr>
        <w:trPr>
          <w:trHeight w:val="248"/>
        </w:trPr>
        <w:tc>
          <w:tcPr>
            <w:tcW w:w="20" w:type="dxa"/>
            <w:vAlign w:val="bottom"/>
          </w:tcPr>
          <w:p>
            <w:pPr>
              <w:spacing w:after="0"/>
              <w:rPr>
                <w:sz w:val="21"/>
                <w:szCs w:val="21"/>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1,628.1</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1,722.2</w:t>
            </w:r>
          </w:p>
        </w:tc>
      </w:tr>
      <w:tr>
        <w:trPr>
          <w:trHeight w:val="248"/>
        </w:trPr>
        <w:tc>
          <w:tcPr>
            <w:tcW w:w="20" w:type="dxa"/>
            <w:vAlign w:val="bottom"/>
          </w:tcPr>
          <w:p>
            <w:pPr>
              <w:spacing w:after="0"/>
              <w:rPr>
                <w:sz w:val="21"/>
                <w:szCs w:val="21"/>
                <w:color w:val="auto"/>
              </w:rPr>
            </w:pPr>
          </w:p>
        </w:tc>
        <w:tc>
          <w:tcPr>
            <w:tcW w:w="7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Intangible assets, less accumulated amortization of $468.3 and $441.3, respectively</w:t>
            </w:r>
          </w:p>
        </w:tc>
        <w:tc>
          <w:tcPr>
            <w:tcW w:w="8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549.5</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583.6</w:t>
            </w:r>
          </w:p>
        </w:tc>
      </w:tr>
      <w:tr>
        <w:trPr>
          <w:trHeight w:val="236"/>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Operating lease right-of-use asset</w:t>
            </w:r>
          </w:p>
        </w:tc>
        <w:tc>
          <w:tcPr>
            <w:tcW w:w="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365.7</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373.4</w:t>
            </w:r>
          </w:p>
        </w:tc>
      </w:tr>
      <w:tr>
        <w:trPr>
          <w:trHeight w:val="242"/>
        </w:trPr>
        <w:tc>
          <w:tcPr>
            <w:tcW w:w="20" w:type="dxa"/>
            <w:vAlign w:val="bottom"/>
          </w:tcPr>
          <w:p>
            <w:pPr>
              <w:spacing w:after="0"/>
              <w:rPr>
                <w:sz w:val="21"/>
                <w:szCs w:val="21"/>
                <w:color w:val="auto"/>
              </w:rPr>
            </w:pPr>
          </w:p>
        </w:tc>
        <w:tc>
          <w:tcPr>
            <w:tcW w:w="72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540.5</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610.2</w:t>
            </w:r>
          </w:p>
        </w:tc>
      </w:tr>
      <w:tr>
        <w:trPr>
          <w:trHeight w:val="236"/>
        </w:trPr>
        <w:tc>
          <w:tcPr>
            <w:tcW w:w="2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Total other assets</w:t>
            </w:r>
          </w:p>
        </w:tc>
        <w:tc>
          <w:tcPr>
            <w:tcW w:w="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3,083.8</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3,289.4</w:t>
            </w:r>
          </w:p>
        </w:tc>
      </w:tr>
      <w:tr>
        <w:trPr>
          <w:trHeight w:val="248"/>
        </w:trPr>
        <w:tc>
          <w:tcPr>
            <w:tcW w:w="20" w:type="dxa"/>
            <w:vAlign w:val="bottom"/>
          </w:tcPr>
          <w:p>
            <w:pPr>
              <w:spacing w:after="0"/>
              <w:rPr>
                <w:sz w:val="21"/>
                <w:szCs w:val="21"/>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8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Land, buildings, leasehold improvements and equipment</w:t>
            </w:r>
          </w:p>
        </w:tc>
        <w:tc>
          <w:tcPr>
            <w:tcW w:w="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584.9</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594.9</w:t>
            </w:r>
          </w:p>
        </w:tc>
      </w:tr>
      <w:tr>
        <w:trPr>
          <w:trHeight w:val="242"/>
        </w:trPr>
        <w:tc>
          <w:tcPr>
            <w:tcW w:w="20" w:type="dxa"/>
            <w:vAlign w:val="bottom"/>
          </w:tcPr>
          <w:p>
            <w:pPr>
              <w:spacing w:after="0"/>
              <w:rPr>
                <w:sz w:val="21"/>
                <w:szCs w:val="21"/>
                <w:color w:val="auto"/>
              </w:rPr>
            </w:pPr>
          </w:p>
        </w:tc>
        <w:tc>
          <w:tcPr>
            <w:tcW w:w="72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Less: accumulated depreciation and amortization</w:t>
            </w:r>
          </w:p>
        </w:tc>
        <w:tc>
          <w:tcPr>
            <w:tcW w:w="8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472.7</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478.1</w:t>
            </w:r>
          </w:p>
        </w:tc>
      </w:tr>
      <w:tr>
        <w:trPr>
          <w:trHeight w:val="236"/>
        </w:trPr>
        <w:tc>
          <w:tcPr>
            <w:tcW w:w="20" w:type="dxa"/>
            <w:vAlign w:val="bottom"/>
          </w:tcPr>
          <w:p>
            <w:pPr>
              <w:spacing w:after="0"/>
              <w:rPr>
                <w:sz w:val="20"/>
                <w:szCs w:val="20"/>
                <w:color w:val="auto"/>
              </w:rPr>
            </w:pPr>
          </w:p>
        </w:tc>
        <w:tc>
          <w:tcPr>
            <w:tcW w:w="7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 property and equipment</w:t>
            </w: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112.2</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116.8</w:t>
            </w:r>
          </w:p>
        </w:tc>
      </w:tr>
      <w:tr>
        <w:trPr>
          <w:trHeight w:val="236"/>
        </w:trPr>
        <w:tc>
          <w:tcPr>
            <w:tcW w:w="20" w:type="dxa"/>
            <w:vAlign w:val="bottom"/>
          </w:tcPr>
          <w:p>
            <w:pPr>
              <w:spacing w:after="0"/>
              <w:rPr>
                <w:sz w:val="20"/>
                <w:szCs w:val="20"/>
                <w:color w:val="auto"/>
              </w:rPr>
            </w:pPr>
          </w:p>
        </w:tc>
        <w:tc>
          <w:tcPr>
            <w:tcW w:w="726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Total assets</w:t>
            </w:r>
          </w:p>
        </w:tc>
        <w:tc>
          <w:tcPr>
            <w:tcW w:w="8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9,130.4</w:t>
            </w:r>
          </w:p>
        </w:tc>
        <w:tc>
          <w:tcPr>
            <w:tcW w:w="4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9,828.9</w:t>
            </w:r>
          </w:p>
        </w:tc>
      </w:tr>
      <w:tr>
        <w:trPr>
          <w:trHeight w:val="238"/>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6"/>
        </w:trPr>
        <w:tc>
          <w:tcPr>
            <w:tcW w:w="20" w:type="dxa"/>
            <w:vAlign w:val="bottom"/>
          </w:tcPr>
          <w:p>
            <w:pPr>
              <w:spacing w:after="0"/>
              <w:rPr>
                <w:sz w:val="21"/>
                <w:szCs w:val="21"/>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2,831.4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3,039.2</w:t>
            </w:r>
          </w:p>
        </w:tc>
      </w:tr>
      <w:tr>
        <w:trPr>
          <w:trHeight w:val="248"/>
        </w:trPr>
        <w:tc>
          <w:tcPr>
            <w:tcW w:w="20" w:type="dxa"/>
            <w:vAlign w:val="bottom"/>
          </w:tcPr>
          <w:p>
            <w:pPr>
              <w:spacing w:after="0"/>
              <w:rPr>
                <w:sz w:val="21"/>
                <w:szCs w:val="21"/>
                <w:color w:val="auto"/>
              </w:rPr>
            </w:pPr>
          </w:p>
        </w:tc>
        <w:tc>
          <w:tcPr>
            <w:tcW w:w="7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Employee compensation payable</w:t>
            </w:r>
          </w:p>
        </w:tc>
        <w:tc>
          <w:tcPr>
            <w:tcW w:w="8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271.7</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299.4</w:t>
            </w:r>
          </w:p>
        </w:tc>
      </w:tr>
      <w:tr>
        <w:trPr>
          <w:trHeight w:val="236"/>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572.6</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584.7</w:t>
            </w:r>
          </w:p>
        </w:tc>
      </w:tr>
      <w:tr>
        <w:trPr>
          <w:trHeight w:val="248"/>
        </w:trPr>
        <w:tc>
          <w:tcPr>
            <w:tcW w:w="20" w:type="dxa"/>
            <w:vAlign w:val="bottom"/>
          </w:tcPr>
          <w:p>
            <w:pPr>
              <w:spacing w:after="0"/>
              <w:rPr>
                <w:sz w:val="21"/>
                <w:szCs w:val="21"/>
                <w:color w:val="auto"/>
              </w:rPr>
            </w:pPr>
          </w:p>
        </w:tc>
        <w:tc>
          <w:tcPr>
            <w:tcW w:w="7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payroll taxes and insurance</w:t>
            </w:r>
          </w:p>
        </w:tc>
        <w:tc>
          <w:tcPr>
            <w:tcW w:w="8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746.7</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789.1</w:t>
            </w:r>
          </w:p>
        </w:tc>
      </w:tr>
      <w:tr>
        <w:trPr>
          <w:trHeight w:val="236"/>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Value added taxes payable</w:t>
            </w:r>
          </w:p>
        </w:tc>
        <w:tc>
          <w:tcPr>
            <w:tcW w:w="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462.7</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515.5</w:t>
            </w:r>
          </w:p>
        </w:tc>
      </w:tr>
      <w:tr>
        <w:trPr>
          <w:trHeight w:val="242"/>
        </w:trPr>
        <w:tc>
          <w:tcPr>
            <w:tcW w:w="20" w:type="dxa"/>
            <w:vAlign w:val="bottom"/>
          </w:tcPr>
          <w:p>
            <w:pPr>
              <w:spacing w:after="0"/>
              <w:rPr>
                <w:sz w:val="21"/>
                <w:szCs w:val="21"/>
                <w:color w:val="auto"/>
              </w:rPr>
            </w:pPr>
          </w:p>
        </w:tc>
        <w:tc>
          <w:tcPr>
            <w:tcW w:w="72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Short-term borrowings and current maturities of long-term debt</w:t>
            </w:r>
          </w:p>
        </w:tc>
        <w:tc>
          <w:tcPr>
            <w:tcW w:w="8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26.6</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552.6</w:t>
            </w:r>
          </w:p>
        </w:tc>
      </w:tr>
      <w:tr>
        <w:trPr>
          <w:trHeight w:val="236"/>
        </w:trPr>
        <w:tc>
          <w:tcPr>
            <w:tcW w:w="2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4,911.7</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5,780.5</w:t>
            </w:r>
          </w:p>
        </w:tc>
      </w:tr>
      <w:tr>
        <w:trPr>
          <w:trHeight w:val="248"/>
        </w:trPr>
        <w:tc>
          <w:tcPr>
            <w:tcW w:w="20" w:type="dxa"/>
            <w:vAlign w:val="bottom"/>
          </w:tcPr>
          <w:p>
            <w:pPr>
              <w:spacing w:after="0"/>
              <w:rPr>
                <w:sz w:val="21"/>
                <w:szCs w:val="21"/>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8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959.9</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565.7</w:t>
            </w:r>
          </w:p>
        </w:tc>
      </w:tr>
      <w:tr>
        <w:trPr>
          <w:trHeight w:val="248"/>
        </w:trPr>
        <w:tc>
          <w:tcPr>
            <w:tcW w:w="20" w:type="dxa"/>
            <w:vAlign w:val="bottom"/>
          </w:tcPr>
          <w:p>
            <w:pPr>
              <w:spacing w:after="0"/>
              <w:rPr>
                <w:sz w:val="21"/>
                <w:szCs w:val="21"/>
                <w:color w:val="auto"/>
              </w:rPr>
            </w:pPr>
          </w:p>
        </w:tc>
        <w:tc>
          <w:tcPr>
            <w:tcW w:w="7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Long-term operating lease liability</w:t>
            </w:r>
          </w:p>
        </w:tc>
        <w:tc>
          <w:tcPr>
            <w:tcW w:w="8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266.6</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275.8</w:t>
            </w:r>
          </w:p>
        </w:tc>
      </w:tr>
      <w:tr>
        <w:trPr>
          <w:trHeight w:val="236"/>
        </w:trPr>
        <w:tc>
          <w:tcPr>
            <w:tcW w:w="20" w:type="dxa"/>
            <w:vAlign w:val="bottom"/>
          </w:tcPr>
          <w:p>
            <w:pPr>
              <w:spacing w:after="0"/>
              <w:rPr>
                <w:sz w:val="20"/>
                <w:szCs w:val="20"/>
                <w:color w:val="auto"/>
              </w:rPr>
            </w:pPr>
          </w:p>
        </w:tc>
        <w:tc>
          <w:tcPr>
            <w:tcW w:w="7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long-term liabilities</w:t>
            </w: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534.1</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675.2</w:t>
            </w:r>
          </w:p>
        </w:tc>
      </w:tr>
      <w:tr>
        <w:trPr>
          <w:trHeight w:val="242"/>
        </w:trPr>
        <w:tc>
          <w:tcPr>
            <w:tcW w:w="20" w:type="dxa"/>
            <w:vAlign w:val="bottom"/>
          </w:tcPr>
          <w:p>
            <w:pPr>
              <w:spacing w:after="0"/>
              <w:rPr>
                <w:sz w:val="21"/>
                <w:szCs w:val="21"/>
                <w:color w:val="auto"/>
              </w:rPr>
            </w:pPr>
          </w:p>
        </w:tc>
        <w:tc>
          <w:tcPr>
            <w:tcW w:w="72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other liabilities</w:t>
            </w:r>
          </w:p>
        </w:tc>
        <w:tc>
          <w:tcPr>
            <w:tcW w:w="8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1,760.6</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1,516.7</w:t>
            </w:r>
          </w:p>
        </w:tc>
      </w:tr>
      <w:tr>
        <w:trPr>
          <w:trHeight w:val="236"/>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8"/>
        </w:trPr>
        <w:tc>
          <w:tcPr>
            <w:tcW w:w="20" w:type="dxa"/>
            <w:vAlign w:val="bottom"/>
          </w:tcPr>
          <w:p>
            <w:pPr>
              <w:spacing w:after="0"/>
              <w:rPr>
                <w:sz w:val="21"/>
                <w:szCs w:val="21"/>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8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1"/>
        </w:trPr>
        <w:tc>
          <w:tcPr>
            <w:tcW w:w="20" w:type="dxa"/>
            <w:vAlign w:val="bottom"/>
          </w:tcPr>
          <w:p>
            <w:pPr>
              <w:spacing w:after="0"/>
              <w:rPr>
                <w:sz w:val="19"/>
                <w:szCs w:val="19"/>
                <w:color w:val="auto"/>
              </w:rPr>
            </w:pPr>
          </w:p>
        </w:tc>
        <w:tc>
          <w:tcPr>
            <w:tcW w:w="7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Common stock, $.01 par value, authorized 125,000,000 shares, issued 118,028,009 and</w:t>
            </w:r>
          </w:p>
        </w:tc>
        <w:tc>
          <w:tcPr>
            <w:tcW w:w="8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117,762,065 shares, respectively</w:t>
            </w:r>
          </w:p>
        </w:tc>
        <w:tc>
          <w:tcPr>
            <w:tcW w:w="8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6"/>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Capital in excess of par value</w:t>
            </w:r>
          </w:p>
        </w:tc>
        <w:tc>
          <w:tcPr>
            <w:tcW w:w="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3,484.2</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3,444.7</w:t>
            </w:r>
          </w:p>
        </w:tc>
      </w:tr>
      <w:tr>
        <w:trPr>
          <w:trHeight w:val="248"/>
        </w:trPr>
        <w:tc>
          <w:tcPr>
            <w:tcW w:w="20" w:type="dxa"/>
            <w:vAlign w:val="bottom"/>
          </w:tcPr>
          <w:p>
            <w:pPr>
              <w:spacing w:after="0"/>
              <w:rPr>
                <w:sz w:val="21"/>
                <w:szCs w:val="21"/>
                <w:color w:val="auto"/>
              </w:rPr>
            </w:pPr>
          </w:p>
        </w:tc>
        <w:tc>
          <w:tcPr>
            <w:tcW w:w="7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Retained earnings</w:t>
            </w:r>
          </w:p>
        </w:tc>
        <w:tc>
          <w:tcPr>
            <w:tcW w:w="8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3,868.5</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3,634.6</w:t>
            </w:r>
          </w:p>
        </w:tc>
      </w:tr>
      <w:tr>
        <w:trPr>
          <w:trHeight w:val="236"/>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(458.7 )</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(389.4 )</w:t>
            </w:r>
          </w:p>
        </w:tc>
      </w:tr>
      <w:tr>
        <w:trPr>
          <w:trHeight w:val="242"/>
        </w:trPr>
        <w:tc>
          <w:tcPr>
            <w:tcW w:w="20" w:type="dxa"/>
            <w:vAlign w:val="bottom"/>
          </w:tcPr>
          <w:p>
            <w:pPr>
              <w:spacing w:after="0"/>
              <w:rPr>
                <w:sz w:val="21"/>
                <w:szCs w:val="21"/>
                <w:color w:val="auto"/>
              </w:rPr>
            </w:pPr>
          </w:p>
        </w:tc>
        <w:tc>
          <w:tcPr>
            <w:tcW w:w="72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Treasury stock at cost, 67,468,433 and 64,165,136 shares, respectively</w:t>
            </w:r>
          </w:p>
        </w:tc>
        <w:tc>
          <w:tcPr>
            <w:tcW w:w="8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(4,447.9 )</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(4,169.4 )</w:t>
            </w:r>
          </w:p>
        </w:tc>
      </w:tr>
      <w:tr>
        <w:trPr>
          <w:trHeight w:val="236"/>
        </w:trPr>
        <w:tc>
          <w:tcPr>
            <w:tcW w:w="20" w:type="dxa"/>
            <w:vAlign w:val="bottom"/>
          </w:tcPr>
          <w:p>
            <w:pPr>
              <w:spacing w:after="0"/>
              <w:rPr>
                <w:sz w:val="20"/>
                <w:szCs w:val="20"/>
                <w:color w:val="auto"/>
              </w:rPr>
            </w:pPr>
          </w:p>
        </w:tc>
        <w:tc>
          <w:tcPr>
            <w:tcW w:w="7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ManpowerGroup shareholders' equity</w:t>
            </w: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2,447.3</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2,521.7</w:t>
            </w:r>
          </w:p>
        </w:tc>
      </w:tr>
      <w:tr>
        <w:trPr>
          <w:trHeight w:val="236"/>
        </w:trPr>
        <w:tc>
          <w:tcPr>
            <w:tcW w:w="20" w:type="dxa"/>
            <w:vAlign w:val="bottom"/>
          </w:tcPr>
          <w:p>
            <w:pPr>
              <w:spacing w:after="0"/>
              <w:rPr>
                <w:sz w:val="20"/>
                <w:szCs w:val="20"/>
                <w:color w:val="auto"/>
              </w:rPr>
            </w:pPr>
          </w:p>
        </w:tc>
        <w:tc>
          <w:tcPr>
            <w:tcW w:w="726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Noncontrolling interests</w:t>
            </w:r>
          </w:p>
        </w:tc>
        <w:tc>
          <w:tcPr>
            <w:tcW w:w="8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10.8</w:t>
            </w:r>
          </w:p>
        </w:tc>
        <w:tc>
          <w:tcPr>
            <w:tcW w:w="4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w:t>
            </w:r>
          </w:p>
        </w:tc>
      </w:tr>
      <w:tr>
        <w:trPr>
          <w:trHeight w:val="236"/>
        </w:trPr>
        <w:tc>
          <w:tcPr>
            <w:tcW w:w="20" w:type="dxa"/>
            <w:vAlign w:val="bottom"/>
          </w:tcPr>
          <w:p>
            <w:pPr>
              <w:spacing w:after="0"/>
              <w:rPr>
                <w:sz w:val="20"/>
                <w:szCs w:val="20"/>
                <w:color w:val="auto"/>
              </w:rPr>
            </w:pPr>
          </w:p>
        </w:tc>
        <w:tc>
          <w:tcPr>
            <w:tcW w:w="72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 shareholders’ equity</w:t>
            </w: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2,458.1</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2,531.7</w:t>
            </w:r>
          </w:p>
        </w:tc>
      </w:tr>
      <w:tr>
        <w:trPr>
          <w:trHeight w:val="236"/>
        </w:trPr>
        <w:tc>
          <w:tcPr>
            <w:tcW w:w="20" w:type="dxa"/>
            <w:vAlign w:val="bottom"/>
          </w:tcPr>
          <w:p>
            <w:pPr>
              <w:spacing w:after="0"/>
              <w:rPr>
                <w:sz w:val="20"/>
                <w:szCs w:val="20"/>
                <w:color w:val="auto"/>
              </w:rPr>
            </w:pPr>
          </w:p>
        </w:tc>
        <w:tc>
          <w:tcPr>
            <w:tcW w:w="726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Total liabilities and shareholders’ equity</w:t>
            </w:r>
          </w:p>
        </w:tc>
        <w:tc>
          <w:tcPr>
            <w:tcW w:w="8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9,130.4</w:t>
            </w:r>
          </w:p>
        </w:tc>
        <w:tc>
          <w:tcPr>
            <w:tcW w:w="4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9,828.9</w:t>
            </w:r>
          </w:p>
        </w:tc>
      </w:tr>
      <w:tr>
        <w:trPr>
          <w:trHeight w:val="205"/>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282A32"/>
                <w:w w:val="98"/>
              </w:rPr>
              <w:t>The accompanying Notes to Consolidated Financial Statements are an integral part of these statements.</w:t>
            </w: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27"/>
        </w:trPr>
        <w:tc>
          <w:tcPr>
            <w:tcW w:w="7280" w:type="dxa"/>
            <w:vAlign w:val="bottom"/>
            <w:gridSpan w:val="2"/>
          </w:tcPr>
          <w:p>
            <w:pPr>
              <w:jc w:val="right"/>
              <w:ind w:right="1471"/>
              <w:spacing w:after="0"/>
              <w:rPr>
                <w:sz w:val="20"/>
                <w:szCs w:val="20"/>
                <w:color w:val="auto"/>
              </w:rPr>
            </w:pPr>
            <w:r>
              <w:rPr>
                <w:rFonts w:ascii="Arial" w:cs="Arial" w:eastAsia="Arial" w:hAnsi="Arial"/>
                <w:sz w:val="18"/>
                <w:szCs w:val="18"/>
                <w:color w:val="auto"/>
              </w:rPr>
              <w:t>56</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4"/>
        </w:trPr>
        <w:tc>
          <w:tcPr>
            <w:tcW w:w="20" w:type="dxa"/>
            <w:vAlign w:val="bottom"/>
          </w:tcPr>
          <w:p>
            <w:pPr>
              <w:spacing w:after="0"/>
              <w:rPr>
                <w:sz w:val="9"/>
                <w:szCs w:val="9"/>
                <w:color w:val="auto"/>
              </w:rPr>
            </w:pPr>
          </w:p>
        </w:tc>
        <w:tc>
          <w:tcPr>
            <w:tcW w:w="7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42"/>
        </w:trPr>
        <w:tc>
          <w:tcPr>
            <w:tcW w:w="20" w:type="dxa"/>
            <w:vAlign w:val="bottom"/>
          </w:tcPr>
          <w:p>
            <w:pPr>
              <w:spacing w:after="0"/>
              <w:rPr>
                <w:sz w:val="21"/>
                <w:szCs w:val="21"/>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earnings</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373.8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382.4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23.8</w:t>
            </w:r>
          </w:p>
        </w:tc>
      </w:tr>
      <w:tr>
        <w:trPr>
          <w:trHeight w:val="248"/>
        </w:trPr>
        <w:tc>
          <w:tcPr>
            <w:tcW w:w="20" w:type="dxa"/>
            <w:vAlign w:val="bottom"/>
          </w:tcPr>
          <w:p>
            <w:pPr>
              <w:spacing w:after="0"/>
              <w:rPr>
                <w:sz w:val="21"/>
                <w:szCs w:val="21"/>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84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84.6</w:t>
            </w:r>
          </w:p>
        </w:tc>
        <w:tc>
          <w:tcPr>
            <w:tcW w:w="3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73.4</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76.3</w:t>
            </w:r>
          </w:p>
        </w:tc>
      </w:tr>
      <w:tr>
        <w:trPr>
          <w:trHeight w:val="248"/>
        </w:trPr>
        <w:tc>
          <w:tcPr>
            <w:tcW w:w="20" w:type="dxa"/>
            <w:vAlign w:val="bottom"/>
          </w:tcPr>
          <w:p>
            <w:pPr>
              <w:spacing w:after="0"/>
              <w:rPr>
                <w:sz w:val="21"/>
                <w:szCs w:val="21"/>
                <w:color w:val="auto"/>
              </w:rPr>
            </w:pPr>
          </w:p>
        </w:tc>
        <w:tc>
          <w:tcPr>
            <w:tcW w:w="6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Loss on sales of subsidiaries, net</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6840" w:type="dxa"/>
            <w:vAlign w:val="bottom"/>
          </w:tcPr>
          <w:p>
            <w:pPr>
              <w:ind w:left="100"/>
              <w:spacing w:after="0"/>
              <w:rPr>
                <w:sz w:val="20"/>
                <w:szCs w:val="20"/>
                <w:color w:val="auto"/>
              </w:rPr>
            </w:pPr>
            <w:r>
              <w:rPr>
                <w:rFonts w:ascii="Arial" w:cs="Arial" w:eastAsia="Arial" w:hAnsi="Arial"/>
                <w:sz w:val="18"/>
                <w:szCs w:val="18"/>
                <w:color w:val="auto"/>
              </w:rPr>
              <w:t>Non-cash goodwill and other impairment charges</w:t>
            </w:r>
          </w:p>
        </w:tc>
        <w:tc>
          <w:tcPr>
            <w:tcW w:w="4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71.3</w:t>
            </w:r>
          </w:p>
        </w:tc>
      </w:tr>
      <w:tr>
        <w:trPr>
          <w:trHeight w:val="248"/>
        </w:trPr>
        <w:tc>
          <w:tcPr>
            <w:tcW w:w="20" w:type="dxa"/>
            <w:vAlign w:val="bottom"/>
          </w:tcPr>
          <w:p>
            <w:pPr>
              <w:spacing w:after="0"/>
              <w:rPr>
                <w:sz w:val="21"/>
                <w:szCs w:val="21"/>
                <w:color w:val="auto"/>
              </w:rPr>
            </w:pPr>
          </w:p>
        </w:tc>
        <w:tc>
          <w:tcPr>
            <w:tcW w:w="6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Non-cash operating lease right-of-use assets impairment</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27.3</w:t>
            </w:r>
          </w:p>
        </w:tc>
      </w:tr>
      <w:tr>
        <w:trPr>
          <w:trHeight w:val="236"/>
        </w:trPr>
        <w:tc>
          <w:tcPr>
            <w:tcW w:w="20" w:type="dxa"/>
            <w:vAlign w:val="bottom"/>
          </w:tcPr>
          <w:p>
            <w:pPr>
              <w:spacing w:after="0"/>
              <w:rPr>
                <w:sz w:val="20"/>
                <w:szCs w:val="20"/>
                <w:color w:val="auto"/>
              </w:rPr>
            </w:pPr>
          </w:p>
        </w:tc>
        <w:tc>
          <w:tcPr>
            <w:tcW w:w="684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(1.3 )</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(10.4 )</w:t>
            </w:r>
          </w:p>
        </w:tc>
      </w:tr>
      <w:tr>
        <w:trPr>
          <w:trHeight w:val="248"/>
        </w:trPr>
        <w:tc>
          <w:tcPr>
            <w:tcW w:w="20" w:type="dxa"/>
            <w:vAlign w:val="bottom"/>
          </w:tcPr>
          <w:p>
            <w:pPr>
              <w:spacing w:after="0"/>
              <w:rPr>
                <w:sz w:val="21"/>
                <w:szCs w:val="21"/>
                <w:color w:val="auto"/>
              </w:rPr>
            </w:pPr>
          </w:p>
        </w:tc>
        <w:tc>
          <w:tcPr>
            <w:tcW w:w="6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Provision for doubtful accounts</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17.9</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20.3</w:t>
            </w:r>
          </w:p>
        </w:tc>
      </w:tr>
      <w:tr>
        <w:trPr>
          <w:trHeight w:val="236"/>
        </w:trPr>
        <w:tc>
          <w:tcPr>
            <w:tcW w:w="20" w:type="dxa"/>
            <w:vAlign w:val="bottom"/>
          </w:tcPr>
          <w:p>
            <w:pPr>
              <w:spacing w:after="0"/>
              <w:rPr>
                <w:sz w:val="20"/>
                <w:szCs w:val="20"/>
                <w:color w:val="auto"/>
              </w:rPr>
            </w:pPr>
          </w:p>
        </w:tc>
        <w:tc>
          <w:tcPr>
            <w:tcW w:w="6840" w:type="dxa"/>
            <w:vAlign w:val="bottom"/>
          </w:tcPr>
          <w:p>
            <w:pPr>
              <w:ind w:left="100"/>
              <w:spacing w:after="0"/>
              <w:rPr>
                <w:sz w:val="20"/>
                <w:szCs w:val="20"/>
                <w:color w:val="auto"/>
              </w:rPr>
            </w:pPr>
            <w:r>
              <w:rPr>
                <w:rFonts w:ascii="Arial" w:cs="Arial" w:eastAsia="Arial" w:hAnsi="Arial"/>
                <w:sz w:val="18"/>
                <w:szCs w:val="18"/>
                <w:color w:val="auto"/>
              </w:rPr>
              <w:t>Share-based compensation</w:t>
            </w:r>
          </w:p>
        </w:tc>
        <w:tc>
          <w:tcPr>
            <w:tcW w:w="4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37.6</w:t>
            </w:r>
          </w:p>
        </w:tc>
        <w:tc>
          <w:tcPr>
            <w:tcW w:w="3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36.8</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24.2</w:t>
            </w:r>
          </w:p>
        </w:tc>
      </w:tr>
      <w:tr>
        <w:trPr>
          <w:trHeight w:val="248"/>
        </w:trPr>
        <w:tc>
          <w:tcPr>
            <w:tcW w:w="20" w:type="dxa"/>
            <w:vAlign w:val="bottom"/>
          </w:tcPr>
          <w:p>
            <w:pPr>
              <w:spacing w:after="0"/>
              <w:rPr>
                <w:sz w:val="21"/>
                <w:szCs w:val="21"/>
                <w:color w:val="auto"/>
              </w:rPr>
            </w:pPr>
          </w:p>
        </w:tc>
        <w:tc>
          <w:tcPr>
            <w:tcW w:w="6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Change in operating assets and liabilities:</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28.8</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(640.9 )</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586.9</w:t>
            </w:r>
          </w:p>
        </w:tc>
      </w:tr>
      <w:tr>
        <w:trPr>
          <w:trHeight w:val="248"/>
        </w:trPr>
        <w:tc>
          <w:tcPr>
            <w:tcW w:w="20" w:type="dxa"/>
            <w:vAlign w:val="bottom"/>
          </w:tcPr>
          <w:p>
            <w:pPr>
              <w:spacing w:after="0"/>
              <w:rPr>
                <w:sz w:val="21"/>
                <w:szCs w:val="21"/>
                <w:color w:val="auto"/>
              </w:rPr>
            </w:pPr>
          </w:p>
        </w:tc>
        <w:tc>
          <w:tcPr>
            <w:tcW w:w="6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47.5</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79.0</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29.9</w:t>
            </w:r>
          </w:p>
        </w:tc>
      </w:tr>
      <w:tr>
        <w:trPr>
          <w:trHeight w:val="236"/>
        </w:trPr>
        <w:tc>
          <w:tcPr>
            <w:tcW w:w="20" w:type="dxa"/>
            <w:vAlign w:val="bottom"/>
          </w:tcPr>
          <w:p>
            <w:pPr>
              <w:spacing w:after="0"/>
              <w:rPr>
                <w:sz w:val="20"/>
                <w:szCs w:val="20"/>
                <w:color w:val="auto"/>
              </w:rPr>
            </w:pPr>
          </w:p>
        </w:tc>
        <w:tc>
          <w:tcPr>
            <w:tcW w:w="6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(216.0 )</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697.5</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86.8</w:t>
            </w:r>
          </w:p>
        </w:tc>
      </w:tr>
      <w:tr>
        <w:trPr>
          <w:trHeight w:val="236"/>
        </w:trPr>
        <w:tc>
          <w:tcPr>
            <w:tcW w:w="20" w:type="dxa"/>
            <w:vAlign w:val="bottom"/>
          </w:tcPr>
          <w:p>
            <w:pPr>
              <w:spacing w:after="0"/>
              <w:rPr>
                <w:sz w:val="20"/>
                <w:szCs w:val="20"/>
                <w:color w:val="auto"/>
              </w:rPr>
            </w:pPr>
          </w:p>
        </w:tc>
        <w:tc>
          <w:tcPr>
            <w:tcW w:w="684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Cash provided by operating activities</w:t>
            </w: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423.3</w:t>
            </w: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644.8</w:t>
            </w:r>
          </w:p>
        </w:tc>
        <w:tc>
          <w:tcPr>
            <w:tcW w:w="3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936.4</w:t>
            </w:r>
          </w:p>
        </w:tc>
      </w:tr>
      <w:tr>
        <w:trPr>
          <w:trHeight w:val="238"/>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6"/>
        </w:trPr>
        <w:tc>
          <w:tcPr>
            <w:tcW w:w="20" w:type="dxa"/>
            <w:vAlign w:val="bottom"/>
          </w:tcPr>
          <w:p>
            <w:pPr>
              <w:spacing w:after="0"/>
              <w:rPr>
                <w:sz w:val="21"/>
                <w:szCs w:val="21"/>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(75.6 )</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(64.2 )</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(50.7 )</w:t>
            </w:r>
          </w:p>
        </w:tc>
      </w:tr>
      <w:tr>
        <w:trPr>
          <w:trHeight w:val="236"/>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Acquisitions of businesses, net of cash acquired</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(16.4 )</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(924.4 )</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42"/>
        </w:trPr>
        <w:tc>
          <w:tcPr>
            <w:tcW w:w="20" w:type="dxa"/>
            <w:vAlign w:val="bottom"/>
          </w:tcPr>
          <w:p>
            <w:pPr>
              <w:spacing w:after="0"/>
              <w:rPr>
                <w:sz w:val="21"/>
                <w:szCs w:val="21"/>
                <w:color w:val="auto"/>
              </w:rPr>
            </w:pPr>
          </w:p>
        </w:tc>
        <w:tc>
          <w:tcPr>
            <w:tcW w:w="6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Proceeds from the sale of subsidiaries and property and equipment</w:t>
            </w: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r>
      <w:tr>
        <w:trPr>
          <w:trHeight w:val="236"/>
        </w:trPr>
        <w:tc>
          <w:tcPr>
            <w:tcW w:w="20" w:type="dxa"/>
            <w:vAlign w:val="bottom"/>
          </w:tcPr>
          <w:p>
            <w:pPr>
              <w:spacing w:after="0"/>
              <w:rPr>
                <w:sz w:val="20"/>
                <w:szCs w:val="20"/>
                <w:color w:val="auto"/>
              </w:rPr>
            </w:pPr>
          </w:p>
        </w:tc>
        <w:tc>
          <w:tcPr>
            <w:tcW w:w="68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Cash used in investing activities</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(85.3 )</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(987.0 )</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(42.4 )</w:t>
            </w:r>
          </w:p>
        </w:tc>
      </w:tr>
      <w:tr>
        <w:trPr>
          <w:trHeight w:val="242"/>
        </w:trPr>
        <w:tc>
          <w:tcPr>
            <w:tcW w:w="20" w:type="dxa"/>
            <w:vAlign w:val="bottom"/>
          </w:tcPr>
          <w:p>
            <w:pPr>
              <w:spacing w:after="0"/>
              <w:rPr>
                <w:sz w:val="21"/>
                <w:szCs w:val="21"/>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change in short-term borrowings</w:t>
            </w:r>
          </w:p>
        </w:tc>
        <w:tc>
          <w:tcPr>
            <w:tcW w:w="4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(3.0 )</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(40.8 )</w:t>
            </w:r>
          </w:p>
        </w:tc>
      </w:tr>
      <w:tr>
        <w:trPr>
          <w:trHeight w:val="248"/>
        </w:trPr>
        <w:tc>
          <w:tcPr>
            <w:tcW w:w="20" w:type="dxa"/>
            <w:vAlign w:val="bottom"/>
          </w:tcPr>
          <w:p>
            <w:pPr>
              <w:spacing w:after="0"/>
              <w:rPr>
                <w:sz w:val="21"/>
                <w:szCs w:val="21"/>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(repayments) proceeds of revolving debt facility</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(75.0 )</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75.0</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Proceeds from long-term debt</w:t>
            </w:r>
          </w:p>
        </w:tc>
        <w:tc>
          <w:tcPr>
            <w:tcW w:w="4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421.3</w:t>
            </w:r>
          </w:p>
        </w:tc>
        <w:tc>
          <w:tcPr>
            <w:tcW w:w="3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48"/>
        </w:trPr>
        <w:tc>
          <w:tcPr>
            <w:tcW w:w="20" w:type="dxa"/>
            <w:vAlign w:val="bottom"/>
          </w:tcPr>
          <w:p>
            <w:pPr>
              <w:spacing w:after="0"/>
              <w:rPr>
                <w:sz w:val="21"/>
                <w:szCs w:val="21"/>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Repayments of long-term debt</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(412.2 )</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(0.4 )</w:t>
            </w:r>
          </w:p>
        </w:tc>
      </w:tr>
      <w:tr>
        <w:trPr>
          <w:trHeight w:val="236"/>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Payments for debt issuance costs</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(2.4 )</w:t>
            </w:r>
          </w:p>
        </w:tc>
        <w:tc>
          <w:tcPr>
            <w:tcW w:w="3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Pr>
          <w:p>
            <w:pPr>
              <w:spacing w:after="0"/>
              <w:rPr>
                <w:sz w:val="21"/>
                <w:szCs w:val="21"/>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derivative settlement</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Payments of contingent consideration for acquisitions</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(3.8 )</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(6.3 )</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48"/>
        </w:trPr>
        <w:tc>
          <w:tcPr>
            <w:tcW w:w="20" w:type="dxa"/>
            <w:vAlign w:val="bottom"/>
          </w:tcPr>
          <w:p>
            <w:pPr>
              <w:spacing w:after="0"/>
              <w:rPr>
                <w:sz w:val="21"/>
                <w:szCs w:val="21"/>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share-based awards</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w:t>
            </w:r>
          </w:p>
        </w:tc>
      </w:tr>
      <w:tr>
        <w:trPr>
          <w:trHeight w:val="236"/>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Payments to noncontrolling interests</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(1.1 )</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(1.2 )</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48"/>
        </w:trPr>
        <w:tc>
          <w:tcPr>
            <w:tcW w:w="20" w:type="dxa"/>
            <w:vAlign w:val="bottom"/>
          </w:tcPr>
          <w:p>
            <w:pPr>
              <w:spacing w:after="0"/>
              <w:rPr>
                <w:sz w:val="21"/>
                <w:szCs w:val="21"/>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Other share-based award transactions</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(8.5 )</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(7.6 )</w:t>
            </w:r>
          </w:p>
        </w:tc>
      </w:tr>
      <w:tr>
        <w:trPr>
          <w:trHeight w:val="236"/>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(270.0 )</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(210.0 )</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(264.7 )</w:t>
            </w:r>
          </w:p>
        </w:tc>
      </w:tr>
      <w:tr>
        <w:trPr>
          <w:trHeight w:val="242"/>
        </w:trPr>
        <w:tc>
          <w:tcPr>
            <w:tcW w:w="20" w:type="dxa"/>
            <w:vAlign w:val="bottom"/>
          </w:tcPr>
          <w:p>
            <w:pPr>
              <w:spacing w:after="0"/>
              <w:rPr>
                <w:sz w:val="21"/>
                <w:szCs w:val="21"/>
                <w:color w:val="auto"/>
              </w:rPr>
            </w:pPr>
          </w:p>
        </w:tc>
        <w:tc>
          <w:tcPr>
            <w:tcW w:w="6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(139.9 )</w:t>
            </w: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(136.6 )</w:t>
            </w: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(129.1 )</w:t>
            </w:r>
          </w:p>
        </w:tc>
      </w:tr>
      <w:tr>
        <w:trPr>
          <w:trHeight w:val="236"/>
        </w:trPr>
        <w:tc>
          <w:tcPr>
            <w:tcW w:w="20" w:type="dxa"/>
            <w:vAlign w:val="bottom"/>
          </w:tcPr>
          <w:p>
            <w:pPr>
              <w:spacing w:after="0"/>
              <w:rPr>
                <w:sz w:val="20"/>
                <w:szCs w:val="20"/>
                <w:color w:val="auto"/>
              </w:rPr>
            </w:pPr>
          </w:p>
        </w:tc>
        <w:tc>
          <w:tcPr>
            <w:tcW w:w="6840" w:type="dxa"/>
            <w:vAlign w:val="bottom"/>
          </w:tcPr>
          <w:p>
            <w:pPr>
              <w:ind w:left="280"/>
              <w:spacing w:after="0"/>
              <w:rPr>
                <w:sz w:val="20"/>
                <w:szCs w:val="20"/>
                <w:color w:val="auto"/>
              </w:rPr>
            </w:pPr>
            <w:r>
              <w:rPr>
                <w:rFonts w:ascii="Arial" w:cs="Arial" w:eastAsia="Arial" w:hAnsi="Arial"/>
                <w:sz w:val="18"/>
                <w:szCs w:val="18"/>
                <w:color w:val="auto"/>
              </w:rPr>
              <w:t>Cash used in financing activities</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(482.1 )</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(283.7 )</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(435.2 )</w:t>
            </w:r>
          </w:p>
        </w:tc>
      </w:tr>
      <w:tr>
        <w:trPr>
          <w:trHeight w:val="242"/>
        </w:trPr>
        <w:tc>
          <w:tcPr>
            <w:tcW w:w="20" w:type="dxa"/>
            <w:vAlign w:val="bottom"/>
          </w:tcPr>
          <w:p>
            <w:pPr>
              <w:spacing w:after="0"/>
              <w:rPr>
                <w:sz w:val="21"/>
                <w:szCs w:val="21"/>
                <w:color w:val="auto"/>
              </w:rPr>
            </w:pPr>
          </w:p>
        </w:tc>
        <w:tc>
          <w:tcPr>
            <w:tcW w:w="6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(64.7 )</w:t>
            </w: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(93.4 )</w:t>
            </w: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82.5</w:t>
            </w:r>
          </w:p>
        </w:tc>
      </w:tr>
      <w:tr>
        <w:trPr>
          <w:trHeight w:val="236"/>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(208.8 )</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(719.3 )</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541.3</w:t>
            </w:r>
          </w:p>
        </w:tc>
      </w:tr>
      <w:tr>
        <w:trPr>
          <w:trHeight w:val="242"/>
        </w:trPr>
        <w:tc>
          <w:tcPr>
            <w:tcW w:w="20" w:type="dxa"/>
            <w:vAlign w:val="bottom"/>
          </w:tcPr>
          <w:p>
            <w:pPr>
              <w:spacing w:after="0"/>
              <w:rPr>
                <w:sz w:val="21"/>
                <w:szCs w:val="21"/>
                <w:color w:val="auto"/>
              </w:rPr>
            </w:pPr>
          </w:p>
        </w:tc>
        <w:tc>
          <w:tcPr>
            <w:tcW w:w="6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847.8</w:t>
            </w: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1,567.1</w:t>
            </w: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1,025.8</w:t>
            </w:r>
          </w:p>
        </w:tc>
      </w:tr>
      <w:tr>
        <w:trPr>
          <w:trHeight w:val="236"/>
        </w:trPr>
        <w:tc>
          <w:tcPr>
            <w:tcW w:w="20" w:type="dxa"/>
            <w:vAlign w:val="bottom"/>
          </w:tcPr>
          <w:p>
            <w:pPr>
              <w:spacing w:after="0"/>
              <w:rPr>
                <w:sz w:val="20"/>
                <w:szCs w:val="20"/>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year</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639.0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847.8</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1,567.1</w:t>
            </w:r>
          </w:p>
        </w:tc>
      </w:tr>
      <w:tr>
        <w:trPr>
          <w:trHeight w:val="242"/>
        </w:trPr>
        <w:tc>
          <w:tcPr>
            <w:tcW w:w="20" w:type="dxa"/>
            <w:vAlign w:val="bottom"/>
          </w:tcPr>
          <w:p>
            <w:pPr>
              <w:spacing w:after="0"/>
              <w:rPr>
                <w:sz w:val="21"/>
                <w:szCs w:val="21"/>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684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Interest</w:t>
            </w:r>
          </w:p>
        </w:tc>
        <w:tc>
          <w:tcPr>
            <w:tcW w:w="4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38.2</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37.0</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40.8</w:t>
            </w:r>
          </w:p>
        </w:tc>
      </w:tr>
      <w:tr>
        <w:trPr>
          <w:trHeight w:val="236"/>
        </w:trPr>
        <w:tc>
          <w:tcPr>
            <w:tcW w:w="20" w:type="dxa"/>
            <w:vAlign w:val="bottom"/>
          </w:tcPr>
          <w:p>
            <w:pPr>
              <w:spacing w:after="0"/>
              <w:rPr>
                <w:sz w:val="20"/>
                <w:szCs w:val="20"/>
                <w:color w:val="auto"/>
              </w:rPr>
            </w:pPr>
          </w:p>
        </w:tc>
        <w:tc>
          <w:tcPr>
            <w:tcW w:w="6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Income taxes, net</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139.7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149.8</w:t>
            </w:r>
          </w:p>
        </w:tc>
      </w:tr>
      <w:tr>
        <w:trPr>
          <w:trHeight w:val="236"/>
        </w:trPr>
        <w:tc>
          <w:tcPr>
            <w:tcW w:w="20" w:type="dxa"/>
            <w:vAlign w:val="bottom"/>
          </w:tcPr>
          <w:p>
            <w:pPr>
              <w:spacing w:after="0"/>
              <w:rPr>
                <w:sz w:val="20"/>
                <w:szCs w:val="20"/>
                <w:color w:val="auto"/>
              </w:rPr>
            </w:pPr>
          </w:p>
        </w:tc>
        <w:tc>
          <w:tcPr>
            <w:tcW w:w="684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Operating lease liabilities</w:t>
            </w:r>
          </w:p>
        </w:tc>
        <w:tc>
          <w:tcPr>
            <w:tcW w:w="4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127.7</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139.6</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142.0</w:t>
            </w:r>
          </w:p>
        </w:tc>
      </w:tr>
      <w:tr>
        <w:trPr>
          <w:trHeight w:val="236"/>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Non-cash operating activity:</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684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4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92.5</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70.2</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63.6</w:t>
            </w:r>
          </w:p>
        </w:tc>
      </w:tr>
      <w:tr>
        <w:trPr>
          <w:trHeight w:val="205"/>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6"/>
                <w:szCs w:val="16"/>
                <w:color w:val="auto"/>
                <w:w w:val="92"/>
              </w:rPr>
              <w:t>The accompanying Notes to Consolidated Financial Statements are an integral part of these statements.</w:t>
            </w: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27"/>
        </w:trPr>
        <w:tc>
          <w:tcPr>
            <w:tcW w:w="6860" w:type="dxa"/>
            <w:vAlign w:val="bottom"/>
            <w:gridSpan w:val="2"/>
          </w:tcPr>
          <w:p>
            <w:pPr>
              <w:jc w:val="right"/>
              <w:ind w:right="1051"/>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4"/>
        </w:trPr>
        <w:tc>
          <w:tcPr>
            <w:tcW w:w="20" w:type="dxa"/>
            <w:vAlign w:val="bottom"/>
          </w:tcPr>
          <w:p>
            <w:pPr>
              <w:spacing w:after="0"/>
              <w:rPr>
                <w:sz w:val="9"/>
                <w:szCs w:val="9"/>
                <w:color w:val="auto"/>
              </w:rPr>
            </w:pPr>
          </w:p>
        </w:tc>
        <w:tc>
          <w:tcPr>
            <w:tcW w:w="68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and per share data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ManpowerGroup Shareholders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20" w:type="dxa"/>
            <w:vAlign w:val="bottom"/>
            <w:tcBorders>
              <w:top w:val="single" w:sz="8" w:color="auto"/>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Capital in</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center"/>
              <w:ind w:right="223"/>
              <w:spacing w:after="0" w:line="13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w w:val="91"/>
              </w:rPr>
              <w:t>Retained</w:t>
            </w:r>
          </w:p>
        </w:tc>
        <w:tc>
          <w:tcPr>
            <w:tcW w:w="200" w:type="dxa"/>
            <w:vAlign w:val="bottom"/>
          </w:tcPr>
          <w:p>
            <w:pPr>
              <w:spacing w:after="0"/>
              <w:rPr>
                <w:sz w:val="12"/>
                <w:szCs w:val="12"/>
                <w:color w:val="auto"/>
              </w:rPr>
            </w:pPr>
          </w:p>
        </w:tc>
        <w:tc>
          <w:tcPr>
            <w:tcW w:w="1260" w:type="dxa"/>
            <w:vAlign w:val="bottom"/>
          </w:tcPr>
          <w:p>
            <w:pPr>
              <w:jc w:val="center"/>
              <w:ind w:right="223"/>
              <w:spacing w:after="0" w:line="148"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0"/>
              </w:rPr>
              <w:t>Par Value</w:t>
            </w:r>
          </w:p>
        </w:tc>
        <w:tc>
          <w:tcPr>
            <w:tcW w:w="220" w:type="dxa"/>
            <w:vAlign w:val="bottom"/>
          </w:tcPr>
          <w:p>
            <w:pPr>
              <w:spacing w:after="0"/>
              <w:rPr>
                <w:sz w:val="12"/>
                <w:szCs w:val="12"/>
                <w:color w:val="auto"/>
              </w:rPr>
            </w:pPr>
          </w:p>
        </w:tc>
        <w:tc>
          <w:tcPr>
            <w:tcW w:w="840" w:type="dxa"/>
            <w:vAlign w:val="bottom"/>
          </w:tcPr>
          <w:p>
            <w:pPr>
              <w:jc w:val="center"/>
              <w:ind w:right="161"/>
              <w:spacing w:after="0" w:line="148" w:lineRule="exact"/>
              <w:rPr>
                <w:sz w:val="20"/>
                <w:szCs w:val="20"/>
                <w:color w:val="auto"/>
              </w:rPr>
            </w:pPr>
            <w:r>
              <w:rPr>
                <w:rFonts w:ascii="Arial" w:cs="Arial" w:eastAsia="Arial" w:hAnsi="Arial"/>
                <w:sz w:val="14"/>
                <w:szCs w:val="14"/>
                <w:b w:val="1"/>
                <w:bCs w:val="1"/>
                <w:color w:val="auto"/>
                <w:w w:val="85"/>
              </w:rPr>
              <w:t>Excess of</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83"/>
              <w:spacing w:after="0" w:line="148"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22"/>
              <w:spacing w:after="0" w:line="148" w:lineRule="exact"/>
              <w:rPr>
                <w:sz w:val="20"/>
                <w:szCs w:val="20"/>
                <w:color w:val="auto"/>
              </w:rPr>
            </w:pPr>
            <w:r>
              <w:rPr>
                <w:rFonts w:ascii="Arial" w:cs="Arial" w:eastAsia="Arial" w:hAnsi="Arial"/>
                <w:sz w:val="14"/>
                <w:szCs w:val="14"/>
                <w:b w:val="1"/>
                <w:bCs w:val="1"/>
                <w:color w:val="auto"/>
                <w:w w:val="93"/>
              </w:rPr>
              <w:t>controlling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Issued</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3"/>
              </w:rPr>
              <w:t>Par Value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117,190,8</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2019</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83</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3,370.6</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3,494.1</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(441.0 )</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(3,681.9 )</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2,761.5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Net earnings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23.8</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Other comprehensive gain</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rPr>
              <w:t>43.7</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Issuances under equity plans</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365,108</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Share-based compensation</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expense</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24.2</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Dividends ($2.26 per share)</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(129.1 )</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(129.1 )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Repurchases of common stock</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(264.7 )</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(264.7 )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Noncontrolling interest</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transactions</w:t>
            </w: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117,555,9</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2020</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91</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3,402.5</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3,388.8</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(397.3 )</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(3,954.2 )</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2,453.6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Net earnings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382.4</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Other comprehensive gain</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rPr>
              <w:t>7.9</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Issuances under equity plans</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206,074</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Share-based compensation</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expense</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36.8</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Dividends ($2.52 per share)</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(136.6 )</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(136.6 )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Repurchases of common stock</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(210.0 )</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Noncontrolling interest</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transactions</w:t>
            </w: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117,762,0</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2021</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65</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3,444.7</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3,634.6</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(389.4 )</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(4,169.4 )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10.0</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2,531.7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2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Net earnings</w:t>
            </w:r>
          </w:p>
        </w:tc>
        <w:tc>
          <w:tcPr>
            <w:tcW w:w="9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373.8</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373.8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Other comprehensive loss</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(69.3 )</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(69.3 )</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Issuances under equity plans</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265,944</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Share-based compensation</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expense</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37.6</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Dividends ($2.72 per share)</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(139.9 )</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(139.9 )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Repurchases of common stock</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(270.0 )</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(270.0 )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Noncontrolling interest</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transactions</w:t>
            </w: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118,028,0</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2022</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09</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3,484.2</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3,868.5</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(458.7 )</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(4,447.9 )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10.8</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2,458.1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00" w:type="dxa"/>
            <w:vAlign w:val="bottom"/>
            <w:tcBorders>
              <w:top w:val="single" w:sz="8" w:color="auto"/>
            </w:tcBorders>
            <w:gridSpan w:val="9"/>
          </w:tcPr>
          <w:p>
            <w:pPr>
              <w:spacing w:after="0"/>
              <w:rPr>
                <w:sz w:val="20"/>
                <w:szCs w:val="20"/>
                <w:color w:val="auto"/>
              </w:rPr>
            </w:pPr>
            <w:r>
              <w:rPr>
                <w:rFonts w:ascii="Arial" w:cs="Arial" w:eastAsia="Arial" w:hAnsi="Arial"/>
                <w:sz w:val="16"/>
                <w:szCs w:val="16"/>
                <w:color w:val="auto"/>
                <w:w w:val="90"/>
              </w:rPr>
              <w:t>The accompanying Notes to Consolidated Financial Statements are an integral part of these statements.</w:t>
            </w:r>
          </w:p>
        </w:tc>
        <w:tc>
          <w:tcPr>
            <w:tcW w:w="1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5728335</wp:posOffset>
            </wp:positionH>
            <wp:positionV relativeFrom="paragraph">
              <wp:posOffset>-1701800</wp:posOffset>
            </wp:positionV>
            <wp:extent cx="68580" cy="1536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6411595</wp:posOffset>
            </wp:positionH>
            <wp:positionV relativeFrom="paragraph">
              <wp:posOffset>-1701800</wp:posOffset>
            </wp:positionV>
            <wp:extent cx="68580" cy="1536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5728335</wp:posOffset>
            </wp:positionH>
            <wp:positionV relativeFrom="paragraph">
              <wp:posOffset>-138430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6411595</wp:posOffset>
            </wp:positionH>
            <wp:positionV relativeFrom="paragraph">
              <wp:posOffset>-138430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and per share data</w:t>
      </w:r>
    </w:p>
    <w:p>
      <w:pPr>
        <w:spacing w:after="0" w:line="209" w:lineRule="exact"/>
        <w:rPr>
          <w:sz w:val="20"/>
          <w:szCs w:val="20"/>
          <w:color w:val="auto"/>
        </w:rPr>
      </w:pPr>
    </w:p>
    <w:p>
      <w:pPr>
        <w:ind w:left="440" w:hanging="372"/>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9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ManpowerGroup Inc. is a world leader in the innovative workforce solutions and services industry. Our global network of over 2,200 offices in approximately 75 countries and territories allows us to meet the needs of our global, multinational and local clients across all major industry segments. Our largest operations, based on revenues, are located in France, the United States, the United Kingdom and Italy.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8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Consolidated Financial Statements include our operating results and the operating results of all of our majority-owned subsidiaries and entities in which we have a controlling financial interest.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 We account for equity investments in companies over which we have the ability to exercise significant influence, but not control, using the equity method of accounting. We recognize our ownership share of earnings of these equity method investments, amortization of basis differences, and related gains or losses in the Consolidated Financial Statements. These investments, as well as certain other relationships, are also evaluated for consolidation under the accounting guidance on consolidation of variable interest entities. These investments were $95.8 and $114.2 as of December 31, 2022 and 2021, respectively, and are included in other assets in the Consolidated Balance Sheets. Included in shareholders’ equity as of December 31, 2022 and 2021 are $4.3 and $11.8, respectively, of accumulated unremitted earnings from investments accounted for using the equity method. The amounts relate to accounting for our remaining interest in ManpowerGroup Greater China under the equity method subsequent to deconsolidation in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7"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We recognize revenues when control of the promised services is transferred to our clients, in an amount that reflects the consideration we expect to be entitled to receive in exchange for those services. Our revenues are recorded net of any sales, value added or other taxes collected from our clients.</w:t>
      </w:r>
    </w:p>
    <w:p>
      <w:pPr>
        <w:spacing w:after="0" w:line="8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 performance obligation is a promise in a contract to transfer a distinct service to the client, and it is the unit of account in the accounting guidance for revenue recognition. The majority of our contracts have a single performance obligation as the promise to transfer the individual services is not separately identifiable from other promises in our contracts and, therefore, is not distinct. However, we have multiple performance obligations within our Recruitment Process Outsourcing (RPO) contracts as discussed below. For performance obligations that we satisfy over time, revenues are recognized by consistently applying a method of measuring progress toward satisfaction of that performance obligation. We generally utilize an input measure of time (e.g., hours, weeks, months) of service provided, which most accurately depicts the progress toward completion of each performance obligation.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9" w:name="page60"/>
    <w:bookmarkEnd w:id="59"/>
    <w:p>
      <w:pPr>
        <w:jc w:val="both"/>
        <w:spacing w:after="0" w:line="270" w:lineRule="auto"/>
        <w:rPr>
          <w:sz w:val="20"/>
          <w:szCs w:val="20"/>
          <w:color w:val="auto"/>
        </w:rPr>
      </w:pPr>
      <w:r>
        <w:rPr>
          <w:rFonts w:ascii="Arial" w:cs="Arial" w:eastAsia="Arial" w:hAnsi="Arial"/>
          <w:sz w:val="17"/>
          <w:szCs w:val="17"/>
          <w:color w:val="auto"/>
        </w:rPr>
        <w:t>We generally determine standalone selling prices based on the prices included in the client contracts, using expected costs plus margin or other observable prices. The price as specified in our client contracts is generally considered the standalone selling price as it is an observable input that depicts the price as if sold to a similar client in similar circumstances. Certain client contracts have variable consideration, including credits, sales allowances, rebates or other similar items that generally reduce the transaction price. We estimate variable consideration using whichever method, either the expected value method or most likely amount method, better predicts the amount of consideration to which we will become entitled based on the terms of the client contract and historical evidence. These amounts may be constrained and are only included in revenues to the extent we do not expect a significant reversal when the uncertainty associated with the variable consideration is resolved. Our variable consideration amounts are not material, and we do not believe that there will be significant changes to our estimates.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client contracts generally include standard payment terms acceptable in each of the countries and territories in which we operate. The payment terms vary by the type and location of our clients and services offered. Client payments are typically due approximately 60 days after invoicing but may be a shorter or longer term depending on the contract. Our client contracts are generally short-term in nature with a term of one year or less. The timing between satisfaction of the performance obligation, invoicing and payment is not significant. For certain services and client types, we may require payment prior to delivery of services to the client, for which deferred revenue is recorded.</w:t>
      </w:r>
    </w:p>
    <w:p>
      <w:pPr>
        <w:spacing w:after="0" w:line="14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In certain scenarios where a third-party vendor is involved in our revenue transactions with our clients, we evaluate whether we are the principal or the agent in the transaction. In situations where we act as principal in the transaction, we control the performance obligation prior to transfer to the client, and we report the related amounts as gross revenues and cost of services. When we act as agent in the transaction, we do not control the performance obligation prior to transfer to the client, and we report the related amounts as revenues on a net basis.</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majority of these agent transactions occur within our TAPFIN - Managed Service Provider (MSP) programs where our performance obligation is to manage our client’s contingent workforce, and we earn a commission based on the amount of staffing services that are managed through the program. We are the agent in these transactions as we do not control the third-party providers' staffing services provided to the client through our MSP program prior to those services being transferred to the client.</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allowed under the guidance, 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December 31, 2022 related to remaining performance obligations, which are not material.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Contract Assets and Contract Liabilities</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deferred revenue was $35.6 and $34.8 as of December 31, 2022 and 2021, respectively. We recognized the entire amount of the deferred revenue balance as of December 31, 2021 as revenue during the year ended December 31, 2022. We expect to recognize the entire amount of deferred revenue balance as of December 31, 2022 as revenue in 2023.</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market conditions and a specific review for potential bad debts. Items that affect this balance mainly include bad debt expense and the write-off of accounts receivable balances.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Provisions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4"/>
                <w:szCs w:val="14"/>
                <w:color w:val="auto"/>
              </w:rPr>
            </w:pPr>
          </w:p>
        </w:tc>
        <w:tc>
          <w:tcPr>
            <w:tcW w:w="1440" w:type="dxa"/>
            <w:vAlign w:val="bottom"/>
            <w:gridSpan w:val="4"/>
          </w:tcPr>
          <w:p>
            <w:pPr>
              <w:jc w:val="center"/>
              <w:ind w:right="310"/>
              <w:spacing w:after="0"/>
              <w:rPr>
                <w:sz w:val="20"/>
                <w:szCs w:val="20"/>
                <w:color w:val="auto"/>
              </w:rPr>
            </w:pPr>
            <w:r>
              <w:rPr>
                <w:rFonts w:ascii="Arial" w:cs="Arial" w:eastAsia="Arial" w:hAnsi="Arial"/>
                <w:sz w:val="14"/>
                <w:szCs w:val="14"/>
                <w:b w:val="1"/>
                <w:bCs w:val="1"/>
                <w:color w:val="auto"/>
                <w:w w:val="90"/>
              </w:rPr>
              <w:t>Reclassification</w:t>
            </w:r>
          </w:p>
        </w:tc>
        <w:tc>
          <w:tcPr>
            <w:tcW w:w="96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99"/>
              <w:spacing w:after="0" w:line="148"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79"/>
              <w:spacing w:after="0" w:line="148" w:lineRule="exact"/>
              <w:rPr>
                <w:sz w:val="20"/>
                <w:szCs w:val="20"/>
                <w:color w:val="auto"/>
              </w:rPr>
            </w:pPr>
            <w:r>
              <w:rPr>
                <w:rFonts w:ascii="Arial" w:cs="Arial" w:eastAsia="Arial" w:hAnsi="Arial"/>
                <w:sz w:val="14"/>
                <w:szCs w:val="14"/>
                <w:b w:val="1"/>
                <w:bCs w:val="1"/>
                <w:color w:val="auto"/>
                <w:w w:val="91"/>
              </w:rPr>
              <w:t>Charged to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restart"/>
          </w:tcPr>
          <w:p>
            <w:pPr>
              <w:jc w:val="right"/>
              <w:ind w:right="470"/>
              <w:spacing w:after="0"/>
              <w:rPr>
                <w:sz w:val="20"/>
                <w:szCs w:val="20"/>
                <w:color w:val="auto"/>
              </w:rPr>
            </w:pPr>
            <w:r>
              <w:rPr>
                <w:rFonts w:ascii="Arial" w:cs="Arial" w:eastAsia="Arial" w:hAnsi="Arial"/>
                <w:sz w:val="14"/>
                <w:szCs w:val="14"/>
                <w:b w:val="1"/>
                <w:bCs w:val="1"/>
                <w:color w:val="auto"/>
              </w:rPr>
              <w:t>Write-Offs</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450"/>
              <w:spacing w:after="0" w:line="148" w:lineRule="exact"/>
              <w:rPr>
                <w:sz w:val="20"/>
                <w:szCs w:val="20"/>
                <w:color w:val="auto"/>
              </w:rPr>
            </w:pPr>
            <w:r>
              <w:rPr>
                <w:rFonts w:ascii="Arial" w:cs="Arial" w:eastAsia="Arial" w:hAnsi="Arial"/>
                <w:sz w:val="14"/>
                <w:szCs w:val="14"/>
                <w:b w:val="1"/>
                <w:bCs w:val="1"/>
                <w:color w:val="auto"/>
                <w:w w:val="76"/>
              </w:rPr>
              <w:t>s</w:t>
            </w:r>
          </w:p>
        </w:tc>
        <w:tc>
          <w:tcPr>
            <w:tcW w:w="960" w:type="dxa"/>
            <w:vAlign w:val="bottom"/>
          </w:tcPr>
          <w:p>
            <w:pPr>
              <w:jc w:val="center"/>
              <w:ind w:right="219"/>
              <w:spacing w:after="0" w:line="148"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84"/>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of Year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020" w:type="dxa"/>
            <w:vAlign w:val="bottom"/>
          </w:tcPr>
          <w:p>
            <w:pPr>
              <w:jc w:val="right"/>
              <w:ind w:right="158"/>
              <w:spacing w:after="0"/>
              <w:rPr>
                <w:sz w:val="20"/>
                <w:szCs w:val="20"/>
                <w:color w:val="auto"/>
              </w:rPr>
            </w:pPr>
            <w:r>
              <w:rPr>
                <w:rFonts w:ascii="Arial" w:cs="Arial" w:eastAsia="Arial" w:hAnsi="Arial"/>
                <w:sz w:val="14"/>
                <w:szCs w:val="14"/>
                <w:b w:val="1"/>
                <w:bCs w:val="1"/>
                <w:color w:val="auto"/>
                <w:w w:val="89"/>
              </w:rPr>
              <w:t>Adjustments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470"/>
              <w:spacing w:after="0"/>
              <w:rPr>
                <w:sz w:val="20"/>
                <w:szCs w:val="20"/>
                <w:color w:val="auto"/>
              </w:rPr>
            </w:pPr>
            <w:r>
              <w:rPr>
                <w:rFonts w:ascii="Arial" w:cs="Arial" w:eastAsia="Arial" w:hAnsi="Arial"/>
                <w:sz w:val="14"/>
                <w:szCs w:val="14"/>
                <w:b w:val="1"/>
                <w:bCs w:val="1"/>
                <w:color w:val="auto"/>
                <w:w w:val="96"/>
              </w:rPr>
              <w:t>and Other</w:t>
            </w:r>
          </w:p>
        </w:tc>
        <w:tc>
          <w:tcPr>
            <w:tcW w:w="96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236"/>
        </w:trPr>
        <w:tc>
          <w:tcPr>
            <w:tcW w:w="3680" w:type="dxa"/>
            <w:vAlign w:val="bottom"/>
            <w:shd w:val="clear" w:color="auto" w:fill="CFF0FC"/>
          </w:tcPr>
          <w:p>
            <w:pPr>
              <w:jc w:val="right"/>
              <w:ind w:right="1630"/>
              <w:spacing w:after="0"/>
              <w:rPr>
                <w:sz w:val="20"/>
                <w:szCs w:val="20"/>
                <w:color w:val="auto"/>
              </w:rPr>
            </w:pPr>
            <w:r>
              <w:rPr>
                <w:rFonts w:ascii="Arial" w:cs="Arial" w:eastAsia="Arial" w:hAnsi="Arial"/>
                <w:sz w:val="18"/>
                <w:szCs w:val="18"/>
                <w:color w:val="auto"/>
              </w:rPr>
              <w:t>2022</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(12.4 )</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36"/>
        </w:trPr>
        <w:tc>
          <w:tcPr>
            <w:tcW w:w="3680" w:type="dxa"/>
            <w:vAlign w:val="bottom"/>
          </w:tcPr>
          <w:p>
            <w:pPr>
              <w:jc w:val="right"/>
              <w:ind w:right="163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48"/>
        </w:trPr>
        <w:tc>
          <w:tcPr>
            <w:tcW w:w="3680" w:type="dxa"/>
            <w:vAlign w:val="bottom"/>
            <w:shd w:val="clear" w:color="auto" w:fill="CFF0FC"/>
          </w:tcPr>
          <w:p>
            <w:pPr>
              <w:jc w:val="right"/>
              <w:ind w:right="163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Bad debt expense is recorded as selling and administrative expenses in our Consolidated Statements of Operations.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Advertising Costs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We expense production costs of advertising as they are incurred. Advertising expenses were $29.6, $28.1 and $22.2 in 2022, 2021 and 2020,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recorded net restructuring costs of $3.6, $15.2 and $110.7 in 2022, 2021 and 2020, respectively, in selling and administrative expenses, primarily related to severances and office closures and consolidations in multiple countries and territories. The costs paid out of our restructuring reserve were $13.7 and $38.0 in 2022 and 2021, respectively. We expect a majority of the remaining $13.2 reserve will be paid by the end of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Southern</w:t>
            </w:r>
          </w:p>
        </w:tc>
        <w:tc>
          <w:tcPr>
            <w:tcW w:w="180" w:type="dxa"/>
            <w:vAlign w:val="bottom"/>
          </w:tcPr>
          <w:p>
            <w:pPr>
              <w:spacing w:after="0"/>
              <w:rPr>
                <w:sz w:val="17"/>
                <w:szCs w:val="17"/>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Northern</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Corporat</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69"/>
        </w:trPr>
        <w:tc>
          <w:tcPr>
            <w:tcW w:w="340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2"/>
          </w:tcPr>
          <w:p>
            <w:pPr>
              <w:jc w:val="right"/>
              <w:ind w:right="130"/>
              <w:spacing w:after="0" w:line="268" w:lineRule="exact"/>
              <w:rPr>
                <w:sz w:val="20"/>
                <w:szCs w:val="20"/>
                <w:color w:val="auto"/>
              </w:rPr>
            </w:pPr>
            <w:r>
              <w:rPr>
                <w:rFonts w:ascii="Arial" w:cs="Arial" w:eastAsia="Arial" w:hAnsi="Arial"/>
                <w:sz w:val="18"/>
                <w:szCs w:val="18"/>
                <w:b w:val="1"/>
                <w:bCs w:val="1"/>
                <w:color w:val="auto"/>
              </w:rPr>
              <w:t>Americas</w:t>
            </w:r>
            <w:r>
              <w:rPr>
                <w:rFonts w:ascii="Arial" w:cs="Arial" w:eastAsia="Arial" w:hAnsi="Arial"/>
                <w:sz w:val="24"/>
                <w:szCs w:val="24"/>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0"/>
              <w:spacing w:after="0" w:line="268" w:lineRule="exact"/>
              <w:rPr>
                <w:sz w:val="20"/>
                <w:szCs w:val="20"/>
                <w:color w:val="auto"/>
              </w:rPr>
            </w:pPr>
            <w:r>
              <w:rPr>
                <w:rFonts w:ascii="Arial" w:cs="Arial" w:eastAsia="Arial" w:hAnsi="Arial"/>
                <w:sz w:val="18"/>
                <w:szCs w:val="18"/>
                <w:b w:val="1"/>
                <w:bCs w:val="1"/>
                <w:color w:val="auto"/>
                <w:w w:val="88"/>
              </w:rPr>
              <w:t>Europe</w:t>
            </w:r>
            <w:r>
              <w:rPr>
                <w:rFonts w:ascii="Arial" w:cs="Arial" w:eastAsia="Arial" w:hAnsi="Arial"/>
                <w:sz w:val="24"/>
                <w:szCs w:val="24"/>
                <w:b w:val="1"/>
                <w:bCs w:val="1"/>
                <w:color w:val="auto"/>
                <w:w w:val="88"/>
                <w:vertAlign w:val="superscript"/>
              </w:rPr>
              <w:t>(2)</w:t>
            </w: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Europe</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APME</w:t>
            </w: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Total</w:t>
            </w:r>
          </w:p>
        </w:tc>
      </w:tr>
      <w:tr>
        <w:trPr>
          <w:trHeight w:val="236"/>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December 31, 2020</w:t>
            </w:r>
          </w:p>
        </w:tc>
        <w:tc>
          <w:tcPr>
            <w:tcW w:w="16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46.1</w:t>
            </w:r>
          </w:p>
        </w:tc>
      </w:tr>
      <w:tr>
        <w:trPr>
          <w:trHeight w:val="236"/>
        </w:trPr>
        <w:tc>
          <w:tcPr>
            <w:tcW w:w="3400" w:type="dxa"/>
            <w:vAlign w:val="bottom"/>
          </w:tcPr>
          <w:p>
            <w:pPr>
              <w:ind w:left="120"/>
              <w:spacing w:after="0"/>
              <w:rPr>
                <w:sz w:val="20"/>
                <w:szCs w:val="20"/>
                <w:color w:val="auto"/>
              </w:rPr>
            </w:pPr>
            <w:r>
              <w:rPr>
                <w:rFonts w:ascii="Arial" w:cs="Arial" w:eastAsia="Arial" w:hAnsi="Arial"/>
                <w:sz w:val="18"/>
                <w:szCs w:val="18"/>
                <w:color w:val="auto"/>
              </w:rPr>
              <w:t>Severance costs</w:t>
            </w:r>
          </w:p>
        </w:tc>
        <w:tc>
          <w:tcPr>
            <w:tcW w:w="166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15.2</w:t>
            </w:r>
          </w:p>
        </w:tc>
      </w:tr>
      <w:tr>
        <w:trPr>
          <w:trHeight w:val="242"/>
        </w:trPr>
        <w:tc>
          <w:tcPr>
            <w:tcW w:w="34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Costs paid</w:t>
            </w:r>
          </w:p>
        </w:tc>
        <w:tc>
          <w:tcPr>
            <w:tcW w:w="16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(6.1 )</w:t>
            </w: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(29.2 )</w:t>
            </w: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(38.0 )</w:t>
            </w:r>
          </w:p>
        </w:tc>
      </w:tr>
      <w:tr>
        <w:trPr>
          <w:trHeight w:val="236"/>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December 31, 2021</w:t>
            </w: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w:t>
            </w:r>
          </w:p>
        </w:tc>
      </w:tr>
      <w:tr>
        <w:trPr>
          <w:trHeight w:val="242"/>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Severance costs</w:t>
            </w:r>
          </w:p>
        </w:tc>
        <w:tc>
          <w:tcPr>
            <w:tcW w:w="16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r>
      <w:tr>
        <w:trPr>
          <w:trHeight w:val="236"/>
        </w:trPr>
        <w:tc>
          <w:tcPr>
            <w:tcW w:w="3400" w:type="dxa"/>
            <w:vAlign w:val="bottom"/>
          </w:tcPr>
          <w:p>
            <w:pPr>
              <w:ind w:left="120"/>
              <w:spacing w:after="0"/>
              <w:rPr>
                <w:sz w:val="20"/>
                <w:szCs w:val="20"/>
                <w:color w:val="auto"/>
              </w:rPr>
            </w:pPr>
            <w:r>
              <w:rPr>
                <w:rFonts w:ascii="Arial" w:cs="Arial" w:eastAsia="Arial" w:hAnsi="Arial"/>
                <w:sz w:val="18"/>
                <w:szCs w:val="18"/>
                <w:color w:val="auto"/>
              </w:rPr>
              <w:t>Other costs</w:t>
            </w:r>
          </w:p>
        </w:tc>
        <w:tc>
          <w:tcPr>
            <w:tcW w:w="166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42"/>
        </w:trPr>
        <w:tc>
          <w:tcPr>
            <w:tcW w:w="34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Costs paid</w:t>
            </w:r>
          </w:p>
        </w:tc>
        <w:tc>
          <w:tcPr>
            <w:tcW w:w="16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(0.7 )</w:t>
            </w: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(11.3 )</w:t>
            </w: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(13.7 )</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9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ind w:left="380" w:hanging="372"/>
        <w:spacing w:after="0" w:line="289"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Balance related to United States was $1.4 as of December 31, 2020. In 2021, United States paid $1.2, leaving a $0.2 liability as of December 31, 2021. In 2022, United States incurred $0.8 for severance costs and paid $0.4, leaving a $0.6 liability as of December 31, 2022.</w:t>
      </w:r>
    </w:p>
    <w:p>
      <w:pPr>
        <w:jc w:val="both"/>
        <w:ind w:left="380" w:hanging="372"/>
        <w:spacing w:after="0" w:line="277"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France had a $0.6 liability as of December 31, 2020 and 2021. In 2022, France incurred $0.9 for other costs and paid $0.6, leaving a $0.9 liability as of December 31, 2022. Balance related to Italy was $1.4 as of December 31, 2020. In 2021, Italy paid $1.1, leaving a $0.3 liability as of December 31, 2021. In 2022, Italy paid $0.3, leaving no liability as of December 31,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to reduce the assets to the amounts more likely than not to be realized.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Fair Value Measurements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assets and liabilities measured and recorded at fair value on a recurring basis were as follows:</w:t>
      </w:r>
    </w:p>
    <w:p>
      <w:pPr>
        <w:sectPr>
          <w:pgSz w:w="11900" w:h="16838" w:orient="portrait"/>
          <w:cols w:equalWidth="0" w:num="1">
            <w:col w:w="11240"/>
          </w:cols>
          <w:pgMar w:left="320" w:top="515" w:right="339" w:bottom="1440" w:gutter="0" w:footer="0" w:header="0"/>
        </w:sectPr>
      </w:pPr>
    </w:p>
    <w:p>
      <w:pPr>
        <w:spacing w:after="0" w:line="46"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Fair Value Measurements Using</w:t>
      </w:r>
    </w:p>
    <w:p>
      <w:pPr>
        <w:spacing w:after="0" w:line="25" w:lineRule="exact"/>
        <w:rPr>
          <w:sz w:val="20"/>
          <w:szCs w:val="20"/>
          <w:color w:val="auto"/>
        </w:rPr>
      </w:pPr>
    </w:p>
    <w:tbl>
      <w:tblPr>
        <w:tblLayout w:type="fixed"/>
        <w:tblInd w:w="2260" w:type="dxa"/>
        <w:tblCellMar>
          <w:top w:w="0" w:type="dxa"/>
          <w:left w:w="0" w:type="dxa"/>
          <w:bottom w:w="0" w:type="dxa"/>
          <w:right w:w="0" w:type="dxa"/>
        </w:tblCellMar>
      </w:tblPr>
      <w:tr>
        <w:trPr>
          <w:trHeight w:val="214"/>
        </w:trPr>
        <w:tc>
          <w:tcPr>
            <w:tcW w:w="1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Signific</w:t>
            </w:r>
          </w:p>
        </w:tc>
      </w:tr>
      <w:tr>
        <w:trPr>
          <w:trHeight w:val="202"/>
        </w:trPr>
        <w:tc>
          <w:tcPr>
            <w:tcW w:w="12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8"/>
              </w:rPr>
              <w:t>Quoted Prices</w:t>
            </w:r>
          </w:p>
        </w:tc>
        <w:tc>
          <w:tcPr>
            <w:tcW w:w="1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1"/>
              </w:rPr>
              <w:t>ant</w:t>
            </w:r>
          </w:p>
        </w:tc>
      </w:tr>
      <w:tr>
        <w:trPr>
          <w:trHeight w:val="202"/>
        </w:trPr>
        <w:tc>
          <w:tcPr>
            <w:tcW w:w="12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in Active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Significant</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5"/>
              </w:rPr>
              <w:t>Unobse</w:t>
            </w:r>
          </w:p>
        </w:tc>
      </w:tr>
      <w:tr>
        <w:trPr>
          <w:trHeight w:val="202"/>
        </w:trPr>
        <w:tc>
          <w:tcPr>
            <w:tcW w:w="12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7"/>
              </w:rPr>
              <w:t>Markets for</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Other</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3"/>
              </w:rPr>
              <w:t>rvable</w:t>
            </w:r>
          </w:p>
        </w:tc>
      </w:tr>
      <w:tr>
        <w:trPr>
          <w:trHeight w:val="202"/>
        </w:trPr>
        <w:tc>
          <w:tcPr>
            <w:tcW w:w="12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Identical</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Observable</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5"/>
              </w:rPr>
              <w:t>Inputs</w:t>
            </w:r>
          </w:p>
        </w:tc>
      </w:tr>
      <w:tr>
        <w:trPr>
          <w:trHeight w:val="202"/>
        </w:trPr>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December 31,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3"/>
              </w:rPr>
              <w:t>Assets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Inputs</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0"/>
              </w:rPr>
              <w:t>(Level</w:t>
            </w:r>
          </w:p>
        </w:tc>
      </w:tr>
      <w:tr>
        <w:trPr>
          <w:trHeight w:val="210"/>
        </w:trPr>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(Level 1)</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(Level 2)</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3)</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Fair Value Measurements Using</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Signific</w:t>
            </w:r>
          </w:p>
        </w:tc>
      </w:tr>
      <w:tr>
        <w:trPr>
          <w:trHeight w:val="202"/>
        </w:trPr>
        <w:tc>
          <w:tcPr>
            <w:tcW w:w="12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0"/>
              </w:rPr>
              <w:t>Quoted Prices</w:t>
            </w:r>
          </w:p>
        </w:tc>
        <w:tc>
          <w:tcPr>
            <w:tcW w:w="10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1"/>
              </w:rPr>
              <w:t>ant</w:t>
            </w:r>
          </w:p>
        </w:tc>
      </w:tr>
      <w:tr>
        <w:trPr>
          <w:trHeight w:val="202"/>
        </w:trPr>
        <w:tc>
          <w:tcPr>
            <w:tcW w:w="12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2"/>
              </w:rPr>
              <w:t>in Active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Significant</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5"/>
              </w:rPr>
              <w:t>Unobse</w:t>
            </w:r>
          </w:p>
        </w:tc>
      </w:tr>
      <w:tr>
        <w:trPr>
          <w:trHeight w:val="202"/>
        </w:trPr>
        <w:tc>
          <w:tcPr>
            <w:tcW w:w="12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5"/>
              </w:rPr>
              <w:t>Markets for</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3"/>
              </w:rPr>
              <w:t>rvable</w:t>
            </w:r>
          </w:p>
        </w:tc>
      </w:tr>
      <w:tr>
        <w:trPr>
          <w:trHeight w:val="202"/>
        </w:trPr>
        <w:tc>
          <w:tcPr>
            <w:tcW w:w="12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5"/>
              </w:rPr>
              <w:t>Identical</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Observable</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5"/>
              </w:rPr>
              <w:t>Inputs</w:t>
            </w:r>
          </w:p>
        </w:tc>
      </w:tr>
      <w:tr>
        <w:trPr>
          <w:trHeight w:val="202"/>
        </w:trPr>
        <w:tc>
          <w:tcPr>
            <w:tcW w:w="124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December 31,</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79"/>
              </w:rPr>
              <w:t>Assets</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5"/>
              </w:rPr>
              <w:t>Inputs</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0"/>
              </w:rPr>
              <w:t>(Level</w:t>
            </w:r>
          </w:p>
        </w:tc>
      </w:tr>
      <w:tr>
        <w:trPr>
          <w:trHeight w:val="210"/>
        </w:trPr>
        <w:tc>
          <w:tcPr>
            <w:tcW w:w="124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5"/>
              </w:rPr>
              <w:t>(Level 1)</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5"/>
              </w:rPr>
              <w:t>(Level 2)</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3)</w:t>
            </w:r>
          </w:p>
        </w:tc>
      </w:tr>
    </w:tbl>
    <w:p>
      <w:pPr>
        <w:spacing w:after="0" w:line="1" w:lineRule="exact"/>
        <w:rPr>
          <w:sz w:val="20"/>
          <w:szCs w:val="20"/>
          <w:color w:val="auto"/>
        </w:rPr>
      </w:pPr>
    </w:p>
    <w:p>
      <w:pPr>
        <w:sectPr>
          <w:pgSz w:w="11900" w:h="16838" w:orient="portrait"/>
          <w:cols w:equalWidth="0" w:num="2">
            <w:col w:w="6800" w:space="20"/>
            <w:col w:w="4420"/>
          </w:cols>
          <w:pgMar w:left="320" w:top="515"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20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6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r>
      <w:tr>
        <w:trPr>
          <w:trHeight w:val="215"/>
        </w:trPr>
        <w:tc>
          <w:tcPr>
            <w:tcW w:w="2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compensation plan</w:t>
            </w:r>
          </w:p>
        </w:tc>
        <w:tc>
          <w:tcPr>
            <w:tcW w:w="6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r>
      <w:tr>
        <w:trPr>
          <w:trHeight w:val="225"/>
        </w:trPr>
        <w:tc>
          <w:tcPr>
            <w:tcW w:w="2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66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115.3</w:t>
            </w:r>
          </w:p>
        </w:tc>
        <w:tc>
          <w:tcPr>
            <w:tcW w:w="5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w:t>
            </w:r>
          </w:p>
        </w:tc>
        <w:tc>
          <w:tcPr>
            <w:tcW w:w="4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FF0FC"/>
          </w:tcPr>
          <w:p>
            <w:pPr>
              <w:jc w:val="right"/>
              <w:ind w:right="304"/>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w:t>
            </w:r>
          </w:p>
        </w:tc>
        <w:tc>
          <w:tcPr>
            <w:tcW w:w="5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w:t>
            </w:r>
          </w:p>
        </w:tc>
        <w:tc>
          <w:tcPr>
            <w:tcW w:w="44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w:t>
            </w:r>
          </w:p>
        </w:tc>
      </w:tr>
      <w:tr>
        <w:trPr>
          <w:trHeight w:val="219"/>
        </w:trPr>
        <w:tc>
          <w:tcPr>
            <w:tcW w:w="2060" w:type="dxa"/>
            <w:vAlign w:val="bottom"/>
          </w:tcPr>
          <w:p>
            <w:pPr>
              <w:ind w:left="20"/>
              <w:spacing w:after="0"/>
              <w:rPr>
                <w:sz w:val="20"/>
                <w:szCs w:val="20"/>
                <w:color w:val="auto"/>
              </w:rPr>
            </w:pPr>
            <w:r>
              <w:rPr>
                <w:rFonts w:ascii="Arial" w:cs="Arial" w:eastAsia="Arial" w:hAnsi="Arial"/>
                <w:sz w:val="16"/>
                <w:szCs w:val="16"/>
                <w:color w:val="auto"/>
              </w:rPr>
              <w:t>Cross-currency swaps</w:t>
            </w:r>
          </w:p>
        </w:tc>
        <w:tc>
          <w:tcPr>
            <w:tcW w:w="6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13.8</w:t>
            </w:r>
          </w:p>
        </w:tc>
        <w:tc>
          <w:tcPr>
            <w:tcW w:w="32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24.7</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24.7</w:t>
            </w:r>
          </w:p>
        </w:tc>
        <w:tc>
          <w:tcPr>
            <w:tcW w:w="30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15"/>
        </w:trPr>
        <w:tc>
          <w:tcPr>
            <w:tcW w:w="2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currency forward</w:t>
            </w:r>
          </w:p>
        </w:tc>
        <w:tc>
          <w:tcPr>
            <w:tcW w:w="6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r>
      <w:tr>
        <w:trPr>
          <w:trHeight w:val="219"/>
        </w:trPr>
        <w:tc>
          <w:tcPr>
            <w:tcW w:w="20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contracts</w:t>
            </w:r>
          </w:p>
        </w:tc>
        <w:tc>
          <w:tcPr>
            <w:tcW w:w="6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0.2</w:t>
            </w:r>
          </w:p>
        </w:tc>
        <w:tc>
          <w:tcPr>
            <w:tcW w:w="5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3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6"/>
                <w:szCs w:val="16"/>
                <w:color w:val="auto"/>
              </w:rPr>
              <w:t>—</w:t>
            </w:r>
          </w:p>
        </w:tc>
      </w:tr>
      <w:tr>
        <w:trPr>
          <w:trHeight w:val="222"/>
        </w:trPr>
        <w:tc>
          <w:tcPr>
            <w:tcW w:w="2060" w:type="dxa"/>
            <w:vAlign w:val="bottom"/>
          </w:tcPr>
          <w:p>
            <w:pPr>
              <w:spacing w:after="0"/>
              <w:rPr>
                <w:sz w:val="19"/>
                <w:szCs w:val="19"/>
                <w:color w:val="auto"/>
              </w:rPr>
            </w:pPr>
          </w:p>
        </w:tc>
        <w:tc>
          <w:tcPr>
            <w:tcW w:w="6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129.3</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115.3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304"/>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162.7</w:t>
            </w: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138.0</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29"/>
        </w:trPr>
        <w:tc>
          <w:tcPr>
            <w:tcW w:w="20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w:t>
            </w:r>
          </w:p>
        </w:tc>
        <w:tc>
          <w:tcPr>
            <w:tcW w:w="6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r>
      <w:tr>
        <w:trPr>
          <w:trHeight w:val="219"/>
        </w:trPr>
        <w:tc>
          <w:tcPr>
            <w:tcW w:w="2060" w:type="dxa"/>
            <w:vAlign w:val="bottom"/>
          </w:tcPr>
          <w:p>
            <w:pPr>
              <w:ind w:left="20"/>
              <w:spacing w:after="0"/>
              <w:rPr>
                <w:sz w:val="20"/>
                <w:szCs w:val="20"/>
                <w:color w:val="auto"/>
              </w:rPr>
            </w:pPr>
            <w:r>
              <w:rPr>
                <w:rFonts w:ascii="Arial" w:cs="Arial" w:eastAsia="Arial" w:hAnsi="Arial"/>
                <w:sz w:val="16"/>
                <w:szCs w:val="16"/>
                <w:color w:val="auto"/>
              </w:rPr>
              <w:t>Cross-currency swaps</w:t>
            </w:r>
          </w:p>
        </w:tc>
        <w:tc>
          <w:tcPr>
            <w:tcW w:w="6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25.8</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25.8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ind w:left="14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304"/>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24.2</w:t>
            </w: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15"/>
        </w:trPr>
        <w:tc>
          <w:tcPr>
            <w:tcW w:w="2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currency forward</w:t>
            </w:r>
          </w:p>
        </w:tc>
        <w:tc>
          <w:tcPr>
            <w:tcW w:w="6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r>
      <w:tr>
        <w:trPr>
          <w:trHeight w:val="219"/>
        </w:trPr>
        <w:tc>
          <w:tcPr>
            <w:tcW w:w="20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contracts</w:t>
            </w:r>
          </w:p>
        </w:tc>
        <w:tc>
          <w:tcPr>
            <w:tcW w:w="6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3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6"/>
                <w:szCs w:val="16"/>
                <w:color w:val="auto"/>
              </w:rPr>
              <w:t>—</w:t>
            </w:r>
          </w:p>
        </w:tc>
      </w:tr>
      <w:tr>
        <w:trPr>
          <w:trHeight w:val="222"/>
        </w:trPr>
        <w:tc>
          <w:tcPr>
            <w:tcW w:w="2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-887730</wp:posOffset>
            </wp:positionV>
            <wp:extent cx="8255"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-161925</wp:posOffset>
            </wp:positionV>
            <wp:extent cx="8255"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8255" cy="162560"/>
                    </a:xfrm>
                    <a:prstGeom prst="rect">
                      <a:avLst/>
                    </a:prstGeom>
                    <a:noFill/>
                  </pic:spPr>
                </pic:pic>
              </a:graphicData>
            </a:graphic>
          </wp:anchor>
        </w:drawing>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determine the fair value of our deferred compensation plan assets, comprised of publicly traded securities, by using market quotes as of the last day of the period. The fair value of the cross-currency swaps and foreign currency forward contracts are measured at the value based on a third party valuation model that performs a discounted cash flow analysis based on the terms of the contracts and market observable inputs such as current and forward interest rates and current and forward foreign exchange rates</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carrying values of cash and cash equivalents, accounts receivable, accounts payable and other current assets and liabilities approximate their fair values because of the short-term nature of these instruments. The carrying value of our variable-rate long-term debt and revolving debt facility approximates fair value. The fair value of the Euro-denominated notes, as observable at commonly quoted intervals (Level 2 inputs), was $921.7 and $1,064.0 as of December 31, 2022 and 2021, respectively, compared to a carrying value of $956.6 and $1019.6,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had goodwill, finite-lived intangible assets and indefinite-lived intangible assets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2022</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4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Accumulat</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center"/>
              <w:ind w:right="354"/>
              <w:spacing w:after="0" w:line="148" w:lineRule="exact"/>
              <w:rPr>
                <w:sz w:val="20"/>
                <w:szCs w:val="20"/>
                <w:color w:val="auto"/>
              </w:rPr>
            </w:pPr>
            <w:r>
              <w:rPr>
                <w:rFonts w:ascii="Arial" w:cs="Arial" w:eastAsia="Arial" w:hAnsi="Arial"/>
                <w:sz w:val="14"/>
                <w:szCs w:val="14"/>
                <w:b w:val="1"/>
                <w:bCs w:val="1"/>
                <w:color w:val="auto"/>
                <w:w w:val="85"/>
              </w:rPr>
              <w:t>ed</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Gross</w:t>
            </w: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3"/>
              </w:rPr>
              <w:t>Gross</w:t>
            </w:r>
          </w:p>
        </w:tc>
        <w:tc>
          <w:tcPr>
            <w:tcW w:w="11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6"/>
              </w:rPr>
              <w:t>Amortizati</w:t>
            </w:r>
          </w:p>
        </w:tc>
        <w:tc>
          <w:tcPr>
            <w:tcW w:w="180" w:type="dxa"/>
            <w:vAlign w:val="bottom"/>
          </w:tcPr>
          <w:p>
            <w:pPr>
              <w:spacing w:after="0"/>
              <w:rPr>
                <w:sz w:val="12"/>
                <w:szCs w:val="12"/>
                <w:color w:val="auto"/>
              </w:rPr>
            </w:pPr>
          </w:p>
        </w:tc>
        <w:tc>
          <w:tcPr>
            <w:tcW w:w="7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4"/>
        </w:trPr>
        <w:tc>
          <w:tcPr>
            <w:tcW w:w="4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81"/>
              </w:rPr>
              <w:t>on</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auto"/>
            </w:tcBorders>
            <w:shd w:val="clear" w:color="auto" w:fill="CFF0FC"/>
          </w:tcPr>
          <w:p>
            <w:pPr>
              <w:ind w:left="20"/>
              <w:spacing w:after="0" w:line="235" w:lineRule="exact"/>
              <w:rPr>
                <w:sz w:val="20"/>
                <w:szCs w:val="20"/>
                <w:color w:val="auto"/>
              </w:rPr>
            </w:pPr>
            <w:r>
              <w:rPr>
                <w:rFonts w:ascii="Arial" w:cs="Arial" w:eastAsia="Arial" w:hAnsi="Arial"/>
                <w:sz w:val="18"/>
                <w:szCs w:val="18"/>
                <w:color w:val="auto"/>
              </w:rPr>
              <w:t>Goodwill</w:t>
            </w:r>
            <w:r>
              <w:rPr>
                <w:rFonts w:ascii="Arial" w:cs="Arial" w:eastAsia="Arial" w:hAnsi="Arial"/>
                <w:sz w:val="24"/>
                <w:szCs w:val="24"/>
                <w:color w:val="auto"/>
                <w:vertAlign w:val="superscript"/>
              </w:rPr>
              <w:t>(1)</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1,628.1</w:t>
            </w:r>
          </w:p>
        </w:tc>
        <w:tc>
          <w:tcPr>
            <w:tcW w:w="4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1,628.1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1,722.2</w:t>
            </w:r>
          </w:p>
        </w:tc>
        <w:tc>
          <w:tcPr>
            <w:tcW w:w="4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9"/>
              </w:rPr>
              <w:t>1,722.2</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Finite-lived:</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30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818.9</w:t>
            </w:r>
          </w:p>
        </w:tc>
        <w:tc>
          <w:tcPr>
            <w:tcW w:w="4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448.1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370.8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823.4</w:t>
            </w:r>
          </w:p>
        </w:tc>
        <w:tc>
          <w:tcPr>
            <w:tcW w:w="4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421.6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42"/>
        </w:trPr>
        <w:tc>
          <w:tcPr>
            <w:tcW w:w="482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4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20.2</w:t>
            </w:r>
          </w:p>
        </w:tc>
        <w:tc>
          <w:tcPr>
            <w:tcW w:w="2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4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8"/>
                <w:szCs w:val="18"/>
                <w:color w:val="auto"/>
              </w:rPr>
              <w:t>19.7</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840.2</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468.3</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846.6</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441.3</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42"/>
        </w:trPr>
        <w:tc>
          <w:tcPr>
            <w:tcW w:w="4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Indefinite-lived:</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20" w:type="dxa"/>
            <w:vAlign w:val="bottom"/>
          </w:tcPr>
          <w:p>
            <w:pPr>
              <w:ind w:left="300"/>
              <w:spacing w:after="0" w:line="242" w:lineRule="exact"/>
              <w:rPr>
                <w:sz w:val="20"/>
                <w:szCs w:val="20"/>
                <w:color w:val="auto"/>
              </w:rPr>
            </w:pPr>
            <w:r>
              <w:rPr>
                <w:rFonts w:ascii="Arial" w:cs="Arial" w:eastAsia="Arial" w:hAnsi="Arial"/>
                <w:sz w:val="18"/>
                <w:szCs w:val="18"/>
                <w:color w:val="auto"/>
              </w:rPr>
              <w:t>Tradenames</w:t>
            </w:r>
            <w:r>
              <w:rPr>
                <w:rFonts w:ascii="Arial" w:cs="Arial" w:eastAsia="Arial" w:hAnsi="Arial"/>
                <w:sz w:val="24"/>
                <w:szCs w:val="24"/>
                <w:color w:val="auto"/>
                <w:vertAlign w:val="superscript"/>
              </w:rPr>
              <w:t>(2)</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w:t>
            </w:r>
          </w:p>
        </w:tc>
        <w:tc>
          <w:tcPr>
            <w:tcW w:w="48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52.0</w:t>
            </w:r>
          </w:p>
        </w:tc>
        <w:tc>
          <w:tcPr>
            <w:tcW w:w="400" w:type="dxa"/>
            <w:vAlign w:val="bottom"/>
          </w:tcPr>
          <w:p>
            <w:pPr>
              <w:spacing w:after="0"/>
              <w:rPr>
                <w:sz w:val="21"/>
                <w:szCs w:val="21"/>
                <w:color w:val="auto"/>
              </w:rPr>
            </w:pP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rPr>
              <w:t>Reacquired franchise rights</w:t>
            </w: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4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4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42"/>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intangible assets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1,017.8</w:t>
            </w:r>
          </w:p>
        </w:tc>
        <w:tc>
          <w:tcPr>
            <w:tcW w:w="48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468.3</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549.5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1,024.9</w:t>
            </w:r>
          </w:p>
        </w:tc>
        <w:tc>
          <w:tcPr>
            <w:tcW w:w="4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441.3</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-1579880</wp:posOffset>
            </wp:positionV>
            <wp:extent cx="5969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-956310</wp:posOffset>
            </wp:positionV>
            <wp:extent cx="59690" cy="1708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9690" cy="170815"/>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-323850</wp:posOffset>
            </wp:positionV>
            <wp:extent cx="59690" cy="1708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9690" cy="170815"/>
                    </a:xfrm>
                    <a:prstGeom prst="rect">
                      <a:avLst/>
                    </a:prstGeom>
                    <a:noFill/>
                  </pic:spPr>
                </pic:pic>
              </a:graphicData>
            </a:graphic>
          </wp:anchor>
        </w:drawing>
      </w:r>
    </w:p>
    <w:p>
      <w:pPr>
        <w:spacing w:after="0" w:line="152"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Balances were net of accumulated impairment loss of $694.2 and $644.2 as of December 31, 2022 and 2021, respectively.</w:t>
      </w:r>
    </w:p>
    <w:p>
      <w:pPr>
        <w:spacing w:after="0" w:line="50"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Balances were net of accumulated impairment loss of $139.5 as of both December 31, 2022 and 2021.</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consolidated amortization expense related to intangibles was $37.1, $24.2 and $27.2 in 2022, 2021 and 2020, respectively. Amortization expense expected in each of the next five years related to acquisitions completed as of December 31, 2022 is as follows: 2023 - $34.6, 2024 - $32.2, 2025 - $30.2, 2026 - $26.7 and 2027 - $26.1. The weighted-average useful lives of the customer relationships and other are approximately 14 and 4 years, respectively. The tradenames have been assigned an indefinite life based on our expectation of renewing the tradenames, as required, without material modifications and at a minimal cost, and our expectation of positive cash flows beyond the foreseeable future. Indefinite-lived reacquired franchise rights resulted from our franchise acquisitions in the United States, Switzerland and Canada. These rights entitled the franchisees with unilateral control to operate perpetually in particular territories and have therefore been assigned an indefinite life.</w:t>
      </w:r>
    </w:p>
    <w:p>
      <w:pPr>
        <w:spacing w:after="0" w:line="150"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In the event the fair value of a reporting unit is less than the carrying value, including goodwill, we would record an impairment charge based on the excess of a reporting units’ carrying amount over its fair value. We performed our annual impairment test of our goodwill and indefinite-lived intangible assets during the third quarter of 2022, 2021 and 2020, and determined that there was no impairment of our goodwill or indefinite-lived intangible assets as a result of our annual tests.</w:t>
      </w:r>
    </w:p>
    <w:p>
      <w:pPr>
        <w:spacing w:after="0" w:line="12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fair value of each reporting unit at the time of our annual impairment test was at least 20% in excess of the respective reporting unit’s carrying value with the exception of the Netherlands reporting unit, which is part of the Northern Europe segment. The Netherlands reporting unit had a fair value that approximated its carrying value. Key assumptions included in the Netherlands discounted cash flow valuation performed during the third quarter of 2022 included a discount rate of 12.5%, revenue growth for the next 10 years ranging from 3.0% to 8.4%, a terminal value revenue growth rate of 2.0%, and a terminal value OUP margin of 4.0%.</w:t>
      </w:r>
    </w:p>
    <w:p>
      <w:pPr>
        <w:spacing w:after="0" w:line="147"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We evaluate the recoverability of goodwill utilizing an income approach that estimates the fair value of the future discounted cash flows to which the goodwill relates. This approach reflects management’s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 The expected future revenue growth rates and operating unit profit margins are determined after taking into consideration our historical revenue growth rates and operating unit profit margins, our assessment of future market potential and our expectations of future business performance.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64" w:name="page65"/>
    <w:bookmarkEnd w:id="64"/>
    <w:p>
      <w:pPr>
        <w:jc w:val="both"/>
        <w:spacing w:after="0" w:line="262" w:lineRule="auto"/>
        <w:rPr>
          <w:sz w:val="20"/>
          <w:szCs w:val="20"/>
          <w:color w:val="auto"/>
        </w:rPr>
      </w:pPr>
      <w:r>
        <w:rPr>
          <w:rFonts w:ascii="Arial" w:cs="Arial" w:eastAsia="Arial" w:hAnsi="Arial"/>
          <w:sz w:val="18"/>
          <w:szCs w:val="18"/>
          <w:color w:val="auto"/>
        </w:rPr>
        <w:t>We believe that the future discounted cash flow valuation model provides the most reasonable and meaningful fair value estimate based on the reporting units’ projections of future operating results and cash flows and is consistent with our view of how market participants would value the company’s reporting units in an orderly transaction.</w:t>
      </w:r>
    </w:p>
    <w:p>
      <w:pPr>
        <w:spacing w:after="0" w:line="18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During the fourth quarter of 2022, in connection with the preparation of our annual financial statements, we assessed the changes in circumstances that occurred during the quarter to determine if it was more likely than not that the fair value of any reporting unit was below its carrying amount.</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Since the assessment conducted in the third quarter of 2022, we identified several factors related to our Netherlands reporting unit that led us to conclude that it was more likely than not that the fair value of the reporting unit was below its carrying amount which triggered us to perform an interim impairment assessment. These factors included further deterioration of the macroeconomic conditions, including downward revisions to projected Netherlands economic expansion in 2023, an increasing interest rate environment and financial performance that came in below management's planned revenue and OUP expectations for the fourth quarter of 2022.</w:t>
      </w:r>
    </w:p>
    <w:p>
      <w:pPr>
        <w:spacing w:after="0" w:line="14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During the fourth quarter of 2022, we wrote the carrying value of the Netherlands reporting unit down to its estimated fair value and recognized a non-cash impairment charge loss of $50.0.</w:t>
      </w:r>
    </w:p>
    <w:p>
      <w:pPr>
        <w:spacing w:after="0" w:line="144"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Key assumptions included in the Netherlands discounted cash flow valuation performed during the fourth quarter of 2022 included a discount rate of 13.5%, revenue growth for the next 10 years ranging from 0.0% to 3.0%, a terminal value revenue growth rate of 2.0% and a terminal value OUP margin of 4.0%.</w:t>
      </w:r>
    </w:p>
    <w:p>
      <w:pPr>
        <w:spacing w:after="0" w:line="84"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Management continues to closely monitor the results of the reporting unit and comparisons to the key assumptions used in our fair value estimate, in addition to operational initiatives and macroeconomic conditions, which may impact the results of the reporting unit. The performance of the Netherlands reporting unit and the potential for future developments in the global economic environment, including the prospect of higher interest rates, introduces a heightened risk for additional impairment in the Netherlands reporting unit. If the Netherlands reporting unit cannot improve from its current operating levels and meet its operating targets to achieve the growth and margin assumptions noted above, or if there is continued deterioration in the market due to macroeconomic conditions, some or all of the remaining recorded goodwill for the Netherlands reporting unit, which was $55.1 as of December 31, 2022, could be subject to further impairment.</w:t>
      </w:r>
    </w:p>
    <w:p>
      <w:pPr>
        <w:spacing w:after="0" w:line="136"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While our other reporting units' fair values exceeded 20% or more of their respective carrying values, there could be significant further decreases in the operating results of our reporting units for a sustained period, which may result in a recognition of goodwill impairment that could be material to the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for Internal Use</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capitalize purchased software as well as internally developed software. Internal software development costs are capitalized from the time when the internal-use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$47.7 and $38.2 as of December 31, 2022 and 2021, respectively, is included in other assets in the Consolidated Balance Sheets. The higher balance as of December 31, 2022 is primarily due to additional technology investments. Amortization expense related to the capitalized software costs was $9.8, $5.5 and $1.8 for 2022, 2021 and 2020,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utilize cloud computing arrangements such as hosting arrangements that are service contracts, whereby we gain remote access to use software hosted by the vendor or another third party on an as-needed basis for a period of time in exchange for a subscription fee. Subscription fees are usually prepaid and recorded in selling and administrative expenses over the related subscription period. Certain implementation costs for cloud computing arrangements are capitalized in prepaid expenses or other noncurrent assets if they consist of internal and external costs directly attributable to developing and configuring cloud computing software for its intended use. Amortization of capitalized implementation costs is recorded in selling and administrative expenses on a straight-line basis over the term of the cloud computing arrangement, which is the non-cancellable period of agreement, together with periods covered by renewal options that we are reasonably certain to exercise. The unamortized implementation costs related to our cloud computing arrangements were $19.9 and none as of December 31, 2022 and 2021,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Property and Equipment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as of December 31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23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386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0.5</w:t>
            </w:r>
          </w:p>
        </w:tc>
      </w:tr>
      <w:tr>
        <w:trPr>
          <w:trHeight w:val="236"/>
        </w:trPr>
        <w:tc>
          <w:tcPr>
            <w:tcW w:w="49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386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6.7</w:t>
            </w:r>
          </w:p>
        </w:tc>
      </w:tr>
      <w:tr>
        <w:trPr>
          <w:trHeight w:val="248"/>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autos</w:t>
            </w:r>
          </w:p>
        </w:tc>
        <w:tc>
          <w:tcPr>
            <w:tcW w:w="386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166.4</w:t>
            </w: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166.5</w:t>
            </w:r>
          </w:p>
        </w:tc>
      </w:tr>
      <w:tr>
        <w:trPr>
          <w:trHeight w:val="236"/>
        </w:trPr>
        <w:tc>
          <w:tcPr>
            <w:tcW w:w="490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86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130.1</w:t>
            </w:r>
          </w:p>
        </w:tc>
        <w:tc>
          <w:tcPr>
            <w:tcW w:w="50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132.7</w:t>
            </w:r>
          </w:p>
        </w:tc>
      </w:tr>
      <w:tr>
        <w:trPr>
          <w:trHeight w:val="242"/>
        </w:trPr>
        <w:tc>
          <w:tcPr>
            <w:tcW w:w="49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38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281.7</w:t>
            </w:r>
          </w:p>
        </w:tc>
        <w:tc>
          <w:tcPr>
            <w:tcW w:w="5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288.5</w:t>
            </w:r>
          </w:p>
        </w:tc>
      </w:tr>
      <w:tr>
        <w:trPr>
          <w:trHeight w:val="23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and equipment</w:t>
            </w:r>
          </w:p>
        </w:tc>
        <w:tc>
          <w:tcPr>
            <w:tcW w:w="38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584.9</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594.9</w:t>
            </w:r>
          </w:p>
        </w:tc>
      </w:tr>
    </w:tbl>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Property and equipment are stated at cost and are depreciated using primarily the straight-line method over the following estimated useful lives: buildings - up to 40 years; furniture, fixtures, autos and computer equipment - 3 to 16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recognize right-of-use assets (“ROU”) and lease liabilities on the balance sheet for leases with lease terms longer than 12 months and we classify the lease as a finance or operating lease which affects the recognition, measurement, and presentation of lease expenses and cash flows.</w:t>
      </w:r>
    </w:p>
    <w:p>
      <w:pPr>
        <w:spacing w:after="0" w:line="14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operating leases for real estate, vehicles, and equipment. Our leases have remaining lease terms of 1 month to 11 years. Our lease agreements may include renewal or termination options for varying periods that are generally at our discretion. In our lease term, we only include those periods related to renewal options we are reasonably certain to exercise. However, we generally do not include these renewal options as we are not reasonably certain to renew at the lease commencement date. This determination is based on our consideration of certain economic, strategic and other factors that we evaluate at lease commencement date and reevaluate throughout the lease term. Some leases also include options to terminate the leases, and we only include those periods beyond the termination date if we are reasonably certain not to exercise the termination option.</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Some leasing arrangements require variable payments that are dependent on usage or may vary for other reasons, such as payments for insurance and tax payments. The variable portion of lease payments is not included in our ROU assets or lease liabilities. Rather, variable payments, other than those dependent upon an index or rate, are expensed when the obligation for those payments is incurred and are included in lease expenses recorded in selling and administrative expenses on the Consolidated Statements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We have lease agreements with both lease and non-lease components that are treated as a single lease component for all underlying asset classes.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Accordingly, all expenses associated with a lease contract are accounted for as lease expenses.</w:t>
      </w:r>
    </w:p>
    <w:p>
      <w:pPr>
        <w:spacing w:after="0" w:line="20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Leases with a term of 12 months or less are not recognized on the balance sheet, but rather expensed on a straight-line basis over the lease term. We do not include significant restrictions or covenants in our lease agreements, and residual value guarantees are generally not included within our operating leases. As of December 31, 2022, we did not have any material additional operating leases that have not yet commenced.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loss and recognized in the Consolidated Statements of Operations when the hedged item affects earnings. The ineffective portions of the changes in the fair value of cash flow hedges are recognized in earnings.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Asset and liability accounts are translated at the current exchange rates and income statement items are translated at the average exchange rates each month.</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resulting translation adjustments are recorded as a component of accumulated other comprehensive loss, which is included in shareholders’ equity.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As of July 1, 2018, the Argentina economy was designated as highly-inflationary and was treated as such for accounting purposes.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portion of our Euro-denominated notes is accounted for as a hedge of our net investment in our subsidiaries with a Euro-functional currency. For this portion of the Euro-denominated notes, since our net investment in these subsidiaries exceeds the amount of the related borrowings, net of tax, the related translation gains or losses are included as a component of accumulated other comprehensive 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Equity</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Board of Directors authorized the repurchase of 4.0 million, 6.0 million and 6.0 million shares of our common stock in August 2021, August 2019 and August 2018. Share repurchases may be made from time to time through a variety of methods, including open market purchases, block transactions, privately negotiated transactions or similar facilities. In 2022, we repurchased a total of 3.2 million shares comprised of 1.2 million shares under the 2019 authorization and 2.0 million shares under the 2021 authorization, at a total cost of $270.0. In 2021, we repurchased 2.1 million shares under the 2019 authorization at a cost of $210.0. In 2020, we repurchased a total of 3.4 million shares comprised of 0.8 million shares under the 2018 authorization and 2.6 million shares under the 2019 authorization, at a total cost of $264.7. As of December 31, 2022, there were 2.0 million shares remaining authorized for repurchase under the 2021 authorization and no shares remaining authorized for repurchase under the 2019 or 2018 authorization.</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2022, 2021 and 2020, the Board of Directors declared total cash dividends of $2.72, $2.52 and $2.26 per share, respectively, resulting in total dividend payments of $139.9, $136.6 and $129.1, respectively.</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Noncontrolling interests, included in total shareholders' equity in our Consolidated Balance Sheets, represent amounts related to majority-owned subsidiaries in which we have a controlling financial interest. Net earnings attributable to these noncontrolling interests are recorded in interest and other expenses in our Consolidated Statements of Operations. We recorded income of $0.8, $0.7 and $4.7 for 2022. 2021, and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and cash equivalents comprise cash on hand, term deposits with banks and short-term highly-liquid financial investments that are readily convertible to known amounts of cash which are subject to insignificant risk of changes in value; and have a maturity of three months or less from the date of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Effective as of January 1, 2022</w:t>
      </w:r>
    </w:p>
    <w:p>
      <w:pPr>
        <w:spacing w:after="0" w:line="21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November 2021, the FASB issued new guidance on disclosures by business entities about government assistance. The guidance requires business entities to disclose, in notes to their financial statements, information about certain types of government assistance they receive. The new guidance was effective for us as of January 1, 2022. The adoption of this guidance had no impact on our Consolidated Financial Statements.</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March 2020, the FASB issued new guidance on accounting for contract modifications, including hedging relationships, due to the transition from LIBOR and other interbank offerings related to alternative reference interest rates. The guidance was effective upon issuance and could be applied to applicable contract modifications through December 31, 2024. The adoption of this guidance has not had any impact on our Consolidated Financial Statements, and we do not expect it to have a material impact going forward.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November 2021, the FASB issued new guidance on business combinations. The guidance added the contract assets and contract liabilities to the list of exceptions to the recognition and measurement principles that apply to business combinations and requires that an acquirer recognize and measure contract assets and contract liabilities acquired in a business combination in accordance with the revenue recognition standard. The new guidance is effective for us as of January 1, 2023. We do not expect the adoption of this guidance to have a material impact on our Consolidated Financial Statements.</w:t>
      </w:r>
    </w:p>
    <w:p>
      <w:pPr>
        <w:spacing w:after="0" w:line="372"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Service Types</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is a description of our revenue service types, including Staffing and Interim, Outcome-Based Solutions and Consulting, Permanent Recruitment and Other services.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Staffing and Interim</w:t>
      </w:r>
    </w:p>
    <w:p>
      <w:pPr>
        <w:spacing w:after="0" w:line="183" w:lineRule="exact"/>
        <w:rPr>
          <w:sz w:val="20"/>
          <w:szCs w:val="20"/>
          <w:color w:val="auto"/>
        </w:rPr>
      </w:pPr>
    </w:p>
    <w:p>
      <w:pPr>
        <w:jc w:val="both"/>
        <w:ind w:left="520"/>
        <w:spacing w:after="0" w:line="278" w:lineRule="auto"/>
        <w:rPr>
          <w:sz w:val="20"/>
          <w:szCs w:val="20"/>
          <w:color w:val="auto"/>
        </w:rPr>
      </w:pPr>
      <w:r>
        <w:rPr>
          <w:rFonts w:ascii="Arial" w:cs="Arial" w:eastAsia="Arial" w:hAnsi="Arial"/>
          <w:sz w:val="17"/>
          <w:szCs w:val="17"/>
          <w:color w:val="auto"/>
        </w:rPr>
        <w:t>Staffing and Interim services include the augmentation of clients’ workforce with our contingent employees performing services under the client’s supervision, which provides our clients with a source of flexible labor. Staffing and Interim client contracts are generally short-term in nature, and we generally enter into contracts that include only a single performance obligation. We recognize revenues over time based on a fixed amount for each hour of Staffing and Interim service provided as our clients benefit from our services as we provide them.</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Outcome-Based Solutions and Consulting</w:t>
      </w:r>
    </w:p>
    <w:p>
      <w:pPr>
        <w:spacing w:after="0" w:line="183" w:lineRule="exact"/>
        <w:rPr>
          <w:sz w:val="20"/>
          <w:szCs w:val="20"/>
          <w:color w:val="auto"/>
        </w:rPr>
      </w:pPr>
    </w:p>
    <w:p>
      <w:pPr>
        <w:jc w:val="both"/>
        <w:ind w:left="520"/>
        <w:spacing w:after="0" w:line="270" w:lineRule="auto"/>
        <w:rPr>
          <w:sz w:val="20"/>
          <w:szCs w:val="20"/>
          <w:color w:val="auto"/>
        </w:rPr>
      </w:pPr>
      <w:r>
        <w:rPr>
          <w:rFonts w:ascii="Arial" w:cs="Arial" w:eastAsia="Arial" w:hAnsi="Arial"/>
          <w:sz w:val="17"/>
          <w:szCs w:val="17"/>
          <w:color w:val="auto"/>
        </w:rPr>
        <w:t>Our Outcome-Based Solutions and Consulting services include utilizing consultants and contingent employees who are generally experts in a specific field advising the client to help find strategic solutions to specific matters or achieve a particular outcome. Our services may also include managing certain processes and functions within the client’s organization. We recognize revenues over time based on (i) our clients benefiting from our services as we are providing them, (ii) our clients controlling an asset as it is created or enhanced, or (iii) our performance not creating an asset with an alternative use and having an enforceable right to payment for the services we have provided to date. We generally utilize an input measure of time for the service provided, which most accurately depicts the progress toward completion of these performance obligations. The price as specified in our client contracts is generally considered the standalone selling price as it is an observable input that depicts the price as if sold to a similar client in similar circumstances.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Permanent Recruitment</w:t>
      </w:r>
    </w:p>
    <w:p>
      <w:pPr>
        <w:spacing w:after="0" w:line="197" w:lineRule="exact"/>
        <w:rPr>
          <w:sz w:val="20"/>
          <w:szCs w:val="20"/>
          <w:color w:val="auto"/>
        </w:rPr>
      </w:pPr>
    </w:p>
    <w:p>
      <w:pPr>
        <w:jc w:val="both"/>
        <w:ind w:left="520"/>
        <w:spacing w:after="0" w:line="274" w:lineRule="auto"/>
        <w:rPr>
          <w:sz w:val="20"/>
          <w:szCs w:val="20"/>
          <w:color w:val="auto"/>
        </w:rPr>
      </w:pPr>
      <w:r>
        <w:rPr>
          <w:rFonts w:ascii="Arial" w:cs="Arial" w:eastAsia="Arial" w:hAnsi="Arial"/>
          <w:sz w:val="17"/>
          <w:szCs w:val="17"/>
          <w:color w:val="auto"/>
        </w:rPr>
        <w:t>Permanent Recruitment services include providing qualified candidates to our clients to hire on a permanent basis. We recognize revenues for our Permanent Recruitment services at a point in time when we place the qualified candidate, because we have determined that control of the performance obligation has transferred to the client (i.e., service performed) as we have the right to payment for our service and the client has accepted our service of providing a qualified candidate to fill a permanent position. Revenues recognized from our Permanent Recruitment services are based upon either a fixed fee per placement or as a percentage of the candidate’s salary.</w:t>
      </w:r>
    </w:p>
    <w:p>
      <w:pPr>
        <w:spacing w:after="0" w:line="135" w:lineRule="exact"/>
        <w:rPr>
          <w:sz w:val="20"/>
          <w:szCs w:val="20"/>
          <w:color w:val="auto"/>
        </w:rPr>
      </w:pPr>
    </w:p>
    <w:p>
      <w:pPr>
        <w:jc w:val="both"/>
        <w:ind w:left="520"/>
        <w:spacing w:after="0" w:line="288" w:lineRule="auto"/>
        <w:rPr>
          <w:sz w:val="20"/>
          <w:szCs w:val="20"/>
          <w:color w:val="auto"/>
        </w:rPr>
      </w:pPr>
      <w:r>
        <w:rPr>
          <w:rFonts w:ascii="Arial" w:cs="Arial" w:eastAsia="Arial" w:hAnsi="Arial"/>
          <w:sz w:val="16"/>
          <w:szCs w:val="16"/>
          <w:color w:val="auto"/>
        </w:rPr>
        <w:t>Our RPO services are also included in our Permanent Recruitment revenues. RPO services include the various activities of managing a client's permanent workforce, which can include candidate assessments, screening, conducting candidate interviews, providing sourcing technology, and providing our marketing and recruiting expertise. We perform these activities to fulfill the overall obligation to provide permanent workforce management services, so they are not individually distinct, and therefore, we account for them as a single performance obligation. We generally utilize an input measure of time in months, but we do have a few contracts for which we use labor hours of management services provided as this more accurately depicts the progress toward completion of the performance obligation. We recognize revenues over time for each month of management services provided, as each month of management services is distinct, and the client benefits from each month of management services as we provide them. For those contracts for which we use labor hours as the input measure, we recognize revenues over time based on a fixed amount for each labor hour of management services provided as our clients benefit from our services as we provide them.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8" w:name="page69"/>
    <w:bookmarkEnd w:id="68"/>
    <w:p>
      <w:pPr>
        <w:jc w:val="both"/>
        <w:spacing w:after="0" w:line="295" w:lineRule="auto"/>
        <w:rPr>
          <w:sz w:val="20"/>
          <w:szCs w:val="20"/>
          <w:color w:val="auto"/>
        </w:rPr>
      </w:pPr>
      <w:r>
        <w:rPr>
          <w:rFonts w:ascii="Arial" w:cs="Arial" w:eastAsia="Arial" w:hAnsi="Arial"/>
          <w:sz w:val="16"/>
          <w:szCs w:val="16"/>
          <w:color w:val="auto"/>
        </w:rPr>
        <w:t>We consider the RPO management services and placement services to be distinct, and therefore separate performance obligations within our RPO contracts as (i) our clients can benefit from each service on its own, and (ii) each service is separately identifiable within the client contract. The prices as specified in our contracts will generally be broken out between management fees and placement fees, which we consider the standalone selling price of each service as they are the observable inputs which depict the prices as if they were sold to a similar client in similar circumstances. The consideration from our client contracts is allocated to each performance obligation based on the relative standalone selling price.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Other services include revenues from outplacement services, MSP services, training services and franchise fees.</w:t>
      </w:r>
    </w:p>
    <w:p>
      <w:pPr>
        <w:spacing w:after="0" w:line="183" w:lineRule="exact"/>
        <w:rPr>
          <w:sz w:val="20"/>
          <w:szCs w:val="20"/>
          <w:color w:val="auto"/>
        </w:rPr>
      </w:pPr>
    </w:p>
    <w:p>
      <w:pPr>
        <w:jc w:val="both"/>
        <w:ind w:left="420" w:hanging="184"/>
        <w:spacing w:after="0" w:line="287" w:lineRule="auto"/>
        <w:tabs>
          <w:tab w:leader="none" w:pos="4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Outplacement services include assisting our clients in managing their workforce transitions and their employees in managing career changes by developing additional skills and finding new employment. We recognize revenues over time as we provide the service (i.e., transfer control of the performance obligation) using the input measure of hours of service to measure progress toward completion of the performance obligation.</w:t>
      </w:r>
    </w:p>
    <w:p>
      <w:pPr>
        <w:jc w:val="both"/>
        <w:ind w:left="420" w:hanging="215"/>
        <w:spacing w:after="0" w:line="264"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MSP services include overall program management of our clients’ contingent workforce and generally include various activities such as reporting and tracking, supplier selection and management and order distribution, depending on each client contract. We provide these services to fulfill the overall obligation of contingent workforce management services so the individual activities are not distinct and therefore we account for them as a single performance obligation. We recognize revenues over time for each month of MSP services provided as each month of MSP services is distinct, and the client benefits from each month of MSP services as we provide them.</w:t>
      </w:r>
    </w:p>
    <w:p>
      <w:pPr>
        <w:spacing w:after="0" w:line="1" w:lineRule="exact"/>
        <w:rPr>
          <w:rFonts w:ascii="Arial" w:cs="Arial" w:eastAsia="Arial" w:hAnsi="Arial"/>
          <w:sz w:val="17"/>
          <w:szCs w:val="17"/>
          <w:color w:val="auto"/>
        </w:rPr>
      </w:pPr>
    </w:p>
    <w:p>
      <w:pPr>
        <w:jc w:val="both"/>
        <w:ind w:left="420" w:hanging="215"/>
        <w:spacing w:after="0" w:line="249"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Training services include teaching skills that relate to specific competencies in order for our client’s workforce to acquire knowledge and develop skills proficiencies. We recognize revenues over time for each hour of training service provided as our clients benefit from our services as we provide them.</w:t>
      </w:r>
    </w:p>
    <w:p>
      <w:pPr>
        <w:spacing w:after="0" w:line="1" w:lineRule="exact"/>
        <w:rPr>
          <w:rFonts w:ascii="Arial" w:cs="Arial" w:eastAsia="Arial" w:hAnsi="Arial"/>
          <w:sz w:val="18"/>
          <w:szCs w:val="18"/>
          <w:color w:val="auto"/>
        </w:rPr>
      </w:pPr>
    </w:p>
    <w:p>
      <w:pPr>
        <w:jc w:val="both"/>
        <w:ind w:left="420" w:hanging="215"/>
        <w:spacing w:after="0" w:line="270"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franchise fees include the performance obligation of providing the right to use our intellectual property in a specifically defined exclusive territory as defined in a franchise agreement. Our franchise agreements generally state that franchise fees are calculated based on a percentage of revenues earned by the franchise operations and are payable on a monthly basis. As such, we record franchise fee revenues monthly over time calculated based on the specific fee percentage and the monthly revenues of the franchise operations. Franchise fees were $15.7, $15.3 and $14.1 for the years ended December 31, 2022, 2021 and 2020, respectively.</w:t>
      </w:r>
    </w:p>
    <w:p>
      <w:pPr>
        <w:spacing w:after="0" w:line="39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61595</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0"/>
          </w:cols>
          <w:pgMar w:left="840" w:top="51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Disaggregation of Revenues</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the following table, revenue is disaggregated by service types and timing of revenue recognition and includes a reconciliation of the disaggregated revenues by reportable segment.</w:t>
      </w:r>
    </w:p>
    <w:p>
      <w:pPr>
        <w:spacing w:after="0" w:line="15" w:lineRule="exact"/>
        <w:rPr>
          <w:sz w:val="20"/>
          <w:szCs w:val="20"/>
          <w:color w:val="auto"/>
        </w:rPr>
      </w:pPr>
    </w:p>
    <w:p>
      <w:pPr>
        <w:jc w:val="center"/>
        <w:ind w:left="16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14605</wp:posOffset>
            </wp:positionV>
            <wp:extent cx="60051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005195" cy="8255"/>
                    </a:xfrm>
                    <a:prstGeom prst="rect">
                      <a:avLst/>
                    </a:prstGeom>
                    <a:noFill/>
                  </pic:spPr>
                </pic:pic>
              </a:graphicData>
            </a:graphic>
          </wp:anchor>
        </w:drawing>
      </w:r>
    </w:p>
    <w:p>
      <w:pPr>
        <w:spacing w:after="0" w:line="61" w:lineRule="exact"/>
        <w:rPr>
          <w:sz w:val="20"/>
          <w:szCs w:val="20"/>
          <w:color w:val="auto"/>
        </w:rPr>
      </w:pPr>
    </w:p>
    <w:p>
      <w:pPr>
        <w:ind w:left="3960"/>
        <w:spacing w:after="0"/>
        <w:tabs>
          <w:tab w:leader="none" w:pos="87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ectPr>
          <w:pgSz w:w="11900" w:h="16838" w:orient="portrait"/>
          <w:cols w:equalWidth="0" w:num="1">
            <w:col w:w="11240"/>
          </w:cols>
          <w:pgMar w:left="320" w:top="515" w:right="339" w:bottom="1440" w:gutter="0" w:footer="0" w:header="0"/>
        </w:sectPr>
      </w:pPr>
    </w:p>
    <w:p>
      <w:pPr>
        <w:spacing w:after="0" w:line="23" w:lineRule="exact"/>
        <w:rPr>
          <w:sz w:val="20"/>
          <w:szCs w:val="20"/>
          <w:color w:val="auto"/>
        </w:rPr>
      </w:pPr>
    </w:p>
    <w:tbl>
      <w:tblPr>
        <w:tblLayout w:type="fixed"/>
        <w:tblInd w:w="1780" w:type="dxa"/>
        <w:tblCellMar>
          <w:top w:w="0" w:type="dxa"/>
          <w:left w:w="0" w:type="dxa"/>
          <w:bottom w:w="0" w:type="dxa"/>
          <w:right w:w="0" w:type="dxa"/>
        </w:tblCellMar>
      </w:tblPr>
      <w:tr>
        <w:trPr>
          <w:trHeight w:val="136"/>
        </w:trPr>
        <w:tc>
          <w:tcPr>
            <w:tcW w:w="8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1"/>
              </w:rPr>
              <w:t>Outcome-</w:t>
            </w:r>
          </w:p>
        </w:tc>
        <w:tc>
          <w:tcPr>
            <w:tcW w:w="1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r>
      <w:tr>
        <w:trPr>
          <w:trHeight w:val="148"/>
        </w:trPr>
        <w:tc>
          <w:tcPr>
            <w:tcW w:w="800" w:type="dxa"/>
            <w:vAlign w:val="bottom"/>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color w:val="auto"/>
                <w:w w:val="90"/>
              </w:rPr>
              <w:t>Based</w:t>
            </w: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800" w:type="dxa"/>
            <w:vAlign w:val="bottom"/>
          </w:tcPr>
          <w:p>
            <w:pPr>
              <w:jc w:val="center"/>
              <w:ind w:right="8"/>
              <w:spacing w:after="0" w:line="148" w:lineRule="exact"/>
              <w:rPr>
                <w:sz w:val="20"/>
                <w:szCs w:val="20"/>
                <w:color w:val="auto"/>
              </w:rPr>
            </w:pPr>
            <w:r>
              <w:rPr>
                <w:rFonts w:ascii="Arial" w:cs="Arial" w:eastAsia="Arial" w:hAnsi="Arial"/>
                <w:sz w:val="14"/>
                <w:szCs w:val="14"/>
                <w:color w:val="auto"/>
                <w:w w:val="92"/>
              </w:rPr>
              <w:t>Staffing</w:t>
            </w:r>
          </w:p>
        </w:tc>
        <w:tc>
          <w:tcPr>
            <w:tcW w:w="1000" w:type="dxa"/>
            <w:vAlign w:val="bottom"/>
          </w:tcPr>
          <w:p>
            <w:pPr>
              <w:jc w:val="center"/>
              <w:spacing w:after="0" w:line="148" w:lineRule="exact"/>
              <w:rPr>
                <w:sz w:val="20"/>
                <w:szCs w:val="20"/>
                <w:color w:val="auto"/>
              </w:rPr>
            </w:pPr>
            <w:r>
              <w:rPr>
                <w:rFonts w:ascii="Arial" w:cs="Arial" w:eastAsia="Arial" w:hAnsi="Arial"/>
                <w:sz w:val="14"/>
                <w:szCs w:val="14"/>
                <w:color w:val="auto"/>
                <w:w w:val="93"/>
              </w:rPr>
              <w:t>Solutions</w:t>
            </w: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800" w:type="dxa"/>
            <w:vAlign w:val="bottom"/>
          </w:tcPr>
          <w:p>
            <w:pPr>
              <w:jc w:val="center"/>
              <w:ind w:right="8"/>
              <w:spacing w:after="0" w:line="148" w:lineRule="exact"/>
              <w:rPr>
                <w:sz w:val="20"/>
                <w:szCs w:val="20"/>
                <w:color w:val="auto"/>
              </w:rPr>
            </w:pPr>
            <w:r>
              <w:rPr>
                <w:rFonts w:ascii="Arial" w:cs="Arial" w:eastAsia="Arial" w:hAnsi="Arial"/>
                <w:sz w:val="14"/>
                <w:szCs w:val="14"/>
                <w:color w:val="auto"/>
                <w:w w:val="85"/>
              </w:rPr>
              <w:t>and</w:t>
            </w:r>
          </w:p>
        </w:tc>
        <w:tc>
          <w:tcPr>
            <w:tcW w:w="1000" w:type="dxa"/>
            <w:vAlign w:val="bottom"/>
          </w:tcPr>
          <w:p>
            <w:pPr>
              <w:jc w:val="center"/>
              <w:spacing w:after="0" w:line="148" w:lineRule="exact"/>
              <w:rPr>
                <w:sz w:val="20"/>
                <w:szCs w:val="20"/>
                <w:color w:val="auto"/>
              </w:rPr>
            </w:pPr>
            <w:r>
              <w:rPr>
                <w:rFonts w:ascii="Arial" w:cs="Arial" w:eastAsia="Arial" w:hAnsi="Arial"/>
                <w:sz w:val="14"/>
                <w:szCs w:val="14"/>
                <w:color w:val="auto"/>
                <w:w w:val="85"/>
              </w:rPr>
              <w:t>and</w:t>
            </w:r>
          </w:p>
        </w:tc>
        <w:tc>
          <w:tcPr>
            <w:tcW w:w="1140" w:type="dxa"/>
            <w:vAlign w:val="bottom"/>
          </w:tcPr>
          <w:p>
            <w:pPr>
              <w:jc w:val="center"/>
              <w:ind w:right="8"/>
              <w:spacing w:after="0" w:line="148" w:lineRule="exact"/>
              <w:rPr>
                <w:sz w:val="20"/>
                <w:szCs w:val="20"/>
                <w:color w:val="auto"/>
              </w:rPr>
            </w:pPr>
            <w:r>
              <w:rPr>
                <w:rFonts w:ascii="Arial" w:cs="Arial" w:eastAsia="Arial" w:hAnsi="Arial"/>
                <w:sz w:val="14"/>
                <w:szCs w:val="14"/>
                <w:color w:val="auto"/>
                <w:w w:val="90"/>
              </w:rPr>
              <w:t>Permanent</w:t>
            </w: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0"/>
        </w:trPr>
        <w:tc>
          <w:tcPr>
            <w:tcW w:w="800" w:type="dxa"/>
            <w:vAlign w:val="bottom"/>
          </w:tcPr>
          <w:p>
            <w:pPr>
              <w:jc w:val="center"/>
              <w:ind w:right="8"/>
              <w:spacing w:after="0"/>
              <w:rPr>
                <w:sz w:val="20"/>
                <w:szCs w:val="20"/>
                <w:color w:val="auto"/>
              </w:rPr>
            </w:pPr>
            <w:r>
              <w:rPr>
                <w:rFonts w:ascii="Arial" w:cs="Arial" w:eastAsia="Arial" w:hAnsi="Arial"/>
                <w:sz w:val="14"/>
                <w:szCs w:val="14"/>
                <w:color w:val="auto"/>
              </w:rPr>
              <w:t>Interim</w:t>
            </w: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Consulting</w:t>
            </w:r>
          </w:p>
        </w:tc>
        <w:tc>
          <w:tcPr>
            <w:tcW w:w="1140" w:type="dxa"/>
            <w:vAlign w:val="bottom"/>
          </w:tcPr>
          <w:p>
            <w:pPr>
              <w:jc w:val="center"/>
              <w:ind w:right="8"/>
              <w:spacing w:after="0"/>
              <w:rPr>
                <w:sz w:val="20"/>
                <w:szCs w:val="20"/>
                <w:color w:val="auto"/>
              </w:rPr>
            </w:pPr>
            <w:r>
              <w:rPr>
                <w:rFonts w:ascii="Arial" w:cs="Arial" w:eastAsia="Arial" w:hAnsi="Arial"/>
                <w:sz w:val="14"/>
                <w:szCs w:val="14"/>
                <w:color w:val="auto"/>
                <w:w w:val="92"/>
              </w:rPr>
              <w:t>Recruitment</w:t>
            </w:r>
          </w:p>
        </w:tc>
        <w:tc>
          <w:tcPr>
            <w:tcW w:w="880" w:type="dxa"/>
            <w:vAlign w:val="bottom"/>
          </w:tcPr>
          <w:p>
            <w:pPr>
              <w:ind w:left="240"/>
              <w:spacing w:after="0"/>
              <w:rPr>
                <w:sz w:val="20"/>
                <w:szCs w:val="20"/>
                <w:color w:val="auto"/>
              </w:rPr>
            </w:pPr>
            <w:r>
              <w:rPr>
                <w:rFonts w:ascii="Arial" w:cs="Arial" w:eastAsia="Arial" w:hAnsi="Arial"/>
                <w:sz w:val="14"/>
                <w:szCs w:val="14"/>
                <w:color w:val="auto"/>
              </w:rPr>
              <w:t>Other</w:t>
            </w:r>
          </w:p>
        </w:tc>
        <w:tc>
          <w:tcPr>
            <w:tcW w:w="940" w:type="dxa"/>
            <w:vAlign w:val="bottom"/>
          </w:tcPr>
          <w:p>
            <w:pPr>
              <w:ind w:left="320"/>
              <w:spacing w:after="0"/>
              <w:rPr>
                <w:sz w:val="20"/>
                <w:szCs w:val="20"/>
                <w:color w:val="auto"/>
              </w:rPr>
            </w:pPr>
            <w:r>
              <w:rPr>
                <w:rFonts w:ascii="Arial" w:cs="Arial" w:eastAsia="Arial" w:hAnsi="Arial"/>
                <w:sz w:val="14"/>
                <w:szCs w:val="14"/>
                <w:color w:val="auto"/>
              </w:rPr>
              <w:t>Total</w:t>
            </w: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7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Outcome-</w:t>
            </w:r>
          </w:p>
        </w:tc>
        <w:tc>
          <w:tcPr>
            <w:tcW w:w="10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r>
      <w:tr>
        <w:trPr>
          <w:trHeight w:val="148"/>
        </w:trPr>
        <w:tc>
          <w:tcPr>
            <w:tcW w:w="7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color w:val="auto"/>
                <w:w w:val="90"/>
              </w:rPr>
              <w:t>Based</w:t>
            </w: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760" w:type="dxa"/>
            <w:vAlign w:val="bottom"/>
          </w:tcPr>
          <w:p>
            <w:pPr>
              <w:jc w:val="center"/>
              <w:spacing w:after="0" w:line="148" w:lineRule="exact"/>
              <w:rPr>
                <w:sz w:val="20"/>
                <w:szCs w:val="20"/>
                <w:color w:val="auto"/>
              </w:rPr>
            </w:pPr>
            <w:r>
              <w:rPr>
                <w:rFonts w:ascii="Arial" w:cs="Arial" w:eastAsia="Arial" w:hAnsi="Arial"/>
                <w:sz w:val="14"/>
                <w:szCs w:val="14"/>
                <w:color w:val="auto"/>
                <w:w w:val="96"/>
              </w:rPr>
              <w:t>Staffing</w:t>
            </w:r>
          </w:p>
        </w:tc>
        <w:tc>
          <w:tcPr>
            <w:tcW w:w="960" w:type="dxa"/>
            <w:vAlign w:val="bottom"/>
          </w:tcPr>
          <w:p>
            <w:pPr>
              <w:jc w:val="center"/>
              <w:spacing w:after="0" w:line="148" w:lineRule="exact"/>
              <w:rPr>
                <w:sz w:val="20"/>
                <w:szCs w:val="20"/>
                <w:color w:val="auto"/>
              </w:rPr>
            </w:pPr>
            <w:r>
              <w:rPr>
                <w:rFonts w:ascii="Arial" w:cs="Arial" w:eastAsia="Arial" w:hAnsi="Arial"/>
                <w:sz w:val="14"/>
                <w:szCs w:val="14"/>
                <w:color w:val="auto"/>
                <w:w w:val="93"/>
              </w:rPr>
              <w:t>Solutions</w:t>
            </w: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760" w:type="dxa"/>
            <w:vAlign w:val="bottom"/>
          </w:tcPr>
          <w:p>
            <w:pPr>
              <w:jc w:val="center"/>
              <w:spacing w:after="0" w:line="148" w:lineRule="exact"/>
              <w:rPr>
                <w:sz w:val="20"/>
                <w:szCs w:val="20"/>
                <w:color w:val="auto"/>
              </w:rPr>
            </w:pPr>
            <w:r>
              <w:rPr>
                <w:rFonts w:ascii="Arial" w:cs="Arial" w:eastAsia="Arial" w:hAnsi="Arial"/>
                <w:sz w:val="14"/>
                <w:szCs w:val="14"/>
                <w:color w:val="auto"/>
                <w:w w:val="94"/>
              </w:rPr>
              <w:t>and</w:t>
            </w:r>
          </w:p>
        </w:tc>
        <w:tc>
          <w:tcPr>
            <w:tcW w:w="960" w:type="dxa"/>
            <w:vAlign w:val="bottom"/>
          </w:tcPr>
          <w:p>
            <w:pPr>
              <w:jc w:val="center"/>
              <w:spacing w:after="0" w:line="148" w:lineRule="exact"/>
              <w:rPr>
                <w:sz w:val="20"/>
                <w:szCs w:val="20"/>
                <w:color w:val="auto"/>
              </w:rPr>
            </w:pPr>
            <w:r>
              <w:rPr>
                <w:rFonts w:ascii="Arial" w:cs="Arial" w:eastAsia="Arial" w:hAnsi="Arial"/>
                <w:sz w:val="14"/>
                <w:szCs w:val="14"/>
                <w:color w:val="auto"/>
                <w:w w:val="85"/>
              </w:rPr>
              <w:t>and</w:t>
            </w:r>
          </w:p>
        </w:tc>
        <w:tc>
          <w:tcPr>
            <w:tcW w:w="1060" w:type="dxa"/>
            <w:vAlign w:val="bottom"/>
          </w:tcPr>
          <w:p>
            <w:pPr>
              <w:jc w:val="center"/>
              <w:spacing w:after="0" w:line="148" w:lineRule="exact"/>
              <w:rPr>
                <w:sz w:val="20"/>
                <w:szCs w:val="20"/>
                <w:color w:val="auto"/>
              </w:rPr>
            </w:pPr>
            <w:r>
              <w:rPr>
                <w:rFonts w:ascii="Arial" w:cs="Arial" w:eastAsia="Arial" w:hAnsi="Arial"/>
                <w:sz w:val="14"/>
                <w:szCs w:val="14"/>
                <w:color w:val="auto"/>
                <w:w w:val="87"/>
              </w:rPr>
              <w:t>Permanent</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0"/>
        </w:trPr>
        <w:tc>
          <w:tcPr>
            <w:tcW w:w="760" w:type="dxa"/>
            <w:vAlign w:val="bottom"/>
          </w:tcPr>
          <w:p>
            <w:pPr>
              <w:jc w:val="center"/>
              <w:spacing w:after="0"/>
              <w:rPr>
                <w:sz w:val="20"/>
                <w:szCs w:val="20"/>
                <w:color w:val="auto"/>
              </w:rPr>
            </w:pPr>
            <w:r>
              <w:rPr>
                <w:rFonts w:ascii="Arial" w:cs="Arial" w:eastAsia="Arial" w:hAnsi="Arial"/>
                <w:sz w:val="14"/>
                <w:szCs w:val="14"/>
                <w:color w:val="auto"/>
                <w:w w:val="98"/>
              </w:rPr>
              <w:t>Interim</w:t>
            </w:r>
          </w:p>
        </w:tc>
        <w:tc>
          <w:tcPr>
            <w:tcW w:w="960" w:type="dxa"/>
            <w:vAlign w:val="bottom"/>
          </w:tcPr>
          <w:p>
            <w:pPr>
              <w:jc w:val="center"/>
              <w:spacing w:after="0"/>
              <w:rPr>
                <w:sz w:val="20"/>
                <w:szCs w:val="20"/>
                <w:color w:val="auto"/>
              </w:rPr>
            </w:pPr>
            <w:r>
              <w:rPr>
                <w:rFonts w:ascii="Arial" w:cs="Arial" w:eastAsia="Arial" w:hAnsi="Arial"/>
                <w:sz w:val="14"/>
                <w:szCs w:val="14"/>
                <w:color w:val="auto"/>
                <w:w w:val="96"/>
              </w:rPr>
              <w:t>Consulting</w:t>
            </w: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Recruitment</w:t>
            </w:r>
          </w:p>
        </w:tc>
        <w:tc>
          <w:tcPr>
            <w:tcW w:w="840" w:type="dxa"/>
            <w:vAlign w:val="bottom"/>
          </w:tcPr>
          <w:p>
            <w:pPr>
              <w:ind w:left="200"/>
              <w:spacing w:after="0"/>
              <w:rPr>
                <w:sz w:val="20"/>
                <w:szCs w:val="20"/>
                <w:color w:val="auto"/>
              </w:rPr>
            </w:pPr>
            <w:r>
              <w:rPr>
                <w:rFonts w:ascii="Arial" w:cs="Arial" w:eastAsia="Arial" w:hAnsi="Arial"/>
                <w:sz w:val="14"/>
                <w:szCs w:val="14"/>
                <w:color w:val="auto"/>
              </w:rPr>
              <w:t>Other</w:t>
            </w:r>
          </w:p>
        </w:tc>
        <w:tc>
          <w:tcPr>
            <w:tcW w:w="980" w:type="dxa"/>
            <w:vAlign w:val="bottom"/>
          </w:tcPr>
          <w:p>
            <w:pPr>
              <w:ind w:left="300"/>
              <w:spacing w:after="0"/>
              <w:rPr>
                <w:sz w:val="20"/>
                <w:szCs w:val="20"/>
                <w:color w:val="auto"/>
              </w:rPr>
            </w:pPr>
            <w:r>
              <w:rPr>
                <w:rFonts w:ascii="Arial" w:cs="Arial" w:eastAsia="Arial" w:hAnsi="Arial"/>
                <w:sz w:val="14"/>
                <w:szCs w:val="14"/>
                <w:color w:val="auto"/>
              </w:rPr>
              <w:t>Total</w:t>
            </w:r>
          </w:p>
        </w:tc>
      </w:tr>
    </w:tbl>
    <w:p>
      <w:pPr>
        <w:spacing w:after="0" w:line="1" w:lineRule="exact"/>
        <w:rPr>
          <w:sz w:val="20"/>
          <w:szCs w:val="20"/>
          <w:color w:val="auto"/>
        </w:rPr>
      </w:pPr>
    </w:p>
    <w:p>
      <w:pPr>
        <w:sectPr>
          <w:pgSz w:w="11900" w:h="16838" w:orient="portrait"/>
          <w:cols w:equalWidth="0" w:num="2">
            <w:col w:w="6540" w:space="100"/>
            <w:col w:w="4600"/>
          </w:cols>
          <w:pgMar w:left="320" w:top="515" w:right="3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17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8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r>
      <w:tr>
        <w:trPr>
          <w:trHeight w:val="175"/>
        </w:trPr>
        <w:tc>
          <w:tcPr>
            <w:tcW w:w="178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   2,862.5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274.3</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209.0</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153.5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3,499.3</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2,292.1</w:t>
            </w: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154.9</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147.8</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148.5</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2,743.3</w:t>
            </w:r>
          </w:p>
        </w:tc>
      </w:tr>
      <w:tr>
        <w:trPr>
          <w:trHeight w:val="175"/>
        </w:trPr>
        <w:tc>
          <w:tcPr>
            <w:tcW w:w="1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8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1,329.3</w:t>
            </w: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51.9</w:t>
            </w:r>
          </w:p>
        </w:tc>
        <w:tc>
          <w:tcPr>
            <w:tcW w:w="3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48.6</w:t>
            </w:r>
          </w:p>
        </w:tc>
        <w:tc>
          <w:tcPr>
            <w:tcW w:w="4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1,436.4</w:t>
            </w:r>
          </w:p>
        </w:tc>
        <w:tc>
          <w:tcPr>
            <w:tcW w:w="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color w:val="auto"/>
              </w:rPr>
              <w:t>1,430.3</w:t>
            </w:r>
          </w:p>
        </w:tc>
        <w:tc>
          <w:tcPr>
            <w:tcW w:w="3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45.9</w:t>
            </w: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34.5</w:t>
            </w:r>
          </w:p>
        </w:tc>
        <w:tc>
          <w:tcPr>
            <w:tcW w:w="4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9.7</w:t>
            </w: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1,520.4</w:t>
            </w:r>
          </w:p>
        </w:tc>
      </w:tr>
      <w:tr>
        <w:trPr>
          <w:trHeight w:val="168"/>
        </w:trPr>
        <w:tc>
          <w:tcPr>
            <w:tcW w:w="1780" w:type="dxa"/>
            <w:vAlign w:val="bottom"/>
          </w:tcPr>
          <w:p>
            <w:pPr>
              <w:spacing w:after="0"/>
              <w:rPr>
                <w:sz w:val="14"/>
                <w:szCs w:val="14"/>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4,191.8</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326.2</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257.6</w:t>
            </w: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4,935.7</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3,722.4</w:t>
            </w: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200.8</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182.3</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158.2</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4,263.7</w:t>
            </w:r>
          </w:p>
        </w:tc>
      </w:tr>
      <w:tr>
        <w:trPr>
          <w:trHeight w:val="168"/>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r>
      <w:tr>
        <w:trPr>
          <w:trHeight w:val="175"/>
        </w:trPr>
        <w:tc>
          <w:tcPr>
            <w:tcW w:w="1780" w:type="dxa"/>
            <w:vAlign w:val="bottom"/>
          </w:tcPr>
          <w:p>
            <w:pPr>
              <w:ind w:left="200"/>
              <w:spacing w:after="0"/>
              <w:rPr>
                <w:sz w:val="20"/>
                <w:szCs w:val="20"/>
                <w:color w:val="auto"/>
              </w:rPr>
            </w:pPr>
            <w:r>
              <w:rPr>
                <w:rFonts w:ascii="Arial" w:cs="Arial" w:eastAsia="Arial" w:hAnsi="Arial"/>
                <w:sz w:val="14"/>
                <w:szCs w:val="14"/>
                <w:color w:val="auto"/>
              </w:rPr>
              <w:t>France</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4,421.8</w:t>
            </w:r>
          </w:p>
        </w:tc>
        <w:tc>
          <w:tcPr>
            <w:tcW w:w="22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268.0</w:t>
            </w: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57.9</w:t>
            </w:r>
          </w:p>
        </w:tc>
        <w:tc>
          <w:tcPr>
            <w:tcW w:w="48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4,785.0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4,765.1</w:t>
            </w:r>
          </w:p>
        </w:tc>
        <w:tc>
          <w:tcPr>
            <w:tcW w:w="36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329.8</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53.5</w:t>
            </w:r>
          </w:p>
        </w:tc>
        <w:tc>
          <w:tcPr>
            <w:tcW w:w="4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22.9</w:t>
            </w:r>
          </w:p>
        </w:tc>
        <w:tc>
          <w:tcPr>
            <w:tcW w:w="2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5,171.3</w:t>
            </w:r>
          </w:p>
        </w:tc>
      </w:tr>
      <w:tr>
        <w:trPr>
          <w:trHeight w:val="175"/>
        </w:trPr>
        <w:tc>
          <w:tcPr>
            <w:tcW w:w="1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1,600.7</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31.9</w:t>
            </w: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4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1,706.9</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1,695.6</w:t>
            </w:r>
          </w:p>
        </w:tc>
        <w:tc>
          <w:tcPr>
            <w:tcW w:w="3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33.9</w:t>
            </w: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4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20.3</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1,795.4</w:t>
            </w:r>
          </w:p>
        </w:tc>
      </w:tr>
      <w:tr>
        <w:trPr>
          <w:trHeight w:val="175"/>
        </w:trPr>
        <w:tc>
          <w:tcPr>
            <w:tcW w:w="1780" w:type="dxa"/>
            <w:vAlign w:val="bottom"/>
          </w:tcPr>
          <w:p>
            <w:pPr>
              <w:ind w:left="200"/>
              <w:spacing w:after="0"/>
              <w:rPr>
                <w:sz w:val="20"/>
                <w:szCs w:val="20"/>
                <w:color w:val="auto"/>
              </w:rPr>
            </w:pPr>
            <w:r>
              <w:rPr>
                <w:rFonts w:ascii="Arial" w:cs="Arial" w:eastAsia="Arial" w:hAnsi="Arial"/>
                <w:sz w:val="14"/>
                <w:szCs w:val="14"/>
                <w:color w:val="auto"/>
              </w:rPr>
              <w:t>Other Southern Europe</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1,635.0</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336.7</w:t>
            </w: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w:t>
            </w:r>
          </w:p>
        </w:tc>
        <w:tc>
          <w:tcPr>
            <w:tcW w:w="4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2,044.4</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1,945.0</w:t>
            </w: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369.4</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w:t>
            </w: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13.1</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2,380.1</w:t>
            </w:r>
          </w:p>
        </w:tc>
      </w:tr>
      <w:tr>
        <w:trPr>
          <w:trHeight w:val="168"/>
        </w:trPr>
        <w:tc>
          <w:tcPr>
            <w:tcW w:w="178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7,657.5</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636.6</w:t>
            </w:r>
          </w:p>
        </w:tc>
        <w:tc>
          <w:tcPr>
            <w:tcW w:w="3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171.6</w:t>
            </w:r>
          </w:p>
        </w:tc>
        <w:tc>
          <w:tcPr>
            <w:tcW w:w="4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70.6</w:t>
            </w:r>
          </w:p>
        </w:tc>
        <w:tc>
          <w:tcPr>
            <w:tcW w:w="1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8,536.3</w:t>
            </w:r>
          </w:p>
        </w:tc>
        <w:tc>
          <w:tcPr>
            <w:tcW w:w="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color w:val="auto"/>
              </w:rPr>
              <w:t>8,405.7</w:t>
            </w:r>
          </w:p>
        </w:tc>
        <w:tc>
          <w:tcPr>
            <w:tcW w:w="3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733.1</w:t>
            </w:r>
          </w:p>
        </w:tc>
        <w:tc>
          <w:tcPr>
            <w:tcW w:w="3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151.7</w:t>
            </w:r>
          </w:p>
        </w:tc>
        <w:tc>
          <w:tcPr>
            <w:tcW w:w="4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56.3</w:t>
            </w: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9,346.8</w:t>
            </w:r>
          </w:p>
        </w:tc>
      </w:tr>
      <w:tr>
        <w:trPr>
          <w:trHeight w:val="168"/>
        </w:trPr>
        <w:tc>
          <w:tcPr>
            <w:tcW w:w="178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3,567.4</w:t>
            </w:r>
          </w:p>
        </w:tc>
        <w:tc>
          <w:tcPr>
            <w:tcW w:w="22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215.0</w:t>
            </w:r>
          </w:p>
        </w:tc>
        <w:tc>
          <w:tcPr>
            <w:tcW w:w="3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179.3</w:t>
            </w:r>
          </w:p>
        </w:tc>
        <w:tc>
          <w:tcPr>
            <w:tcW w:w="4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4,048.3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4,191.4</w:t>
            </w:r>
          </w:p>
        </w:tc>
        <w:tc>
          <w:tcPr>
            <w:tcW w:w="36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255.5</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145.9</w:t>
            </w:r>
          </w:p>
        </w:tc>
        <w:tc>
          <w:tcPr>
            <w:tcW w:w="4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77.7</w:t>
            </w:r>
          </w:p>
        </w:tc>
        <w:tc>
          <w:tcPr>
            <w:tcW w:w="2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4,670.5</w:t>
            </w:r>
          </w:p>
        </w:tc>
      </w:tr>
      <w:tr>
        <w:trPr>
          <w:trHeight w:val="175"/>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8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1,809.6</w:t>
            </w: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392.0</w:t>
            </w:r>
          </w:p>
        </w:tc>
        <w:tc>
          <w:tcPr>
            <w:tcW w:w="3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149.1</w:t>
            </w:r>
          </w:p>
        </w:tc>
        <w:tc>
          <w:tcPr>
            <w:tcW w:w="4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36.6</w:t>
            </w:r>
          </w:p>
        </w:tc>
        <w:tc>
          <w:tcPr>
            <w:tcW w:w="1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2,387.3</w:t>
            </w:r>
          </w:p>
        </w:tc>
        <w:tc>
          <w:tcPr>
            <w:tcW w:w="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color w:val="auto"/>
              </w:rPr>
              <w:t>1,886.6</w:t>
            </w:r>
          </w:p>
        </w:tc>
        <w:tc>
          <w:tcPr>
            <w:tcW w:w="3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408.1</w:t>
            </w: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143.2</w:t>
            </w:r>
          </w:p>
        </w:tc>
        <w:tc>
          <w:tcPr>
            <w:tcW w:w="4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43.2</w:t>
            </w: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2,481.1</w:t>
            </w:r>
          </w:p>
        </w:tc>
      </w:tr>
      <w:tr>
        <w:trPr>
          <w:trHeight w:val="168"/>
        </w:trPr>
        <w:tc>
          <w:tcPr>
            <w:tcW w:w="1780" w:type="dxa"/>
            <w:vAlign w:val="bottom"/>
          </w:tcPr>
          <w:p>
            <w:pPr>
              <w:spacing w:after="0"/>
              <w:rPr>
                <w:sz w:val="14"/>
                <w:szCs w:val="14"/>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17,226.3</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1,569.8</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757.6</w:t>
            </w: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353.9</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19,907.6</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1"/>
              </w:rPr>
              <w:t>18,206.1</w:t>
            </w: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1,597.5</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623.1</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335.4</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20,762.1</w:t>
            </w:r>
          </w:p>
        </w:tc>
      </w:tr>
      <w:tr>
        <w:trPr>
          <w:trHeight w:val="168"/>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Intercompany Eliminations</w:t>
            </w:r>
          </w:p>
        </w:tc>
        <w:tc>
          <w:tcPr>
            <w:tcW w:w="8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(80.1 )</w:t>
            </w:r>
          </w:p>
        </w:tc>
        <w:tc>
          <w:tcPr>
            <w:tcW w:w="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(37.7 )</w:t>
            </w:r>
          </w:p>
        </w:tc>
      </w:tr>
      <w:tr>
        <w:trPr>
          <w:trHeight w:val="168"/>
        </w:trPr>
        <w:tc>
          <w:tcPr>
            <w:tcW w:w="1780" w:type="dxa"/>
            <w:vAlign w:val="bottom"/>
          </w:tcPr>
          <w:p>
            <w:pPr>
              <w:ind w:left="20"/>
              <w:spacing w:after="0"/>
              <w:rPr>
                <w:sz w:val="20"/>
                <w:szCs w:val="20"/>
                <w:color w:val="auto"/>
              </w:rPr>
            </w:pPr>
            <w:r>
              <w:rPr>
                <w:rFonts w:ascii="Arial" w:cs="Arial" w:eastAsia="Arial" w:hAnsi="Arial"/>
                <w:sz w:val="14"/>
                <w:szCs w:val="14"/>
                <w:color w:val="auto"/>
              </w:rPr>
              <w:t>Total</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19,827.5</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20,724.4</w:t>
            </w:r>
          </w:p>
        </w:tc>
      </w:tr>
      <w:tr>
        <w:trPr>
          <w:trHeight w:val="20"/>
        </w:trPr>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70"/>
        </w:trPr>
        <w:tc>
          <w:tcPr>
            <w:tcW w:w="1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w w:val="91"/>
              </w:rPr>
              <w:t>Year Ended December 31,</w:t>
            </w: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68"/>
        </w:trPr>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36"/>
        </w:trPr>
        <w:tc>
          <w:tcPr>
            <w:tcW w:w="1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jc w:val="center"/>
              <w:ind w:left="388"/>
              <w:spacing w:after="0" w:line="137" w:lineRule="exact"/>
              <w:rPr>
                <w:sz w:val="20"/>
                <w:szCs w:val="20"/>
                <w:color w:val="auto"/>
              </w:rPr>
            </w:pPr>
            <w:r>
              <w:rPr>
                <w:rFonts w:ascii="Arial" w:cs="Arial" w:eastAsia="Arial" w:hAnsi="Arial"/>
                <w:sz w:val="14"/>
                <w:szCs w:val="14"/>
                <w:color w:val="auto"/>
                <w:w w:val="89"/>
              </w:rPr>
              <w:t>Services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jc w:val="center"/>
              <w:ind w:left="68"/>
              <w:spacing w:after="0" w:line="137" w:lineRule="exact"/>
              <w:rPr>
                <w:sz w:val="20"/>
                <w:szCs w:val="20"/>
                <w:color w:val="auto"/>
              </w:rPr>
            </w:pPr>
            <w:r>
              <w:rPr>
                <w:rFonts w:ascii="Arial" w:cs="Arial" w:eastAsia="Arial" w:hAnsi="Arial"/>
                <w:sz w:val="14"/>
                <w:szCs w:val="14"/>
                <w:color w:val="auto"/>
                <w:w w:val="93"/>
              </w:rPr>
              <w:t>Services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8"/>
        </w:trPr>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color w:val="auto"/>
                <w:w w:val="89"/>
              </w:rPr>
              <w:t>Services</w:t>
            </w:r>
          </w:p>
        </w:tc>
        <w:tc>
          <w:tcPr>
            <w:tcW w:w="340" w:type="dxa"/>
            <w:vAlign w:val="bottom"/>
          </w:tcPr>
          <w:p>
            <w:pPr>
              <w:spacing w:after="0"/>
              <w:rPr>
                <w:sz w:val="12"/>
                <w:szCs w:val="12"/>
                <w:color w:val="auto"/>
              </w:rPr>
            </w:pPr>
          </w:p>
        </w:tc>
        <w:tc>
          <w:tcPr>
            <w:tcW w:w="1600" w:type="dxa"/>
            <w:vAlign w:val="bottom"/>
            <w:gridSpan w:val="3"/>
          </w:tcPr>
          <w:p>
            <w:pPr>
              <w:jc w:val="center"/>
              <w:ind w:right="28"/>
              <w:spacing w:after="0" w:line="148" w:lineRule="exact"/>
              <w:rPr>
                <w:sz w:val="20"/>
                <w:szCs w:val="20"/>
                <w:color w:val="auto"/>
              </w:rPr>
            </w:pPr>
            <w:r>
              <w:rPr>
                <w:rFonts w:ascii="Arial" w:cs="Arial" w:eastAsia="Arial" w:hAnsi="Arial"/>
                <w:sz w:val="14"/>
                <w:szCs w:val="14"/>
                <w:color w:val="auto"/>
                <w:w w:val="91"/>
              </w:rPr>
              <w:t>transferred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368"/>
              <w:spacing w:after="0" w:line="148" w:lineRule="exact"/>
              <w:rPr>
                <w:sz w:val="20"/>
                <w:szCs w:val="20"/>
                <w:color w:val="auto"/>
              </w:rPr>
            </w:pPr>
            <w:r>
              <w:rPr>
                <w:rFonts w:ascii="Arial" w:cs="Arial" w:eastAsia="Arial" w:hAnsi="Arial"/>
                <w:sz w:val="14"/>
                <w:szCs w:val="14"/>
                <w:color w:val="auto"/>
                <w:w w:val="89"/>
              </w:rPr>
              <w:t>Services</w:t>
            </w:r>
          </w:p>
        </w:tc>
        <w:tc>
          <w:tcPr>
            <w:tcW w:w="300" w:type="dxa"/>
            <w:vAlign w:val="bottom"/>
          </w:tcPr>
          <w:p>
            <w:pPr>
              <w:spacing w:after="0"/>
              <w:rPr>
                <w:sz w:val="12"/>
                <w:szCs w:val="12"/>
                <w:color w:val="auto"/>
              </w:rPr>
            </w:pPr>
          </w:p>
        </w:tc>
        <w:tc>
          <w:tcPr>
            <w:tcW w:w="1040" w:type="dxa"/>
            <w:vAlign w:val="bottom"/>
            <w:gridSpan w:val="2"/>
          </w:tcPr>
          <w:p>
            <w:pPr>
              <w:jc w:val="center"/>
              <w:ind w:right="188"/>
              <w:spacing w:after="0" w:line="148" w:lineRule="exact"/>
              <w:rPr>
                <w:sz w:val="20"/>
                <w:szCs w:val="20"/>
                <w:color w:val="auto"/>
              </w:rPr>
            </w:pPr>
            <w:r>
              <w:rPr>
                <w:rFonts w:ascii="Arial" w:cs="Arial" w:eastAsia="Arial" w:hAnsi="Arial"/>
                <w:sz w:val="14"/>
                <w:szCs w:val="14"/>
                <w:color w:val="auto"/>
                <w:w w:val="91"/>
              </w:rPr>
              <w:t>transferred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color w:val="auto"/>
                <w:w w:val="91"/>
              </w:rPr>
              <w:t>transferred</w:t>
            </w:r>
          </w:p>
        </w:tc>
        <w:tc>
          <w:tcPr>
            <w:tcW w:w="340" w:type="dxa"/>
            <w:vAlign w:val="bottom"/>
          </w:tcPr>
          <w:p>
            <w:pPr>
              <w:spacing w:after="0"/>
              <w:rPr>
                <w:sz w:val="12"/>
                <w:szCs w:val="12"/>
                <w:color w:val="auto"/>
              </w:rPr>
            </w:pPr>
          </w:p>
        </w:tc>
        <w:tc>
          <w:tcPr>
            <w:tcW w:w="1020" w:type="dxa"/>
            <w:vAlign w:val="bottom"/>
            <w:gridSpan w:val="2"/>
          </w:tcPr>
          <w:p>
            <w:pPr>
              <w:jc w:val="center"/>
              <w:ind w:left="388"/>
              <w:spacing w:after="0" w:line="148" w:lineRule="exact"/>
              <w:rPr>
                <w:sz w:val="20"/>
                <w:szCs w:val="20"/>
                <w:color w:val="auto"/>
              </w:rPr>
            </w:pPr>
            <w:r>
              <w:rPr>
                <w:rFonts w:ascii="Arial" w:cs="Arial" w:eastAsia="Arial" w:hAnsi="Arial"/>
                <w:sz w:val="14"/>
                <w:szCs w:val="14"/>
                <w:color w:val="auto"/>
                <w:w w:val="90"/>
              </w:rPr>
              <w:t>at a point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68"/>
              <w:spacing w:after="0" w:line="148" w:lineRule="exact"/>
              <w:rPr>
                <w:sz w:val="20"/>
                <w:szCs w:val="20"/>
                <w:color w:val="auto"/>
              </w:rPr>
            </w:pPr>
            <w:r>
              <w:rPr>
                <w:rFonts w:ascii="Arial" w:cs="Arial" w:eastAsia="Arial" w:hAnsi="Arial"/>
                <w:sz w:val="14"/>
                <w:szCs w:val="14"/>
                <w:color w:val="auto"/>
                <w:w w:val="91"/>
              </w:rPr>
              <w:t>transferred</w:t>
            </w:r>
          </w:p>
        </w:tc>
        <w:tc>
          <w:tcPr>
            <w:tcW w:w="300" w:type="dxa"/>
            <w:vAlign w:val="bottom"/>
          </w:tcPr>
          <w:p>
            <w:pPr>
              <w:spacing w:after="0"/>
              <w:rPr>
                <w:sz w:val="12"/>
                <w:szCs w:val="12"/>
                <w:color w:val="auto"/>
              </w:rPr>
            </w:pPr>
          </w:p>
        </w:tc>
        <w:tc>
          <w:tcPr>
            <w:tcW w:w="1040" w:type="dxa"/>
            <w:vAlign w:val="bottom"/>
            <w:gridSpan w:val="2"/>
          </w:tcPr>
          <w:p>
            <w:pPr>
              <w:jc w:val="center"/>
              <w:ind w:right="188"/>
              <w:spacing w:after="0" w:line="148" w:lineRule="exact"/>
              <w:rPr>
                <w:sz w:val="20"/>
                <w:szCs w:val="20"/>
                <w:color w:val="auto"/>
              </w:rPr>
            </w:pPr>
            <w:r>
              <w:rPr>
                <w:rFonts w:ascii="Arial" w:cs="Arial" w:eastAsia="Arial" w:hAnsi="Arial"/>
                <w:sz w:val="14"/>
                <w:szCs w:val="14"/>
                <w:color w:val="auto"/>
                <w:w w:val="93"/>
              </w:rPr>
              <w:t>at a point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0"/>
        </w:trPr>
        <w:tc>
          <w:tcPr>
            <w:tcW w:w="1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over time</w:t>
            </w: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6"/>
              </w:rPr>
              <w:t>in time</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Total</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388"/>
              <w:spacing w:after="0"/>
              <w:rPr>
                <w:sz w:val="20"/>
                <w:szCs w:val="20"/>
                <w:color w:val="auto"/>
              </w:rPr>
            </w:pPr>
            <w:r>
              <w:rPr>
                <w:rFonts w:ascii="Arial" w:cs="Arial" w:eastAsia="Arial" w:hAnsi="Arial"/>
                <w:sz w:val="14"/>
                <w:szCs w:val="14"/>
                <w:color w:val="auto"/>
                <w:w w:val="93"/>
              </w:rPr>
              <w:t>over time</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6"/>
              </w:rPr>
              <w:t>in time</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color w:val="auto"/>
              </w:rPr>
              <w:t>Total</w:t>
            </w:r>
          </w:p>
        </w:tc>
      </w:tr>
      <w:tr>
        <w:trPr>
          <w:trHeight w:val="168"/>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r>
      <w:tr>
        <w:trPr>
          <w:trHeight w:val="175"/>
        </w:trPr>
        <w:tc>
          <w:tcPr>
            <w:tcW w:w="178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8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48"/>
              <w:spacing w:after="0"/>
              <w:rPr>
                <w:sz w:val="20"/>
                <w:szCs w:val="20"/>
                <w:color w:val="auto"/>
              </w:rPr>
            </w:pPr>
            <w:r>
              <w:rPr>
                <w:rFonts w:ascii="Arial" w:cs="Arial" w:eastAsia="Arial" w:hAnsi="Arial"/>
                <w:sz w:val="14"/>
                <w:szCs w:val="14"/>
                <w:color w:val="auto"/>
              </w:rPr>
              <w:t>3,380.9</w:t>
            </w: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580" w:type="dxa"/>
            <w:vAlign w:val="bottom"/>
          </w:tcPr>
          <w:p>
            <w:pPr>
              <w:jc w:val="right"/>
              <w:ind w:right="188"/>
              <w:spacing w:after="0"/>
              <w:rPr>
                <w:sz w:val="20"/>
                <w:szCs w:val="20"/>
                <w:color w:val="auto"/>
              </w:rPr>
            </w:pPr>
            <w:r>
              <w:rPr>
                <w:rFonts w:ascii="Arial" w:cs="Arial" w:eastAsia="Arial" w:hAnsi="Arial"/>
                <w:sz w:val="14"/>
                <w:szCs w:val="14"/>
                <w:color w:val="auto"/>
                <w:w w:val="85"/>
              </w:rPr>
              <w:t>118.4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5"/>
                <w:szCs w:val="15"/>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4"/>
                <w:szCs w:val="14"/>
                <w:color w:val="auto"/>
              </w:rPr>
              <w:t>3,499.3</w:t>
            </w:r>
          </w:p>
        </w:tc>
        <w:tc>
          <w:tcPr>
            <w:tcW w:w="54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2,663.9</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79.4</w:t>
            </w:r>
          </w:p>
        </w:tc>
        <w:tc>
          <w:tcPr>
            <w:tcW w:w="6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2,743.3</w:t>
            </w:r>
          </w:p>
        </w:tc>
      </w:tr>
      <w:tr>
        <w:trPr>
          <w:trHeight w:val="175"/>
        </w:trPr>
        <w:tc>
          <w:tcPr>
            <w:tcW w:w="1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8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1,406.3</w:t>
            </w:r>
          </w:p>
        </w:tc>
        <w:tc>
          <w:tcPr>
            <w:tcW w:w="54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30.1</w:t>
            </w:r>
          </w:p>
        </w:tc>
        <w:tc>
          <w:tcPr>
            <w:tcW w:w="1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1,436.4</w:t>
            </w:r>
          </w:p>
        </w:tc>
        <w:tc>
          <w:tcPr>
            <w:tcW w:w="1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1,498.6</w:t>
            </w: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21.8</w:t>
            </w:r>
          </w:p>
        </w:tc>
        <w:tc>
          <w:tcPr>
            <w:tcW w:w="16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1,520.4</w:t>
            </w:r>
          </w:p>
        </w:tc>
      </w:tr>
      <w:tr>
        <w:trPr>
          <w:trHeight w:val="168"/>
        </w:trPr>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4,787.2</w:t>
            </w: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85"/>
              </w:rPr>
              <w:t>148.5</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4,935.7</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4,162.5</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101.2</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4,263.7</w:t>
            </w:r>
          </w:p>
        </w:tc>
      </w:tr>
      <w:tr>
        <w:trPr>
          <w:trHeight w:val="168"/>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r>
      <w:tr>
        <w:trPr>
          <w:trHeight w:val="175"/>
        </w:trPr>
        <w:tc>
          <w:tcPr>
            <w:tcW w:w="1780" w:type="dxa"/>
            <w:vAlign w:val="bottom"/>
          </w:tcPr>
          <w:p>
            <w:pPr>
              <w:ind w:left="200"/>
              <w:spacing w:after="0"/>
              <w:rPr>
                <w:sz w:val="20"/>
                <w:szCs w:val="20"/>
                <w:color w:val="auto"/>
              </w:rPr>
            </w:pPr>
            <w:r>
              <w:rPr>
                <w:rFonts w:ascii="Arial" w:cs="Arial" w:eastAsia="Arial" w:hAnsi="Arial"/>
                <w:sz w:val="14"/>
                <w:szCs w:val="14"/>
                <w:color w:val="auto"/>
              </w:rPr>
              <w:t>France</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4"/>
                <w:szCs w:val="14"/>
                <w:color w:val="auto"/>
              </w:rPr>
              <w:t>4,732.3</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ind w:right="188"/>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4"/>
                <w:szCs w:val="14"/>
                <w:color w:val="auto"/>
              </w:rPr>
              <w:t>4,785.0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5,122.4</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48.9</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5,171.3</w:t>
            </w:r>
          </w:p>
        </w:tc>
      </w:tr>
      <w:tr>
        <w:trPr>
          <w:trHeight w:val="175"/>
        </w:trPr>
        <w:tc>
          <w:tcPr>
            <w:tcW w:w="1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1,659.4</w:t>
            </w:r>
          </w:p>
        </w:tc>
        <w:tc>
          <w:tcPr>
            <w:tcW w:w="5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47.5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1,706.9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1,752.8</w:t>
            </w: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w:t>
            </w: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1,795.4</w:t>
            </w:r>
          </w:p>
        </w:tc>
      </w:tr>
      <w:tr>
        <w:trPr>
          <w:trHeight w:val="175"/>
        </w:trPr>
        <w:tc>
          <w:tcPr>
            <w:tcW w:w="1780" w:type="dxa"/>
            <w:vAlign w:val="bottom"/>
          </w:tcPr>
          <w:p>
            <w:pPr>
              <w:ind w:left="200"/>
              <w:spacing w:after="0"/>
              <w:rPr>
                <w:sz w:val="20"/>
                <w:szCs w:val="20"/>
                <w:color w:val="auto"/>
              </w:rPr>
            </w:pPr>
            <w:r>
              <w:rPr>
                <w:rFonts w:ascii="Arial" w:cs="Arial" w:eastAsia="Arial" w:hAnsi="Arial"/>
                <w:sz w:val="14"/>
                <w:szCs w:val="14"/>
                <w:color w:val="auto"/>
              </w:rPr>
              <w:t>Other Southern Europe</w:t>
            </w:r>
          </w:p>
        </w:tc>
        <w:tc>
          <w:tcPr>
            <w:tcW w:w="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1,993.8</w:t>
            </w:r>
          </w:p>
        </w:tc>
        <w:tc>
          <w:tcPr>
            <w:tcW w:w="5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50.6</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2,044.4</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2,337.1</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2,380.1</w:t>
            </w:r>
          </w:p>
        </w:tc>
      </w:tr>
      <w:tr>
        <w:trPr>
          <w:trHeight w:val="168"/>
        </w:trPr>
        <w:tc>
          <w:tcPr>
            <w:tcW w:w="178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8,385.5</w:t>
            </w:r>
          </w:p>
        </w:tc>
        <w:tc>
          <w:tcPr>
            <w:tcW w:w="54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85"/>
              </w:rPr>
              <w:t>150.8</w:t>
            </w:r>
          </w:p>
        </w:tc>
        <w:tc>
          <w:tcPr>
            <w:tcW w:w="1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8,536.3</w:t>
            </w:r>
          </w:p>
        </w:tc>
        <w:tc>
          <w:tcPr>
            <w:tcW w:w="1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9,212.3</w:t>
            </w:r>
          </w:p>
        </w:tc>
        <w:tc>
          <w:tcPr>
            <w:tcW w:w="3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1"/>
              </w:rPr>
              <w:t>134.5</w:t>
            </w:r>
          </w:p>
        </w:tc>
        <w:tc>
          <w:tcPr>
            <w:tcW w:w="16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9,346.8</w:t>
            </w:r>
          </w:p>
        </w:tc>
      </w:tr>
      <w:tr>
        <w:trPr>
          <w:trHeight w:val="168"/>
        </w:trPr>
        <w:tc>
          <w:tcPr>
            <w:tcW w:w="178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4"/>
                <w:szCs w:val="14"/>
                <w:color w:val="auto"/>
              </w:rPr>
              <w:t>3,902.9</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right"/>
              <w:ind w:right="188"/>
              <w:spacing w:after="0"/>
              <w:rPr>
                <w:sz w:val="20"/>
                <w:szCs w:val="20"/>
                <w:color w:val="auto"/>
              </w:rPr>
            </w:pPr>
            <w:r>
              <w:rPr>
                <w:rFonts w:ascii="Arial" w:cs="Arial" w:eastAsia="Arial" w:hAnsi="Arial"/>
                <w:sz w:val="14"/>
                <w:szCs w:val="14"/>
                <w:color w:val="auto"/>
                <w:w w:val="85"/>
              </w:rPr>
              <w:t>145.4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4"/>
                <w:szCs w:val="14"/>
                <w:color w:val="auto"/>
              </w:rPr>
              <w:t>4,048.3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4,545.0</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1"/>
              </w:rPr>
              <w:t>125.5</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4,670.5</w:t>
            </w:r>
          </w:p>
        </w:tc>
      </w:tr>
      <w:tr>
        <w:trPr>
          <w:trHeight w:val="175"/>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8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2,302.4</w:t>
            </w:r>
          </w:p>
        </w:tc>
        <w:tc>
          <w:tcPr>
            <w:tcW w:w="54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84.9</w:t>
            </w:r>
          </w:p>
        </w:tc>
        <w:tc>
          <w:tcPr>
            <w:tcW w:w="1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2,387.3</w:t>
            </w:r>
          </w:p>
        </w:tc>
        <w:tc>
          <w:tcPr>
            <w:tcW w:w="1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2,401.1</w:t>
            </w: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80.0</w:t>
            </w:r>
          </w:p>
        </w:tc>
        <w:tc>
          <w:tcPr>
            <w:tcW w:w="16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2,481.1</w:t>
            </w:r>
          </w:p>
        </w:tc>
      </w:tr>
      <w:tr>
        <w:trPr>
          <w:trHeight w:val="168"/>
        </w:trPr>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19,378.0</w:t>
            </w: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85"/>
              </w:rPr>
              <w:t>529.6</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19,907.6</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8"/>
              </w:rPr>
              <w:t>20,320.9</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441.2</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20,762.1</w:t>
            </w:r>
          </w:p>
        </w:tc>
      </w:tr>
      <w:tr>
        <w:trPr>
          <w:trHeight w:val="168"/>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Intercompany Eliminations</w:t>
            </w:r>
          </w:p>
        </w:tc>
        <w:tc>
          <w:tcPr>
            <w:tcW w:w="8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4"/>
                <w:szCs w:val="14"/>
                <w:color w:val="auto"/>
                <w:w w:val="88"/>
              </w:rPr>
              <w:t>(80.1 )</w:t>
            </w: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(37.7 )</w:t>
            </w:r>
          </w:p>
        </w:tc>
      </w:tr>
      <w:tr>
        <w:trPr>
          <w:trHeight w:val="168"/>
        </w:trPr>
        <w:tc>
          <w:tcPr>
            <w:tcW w:w="1780" w:type="dxa"/>
            <w:vAlign w:val="bottom"/>
          </w:tcPr>
          <w:p>
            <w:pPr>
              <w:ind w:left="20"/>
              <w:spacing w:after="0"/>
              <w:rPr>
                <w:sz w:val="20"/>
                <w:szCs w:val="20"/>
                <w:color w:val="auto"/>
              </w:rPr>
            </w:pPr>
            <w:r>
              <w:rPr>
                <w:rFonts w:ascii="Arial" w:cs="Arial" w:eastAsia="Arial" w:hAnsi="Arial"/>
                <w:sz w:val="14"/>
                <w:szCs w:val="14"/>
                <w:color w:val="auto"/>
              </w:rPr>
              <w:t>Total</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4"/>
                <w:szCs w:val="14"/>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4"/>
                <w:szCs w:val="14"/>
                <w:color w:val="auto"/>
              </w:rPr>
              <w:t>19,827.5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20,724.4</w:t>
            </w:r>
          </w:p>
        </w:tc>
      </w:tr>
      <w:tr>
        <w:trPr>
          <w:trHeight w:val="20"/>
        </w:trPr>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4147820</wp:posOffset>
            </wp:positionH>
            <wp:positionV relativeFrom="paragraph">
              <wp:posOffset>-3723640</wp:posOffset>
            </wp:positionV>
            <wp:extent cx="68580" cy="1282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4147820</wp:posOffset>
            </wp:positionH>
            <wp:positionV relativeFrom="paragraph">
              <wp:posOffset>-3032125</wp:posOffset>
            </wp:positionV>
            <wp:extent cx="68580" cy="1193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8580" cy="119380"/>
                    </a:xfrm>
                    <a:prstGeom prst="rect">
                      <a:avLst/>
                    </a:prstGeom>
                    <a:noFill/>
                  </pic:spPr>
                </pic:pic>
              </a:graphicData>
            </a:graphic>
          </wp:anchor>
        </w:drawing>
        <w:drawing>
          <wp:anchor simplePos="0" relativeHeight="251657728" behindDoc="1" locked="0" layoutInCell="0" allowOverlap="1">
            <wp:simplePos x="0" y="0"/>
            <wp:positionH relativeFrom="column">
              <wp:posOffset>4147820</wp:posOffset>
            </wp:positionH>
            <wp:positionV relativeFrom="paragraph">
              <wp:posOffset>-2800985</wp:posOffset>
            </wp:positionV>
            <wp:extent cx="68580" cy="1282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4147820</wp:posOffset>
            </wp:positionH>
            <wp:positionV relativeFrom="paragraph">
              <wp:posOffset>-2562225</wp:posOffset>
            </wp:positionV>
            <wp:extent cx="6858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-1306195</wp:posOffset>
            </wp:positionV>
            <wp:extent cx="68580" cy="1282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-614680</wp:posOffset>
            </wp:positionV>
            <wp:extent cx="68580" cy="1193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8580" cy="11938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-383540</wp:posOffset>
            </wp:positionV>
            <wp:extent cx="68580" cy="128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-144780</wp:posOffset>
            </wp:positionV>
            <wp:extent cx="6858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type w:val="continuous"/>
        </w:sectPr>
      </w:pPr>
    </w:p>
    <w:bookmarkStart w:id="70" w:name="page71"/>
    <w:bookmarkEnd w:id="70"/>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During 2022, 2021 and 2020, we recognized $37.6, $36.8 and $24.2, respectively, in share-based compensation expense related to stock options, deferred stock, restricted stock and performance share units, all of which is recorded in selling and administrative expenses. Consideration received from share-based awards for 2022, 2021 and 2020 was $0.3, $5.1 and $7.4, respectively. The income tax benefit recognized during 2022, 2021 and 2020 was $2.6, $1.6 and $1.7, respectively, for the United States share-based compensation and $1.3, $1.6 and $1.3, respectively, for non-United States share-based compensation. We recognize compensation expense on grants of share-based compensation awards on a straight-line basis over the vesting period of each award.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All share-based compensation is granted under the 2011 Equity Incentive Plan of ManpowerGroup Inc. (“2011 Plan”). Options and stock appreciation rights are granted at a price not less than 100% of the fair market value of the common stock at the date of grant. Generally, options are granted with a ratable vesting period of up to four years and expire ten years from date of grant. No stock options were granted in 2022. No stock appreciation rights had been granted or outstanding as of December 31, 2022 or 2021. A summary of stock option activity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Wtd. Avg.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50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Wtd.</w:t>
            </w:r>
          </w:p>
        </w:tc>
        <w:tc>
          <w:tcPr>
            <w:tcW w:w="960" w:type="dxa"/>
            <w:vAlign w:val="bottom"/>
          </w:tcPr>
          <w:p>
            <w:pPr>
              <w:jc w:val="right"/>
              <w:spacing w:after="0"/>
              <w:rPr>
                <w:sz w:val="20"/>
                <w:szCs w:val="20"/>
                <w:color w:val="auto"/>
              </w:rPr>
            </w:pPr>
            <w:r>
              <w:rPr>
                <w:rFonts w:ascii="Arial" w:cs="Arial" w:eastAsia="Arial" w:hAnsi="Arial"/>
                <w:sz w:val="18"/>
                <w:szCs w:val="18"/>
                <w:color w:val="auto"/>
              </w:rPr>
              <w:t>Remaining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50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Avg.</w:t>
            </w:r>
          </w:p>
        </w:tc>
        <w:tc>
          <w:tcPr>
            <w:tcW w:w="960" w:type="dxa"/>
            <w:vAlign w:val="bottom"/>
          </w:tcPr>
          <w:p>
            <w:pPr>
              <w:jc w:val="right"/>
              <w:spacing w:after="0"/>
              <w:rPr>
                <w:sz w:val="20"/>
                <w:szCs w:val="20"/>
                <w:color w:val="auto"/>
              </w:rPr>
            </w:pPr>
            <w:r>
              <w:rPr>
                <w:rFonts w:ascii="Arial" w:cs="Arial" w:eastAsia="Arial" w:hAnsi="Arial"/>
                <w:sz w:val="18"/>
                <w:szCs w:val="18"/>
                <w:color w:val="auto"/>
                <w:w w:val="99"/>
              </w:rPr>
              <w:t>Contractua</w:t>
            </w: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3"/>
              </w:rPr>
              <w:t>Aggregate</w:t>
            </w:r>
          </w:p>
        </w:tc>
      </w:tr>
      <w:tr>
        <w:trPr>
          <w:trHeight w:val="215"/>
        </w:trPr>
        <w:tc>
          <w:tcPr>
            <w:tcW w:w="50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w w:val="98"/>
              </w:rPr>
              <w:t>Exercise</w:t>
            </w:r>
          </w:p>
        </w:tc>
        <w:tc>
          <w:tcPr>
            <w:tcW w:w="960" w:type="dxa"/>
            <w:vAlign w:val="bottom"/>
          </w:tcPr>
          <w:p>
            <w:pPr>
              <w:jc w:val="right"/>
              <w:spacing w:after="0"/>
              <w:rPr>
                <w:sz w:val="20"/>
                <w:szCs w:val="20"/>
                <w:color w:val="auto"/>
              </w:rPr>
            </w:pPr>
            <w:r>
              <w:rPr>
                <w:rFonts w:ascii="Arial" w:cs="Arial" w:eastAsia="Arial" w:hAnsi="Arial"/>
                <w:sz w:val="18"/>
                <w:szCs w:val="18"/>
                <w:color w:val="auto"/>
              </w:rPr>
              <w:t>l</w:t>
            </w:r>
          </w:p>
        </w:tc>
        <w:tc>
          <w:tcPr>
            <w:tcW w:w="20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Intrinsic</w:t>
            </w:r>
          </w:p>
        </w:tc>
      </w:tr>
      <w:tr>
        <w:trPr>
          <w:trHeight w:val="215"/>
        </w:trPr>
        <w:tc>
          <w:tcPr>
            <w:tcW w:w="5020" w:type="dxa"/>
            <w:vAlign w:val="bottom"/>
          </w:tcPr>
          <w:p>
            <w:pPr>
              <w:spacing w:after="0"/>
              <w:rPr>
                <w:sz w:val="18"/>
                <w:szCs w:val="18"/>
                <w:color w:val="auto"/>
              </w:rPr>
            </w:pPr>
          </w:p>
        </w:tc>
        <w:tc>
          <w:tcPr>
            <w:tcW w:w="3260" w:type="dxa"/>
            <w:vAlign w:val="bottom"/>
          </w:tcPr>
          <w:p>
            <w:pPr>
              <w:jc w:val="right"/>
              <w:ind w:right="7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Price</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Term</w:t>
            </w: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Value</w:t>
            </w:r>
          </w:p>
        </w:tc>
      </w:tr>
      <w:tr>
        <w:trPr>
          <w:trHeight w:val="236"/>
        </w:trPr>
        <w:tc>
          <w:tcPr>
            <w:tcW w:w="5020" w:type="dxa"/>
            <w:vAlign w:val="bottom"/>
          </w:tcPr>
          <w:p>
            <w:pPr>
              <w:spacing w:after="0"/>
              <w:rPr>
                <w:sz w:val="20"/>
                <w:szCs w:val="20"/>
                <w:color w:val="auto"/>
              </w:rPr>
            </w:pPr>
          </w:p>
        </w:tc>
        <w:tc>
          <w:tcPr>
            <w:tcW w:w="326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98"/>
              </w:rPr>
              <w:t>Per Share</w:t>
            </w:r>
          </w:p>
        </w:tc>
        <w:tc>
          <w:tcPr>
            <w:tcW w:w="960" w:type="dxa"/>
            <w:vAlign w:val="bottom"/>
          </w:tcPr>
          <w:p>
            <w:pPr>
              <w:jc w:val="right"/>
              <w:spacing w:after="0"/>
              <w:rPr>
                <w:sz w:val="20"/>
                <w:szCs w:val="20"/>
                <w:color w:val="auto"/>
              </w:rPr>
            </w:pPr>
            <w:r>
              <w:rPr>
                <w:rFonts w:ascii="Arial" w:cs="Arial" w:eastAsia="Arial" w:hAnsi="Arial"/>
                <w:sz w:val="18"/>
                <w:szCs w:val="18"/>
                <w:color w:val="auto"/>
              </w:rPr>
              <w:t>(years)</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(in millions)</w:t>
            </w:r>
          </w:p>
        </w:tc>
      </w:tr>
      <w:tr>
        <w:trPr>
          <w:trHeight w:val="249"/>
        </w:trPr>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Outstanding, January 1, 2020</w:t>
            </w:r>
          </w:p>
        </w:tc>
        <w:tc>
          <w:tcPr>
            <w:tcW w:w="3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723</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w:t>
            </w: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6"/>
        </w:trPr>
        <w:tc>
          <w:tcPr>
            <w:tcW w:w="5020" w:type="dxa"/>
            <w:vAlign w:val="bottom"/>
          </w:tcPr>
          <w:p>
            <w:pPr>
              <w:ind w:left="120"/>
              <w:spacing w:after="0"/>
              <w:rPr>
                <w:sz w:val="20"/>
                <w:szCs w:val="20"/>
                <w:color w:val="auto"/>
              </w:rPr>
            </w:pPr>
            <w:r>
              <w:rPr>
                <w:rFonts w:ascii="Arial" w:cs="Arial" w:eastAsia="Arial" w:hAnsi="Arial"/>
                <w:sz w:val="18"/>
                <w:szCs w:val="18"/>
                <w:color w:val="auto"/>
              </w:rPr>
              <w:t>Granted</w:t>
            </w:r>
          </w:p>
        </w:tc>
        <w:tc>
          <w:tcPr>
            <w:tcW w:w="326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8"/>
        </w:trPr>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3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(90 )</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36"/>
        </w:trPr>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Expired or cancelled</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36"/>
        </w:trPr>
        <w:tc>
          <w:tcPr>
            <w:tcW w:w="50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Outstanding, December 31, 2020</w:t>
            </w:r>
          </w:p>
        </w:tc>
        <w:tc>
          <w:tcPr>
            <w:tcW w:w="3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788</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Exercisable, December 31, 2020</w:t>
            </w:r>
          </w:p>
        </w:tc>
        <w:tc>
          <w:tcPr>
            <w:tcW w:w="3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r>
      <w:tr>
        <w:trPr>
          <w:trHeight w:val="242"/>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January 1, 2021</w:t>
            </w:r>
          </w:p>
        </w:tc>
        <w:tc>
          <w:tcPr>
            <w:tcW w:w="3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788</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w:t>
            </w: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6"/>
        </w:trPr>
        <w:tc>
          <w:tcPr>
            <w:tcW w:w="5020" w:type="dxa"/>
            <w:vAlign w:val="bottom"/>
          </w:tcPr>
          <w:p>
            <w:pPr>
              <w:ind w:left="120"/>
              <w:spacing w:after="0"/>
              <w:rPr>
                <w:sz w:val="20"/>
                <w:szCs w:val="20"/>
                <w:color w:val="auto"/>
              </w:rPr>
            </w:pPr>
            <w:r>
              <w:rPr>
                <w:rFonts w:ascii="Arial" w:cs="Arial" w:eastAsia="Arial" w:hAnsi="Arial"/>
                <w:sz w:val="18"/>
                <w:szCs w:val="18"/>
                <w:color w:val="auto"/>
              </w:rPr>
              <w:t>Granted</w:t>
            </w:r>
          </w:p>
        </w:tc>
        <w:tc>
          <w:tcPr>
            <w:tcW w:w="326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8"/>
        </w:trPr>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3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(38 )</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Expired or cancelled</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36"/>
        </w:trPr>
        <w:tc>
          <w:tcPr>
            <w:tcW w:w="50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Outstanding, December 31, 2021</w:t>
            </w:r>
          </w:p>
        </w:tc>
        <w:tc>
          <w:tcPr>
            <w:tcW w:w="3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852</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r>
      <w:tr>
        <w:trPr>
          <w:trHeight w:val="23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Exercisable, December 31, 2021</w:t>
            </w:r>
          </w:p>
        </w:tc>
        <w:tc>
          <w:tcPr>
            <w:tcW w:w="3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510</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242"/>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January 1, 2022</w:t>
            </w:r>
          </w:p>
        </w:tc>
        <w:tc>
          <w:tcPr>
            <w:tcW w:w="3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852</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6"/>
        </w:trPr>
        <w:tc>
          <w:tcPr>
            <w:tcW w:w="5020" w:type="dxa"/>
            <w:vAlign w:val="bottom"/>
          </w:tcPr>
          <w:p>
            <w:pPr>
              <w:ind w:left="120"/>
              <w:spacing w:after="0"/>
              <w:rPr>
                <w:sz w:val="20"/>
                <w:szCs w:val="20"/>
                <w:color w:val="auto"/>
              </w:rPr>
            </w:pPr>
            <w:r>
              <w:rPr>
                <w:rFonts w:ascii="Arial" w:cs="Arial" w:eastAsia="Arial" w:hAnsi="Arial"/>
                <w:sz w:val="18"/>
                <w:szCs w:val="18"/>
                <w:color w:val="auto"/>
              </w:rPr>
              <w:t>Granted</w:t>
            </w:r>
          </w:p>
        </w:tc>
        <w:tc>
          <w:tcPr>
            <w:tcW w:w="3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8"/>
        </w:trPr>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3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6"/>
        </w:trPr>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Expired or cancelled</w:t>
            </w:r>
          </w:p>
        </w:tc>
        <w:tc>
          <w:tcPr>
            <w:tcW w:w="3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36"/>
        </w:trPr>
        <w:tc>
          <w:tcPr>
            <w:tcW w:w="50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Outstanding, December 31, 2022</w:t>
            </w:r>
          </w:p>
        </w:tc>
        <w:tc>
          <w:tcPr>
            <w:tcW w:w="3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852</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Exercisable, December 31, 2022</w:t>
            </w:r>
          </w:p>
        </w:tc>
        <w:tc>
          <w:tcPr>
            <w:tcW w:w="3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3"/>
          </w:tcPr>
          <w:p>
            <w:pPr>
              <w:spacing w:after="0"/>
              <w:rPr>
                <w:sz w:val="20"/>
                <w:szCs w:val="20"/>
                <w:color w:val="auto"/>
              </w:rPr>
            </w:pPr>
            <w:r>
              <w:rPr>
                <w:rFonts w:ascii="Arial" w:cs="Arial" w:eastAsia="Arial" w:hAnsi="Arial"/>
                <w:sz w:val="18"/>
                <w:szCs w:val="18"/>
                <w:color w:val="auto"/>
                <w:w w:val="97"/>
              </w:rPr>
              <w:t>Options outstanding and exercisable as of December 31, 2022 were as follows:</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51"/>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4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Options Outstanding</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Options Exercisable</w:t>
            </w:r>
          </w:p>
        </w:tc>
      </w:tr>
      <w:tr>
        <w:trPr>
          <w:trHeight w:val="214"/>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Weighted-</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Average</w:t>
            </w:r>
          </w:p>
        </w:tc>
        <w:tc>
          <w:tcPr>
            <w:tcW w:w="2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7"/>
              </w:rPr>
              <w:t>Weighted-</w:t>
            </w:r>
          </w:p>
        </w:tc>
      </w:tr>
      <w:tr>
        <w:trPr>
          <w:trHeight w:val="215"/>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Remaining</w:t>
            </w:r>
          </w:p>
        </w:tc>
        <w:tc>
          <w:tcPr>
            <w:tcW w:w="2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Average</w:t>
            </w:r>
          </w:p>
        </w:tc>
      </w:tr>
      <w:tr>
        <w:trPr>
          <w:trHeight w:val="215"/>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Contractual</w:t>
            </w:r>
          </w:p>
        </w:tc>
        <w:tc>
          <w:tcPr>
            <w:tcW w:w="2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Exercise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Exercise</w:t>
            </w:r>
          </w:p>
        </w:tc>
      </w:tr>
      <w:tr>
        <w:trPr>
          <w:trHeight w:val="236"/>
        </w:trPr>
        <w:tc>
          <w:tcPr>
            <w:tcW w:w="20" w:type="dxa"/>
            <w:vAlign w:val="bottom"/>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Exercise Price</w:t>
            </w:r>
          </w:p>
        </w:tc>
        <w:tc>
          <w:tcPr>
            <w:tcW w:w="1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 (000)</w:t>
            </w: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Life (years)</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Price</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Shares (000)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Price</w:t>
            </w:r>
          </w:p>
        </w:tc>
      </w:tr>
      <w:tr>
        <w:trPr>
          <w:trHeight w:val="242"/>
        </w:trPr>
        <w:tc>
          <w:tcPr>
            <w:tcW w:w="20" w:type="dxa"/>
            <w:vAlign w:val="bottom"/>
          </w:tcPr>
          <w:p>
            <w:pPr>
              <w:spacing w:after="0"/>
              <w:rPr>
                <w:sz w:val="21"/>
                <w:szCs w:val="21"/>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$75-$80</w:t>
            </w:r>
          </w:p>
        </w:tc>
        <w:tc>
          <w:tcPr>
            <w:tcW w:w="19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200</w:t>
            </w: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w:t>
            </w: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w:t>
            </w: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$81-$89</w:t>
            </w:r>
          </w:p>
        </w:tc>
        <w:tc>
          <w:tcPr>
            <w:tcW w:w="1980" w:type="dxa"/>
            <w:vAlign w:val="bottom"/>
          </w:tcPr>
          <w:p>
            <w:pPr>
              <w:jc w:val="right"/>
              <w:ind w:right="370"/>
              <w:spacing w:after="0"/>
              <w:rPr>
                <w:sz w:val="20"/>
                <w:szCs w:val="20"/>
                <w:color w:val="auto"/>
              </w:rPr>
            </w:pPr>
            <w:r>
              <w:rPr>
                <w:rFonts w:ascii="Arial" w:cs="Arial" w:eastAsia="Arial" w:hAnsi="Arial"/>
                <w:sz w:val="18"/>
                <w:szCs w:val="18"/>
                <w:color w:val="auto"/>
              </w:rPr>
              <w:t>179</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84</w:t>
            </w:r>
          </w:p>
        </w:tc>
      </w:tr>
      <w:tr>
        <w:trPr>
          <w:trHeight w:val="255"/>
        </w:trPr>
        <w:tc>
          <w:tcPr>
            <w:tcW w:w="20" w:type="dxa"/>
            <w:vAlign w:val="bottom"/>
          </w:tcPr>
          <w:p>
            <w:pPr>
              <w:spacing w:after="0"/>
              <w:rPr>
                <w:sz w:val="22"/>
                <w:szCs w:val="22"/>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$90-$95</w:t>
            </w:r>
          </w:p>
        </w:tc>
        <w:tc>
          <w:tcPr>
            <w:tcW w:w="19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286</w:t>
            </w: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r>
      <w:tr>
        <w:trPr>
          <w:trHeight w:val="236"/>
        </w:trPr>
        <w:tc>
          <w:tcPr>
            <w:tcW w:w="20" w:type="dxa"/>
            <w:vAlign w:val="bottom"/>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$96-$123</w:t>
            </w:r>
          </w:p>
        </w:tc>
        <w:tc>
          <w:tcPr>
            <w:tcW w:w="1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187</w:t>
            </w: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1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187</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r>
      <w:tr>
        <w:trPr>
          <w:trHeight w:val="236"/>
        </w:trPr>
        <w:tc>
          <w:tcPr>
            <w:tcW w:w="20" w:type="dxa"/>
            <w:vAlign w:val="bottom"/>
          </w:tcPr>
          <w:p>
            <w:pPr>
              <w:spacing w:after="0"/>
              <w:rPr>
                <w:sz w:val="20"/>
                <w:szCs w:val="20"/>
                <w:color w:val="auto"/>
              </w:rPr>
            </w:pPr>
          </w:p>
        </w:tc>
        <w:tc>
          <w:tcPr>
            <w:tcW w:w="4180" w:type="dxa"/>
            <w:vAlign w:val="bottom"/>
            <w:tcBorders>
              <w:bottom w:val="single" w:sz="8" w:color="auto"/>
            </w:tcBorders>
            <w:shd w:val="clear" w:color="auto" w:fill="CFF0FC"/>
          </w:tcPr>
          <w:p>
            <w:pPr>
              <w:spacing w:after="0"/>
              <w:rPr>
                <w:sz w:val="20"/>
                <w:szCs w:val="20"/>
                <w:color w:val="auto"/>
              </w:rPr>
            </w:pPr>
          </w:p>
        </w:tc>
        <w:tc>
          <w:tcPr>
            <w:tcW w:w="198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852</w:t>
            </w:r>
          </w:p>
        </w:tc>
        <w:tc>
          <w:tcPr>
            <w:tcW w:w="14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118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639</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r>
      <w:tr>
        <w:trPr>
          <w:trHeight w:val="64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80" w:type="dxa"/>
            <w:vAlign w:val="bottom"/>
          </w:tcPr>
          <w:p>
            <w:pPr>
              <w:jc w:val="right"/>
              <w:ind w:right="370"/>
              <w:spacing w:after="0"/>
              <w:rPr>
                <w:sz w:val="20"/>
                <w:szCs w:val="20"/>
                <w:color w:val="auto"/>
              </w:rPr>
            </w:pPr>
            <w:r>
              <w:rPr>
                <w:rFonts w:ascii="Arial" w:cs="Arial" w:eastAsia="Arial" w:hAnsi="Arial"/>
                <w:sz w:val="18"/>
                <w:szCs w:val="18"/>
                <w:color w:val="auto"/>
              </w:rPr>
              <w:t>71</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7"/>
        </w:trPr>
        <w:tc>
          <w:tcPr>
            <w:tcW w:w="20" w:type="dxa"/>
            <w:vAlign w:val="bottom"/>
          </w:tcPr>
          <w:p>
            <w:pPr>
              <w:spacing w:after="0"/>
              <w:rPr>
                <w:sz w:val="7"/>
                <w:szCs w:val="7"/>
                <w:color w:val="auto"/>
              </w:rPr>
            </w:pPr>
          </w:p>
        </w:tc>
        <w:tc>
          <w:tcPr>
            <w:tcW w:w="418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71" w:name="page72"/>
    <w:bookmarkEnd w:id="71"/>
    <w:p>
      <w:pPr>
        <w:jc w:val="both"/>
        <w:ind w:right="60"/>
        <w:spacing w:after="0" w:line="285" w:lineRule="auto"/>
        <w:rPr>
          <w:sz w:val="20"/>
          <w:szCs w:val="20"/>
          <w:color w:val="auto"/>
        </w:rPr>
      </w:pPr>
      <w:r>
        <w:rPr>
          <w:rFonts w:ascii="Arial" w:cs="Arial" w:eastAsia="Arial" w:hAnsi="Arial"/>
          <w:sz w:val="17"/>
          <w:szCs w:val="17"/>
          <w:color w:val="auto"/>
        </w:rPr>
        <w:t>We recognized expense of $0.8, $2.9 and $3.3 related to stock options for the years ended December 31, 2022, 2021 and 2020, respectively. The total fair value of options vested during the same periods was $2.8, $2.6 and $2.3, respectively. As of December 31, 2022, total unrecognized compensation cost was $0.7, net of estimated forfeitures, which we expect to recognize over a weighted-average period of approximately 2.0 years.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We estimated the fair value of each stock option on the date of grant using the Black-Scholes option pricing model and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4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Average risk-free interest rate</w:t>
            </w:r>
          </w:p>
        </w:tc>
        <w:tc>
          <w:tcPr>
            <w:tcW w:w="4580" w:type="dxa"/>
            <w:vAlign w:val="bottom"/>
          </w:tcPr>
          <w:p>
            <w:pPr>
              <w:jc w:val="right"/>
              <w:ind w:right="470"/>
              <w:spacing w:after="0"/>
              <w:rPr>
                <w:sz w:val="20"/>
                <w:szCs w:val="20"/>
                <w:color w:val="auto"/>
              </w:rPr>
            </w:pPr>
            <w:r>
              <w:rPr>
                <w:rFonts w:ascii="Arial" w:cs="Arial" w:eastAsia="Arial" w:hAnsi="Arial"/>
                <w:sz w:val="18"/>
                <w:szCs w:val="18"/>
                <w:color w:val="auto"/>
              </w:rPr>
              <w:t>0.7 %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41"/>
        </w:trPr>
        <w:tc>
          <w:tcPr>
            <w:tcW w:w="56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4580" w:type="dxa"/>
            <w:vAlign w:val="bottom"/>
          </w:tcPr>
          <w:p>
            <w:pPr>
              <w:jc w:val="right"/>
              <w:ind w:right="470"/>
              <w:spacing w:after="0"/>
              <w:rPr>
                <w:sz w:val="20"/>
                <w:szCs w:val="20"/>
                <w:color w:val="auto"/>
              </w:rPr>
            </w:pPr>
            <w:r>
              <w:rPr>
                <w:rFonts w:ascii="Arial" w:cs="Arial" w:eastAsia="Arial" w:hAnsi="Arial"/>
                <w:sz w:val="18"/>
                <w:szCs w:val="18"/>
                <w:color w:val="auto"/>
              </w:rPr>
              <w:t>2.7 %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42"/>
        </w:trPr>
        <w:tc>
          <w:tcPr>
            <w:tcW w:w="56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580" w:type="dxa"/>
            <w:vAlign w:val="bottom"/>
          </w:tcPr>
          <w:p>
            <w:pPr>
              <w:jc w:val="right"/>
              <w:ind w:right="470"/>
              <w:spacing w:after="0"/>
              <w:rPr>
                <w:sz w:val="20"/>
                <w:szCs w:val="20"/>
                <w:color w:val="auto"/>
              </w:rPr>
            </w:pPr>
            <w:r>
              <w:rPr>
                <w:rFonts w:ascii="Arial" w:cs="Arial" w:eastAsia="Arial" w:hAnsi="Arial"/>
                <w:sz w:val="18"/>
                <w:szCs w:val="18"/>
                <w:color w:val="auto"/>
              </w:rPr>
              <w:t>35.0 %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27.0 %</w:t>
            </w:r>
          </w:p>
        </w:tc>
      </w:tr>
      <w:tr>
        <w:trPr>
          <w:trHeight w:val="249"/>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Expected term (years)</w:t>
            </w:r>
          </w:p>
        </w:tc>
        <w:tc>
          <w:tcPr>
            <w:tcW w:w="4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6.0</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955" cy="1536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-315595</wp:posOffset>
            </wp:positionV>
            <wp:extent cx="7132955" cy="1536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81"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The average risk-free interest rate is based on United States Treasury security rates corresponding to the expected term in effect as of the grant date. The expected dividend yield is based on the expected annual dividend as a percentage of the market value of our common stock as of the grant date. We determined expected volatility using a weighted average of daily historical volatility (weighted 75%) of our stock price over the past five years and implied volatility (weighted 25%)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per option granted during the year was $22.83 and $18.95 in 2021 and 2020,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w:t>
      </w:r>
    </w:p>
    <w:p>
      <w:pPr>
        <w:spacing w:after="0" w:line="183"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2011 Plan; the deferred stock is settled in shares of common stock according to these terms and conditions. During December 31, 2022, 2021 and 2020, there were 4,775, 1,086 and 1,432, respectively, shares of deferred stock awarded under this arrangement, all of which are vested.</w:t>
      </w:r>
    </w:p>
    <w:p>
      <w:pPr>
        <w:spacing w:after="0" w:line="146"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Non-employee directors also receive an annual grant of deferred stock (or restricted stock, if they so elect) as additional compensation for board service. The award vests in equal quarterly installments over one year and the vested portion of the deferred stock is settled in shares of common stock either three years after the date of grant (which may in most cases be extended at the directors’ election) or upon a director’s termination of service in accordance with the terms and conditions under the 2011 Plan. During 2022, 2021 and 2020, there were 12,698, 15,528 and 11,004, respectively, shares of deferred stock awarded under this arrangement, all of which are vested. We recognized expense of $1.8, $1.7 and $1.3 related to deferred stock in 2022, 2021 and 2020,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83"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We grant restricted stock and restricted stock unit awards to certain employees and to non-employee directors who may elect to receive restricted stock rather than deferred stock as described above. Restrictions lapse over periods ranging up to six years, and in some cases upon retirement. We value restricted stock awards at the closing market value of our common stock on the date of grant.</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340" w:right="2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 summary of restricted stock activity is as follows:</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25"/>
        </w:trPr>
        <w:tc>
          <w:tcPr>
            <w:tcW w:w="5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Wtd. Avg.</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5"/>
        </w:trPr>
        <w:tc>
          <w:tcPr>
            <w:tcW w:w="5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Remaining</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5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Contractu</w:t>
            </w: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Aggregate</w:t>
            </w:r>
          </w:p>
        </w:tc>
      </w:tr>
      <w:tr>
        <w:trPr>
          <w:trHeight w:val="215"/>
        </w:trPr>
        <w:tc>
          <w:tcPr>
            <w:tcW w:w="5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Wtd. Avg.</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al</w:t>
            </w:r>
          </w:p>
        </w:tc>
        <w:tc>
          <w:tcPr>
            <w:tcW w:w="18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Intrinsic</w:t>
            </w:r>
          </w:p>
        </w:tc>
      </w:tr>
      <w:tr>
        <w:trPr>
          <w:trHeight w:val="215"/>
        </w:trPr>
        <w:tc>
          <w:tcPr>
            <w:tcW w:w="5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Price Per</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Term</w:t>
            </w: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Value</w:t>
            </w:r>
          </w:p>
        </w:tc>
      </w:tr>
      <w:tr>
        <w:trPr>
          <w:trHeight w:val="240"/>
        </w:trPr>
        <w:tc>
          <w:tcPr>
            <w:tcW w:w="52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 (000)</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Share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(in millions)</w:t>
            </w:r>
          </w:p>
        </w:tc>
      </w:tr>
      <w:tr>
        <w:trPr>
          <w:trHeight w:val="242"/>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January 1, 2020</w:t>
            </w:r>
          </w:p>
        </w:tc>
        <w:tc>
          <w:tcPr>
            <w:tcW w:w="2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97</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6"/>
        </w:trPr>
        <w:tc>
          <w:tcPr>
            <w:tcW w:w="5280" w:type="dxa"/>
            <w:vAlign w:val="bottom"/>
          </w:tcPr>
          <w:p>
            <w:pPr>
              <w:ind w:left="120"/>
              <w:spacing w:after="0"/>
              <w:rPr>
                <w:sz w:val="20"/>
                <w:szCs w:val="20"/>
                <w:color w:val="auto"/>
              </w:rPr>
            </w:pPr>
            <w:r>
              <w:rPr>
                <w:rFonts w:ascii="Arial" w:cs="Arial" w:eastAsia="Arial" w:hAnsi="Arial"/>
                <w:sz w:val="18"/>
                <w:szCs w:val="18"/>
                <w:color w:val="auto"/>
              </w:rPr>
              <w:t>Granted</w:t>
            </w:r>
          </w:p>
        </w:tc>
        <w:tc>
          <w:tcPr>
            <w:tcW w:w="260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92</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8"/>
        </w:trPr>
        <w:tc>
          <w:tcPr>
            <w:tcW w:w="5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Vested</w:t>
            </w:r>
          </w:p>
        </w:tc>
        <w:tc>
          <w:tcPr>
            <w:tcW w:w="2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(145 )</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95</w:t>
            </w: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6"/>
        </w:trPr>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Forfeited</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w:t>
            </w: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36"/>
        </w:trPr>
        <w:tc>
          <w:tcPr>
            <w:tcW w:w="5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Unvested, December 31, 2020</w:t>
            </w:r>
          </w:p>
        </w:tc>
        <w:tc>
          <w:tcPr>
            <w:tcW w:w="2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94</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r>
      <w:tr>
        <w:trPr>
          <w:trHeight w:val="236"/>
        </w:trPr>
        <w:tc>
          <w:tcPr>
            <w:tcW w:w="5280" w:type="dxa"/>
            <w:vAlign w:val="bottom"/>
          </w:tcPr>
          <w:p>
            <w:pPr>
              <w:ind w:left="120"/>
              <w:spacing w:after="0"/>
              <w:rPr>
                <w:sz w:val="20"/>
                <w:szCs w:val="20"/>
                <w:color w:val="auto"/>
              </w:rPr>
            </w:pPr>
            <w:r>
              <w:rPr>
                <w:rFonts w:ascii="Arial" w:cs="Arial" w:eastAsia="Arial" w:hAnsi="Arial"/>
                <w:sz w:val="18"/>
                <w:szCs w:val="18"/>
                <w:color w:val="auto"/>
              </w:rPr>
              <w:t>Granted</w:t>
            </w:r>
          </w:p>
        </w:tc>
        <w:tc>
          <w:tcPr>
            <w:tcW w:w="260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8"/>
        </w:trPr>
        <w:tc>
          <w:tcPr>
            <w:tcW w:w="5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Vested</w:t>
            </w:r>
          </w:p>
        </w:tc>
        <w:tc>
          <w:tcPr>
            <w:tcW w:w="2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(124 )</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106</w:t>
            </w: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6"/>
        </w:trPr>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Forfeited</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w:t>
            </w: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36"/>
        </w:trPr>
        <w:tc>
          <w:tcPr>
            <w:tcW w:w="5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Unvested, December 31, 2021</w:t>
            </w:r>
          </w:p>
        </w:tc>
        <w:tc>
          <w:tcPr>
            <w:tcW w:w="2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85</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r>
      <w:tr>
        <w:trPr>
          <w:trHeight w:val="236"/>
        </w:trPr>
        <w:tc>
          <w:tcPr>
            <w:tcW w:w="5280" w:type="dxa"/>
            <w:vAlign w:val="bottom"/>
          </w:tcPr>
          <w:p>
            <w:pPr>
              <w:ind w:left="120"/>
              <w:spacing w:after="0"/>
              <w:rPr>
                <w:sz w:val="20"/>
                <w:szCs w:val="20"/>
                <w:color w:val="auto"/>
              </w:rPr>
            </w:pPr>
            <w:r>
              <w:rPr>
                <w:rFonts w:ascii="Arial" w:cs="Arial" w:eastAsia="Arial" w:hAnsi="Arial"/>
                <w:sz w:val="18"/>
                <w:szCs w:val="18"/>
                <w:color w:val="auto"/>
              </w:rPr>
              <w:t>Granted</w:t>
            </w:r>
          </w:p>
        </w:tc>
        <w:tc>
          <w:tcPr>
            <w:tcW w:w="260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8"/>
        </w:trPr>
        <w:tc>
          <w:tcPr>
            <w:tcW w:w="5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Vested</w:t>
            </w:r>
          </w:p>
        </w:tc>
        <w:tc>
          <w:tcPr>
            <w:tcW w:w="2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(177 )</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80</w:t>
            </w: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6"/>
        </w:trPr>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Forfeited</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88</w:t>
            </w: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36"/>
        </w:trPr>
        <w:tc>
          <w:tcPr>
            <w:tcW w:w="5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Unvested, December 31, 2022</w:t>
            </w:r>
          </w:p>
        </w:tc>
        <w:tc>
          <w:tcPr>
            <w:tcW w:w="2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94</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r>
    </w:tbl>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2022, 2021 and 2020, there were 7,192, 7,764 and 7,208, respectively, shares of restricted stock granted to our non-employee directors, all of which are vested except for 1,258 shares granted in 2021 that were cancelled. During 2022, 2021 and 2020, we recognized $19.1, $15.6 and $15.7, respectively, of expense related to restricted stock awards. As of December 31, 2022, there was $16.8 of total unrecognized compensation cost related to unvested restricted stock, which we expect to recognize over a weighted-average period of approximately 2.0 years.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2011 Plan allows us to grant performance share units. We grant performance share units with a performance period ranging from one to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or in certain cases all of the units vest.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may be applied to the units awarded based on the performance criteria determined by the People, Culture and Compensation Committee of the Board of Directors at the time of grant. Final determination of the payout is at the discretion of the People, Culture and Compensation Committee ("the Committee").</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event the performance criteria exceeds the Target Award level, an additional number of shares, up to the Outstanding Award level, may be granted. In the event the performance criteria falls below the Target Award level, a reduced number of shares, as low as the Threshold Award level, may be granted. If the performance criteria falls below the Threshold Award level, no shares will be granted.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A summary of the performance share units detail by grant year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 (Regular)</w:t>
            </w: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2021 (Additional)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 (Regular)</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2022 (Experis)</w:t>
            </w:r>
          </w:p>
        </w:tc>
        <w:tc>
          <w:tcPr>
            <w:tcW w:w="0" w:type="dxa"/>
            <w:vAlign w:val="bottom"/>
          </w:tcPr>
          <w:p>
            <w:pPr>
              <w:spacing w:after="0"/>
              <w:rPr>
                <w:sz w:val="1"/>
                <w:szCs w:val="1"/>
                <w:color w:val="auto"/>
              </w:rPr>
            </w:pPr>
          </w:p>
        </w:tc>
      </w:tr>
      <w:tr>
        <w:trPr>
          <w:trHeight w:val="214"/>
        </w:trPr>
        <w:tc>
          <w:tcPr>
            <w:tcW w:w="2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 Date(s)</w:t>
            </w:r>
          </w:p>
        </w:tc>
        <w:tc>
          <w:tcPr>
            <w:tcW w:w="16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February 12,</w:t>
            </w:r>
          </w:p>
        </w:tc>
        <w:tc>
          <w:tcPr>
            <w:tcW w:w="15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February 12,</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February 11,</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February 11,</w:t>
            </w:r>
          </w:p>
        </w:tc>
        <w:tc>
          <w:tcPr>
            <w:tcW w:w="0" w:type="dxa"/>
            <w:vAlign w:val="bottom"/>
          </w:tcPr>
          <w:p>
            <w:pPr>
              <w:spacing w:after="0"/>
              <w:rPr>
                <w:sz w:val="1"/>
                <w:szCs w:val="1"/>
                <w:color w:val="auto"/>
              </w:rPr>
            </w:pPr>
          </w:p>
        </w:tc>
      </w:tr>
      <w:tr>
        <w:trPr>
          <w:trHeight w:val="243"/>
        </w:trPr>
        <w:tc>
          <w:tcPr>
            <w:tcW w:w="220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February 15, 2019</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February 14, 2020</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2021</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6"/>
        </w:trPr>
        <w:tc>
          <w:tcPr>
            <w:tcW w:w="2200" w:type="dxa"/>
            <w:vAlign w:val="bottom"/>
          </w:tcPr>
          <w:p>
            <w:pPr>
              <w:ind w:left="20"/>
              <w:spacing w:after="0"/>
              <w:rPr>
                <w:sz w:val="20"/>
                <w:szCs w:val="20"/>
                <w:color w:val="auto"/>
              </w:rPr>
            </w:pPr>
            <w:r>
              <w:rPr>
                <w:rFonts w:ascii="Arial" w:cs="Arial" w:eastAsia="Arial" w:hAnsi="Arial"/>
                <w:sz w:val="18"/>
                <w:szCs w:val="18"/>
                <w:color w:val="auto"/>
                <w:w w:val="97"/>
              </w:rPr>
              <w:t>Performance Period (years)</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2019-2021</w:t>
            </w:r>
          </w:p>
        </w:tc>
        <w:tc>
          <w:tcPr>
            <w:tcW w:w="1480" w:type="dxa"/>
            <w:vAlign w:val="bottom"/>
          </w:tcPr>
          <w:p>
            <w:pPr>
              <w:jc w:val="right"/>
              <w:spacing w:after="0"/>
              <w:rPr>
                <w:sz w:val="20"/>
                <w:szCs w:val="20"/>
                <w:color w:val="auto"/>
              </w:rPr>
            </w:pPr>
            <w:r>
              <w:rPr>
                <w:rFonts w:ascii="Arial" w:cs="Arial" w:eastAsia="Arial" w:hAnsi="Arial"/>
                <w:sz w:val="18"/>
                <w:szCs w:val="18"/>
                <w:color w:val="auto"/>
              </w:rPr>
              <w:t>2020-2022</w:t>
            </w:r>
          </w:p>
        </w:tc>
        <w:tc>
          <w:tcPr>
            <w:tcW w:w="1760" w:type="dxa"/>
            <w:vAlign w:val="bottom"/>
          </w:tcPr>
          <w:p>
            <w:pPr>
              <w:jc w:val="right"/>
              <w:spacing w:after="0"/>
              <w:rPr>
                <w:sz w:val="20"/>
                <w:szCs w:val="20"/>
                <w:color w:val="auto"/>
              </w:rPr>
            </w:pPr>
            <w:r>
              <w:rPr>
                <w:rFonts w:ascii="Arial" w:cs="Arial" w:eastAsia="Arial" w:hAnsi="Arial"/>
                <w:sz w:val="18"/>
                <w:szCs w:val="18"/>
                <w:color w:val="auto"/>
              </w:rPr>
              <w:t>2021</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2021-2022</w:t>
            </w:r>
          </w:p>
        </w:tc>
        <w:tc>
          <w:tcPr>
            <w:tcW w:w="1340" w:type="dxa"/>
            <w:vAlign w:val="bottom"/>
          </w:tcPr>
          <w:p>
            <w:pPr>
              <w:jc w:val="right"/>
              <w:spacing w:after="0"/>
              <w:rPr>
                <w:sz w:val="20"/>
                <w:szCs w:val="20"/>
                <w:color w:val="auto"/>
              </w:rPr>
            </w:pPr>
            <w:r>
              <w:rPr>
                <w:rFonts w:ascii="Arial" w:cs="Arial" w:eastAsia="Arial" w:hAnsi="Arial"/>
                <w:sz w:val="18"/>
                <w:szCs w:val="18"/>
                <w:color w:val="auto"/>
              </w:rPr>
              <w:t>2022-2024</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2022-2024</w:t>
            </w:r>
          </w:p>
        </w:tc>
        <w:tc>
          <w:tcPr>
            <w:tcW w:w="0" w:type="dxa"/>
            <w:vAlign w:val="bottom"/>
          </w:tcPr>
          <w:p>
            <w:pPr>
              <w:spacing w:after="0"/>
              <w:rPr>
                <w:sz w:val="1"/>
                <w:szCs w:val="1"/>
                <w:color w:val="auto"/>
              </w:rPr>
            </w:pPr>
          </w:p>
        </w:tc>
      </w:tr>
      <w:tr>
        <w:trPr>
          <w:trHeight w:val="248"/>
        </w:trPr>
        <w:tc>
          <w:tcPr>
            <w:tcW w:w="2200" w:type="dxa"/>
            <w:vAlign w:val="bottom"/>
            <w:shd w:val="clear" w:color="auto" w:fill="CFF0FC"/>
          </w:tcPr>
          <w:p>
            <w:pPr>
              <w:ind w:left="20"/>
              <w:spacing w:after="0" w:line="248" w:lineRule="exact"/>
              <w:rPr>
                <w:sz w:val="20"/>
                <w:szCs w:val="20"/>
                <w:color w:val="auto"/>
              </w:rPr>
            </w:pPr>
            <w:r>
              <w:rPr>
                <w:rFonts w:ascii="Arial" w:cs="Arial" w:eastAsia="Arial" w:hAnsi="Arial"/>
                <w:sz w:val="18"/>
                <w:szCs w:val="18"/>
                <w:color w:val="auto"/>
              </w:rPr>
              <w:t>Vesting Date</w:t>
            </w:r>
            <w:r>
              <w:rPr>
                <w:rFonts w:ascii="Arial" w:cs="Arial" w:eastAsia="Arial" w:hAnsi="Arial"/>
                <w:sz w:val="24"/>
                <w:szCs w:val="24"/>
                <w:color w:val="auto"/>
                <w:vertAlign w:val="superscript"/>
              </w:rPr>
              <w:t>(1)</w:t>
            </w: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February 2022</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February 2023</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February 2024</w:t>
            </w: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February 2023</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February 2025</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February 2025</w:t>
            </w:r>
          </w:p>
        </w:tc>
        <w:tc>
          <w:tcPr>
            <w:tcW w:w="0" w:type="dxa"/>
            <w:vAlign w:val="bottom"/>
          </w:tcPr>
          <w:p>
            <w:pPr>
              <w:spacing w:after="0"/>
              <w:rPr>
                <w:sz w:val="1"/>
                <w:szCs w:val="1"/>
                <w:color w:val="auto"/>
              </w:rPr>
            </w:pPr>
          </w:p>
        </w:tc>
      </w:tr>
      <w:tr>
        <w:trPr>
          <w:trHeight w:val="236"/>
        </w:trPr>
        <w:tc>
          <w:tcPr>
            <w:tcW w:w="2200" w:type="dxa"/>
            <w:vAlign w:val="bottom"/>
          </w:tcPr>
          <w:p>
            <w:pPr>
              <w:ind w:left="20"/>
              <w:spacing w:after="0"/>
              <w:rPr>
                <w:sz w:val="20"/>
                <w:szCs w:val="20"/>
                <w:color w:val="auto"/>
              </w:rPr>
            </w:pPr>
            <w:r>
              <w:rPr>
                <w:rFonts w:ascii="Arial" w:cs="Arial" w:eastAsia="Arial" w:hAnsi="Arial"/>
                <w:sz w:val="18"/>
                <w:szCs w:val="18"/>
                <w:color w:val="auto"/>
              </w:rPr>
              <w:t>Payout Levels (in units):</w:t>
            </w:r>
          </w:p>
        </w:tc>
        <w:tc>
          <w:tcPr>
            <w:tcW w:w="1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Threshold Award</w:t>
            </w: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61,381</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59,698</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61,076</w:t>
            </w: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39,882</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200" w:type="dxa"/>
            <w:vAlign w:val="bottom"/>
          </w:tcPr>
          <w:p>
            <w:pPr>
              <w:ind w:left="200"/>
              <w:spacing w:after="0"/>
              <w:rPr>
                <w:sz w:val="20"/>
                <w:szCs w:val="20"/>
                <w:color w:val="auto"/>
              </w:rPr>
            </w:pPr>
            <w:r>
              <w:rPr>
                <w:rFonts w:ascii="Arial" w:cs="Arial" w:eastAsia="Arial" w:hAnsi="Arial"/>
                <w:sz w:val="18"/>
                <w:szCs w:val="18"/>
                <w:color w:val="auto"/>
              </w:rPr>
              <w:t>Target Award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122,761</w:t>
            </w:r>
          </w:p>
        </w:tc>
        <w:tc>
          <w:tcPr>
            <w:tcW w:w="1480" w:type="dxa"/>
            <w:vAlign w:val="bottom"/>
          </w:tcPr>
          <w:p>
            <w:pPr>
              <w:jc w:val="right"/>
              <w:spacing w:after="0"/>
              <w:rPr>
                <w:sz w:val="20"/>
                <w:szCs w:val="20"/>
                <w:color w:val="auto"/>
              </w:rPr>
            </w:pPr>
            <w:r>
              <w:rPr>
                <w:rFonts w:ascii="Arial" w:cs="Arial" w:eastAsia="Arial" w:hAnsi="Arial"/>
                <w:sz w:val="18"/>
                <w:szCs w:val="18"/>
                <w:color w:val="auto"/>
              </w:rPr>
              <w:t>119,395</w:t>
            </w:r>
          </w:p>
        </w:tc>
        <w:tc>
          <w:tcPr>
            <w:tcW w:w="1760" w:type="dxa"/>
            <w:vAlign w:val="bottom"/>
          </w:tcPr>
          <w:p>
            <w:pPr>
              <w:jc w:val="right"/>
              <w:spacing w:after="0"/>
              <w:rPr>
                <w:sz w:val="20"/>
                <w:szCs w:val="20"/>
                <w:color w:val="auto"/>
              </w:rPr>
            </w:pPr>
            <w:r>
              <w:rPr>
                <w:rFonts w:ascii="Arial" w:cs="Arial" w:eastAsia="Arial" w:hAnsi="Arial"/>
                <w:sz w:val="18"/>
                <w:szCs w:val="18"/>
                <w:color w:val="auto"/>
              </w:rPr>
              <w:t>122,152</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79,763</w:t>
            </w:r>
          </w:p>
        </w:tc>
        <w:tc>
          <w:tcPr>
            <w:tcW w:w="1340" w:type="dxa"/>
            <w:vAlign w:val="bottom"/>
          </w:tcPr>
          <w:p>
            <w:pPr>
              <w:jc w:val="right"/>
              <w:spacing w:after="0"/>
              <w:rPr>
                <w:sz w:val="20"/>
                <w:szCs w:val="20"/>
                <w:color w:val="auto"/>
              </w:rPr>
            </w:pPr>
            <w:r>
              <w:rPr>
                <w:rFonts w:ascii="Arial" w:cs="Arial" w:eastAsia="Arial" w:hAnsi="Arial"/>
                <w:sz w:val="18"/>
                <w:szCs w:val="18"/>
                <w:color w:val="auto"/>
              </w:rPr>
              <w:t>106,116</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28,275</w:t>
            </w:r>
          </w:p>
        </w:tc>
        <w:tc>
          <w:tcPr>
            <w:tcW w:w="0" w:type="dxa"/>
            <w:vAlign w:val="bottom"/>
          </w:tcPr>
          <w:p>
            <w:pPr>
              <w:spacing w:after="0"/>
              <w:rPr>
                <w:sz w:val="1"/>
                <w:szCs w:val="1"/>
                <w:color w:val="auto"/>
              </w:rPr>
            </w:pPr>
          </w:p>
        </w:tc>
      </w:tr>
      <w:tr>
        <w:trPr>
          <w:trHeight w:val="242"/>
        </w:trPr>
        <w:tc>
          <w:tcPr>
            <w:tcW w:w="22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Outstanding Award</w:t>
            </w:r>
          </w:p>
        </w:tc>
        <w:tc>
          <w:tcPr>
            <w:tcW w:w="1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245,522</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238,790</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244,304</w:t>
            </w:r>
          </w:p>
        </w:tc>
        <w:tc>
          <w:tcPr>
            <w:tcW w:w="15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159,526</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212,232</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84,826</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5" w:lineRule="exact"/>
              <w:rPr>
                <w:sz w:val="20"/>
                <w:szCs w:val="20"/>
                <w:color w:val="auto"/>
              </w:rPr>
            </w:pPr>
            <w:r>
              <w:rPr>
                <w:rFonts w:ascii="Arial" w:cs="Arial" w:eastAsia="Arial" w:hAnsi="Arial"/>
                <w:sz w:val="18"/>
                <w:szCs w:val="18"/>
                <w:color w:val="auto"/>
              </w:rPr>
              <w:t>Shares Issued in 2022</w:t>
            </w:r>
          </w:p>
        </w:tc>
        <w:tc>
          <w:tcPr>
            <w:tcW w:w="1620" w:type="dxa"/>
            <w:vAlign w:val="bottom"/>
          </w:tcPr>
          <w:p>
            <w:pPr>
              <w:jc w:val="right"/>
              <w:ind w:right="10"/>
              <w:spacing w:after="0" w:line="175" w:lineRule="exact"/>
              <w:rPr>
                <w:sz w:val="20"/>
                <w:szCs w:val="20"/>
                <w:color w:val="auto"/>
              </w:rPr>
            </w:pPr>
            <w:r>
              <w:rPr>
                <w:rFonts w:ascii="Arial" w:cs="Arial" w:eastAsia="Arial" w:hAnsi="Arial"/>
                <w:sz w:val="18"/>
                <w:szCs w:val="18"/>
                <w:color w:val="auto"/>
              </w:rPr>
              <w:t>81,700</w:t>
            </w:r>
          </w:p>
        </w:tc>
        <w:tc>
          <w:tcPr>
            <w:tcW w:w="1480" w:type="dxa"/>
            <w:vAlign w:val="bottom"/>
          </w:tcPr>
          <w:p>
            <w:pPr>
              <w:jc w:val="right"/>
              <w:spacing w:after="0" w:line="175" w:lineRule="exact"/>
              <w:rPr>
                <w:sz w:val="20"/>
                <w:szCs w:val="20"/>
                <w:color w:val="auto"/>
              </w:rPr>
            </w:pPr>
            <w:r>
              <w:rPr>
                <w:rFonts w:ascii="Arial" w:cs="Arial" w:eastAsia="Arial" w:hAnsi="Arial"/>
                <w:sz w:val="18"/>
                <w:szCs w:val="18"/>
                <w:color w:val="auto"/>
              </w:rPr>
              <w:t>N/A</w:t>
            </w:r>
          </w:p>
        </w:tc>
        <w:tc>
          <w:tcPr>
            <w:tcW w:w="1760" w:type="dxa"/>
            <w:vAlign w:val="bottom"/>
          </w:tcPr>
          <w:p>
            <w:pPr>
              <w:jc w:val="right"/>
              <w:spacing w:after="0" w:line="175" w:lineRule="exact"/>
              <w:rPr>
                <w:sz w:val="20"/>
                <w:szCs w:val="20"/>
                <w:color w:val="auto"/>
              </w:rPr>
            </w:pPr>
            <w:r>
              <w:rPr>
                <w:rFonts w:ascii="Arial" w:cs="Arial" w:eastAsia="Arial" w:hAnsi="Arial"/>
                <w:sz w:val="18"/>
                <w:szCs w:val="18"/>
                <w:color w:val="auto"/>
              </w:rPr>
              <w:t>N/A</w:t>
            </w:r>
          </w:p>
        </w:tc>
        <w:tc>
          <w:tcPr>
            <w:tcW w:w="1560" w:type="dxa"/>
            <w:vAlign w:val="bottom"/>
          </w:tcPr>
          <w:p>
            <w:pPr>
              <w:jc w:val="right"/>
              <w:ind w:right="110"/>
              <w:spacing w:after="0" w:line="175" w:lineRule="exact"/>
              <w:rPr>
                <w:sz w:val="20"/>
                <w:szCs w:val="20"/>
                <w:color w:val="auto"/>
              </w:rPr>
            </w:pPr>
            <w:r>
              <w:rPr>
                <w:rFonts w:ascii="Arial" w:cs="Arial" w:eastAsia="Arial" w:hAnsi="Arial"/>
                <w:sz w:val="18"/>
                <w:szCs w:val="18"/>
                <w:color w:val="auto"/>
              </w:rPr>
              <w:t>N/A</w:t>
            </w:r>
          </w:p>
        </w:tc>
        <w:tc>
          <w:tcPr>
            <w:tcW w:w="1340" w:type="dxa"/>
            <w:vAlign w:val="bottom"/>
          </w:tcPr>
          <w:p>
            <w:pPr>
              <w:jc w:val="right"/>
              <w:spacing w:after="0" w:line="175" w:lineRule="exact"/>
              <w:rPr>
                <w:sz w:val="20"/>
                <w:szCs w:val="20"/>
                <w:color w:val="auto"/>
              </w:rPr>
            </w:pPr>
            <w:r>
              <w:rPr>
                <w:rFonts w:ascii="Arial" w:cs="Arial" w:eastAsia="Arial" w:hAnsi="Arial"/>
                <w:sz w:val="18"/>
                <w:szCs w:val="18"/>
                <w:color w:val="auto"/>
              </w:rPr>
              <w:t>N/A</w:t>
            </w:r>
          </w:p>
        </w:tc>
        <w:tc>
          <w:tcPr>
            <w:tcW w:w="1280" w:type="dxa"/>
            <w:vAlign w:val="bottom"/>
          </w:tcPr>
          <w:p>
            <w:pPr>
              <w:jc w:val="right"/>
              <w:ind w:right="30"/>
              <w:spacing w:after="0" w:line="175"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53"/>
        </w:trPr>
        <w:tc>
          <w:tcPr>
            <w:tcW w:w="2200" w:type="dxa"/>
            <w:vAlign w:val="bottom"/>
            <w:vMerge w:val="restart"/>
          </w:tcPr>
          <w:p>
            <w:pPr>
              <w:ind w:left="20"/>
              <w:spacing w:after="0"/>
              <w:rPr>
                <w:sz w:val="20"/>
                <w:szCs w:val="20"/>
                <w:color w:val="auto"/>
              </w:rPr>
            </w:pPr>
            <w:r>
              <w:rPr>
                <w:rFonts w:ascii="Arial" w:cs="Arial" w:eastAsia="Arial" w:hAnsi="Arial"/>
                <w:sz w:val="18"/>
                <w:szCs w:val="18"/>
                <w:color w:val="auto"/>
              </w:rPr>
              <w:t>Payout Achieved</w:t>
            </w:r>
          </w:p>
        </w:tc>
        <w:tc>
          <w:tcPr>
            <w:tcW w:w="1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60" w:type="dxa"/>
            <w:vAlign w:val="bottom"/>
          </w:tcPr>
          <w:p>
            <w:pPr>
              <w:jc w:val="right"/>
              <w:ind w:right="1453"/>
              <w:spacing w:after="0"/>
              <w:rPr>
                <w:sz w:val="20"/>
                <w:szCs w:val="20"/>
                <w:color w:val="auto"/>
              </w:rPr>
            </w:pPr>
            <w:r>
              <w:rPr>
                <w:rFonts w:ascii="Arial" w:cs="Arial" w:eastAsia="Arial" w:hAnsi="Arial"/>
                <w:sz w:val="12"/>
                <w:szCs w:val="12"/>
                <w:color w:val="auto"/>
              </w:rPr>
              <w:t>(2)</w:t>
            </w:r>
          </w:p>
        </w:tc>
        <w:tc>
          <w:tcPr>
            <w:tcW w:w="1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0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Over Performance Period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81,700</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244,304</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159,526</w:t>
            </w:r>
          </w:p>
        </w:tc>
        <w:tc>
          <w:tcPr>
            <w:tcW w:w="1340" w:type="dxa"/>
            <w:vAlign w:val="bottom"/>
          </w:tcPr>
          <w:p>
            <w:pPr>
              <w:jc w:val="right"/>
              <w:spacing w:after="0"/>
              <w:rPr>
                <w:sz w:val="20"/>
                <w:szCs w:val="20"/>
                <w:color w:val="auto"/>
              </w:rPr>
            </w:pPr>
            <w:r>
              <w:rPr>
                <w:rFonts w:ascii="Arial" w:cs="Arial" w:eastAsia="Arial" w:hAnsi="Arial"/>
                <w:sz w:val="18"/>
                <w:szCs w:val="18"/>
                <w:color w:val="auto"/>
              </w:rPr>
              <w:t>N/A</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955" cy="2990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955" cy="299085"/>
                    </a:xfrm>
                    <a:prstGeom prst="rect">
                      <a:avLst/>
                    </a:prstGeom>
                    <a:noFill/>
                  </pic:spPr>
                </pic:pic>
              </a:graphicData>
            </a:graphic>
          </wp:anchor>
        </w:drawing>
      </w:r>
    </w:p>
    <w:p>
      <w:pPr>
        <w:ind w:left="240" w:hanging="232"/>
        <w:spacing w:after="0"/>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Awards are scheduled to vest after the Committee determines the achievement of the performance criteria.</w:t>
      </w:r>
    </w:p>
    <w:p>
      <w:pPr>
        <w:spacing w:after="0" w:line="21" w:lineRule="exact"/>
        <w:rPr>
          <w:rFonts w:ascii="Arial" w:cs="Arial" w:eastAsia="Arial" w:hAnsi="Arial"/>
          <w:sz w:val="16"/>
          <w:szCs w:val="16"/>
          <w:color w:val="auto"/>
        </w:rPr>
      </w:pPr>
    </w:p>
    <w:p>
      <w:pPr>
        <w:ind w:firstLine="8"/>
        <w:spacing w:after="0" w:line="286" w:lineRule="auto"/>
        <w:tabs>
          <w:tab w:leader="none" w:pos="229"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fourth quarter of 2022, the Committee exercised its discretion in respect of the payout of the 2020 grant. On the basis that an additional special one-time grant had been awarded in 2021 to supplement the 2020 grant, the Committee determined that the 2020 grant would have a zero payout.</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and adjust compensation expense based on the likelihood of the performance criteria specified in the award being achieved. The compensation expense is recognized over the performance and holding periods and is recorded in selling and administrative expenses. We recognized total compensation expense of $15.6, $16.3 and $3.7 in 2022, 2021 and 2020, respectively, related to the performance share units. For 2022, additional expense from the Experis award at the outstanding payout level was offset by the reversal of cumulative expense related to the 2020 grant upon the Board of Directors' exercise of its discretion to reduce the payout to zero. The higher expense in 2021 compared to 2020 resulted from a combination of higher estimated payout levels and the additional special one-time grant awarded in 2021.</w:t>
      </w:r>
    </w:p>
    <w:p>
      <w:pPr>
        <w:spacing w:after="0" w:line="152"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282A32"/>
        </w:rPr>
      </w:pPr>
      <w:r>
        <w:rPr>
          <w:rFonts w:ascii="Arial" w:cs="Arial" w:eastAsia="Arial" w:hAnsi="Arial"/>
          <w:sz w:val="18"/>
          <w:szCs w:val="18"/>
          <w:u w:val="single" w:color="auto"/>
          <w:color w:val="282A32"/>
        </w:rPr>
        <w:t>Acquisitions and Dispositions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ettain group Acquisition</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1, 2021, we acquired ettain group, one of the largest privately held IT resourcing and services providers in North America. Effective that date, ettain group became part of our Experis business in the Americas segment. The acquisition is intended to accelerate our strategy of diversifying our business mix into higher growth and higher value services. The aggregate cash consideration paid was $930.9. Of the total consideration paid, $925.0 was for the acquired interests and the remaining $5.9 was for excess working capital and cash. The transaction was funded through cash on hand and a $150.0 draw on our revolving credit facility on October 1, 2021. We finalized the purchase accounting during the third quarter of 2022 and recognized post-closing working capital adjustments of $3.4 and income tax adjustments of $3.1 with a corresponding offset to goodwill.</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acquisition of ettain group was accounted for as a business combination, and the assets and liabilities of ettain group were included in the Consolidated Balance Sheets as of the acquisition date and the results of its operations have been included in the Consolidated Statements of Operations subsequent to the acquisition date.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The following table summarizes the final fair value of the assets and liabilities as of the acquisition date of October 1,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w:t>
            </w:r>
          </w:p>
        </w:tc>
      </w:tr>
      <w:tr>
        <w:trPr>
          <w:trHeight w:val="236"/>
        </w:trPr>
        <w:tc>
          <w:tcPr>
            <w:tcW w:w="86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0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132.6</w:t>
            </w:r>
          </w:p>
        </w:tc>
      </w:tr>
      <w:tr>
        <w:trPr>
          <w:trHeight w:val="248"/>
        </w:trPr>
        <w:tc>
          <w:tcPr>
            <w:tcW w:w="8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r>
      <w:tr>
        <w:trPr>
          <w:trHeight w:val="236"/>
        </w:trPr>
        <w:tc>
          <w:tcPr>
            <w:tcW w:w="866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10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8.7</w:t>
            </w:r>
          </w:p>
        </w:tc>
      </w:tr>
      <w:tr>
        <w:trPr>
          <w:trHeight w:val="248"/>
        </w:trPr>
        <w:tc>
          <w:tcPr>
            <w:tcW w:w="8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0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513.1</w:t>
            </w:r>
          </w:p>
        </w:tc>
      </w:tr>
      <w:tr>
        <w:trPr>
          <w:trHeight w:val="236"/>
        </w:trPr>
        <w:tc>
          <w:tcPr>
            <w:tcW w:w="866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customer relationship</w:t>
            </w:r>
          </w:p>
        </w:tc>
        <w:tc>
          <w:tcPr>
            <w:tcW w:w="10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360.0</w:t>
            </w:r>
          </w:p>
        </w:tc>
      </w:tr>
      <w:tr>
        <w:trPr>
          <w:trHeight w:val="248"/>
        </w:trPr>
        <w:tc>
          <w:tcPr>
            <w:tcW w:w="8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(21.6 )</w:t>
            </w:r>
          </w:p>
        </w:tc>
      </w:tr>
      <w:tr>
        <w:trPr>
          <w:trHeight w:val="236"/>
        </w:trPr>
        <w:tc>
          <w:tcPr>
            <w:tcW w:w="8660" w:type="dxa"/>
            <w:vAlign w:val="bottom"/>
          </w:tcPr>
          <w:p>
            <w:pPr>
              <w:ind w:left="20"/>
              <w:spacing w:after="0"/>
              <w:rPr>
                <w:sz w:val="20"/>
                <w:szCs w:val="20"/>
                <w:color w:val="auto"/>
              </w:rPr>
            </w:pPr>
            <w:r>
              <w:rPr>
                <w:rFonts w:ascii="Arial" w:cs="Arial" w:eastAsia="Arial" w:hAnsi="Arial"/>
                <w:sz w:val="18"/>
                <w:szCs w:val="18"/>
                <w:color w:val="auto"/>
              </w:rPr>
              <w:t>Employee compensation payable</w:t>
            </w:r>
          </w:p>
        </w:tc>
        <w:tc>
          <w:tcPr>
            <w:tcW w:w="10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(14.8 )</w:t>
            </w:r>
          </w:p>
        </w:tc>
      </w:tr>
      <w:tr>
        <w:trPr>
          <w:trHeight w:val="248"/>
        </w:trPr>
        <w:tc>
          <w:tcPr>
            <w:tcW w:w="8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10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(28.7 )</w:t>
            </w:r>
          </w:p>
        </w:tc>
      </w:tr>
      <w:tr>
        <w:trPr>
          <w:trHeight w:val="236"/>
        </w:trPr>
        <w:tc>
          <w:tcPr>
            <w:tcW w:w="8660" w:type="dxa"/>
            <w:vAlign w:val="bottom"/>
          </w:tcPr>
          <w:p>
            <w:pPr>
              <w:ind w:left="20"/>
              <w:spacing w:after="0"/>
              <w:rPr>
                <w:sz w:val="20"/>
                <w:szCs w:val="20"/>
                <w:color w:val="auto"/>
              </w:rPr>
            </w:pPr>
            <w:r>
              <w:rPr>
                <w:rFonts w:ascii="Arial" w:cs="Arial" w:eastAsia="Arial" w:hAnsi="Arial"/>
                <w:sz w:val="18"/>
                <w:szCs w:val="18"/>
                <w:color w:val="auto"/>
              </w:rPr>
              <w:t>Accrued payroll taxes and insurance</w:t>
            </w:r>
          </w:p>
        </w:tc>
        <w:tc>
          <w:tcPr>
            <w:tcW w:w="10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48"/>
        </w:trPr>
        <w:tc>
          <w:tcPr>
            <w:tcW w:w="8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Value added taxes payable</w:t>
            </w:r>
          </w:p>
        </w:tc>
        <w:tc>
          <w:tcPr>
            <w:tcW w:w="10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(3.0 )</w:t>
            </w:r>
          </w:p>
        </w:tc>
      </w:tr>
      <w:tr>
        <w:trPr>
          <w:trHeight w:val="236"/>
        </w:trPr>
        <w:tc>
          <w:tcPr>
            <w:tcW w:w="8660" w:type="dxa"/>
            <w:vAlign w:val="bottom"/>
          </w:tcPr>
          <w:p>
            <w:pPr>
              <w:ind w:left="20"/>
              <w:spacing w:after="0"/>
              <w:rPr>
                <w:sz w:val="20"/>
                <w:szCs w:val="20"/>
                <w:color w:val="auto"/>
              </w:rPr>
            </w:pPr>
            <w:r>
              <w:rPr>
                <w:rFonts w:ascii="Arial" w:cs="Arial" w:eastAsia="Arial" w:hAnsi="Arial"/>
                <w:sz w:val="18"/>
                <w:szCs w:val="18"/>
                <w:color w:val="auto"/>
              </w:rPr>
              <w:t>Long-term operating lease liability</w:t>
            </w:r>
          </w:p>
        </w:tc>
        <w:tc>
          <w:tcPr>
            <w:tcW w:w="10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42"/>
        </w:trPr>
        <w:tc>
          <w:tcPr>
            <w:tcW w:w="8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10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(20.4 )</w:t>
            </w:r>
          </w:p>
        </w:tc>
      </w:tr>
      <w:tr>
        <w:trPr>
          <w:trHeight w:val="236"/>
        </w:trPr>
        <w:tc>
          <w:tcPr>
            <w:tcW w:w="8660" w:type="dxa"/>
            <w:vAlign w:val="bottom"/>
          </w:tcPr>
          <w:p>
            <w:pPr>
              <w:ind w:left="120"/>
              <w:spacing w:after="0"/>
              <w:rPr>
                <w:sz w:val="20"/>
                <w:szCs w:val="20"/>
                <w:color w:val="auto"/>
              </w:rPr>
            </w:pPr>
            <w:r>
              <w:rPr>
                <w:rFonts w:ascii="Arial" w:cs="Arial" w:eastAsia="Arial" w:hAnsi="Arial"/>
                <w:sz w:val="18"/>
                <w:szCs w:val="18"/>
                <w:color w:val="auto"/>
              </w:rPr>
              <w:t>Total assets and liabilities</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930.9</w:t>
            </w:r>
          </w:p>
        </w:tc>
      </w:tr>
      <w:tr>
        <w:trPr>
          <w:trHeight w:val="20"/>
        </w:trPr>
        <w:tc>
          <w:tcPr>
            <w:tcW w:w="8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customer relationship intangible asset is amortized over a 15-year useful life. The customer relationship intangible asset and goodwill from the acquisition are partially deductible for income tax purposes. As of December 31, 2022, the carrying value of intangible assets and goodwill was $330.0 and $513.1, respectively. As of December 31, 2021, the carrying value of intangible assets and goodwill was $354.0 and $519.6, respectively. The goodwill is included within the United States reporting unit and is attributable to the workforce of the acquired business and expected synergies to occur post-acquisition as a result of diversifying the business into higher growth and higher value services.</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As of December 31, 2021, ettain group contributed revenues from services of $182.7 since the acquisition. Our consolidated unaudited proforma historical revenues from services and net earnings, as if ettain group had been acquired at the beginning of 2020, are estimated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Year Ended December 31,</w:t>
            </w:r>
          </w:p>
        </w:tc>
        <w:tc>
          <w:tcPr>
            <w:tcW w:w="840" w:type="dxa"/>
            <w:vAlign w:val="bottom"/>
            <w:tcBorders>
              <w:bottom w:val="single" w:sz="8" w:color="auto"/>
            </w:tcBorders>
          </w:tcPr>
          <w:p>
            <w:pPr>
              <w:spacing w:after="0"/>
              <w:rPr>
                <w:sz w:val="20"/>
                <w:szCs w:val="20"/>
                <w:color w:val="auto"/>
              </w:rPr>
            </w:pPr>
          </w:p>
        </w:tc>
      </w:tr>
      <w:tr>
        <w:trPr>
          <w:trHeight w:val="236"/>
        </w:trPr>
        <w:tc>
          <w:tcPr>
            <w:tcW w:w="69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840" w:type="dxa"/>
            <w:vAlign w:val="bottom"/>
          </w:tcPr>
          <w:p>
            <w:pPr>
              <w:spacing w:after="0"/>
              <w:rPr>
                <w:sz w:val="20"/>
                <w:szCs w:val="20"/>
                <w:color w:val="auto"/>
              </w:rPr>
            </w:pPr>
          </w:p>
        </w:tc>
      </w:tr>
      <w:tr>
        <w:trPr>
          <w:trHeight w:val="242"/>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services</w:t>
            </w:r>
          </w:p>
        </w:tc>
        <w:tc>
          <w:tcPr>
            <w:tcW w:w="1240" w:type="dxa"/>
            <w:vAlign w:val="bottom"/>
            <w:tcBorders>
              <w:top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6"/>
              </w:rPr>
              <w:t>21,269.1</w:t>
            </w:r>
          </w:p>
        </w:tc>
        <w:tc>
          <w:tcPr>
            <w:tcW w:w="120" w:type="dxa"/>
            <w:vAlign w:val="bottom"/>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18,731.0</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2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40.1</w:t>
            </w:r>
          </w:p>
        </w:tc>
      </w:tr>
    </w:tbl>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proforma amounts are calculated after applying our accounting policies and adjusting the results of ettain group to reflect the additional amortization that would have been charged assuming a fair value adjustment to intangible assets had been applied from January 1, 2020, with the consequential tax effects.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2021, we incurred $18.8 of acquisition and integration costs. These expenses are included in selling and administrative expenses on the Consolidated Statements of Operations for the year ended December 31, 2021 and are reflected in proforma earnings for the year ended December 31, 2020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From time to time, we acquire and invest in companies throughout the world, including franchises. The total cash consideration paid for acquisitions excluding ettain group, net of cash acquired, for the years ended December 31, 2022, 2021 and 2020 was $20.2, $8.1 and $2.6, respectively. The 2022 payments primarily represent a consideration payment for the acquisition of Tingari, a talent solutions company in France. The 2022, 2021 and 2020 balances include consideration payments for franchises in the United States and contingent consideration payments related to previous acquisitions, of which $3.8, $6.3 and $1.9, respectively, had been recognized as a liability at the acquisition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75" w:name="page76"/>
    <w:bookmarkEnd w:id="75"/>
    <w:p>
      <w:pPr>
        <w:jc w:val="both"/>
        <w:spacing w:after="0" w:line="262" w:lineRule="auto"/>
        <w:rPr>
          <w:sz w:val="20"/>
          <w:szCs w:val="20"/>
          <w:color w:val="auto"/>
        </w:rPr>
      </w:pPr>
      <w:r>
        <w:rPr>
          <w:rFonts w:ascii="Arial" w:cs="Arial" w:eastAsia="Arial" w:hAnsi="Arial"/>
          <w:sz w:val="18"/>
          <w:szCs w:val="18"/>
          <w:color w:val="auto"/>
        </w:rPr>
        <w:t>As of December 31, 2022, goodwill and intangible assets resulting from the 2022 acquisitions were $8.8 and $5.3, respectively. As of December 31, 2021, goodwill and intangible assets resulting from the 2021 acquisitions, excluding ettain group, were $3.1 and $0.6, respectively. No goodwill and intangible assets resulted from acquisitions in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Occasionally, we dispose of parts of our operations based on risk considerations and to optimize our global strategic and geographic footprint and overall efficiency. On January 17, 2022, we disposed of our Russia business in our Northern Europe segment for cash proceeds of $3.2. In connection with the disposition, we recognized a one-time net loss on disposition of $8.0, of which $9.7 was included in selling and administrative expenses and a gain of $1.7 was included in interest and other expenses in the Consolidated Statements of Operations in the year ended December 31, 2022. On September 30, 2022, our Belgium business disposed of its Service Voucher Division and recognized a one-time gain of $4.1, which was included in selling and administrative expenses in the Consolidated Statements of Operations in the year ended December 31, 2022. On December 15, 2022, we disposed of our Hungary business in our Southern Europe segment and recognized a one-time loss of $2.1, of which $0.9 was included in selling and administrative expenses and $1.2 was included in interest and other expenses in the Consolidated Statements of Operations in the year ended December 31, 2022.</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November 2021, we disposed of our Tunisia business in our Southern Europe segment and recognized a one-time loss of $1.2, which was included in selling and administrative expenses in the Consolidated Statements of Operations in the year ended December 31, 2021.</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September 30, 2020, we disposed of four businesses (Serbia, Croatia, Slovenia, Bulgaria) in our Southern Europe segment for cash proceeds of $5.8 subject to normal post close working capital adjustments, and simultaneously entered into franchise agreements with the new ownership of these businesses. In connection with the disposition, we recognized a one-time loss on disposition of $5.8, which was included in selling and administrative expenses in the Consolidated Statements of Operations in the year ended December 31,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spacing w:after="0"/>
              <w:rPr>
                <w:sz w:val="20"/>
                <w:szCs w:val="20"/>
                <w:color w:val="auto"/>
              </w:rPr>
            </w:pPr>
            <w:r>
              <w:rPr>
                <w:rFonts w:ascii="Arial" w:cs="Arial" w:eastAsia="Arial" w:hAnsi="Arial"/>
                <w:sz w:val="18"/>
                <w:szCs w:val="18"/>
                <w:color w:val="auto"/>
              </w:rPr>
              <w:t>(5) Income Taxes</w:t>
            </w:r>
          </w:p>
        </w:tc>
        <w:tc>
          <w:tcPr>
            <w:tcW w:w="2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24"/>
        </w:trPr>
        <w:tc>
          <w:tcPr>
            <w:tcW w:w="4460" w:type="dxa"/>
            <w:vAlign w:val="bottom"/>
            <w:gridSpan w:val="3"/>
          </w:tcPr>
          <w:p>
            <w:pPr>
              <w:spacing w:after="0"/>
              <w:rPr>
                <w:sz w:val="20"/>
                <w:szCs w:val="20"/>
                <w:color w:val="auto"/>
              </w:rPr>
            </w:pPr>
            <w:r>
              <w:rPr>
                <w:rFonts w:ascii="Arial" w:cs="Arial" w:eastAsia="Arial" w:hAnsi="Arial"/>
                <w:sz w:val="18"/>
                <w:szCs w:val="18"/>
                <w:color w:val="auto"/>
              </w:rPr>
              <w:t>The provision for income taxes was as follows:</w:t>
            </w:r>
          </w:p>
        </w:tc>
        <w:tc>
          <w:tcPr>
            <w:tcW w:w="2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1"/>
        </w:trPr>
        <w:tc>
          <w:tcPr>
            <w:tcW w:w="4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Year Ended December 31</w:t>
            </w:r>
          </w:p>
        </w:tc>
        <w:tc>
          <w:tcPr>
            <w:tcW w:w="2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42"/>
        </w:trPr>
        <w:tc>
          <w:tcPr>
            <w:tcW w:w="4460" w:type="dxa"/>
            <w:vAlign w:val="bottom"/>
            <w:gridSpan w:val="3"/>
            <w:shd w:val="clear" w:color="auto" w:fill="CFF0FC"/>
          </w:tcPr>
          <w:p>
            <w:pPr>
              <w:ind w:left="20"/>
              <w:spacing w:after="0"/>
              <w:rPr>
                <w:sz w:val="20"/>
                <w:szCs w:val="20"/>
                <w:color w:val="auto"/>
              </w:rPr>
            </w:pPr>
            <w:r>
              <w:rPr>
                <w:rFonts w:ascii="Arial" w:cs="Arial" w:eastAsia="Arial" w:hAnsi="Arial"/>
                <w:sz w:val="18"/>
                <w:szCs w:val="18"/>
                <w:b w:val="1"/>
                <w:bCs w:val="1"/>
                <w:color w:val="auto"/>
              </w:rPr>
              <w:t>Current</w:t>
            </w:r>
          </w:p>
        </w:tc>
        <w:tc>
          <w:tcPr>
            <w:tcW w:w="26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6"/>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2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8"/>
        </w:trPr>
        <w:tc>
          <w:tcPr>
            <w:tcW w:w="446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Federal</w:t>
            </w:r>
          </w:p>
        </w:tc>
        <w:tc>
          <w:tcPr>
            <w:tcW w:w="26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17.6</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20.2</w:t>
            </w:r>
          </w:p>
        </w:tc>
        <w:tc>
          <w:tcPr>
            <w:tcW w:w="6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r>
      <w:tr>
        <w:trPr>
          <w:trHeight w:val="236"/>
        </w:trPr>
        <w:tc>
          <w:tcPr>
            <w:tcW w:w="4460" w:type="dxa"/>
            <w:vAlign w:val="bottom"/>
            <w:gridSpan w:val="3"/>
          </w:tcPr>
          <w:p>
            <w:pPr>
              <w:ind w:left="200"/>
              <w:spacing w:after="0"/>
              <w:rPr>
                <w:sz w:val="20"/>
                <w:szCs w:val="20"/>
                <w:color w:val="auto"/>
              </w:rPr>
            </w:pPr>
            <w:r>
              <w:rPr>
                <w:rFonts w:ascii="Arial" w:cs="Arial" w:eastAsia="Arial" w:hAnsi="Arial"/>
                <w:sz w:val="18"/>
                <w:szCs w:val="18"/>
                <w:color w:val="auto"/>
              </w:rPr>
              <w:t>State</w:t>
            </w:r>
          </w:p>
        </w:tc>
        <w:tc>
          <w:tcPr>
            <w:tcW w:w="266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6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42"/>
        </w:trPr>
        <w:tc>
          <w:tcPr>
            <w:tcW w:w="4460" w:type="dxa"/>
            <w:vAlign w:val="bottom"/>
            <w:tcBorders>
              <w:bottom w:val="single" w:sz="8" w:color="auto"/>
            </w:tcBorders>
            <w:gridSpan w:val="3"/>
            <w:shd w:val="clear" w:color="auto" w:fill="CFF0FC"/>
          </w:tcPr>
          <w:p>
            <w:pPr>
              <w:ind w:left="20"/>
              <w:spacing w:after="0"/>
              <w:rPr>
                <w:sz w:val="20"/>
                <w:szCs w:val="20"/>
                <w:color w:val="auto"/>
              </w:rPr>
            </w:pPr>
            <w:r>
              <w:rPr>
                <w:rFonts w:ascii="Arial" w:cs="Arial" w:eastAsia="Arial" w:hAnsi="Arial"/>
                <w:sz w:val="18"/>
                <w:szCs w:val="18"/>
                <w:color w:val="auto"/>
              </w:rPr>
              <w:t>Non-United States</w:t>
            </w:r>
          </w:p>
        </w:tc>
        <w:tc>
          <w:tcPr>
            <w:tcW w:w="26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154.1</w:t>
            </w:r>
          </w:p>
        </w:tc>
        <w:tc>
          <w:tcPr>
            <w:tcW w:w="6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163.5</w:t>
            </w:r>
          </w:p>
        </w:tc>
        <w:tc>
          <w:tcPr>
            <w:tcW w:w="6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124.6</w:t>
            </w:r>
          </w:p>
        </w:tc>
      </w:tr>
      <w:tr>
        <w:trPr>
          <w:trHeight w:val="236"/>
        </w:trPr>
        <w:tc>
          <w:tcPr>
            <w:tcW w:w="4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Total current</w:t>
            </w:r>
          </w:p>
        </w:tc>
        <w:tc>
          <w:tcPr>
            <w:tcW w:w="2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178.5</w:t>
            </w: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187.0</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134.3</w:t>
            </w:r>
          </w:p>
        </w:tc>
      </w:tr>
      <w:tr>
        <w:trPr>
          <w:trHeight w:val="242"/>
        </w:trPr>
        <w:tc>
          <w:tcPr>
            <w:tcW w:w="4460" w:type="dxa"/>
            <w:vAlign w:val="bottom"/>
            <w:gridSpan w:val="3"/>
            <w:shd w:val="clear" w:color="auto" w:fill="CFF0FC"/>
          </w:tcPr>
          <w:p>
            <w:pPr>
              <w:ind w:left="20"/>
              <w:spacing w:after="0"/>
              <w:rPr>
                <w:sz w:val="20"/>
                <w:szCs w:val="20"/>
                <w:color w:val="auto"/>
              </w:rPr>
            </w:pPr>
            <w:r>
              <w:rPr>
                <w:rFonts w:ascii="Arial" w:cs="Arial" w:eastAsia="Arial" w:hAnsi="Arial"/>
                <w:sz w:val="18"/>
                <w:szCs w:val="18"/>
                <w:b w:val="1"/>
                <w:bCs w:val="1"/>
                <w:color w:val="auto"/>
              </w:rPr>
              <w:t>Deferred</w:t>
            </w:r>
          </w:p>
        </w:tc>
        <w:tc>
          <w:tcPr>
            <w:tcW w:w="26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6"/>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2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8"/>
        </w:trPr>
        <w:tc>
          <w:tcPr>
            <w:tcW w:w="446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Federal</w:t>
            </w:r>
          </w:p>
        </w:tc>
        <w:tc>
          <w:tcPr>
            <w:tcW w:w="26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11.2</w:t>
            </w: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5.8</w:t>
            </w:r>
          </w:p>
        </w:tc>
        <w:tc>
          <w:tcPr>
            <w:tcW w:w="6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(11.0 )</w:t>
            </w:r>
          </w:p>
        </w:tc>
      </w:tr>
      <w:tr>
        <w:trPr>
          <w:trHeight w:val="236"/>
        </w:trPr>
        <w:tc>
          <w:tcPr>
            <w:tcW w:w="4460" w:type="dxa"/>
            <w:vAlign w:val="bottom"/>
            <w:gridSpan w:val="3"/>
          </w:tcPr>
          <w:p>
            <w:pPr>
              <w:ind w:left="200"/>
              <w:spacing w:after="0"/>
              <w:rPr>
                <w:sz w:val="20"/>
                <w:szCs w:val="20"/>
                <w:color w:val="auto"/>
              </w:rPr>
            </w:pPr>
            <w:r>
              <w:rPr>
                <w:rFonts w:ascii="Arial" w:cs="Arial" w:eastAsia="Arial" w:hAnsi="Arial"/>
                <w:sz w:val="18"/>
                <w:szCs w:val="18"/>
                <w:color w:val="auto"/>
              </w:rPr>
              <w:t>State</w:t>
            </w:r>
          </w:p>
        </w:tc>
        <w:tc>
          <w:tcPr>
            <w:tcW w:w="266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6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42"/>
        </w:trPr>
        <w:tc>
          <w:tcPr>
            <w:tcW w:w="4460" w:type="dxa"/>
            <w:vAlign w:val="bottom"/>
            <w:tcBorders>
              <w:bottom w:val="single" w:sz="8" w:color="auto"/>
            </w:tcBorders>
            <w:gridSpan w:val="3"/>
            <w:shd w:val="clear" w:color="auto" w:fill="CFF0FC"/>
          </w:tcPr>
          <w:p>
            <w:pPr>
              <w:ind w:left="20"/>
              <w:spacing w:after="0"/>
              <w:rPr>
                <w:sz w:val="20"/>
                <w:szCs w:val="20"/>
                <w:color w:val="auto"/>
              </w:rPr>
            </w:pPr>
            <w:r>
              <w:rPr>
                <w:rFonts w:ascii="Arial" w:cs="Arial" w:eastAsia="Arial" w:hAnsi="Arial"/>
                <w:sz w:val="18"/>
                <w:szCs w:val="18"/>
                <w:color w:val="auto"/>
              </w:rPr>
              <w:t>Non-United States</w:t>
            </w:r>
          </w:p>
        </w:tc>
        <w:tc>
          <w:tcPr>
            <w:tcW w:w="26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(7.3 )</w:t>
            </w:r>
          </w:p>
        </w:tc>
        <w:tc>
          <w:tcPr>
            <w:tcW w:w="6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(9.5 )</w:t>
            </w:r>
          </w:p>
        </w:tc>
        <w:tc>
          <w:tcPr>
            <w:tcW w:w="6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r>
      <w:tr>
        <w:trPr>
          <w:trHeight w:val="236"/>
        </w:trPr>
        <w:tc>
          <w:tcPr>
            <w:tcW w:w="4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Total deferred</w:t>
            </w:r>
          </w:p>
        </w:tc>
        <w:tc>
          <w:tcPr>
            <w:tcW w:w="2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w:t>
            </w: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(10.4 )</w:t>
            </w:r>
          </w:p>
        </w:tc>
      </w:tr>
      <w:tr>
        <w:trPr>
          <w:trHeight w:val="236"/>
        </w:trPr>
        <w:tc>
          <w:tcPr>
            <w:tcW w:w="4460" w:type="dxa"/>
            <w:vAlign w:val="bottom"/>
            <w:tcBorders>
              <w:bottom w:val="single" w:sz="8" w:color="auto"/>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provision</w:t>
            </w:r>
          </w:p>
        </w:tc>
        <w:tc>
          <w:tcPr>
            <w:tcW w:w="266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183.3</w:t>
            </w:r>
          </w:p>
        </w:tc>
        <w:tc>
          <w:tcPr>
            <w:tcW w:w="6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185.7</w:t>
            </w:r>
          </w:p>
        </w:tc>
        <w:tc>
          <w:tcPr>
            <w:tcW w:w="6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123.9</w:t>
            </w:r>
          </w:p>
        </w:tc>
      </w:tr>
      <w:tr>
        <w:trPr>
          <w:trHeight w:val="646"/>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60" w:type="dxa"/>
            <w:vAlign w:val="bottom"/>
          </w:tcPr>
          <w:p>
            <w:pPr>
              <w:jc w:val="right"/>
              <w:ind w:right="1310"/>
              <w:spacing w:after="0"/>
              <w:rPr>
                <w:sz w:val="20"/>
                <w:szCs w:val="20"/>
                <w:color w:val="auto"/>
              </w:rPr>
            </w:pPr>
            <w:r>
              <w:rPr>
                <w:rFonts w:ascii="Arial" w:cs="Arial" w:eastAsia="Arial" w:hAnsi="Arial"/>
                <w:sz w:val="18"/>
                <w:szCs w:val="18"/>
                <w:color w:val="auto"/>
              </w:rPr>
              <w:t>76</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7"/>
        </w:trPr>
        <w:tc>
          <w:tcPr>
            <w:tcW w:w="2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20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A tax reconciliation between taxes computed at the United States federal statutory rate of 21% and the consolidated effective tax rate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20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42"/>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based on statutory rate</w:t>
            </w:r>
          </w:p>
        </w:tc>
        <w:tc>
          <w:tcPr>
            <w:tcW w:w="20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117.0</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119.3</w:t>
            </w:r>
          </w:p>
        </w:tc>
        <w:tc>
          <w:tcPr>
            <w:tcW w:w="6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31.0</w:t>
            </w:r>
          </w:p>
        </w:tc>
      </w:tr>
      <w:tr>
        <w:trPr>
          <w:trHeight w:val="236"/>
        </w:trPr>
        <w:tc>
          <w:tcPr>
            <w:tcW w:w="5060" w:type="dxa"/>
            <w:vAlign w:val="bottom"/>
          </w:tcPr>
          <w:p>
            <w:pPr>
              <w:ind w:left="20"/>
              <w:spacing w:after="0"/>
              <w:rPr>
                <w:sz w:val="20"/>
                <w:szCs w:val="20"/>
                <w:color w:val="auto"/>
              </w:rPr>
            </w:pPr>
            <w:r>
              <w:rPr>
                <w:rFonts w:ascii="Arial" w:cs="Arial" w:eastAsia="Arial" w:hAnsi="Arial"/>
                <w:sz w:val="18"/>
                <w:szCs w:val="18"/>
                <w:color w:val="auto"/>
              </w:rPr>
              <w:t>Increase (decrease) resulting from:</w:t>
            </w:r>
          </w:p>
        </w:tc>
        <w:tc>
          <w:tcPr>
            <w:tcW w:w="2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8"/>
        </w:trPr>
        <w:tc>
          <w:tcPr>
            <w:tcW w:w="5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Non-United States tax rate difference:</w:t>
            </w:r>
          </w:p>
        </w:tc>
        <w:tc>
          <w:tcPr>
            <w:tcW w:w="20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42"/>
        </w:trPr>
        <w:tc>
          <w:tcPr>
            <w:tcW w:w="5060" w:type="dxa"/>
            <w:vAlign w:val="bottom"/>
          </w:tcPr>
          <w:p>
            <w:pPr>
              <w:ind w:left="380"/>
              <w:spacing w:after="0" w:line="242" w:lineRule="exact"/>
              <w:rPr>
                <w:sz w:val="20"/>
                <w:szCs w:val="20"/>
                <w:color w:val="auto"/>
              </w:rPr>
            </w:pPr>
            <w:r>
              <w:rPr>
                <w:rFonts w:ascii="Arial" w:cs="Arial" w:eastAsia="Arial" w:hAnsi="Arial"/>
                <w:sz w:val="18"/>
                <w:szCs w:val="18"/>
                <w:color w:val="auto"/>
              </w:rPr>
              <w:t>French business tax</w:t>
            </w:r>
            <w:r>
              <w:rPr>
                <w:rFonts w:ascii="Arial" w:cs="Arial" w:eastAsia="Arial" w:hAnsi="Arial"/>
                <w:sz w:val="24"/>
                <w:szCs w:val="24"/>
                <w:color w:val="auto"/>
                <w:vertAlign w:val="superscript"/>
              </w:rPr>
              <w:t>(1)</w:t>
            </w:r>
          </w:p>
        </w:tc>
        <w:tc>
          <w:tcPr>
            <w:tcW w:w="206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24.6</w:t>
            </w:r>
          </w:p>
        </w:tc>
        <w:tc>
          <w:tcPr>
            <w:tcW w:w="6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26.7</w:t>
            </w:r>
          </w:p>
        </w:tc>
        <w:tc>
          <w:tcPr>
            <w:tcW w:w="6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43.7</w:t>
            </w:r>
          </w:p>
        </w:tc>
      </w:tr>
      <w:tr>
        <w:trPr>
          <w:trHeight w:val="242"/>
        </w:trPr>
        <w:tc>
          <w:tcPr>
            <w:tcW w:w="5060" w:type="dxa"/>
            <w:vAlign w:val="bottom"/>
            <w:shd w:val="clear" w:color="auto" w:fill="CFF0FC"/>
          </w:tcPr>
          <w:p>
            <w:pPr>
              <w:ind w:left="380"/>
              <w:spacing w:after="0" w:line="242" w:lineRule="exact"/>
              <w:rPr>
                <w:sz w:val="20"/>
                <w:szCs w:val="20"/>
                <w:color w:val="auto"/>
              </w:rPr>
            </w:pPr>
            <w:r>
              <w:rPr>
                <w:rFonts w:ascii="Arial" w:cs="Arial" w:eastAsia="Arial" w:hAnsi="Arial"/>
                <w:sz w:val="18"/>
                <w:szCs w:val="18"/>
                <w:color w:val="auto"/>
              </w:rPr>
              <w:t>Other</w:t>
            </w:r>
            <w:r>
              <w:rPr>
                <w:rFonts w:ascii="Arial" w:cs="Arial" w:eastAsia="Arial" w:hAnsi="Arial"/>
                <w:sz w:val="24"/>
                <w:szCs w:val="24"/>
                <w:color w:val="auto"/>
                <w:vertAlign w:val="superscript"/>
              </w:rPr>
              <w:t>(2)</w:t>
            </w:r>
          </w:p>
        </w:tc>
        <w:tc>
          <w:tcPr>
            <w:tcW w:w="20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15.2</w:t>
            </w: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22.2</w:t>
            </w:r>
          </w:p>
        </w:tc>
        <w:tc>
          <w:tcPr>
            <w:tcW w:w="6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r>
      <w:tr>
        <w:trPr>
          <w:trHeight w:val="236"/>
        </w:trPr>
        <w:tc>
          <w:tcPr>
            <w:tcW w:w="5060" w:type="dxa"/>
            <w:vAlign w:val="bottom"/>
          </w:tcPr>
          <w:p>
            <w:pPr>
              <w:ind w:left="200"/>
              <w:spacing w:after="0"/>
              <w:rPr>
                <w:sz w:val="20"/>
                <w:szCs w:val="20"/>
                <w:color w:val="auto"/>
              </w:rPr>
            </w:pPr>
            <w:r>
              <w:rPr>
                <w:rFonts w:ascii="Arial" w:cs="Arial" w:eastAsia="Arial" w:hAnsi="Arial"/>
                <w:sz w:val="18"/>
                <w:szCs w:val="18"/>
                <w:color w:val="auto"/>
              </w:rPr>
              <w:t>Repatriation of non-United States earnings</w:t>
            </w:r>
          </w:p>
        </w:tc>
        <w:tc>
          <w:tcPr>
            <w:tcW w:w="206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48"/>
        </w:trPr>
        <w:tc>
          <w:tcPr>
            <w:tcW w:w="5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State income taxes, net of federal benefit</w:t>
            </w:r>
          </w:p>
        </w:tc>
        <w:tc>
          <w:tcPr>
            <w:tcW w:w="20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5.5</w:t>
            </w: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r>
      <w:tr>
        <w:trPr>
          <w:trHeight w:val="242"/>
        </w:trPr>
        <w:tc>
          <w:tcPr>
            <w:tcW w:w="5060" w:type="dxa"/>
            <w:vAlign w:val="bottom"/>
          </w:tcPr>
          <w:p>
            <w:pPr>
              <w:ind w:left="200"/>
              <w:spacing w:after="0" w:line="242" w:lineRule="exact"/>
              <w:rPr>
                <w:sz w:val="20"/>
                <w:szCs w:val="20"/>
                <w:color w:val="auto"/>
              </w:rPr>
            </w:pPr>
            <w:r>
              <w:rPr>
                <w:rFonts w:ascii="Arial" w:cs="Arial" w:eastAsia="Arial" w:hAnsi="Arial"/>
                <w:sz w:val="18"/>
                <w:szCs w:val="18"/>
                <w:color w:val="auto"/>
              </w:rPr>
              <w:t>Change in valuation allowance</w:t>
            </w:r>
            <w:r>
              <w:rPr>
                <w:rFonts w:ascii="Arial" w:cs="Arial" w:eastAsia="Arial" w:hAnsi="Arial"/>
                <w:sz w:val="24"/>
                <w:szCs w:val="24"/>
                <w:color w:val="auto"/>
                <w:vertAlign w:val="superscript"/>
              </w:rPr>
              <w:t>(3)</w:t>
            </w:r>
          </w:p>
        </w:tc>
        <w:tc>
          <w:tcPr>
            <w:tcW w:w="206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13.7</w:t>
            </w:r>
          </w:p>
        </w:tc>
        <w:tc>
          <w:tcPr>
            <w:tcW w:w="6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22.0</w:t>
            </w:r>
          </w:p>
        </w:tc>
        <w:tc>
          <w:tcPr>
            <w:tcW w:w="6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48.5</w:t>
            </w:r>
          </w:p>
        </w:tc>
      </w:tr>
      <w:tr>
        <w:trPr>
          <w:trHeight w:val="242"/>
        </w:trPr>
        <w:tc>
          <w:tcPr>
            <w:tcW w:w="5060" w:type="dxa"/>
            <w:vAlign w:val="bottom"/>
            <w:shd w:val="clear" w:color="auto" w:fill="CFF0FC"/>
          </w:tcPr>
          <w:p>
            <w:pPr>
              <w:ind w:left="200"/>
              <w:spacing w:after="0" w:line="242" w:lineRule="exact"/>
              <w:rPr>
                <w:sz w:val="20"/>
                <w:szCs w:val="20"/>
                <w:color w:val="auto"/>
              </w:rPr>
            </w:pPr>
            <w:r>
              <w:rPr>
                <w:rFonts w:ascii="Arial" w:cs="Arial" w:eastAsia="Arial" w:hAnsi="Arial"/>
                <w:sz w:val="18"/>
                <w:szCs w:val="18"/>
                <w:color w:val="auto"/>
              </w:rPr>
              <w:t>Work Opportunity Tax Credit</w:t>
            </w:r>
            <w:r>
              <w:rPr>
                <w:rFonts w:ascii="Arial" w:cs="Arial" w:eastAsia="Arial" w:hAnsi="Arial"/>
                <w:sz w:val="24"/>
                <w:szCs w:val="24"/>
                <w:color w:val="auto"/>
                <w:vertAlign w:val="superscript"/>
              </w:rPr>
              <w:t>(4)</w:t>
            </w:r>
          </w:p>
        </w:tc>
        <w:tc>
          <w:tcPr>
            <w:tcW w:w="20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(12.4 )</w:t>
            </w: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(10.9 )</w:t>
            </w:r>
          </w:p>
        </w:tc>
        <w:tc>
          <w:tcPr>
            <w:tcW w:w="6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(4.9 )</w:t>
            </w:r>
          </w:p>
        </w:tc>
      </w:tr>
      <w:tr>
        <w:trPr>
          <w:trHeight w:val="236"/>
        </w:trPr>
        <w:tc>
          <w:tcPr>
            <w:tcW w:w="5060" w:type="dxa"/>
            <w:vAlign w:val="bottom"/>
          </w:tcPr>
          <w:p>
            <w:pPr>
              <w:ind w:left="200"/>
              <w:spacing w:after="0"/>
              <w:rPr>
                <w:sz w:val="20"/>
                <w:szCs w:val="20"/>
                <w:color w:val="auto"/>
              </w:rPr>
            </w:pPr>
            <w:r>
              <w:rPr>
                <w:rFonts w:ascii="Arial" w:cs="Arial" w:eastAsia="Arial" w:hAnsi="Arial"/>
                <w:sz w:val="18"/>
                <w:szCs w:val="18"/>
                <w:color w:val="auto"/>
              </w:rPr>
              <w:t>Foreign-Derived Intangible Income deduction</w:t>
            </w:r>
          </w:p>
        </w:tc>
        <w:tc>
          <w:tcPr>
            <w:tcW w:w="20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(9.6 )</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(10.7 )</w:t>
            </w: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48"/>
        </w:trPr>
        <w:tc>
          <w:tcPr>
            <w:tcW w:w="5060" w:type="dxa"/>
            <w:vAlign w:val="bottom"/>
            <w:shd w:val="clear" w:color="auto" w:fill="CFF0FC"/>
          </w:tcPr>
          <w:p>
            <w:pPr>
              <w:ind w:left="200"/>
              <w:spacing w:after="0" w:line="248" w:lineRule="exact"/>
              <w:rPr>
                <w:sz w:val="20"/>
                <w:szCs w:val="20"/>
                <w:color w:val="auto"/>
              </w:rPr>
            </w:pPr>
            <w:r>
              <w:rPr>
                <w:rFonts w:ascii="Arial" w:cs="Arial" w:eastAsia="Arial" w:hAnsi="Arial"/>
                <w:sz w:val="18"/>
                <w:szCs w:val="18"/>
                <w:color w:val="auto"/>
              </w:rPr>
              <w:t>Goodwill impairment</w:t>
            </w:r>
            <w:r>
              <w:rPr>
                <w:rFonts w:ascii="Arial" w:cs="Arial" w:eastAsia="Arial" w:hAnsi="Arial"/>
                <w:sz w:val="24"/>
                <w:szCs w:val="24"/>
                <w:color w:val="auto"/>
                <w:vertAlign w:val="superscript"/>
              </w:rPr>
              <w:t>(5)</w:t>
            </w:r>
          </w:p>
        </w:tc>
        <w:tc>
          <w:tcPr>
            <w:tcW w:w="20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8.9</w:t>
            </w:r>
          </w:p>
        </w:tc>
        <w:tc>
          <w:tcPr>
            <w:tcW w:w="6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13.4</w:t>
            </w:r>
          </w:p>
        </w:tc>
      </w:tr>
      <w:tr>
        <w:trPr>
          <w:trHeight w:val="236"/>
        </w:trPr>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net</w:t>
            </w:r>
          </w:p>
        </w:tc>
        <w:tc>
          <w:tcPr>
            <w:tcW w:w="20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9.7</w:t>
            </w: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r>
      <w:tr>
        <w:trPr>
          <w:trHeight w:val="236"/>
        </w:trPr>
        <w:tc>
          <w:tcPr>
            <w:tcW w:w="50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Tax provision</w:t>
            </w:r>
          </w:p>
        </w:tc>
        <w:tc>
          <w:tcPr>
            <w:tcW w:w="206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183.3</w:t>
            </w:r>
          </w:p>
        </w:tc>
        <w:tc>
          <w:tcPr>
            <w:tcW w:w="6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185.7</w:t>
            </w:r>
          </w:p>
        </w:tc>
        <w:tc>
          <w:tcPr>
            <w:tcW w:w="6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123.9</w:t>
            </w:r>
          </w:p>
        </w:tc>
      </w:tr>
    </w:tbl>
    <w:p>
      <w:pPr>
        <w:spacing w:after="0" w:line="205" w:lineRule="exact"/>
        <w:rPr>
          <w:sz w:val="20"/>
          <w:szCs w:val="20"/>
          <w:color w:val="auto"/>
        </w:rPr>
      </w:pPr>
    </w:p>
    <w:p>
      <w:pPr>
        <w:jc w:val="both"/>
        <w:ind w:left="380" w:hanging="372"/>
        <w:spacing w:after="0" w:line="301"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French business tax is allowed as a deduction for French income tax purposes. The gross amount of the French business tax was $31.2, $33.7 and $55.3 for 2022, 2021 and 2020, respectively. The amounts in the table above of $24.6, $26.7 and $43.7 for 2022, 2021 and 2020, respectively, represent the French business tax expense net of the French tax benefit using the United States federal rate of 21%. In December 2020, the French Parliament approved the Finance Bill for 2021 which lowered the business tax rate from 1.5% to 0.75%. The benefit of this tax rate reduction is reflected in our 2022 and 2021 Consolidated Financial Statements. In December 2022, the French Parliament approved the Finance Bill for 2023 which repeals the business tax over two years beginning in 2023. The business tax rate will be halved in 2023 and eliminated in 2024. The benefit of this tax rate reduction and repeal will be reflected in our 2023 and 2024 Consolidated Financial Statements.</w:t>
      </w:r>
    </w:p>
    <w:p>
      <w:pPr>
        <w:spacing w:after="0" w:line="3" w:lineRule="exact"/>
        <w:rPr>
          <w:rFonts w:ascii="Arial" w:cs="Arial" w:eastAsia="Arial" w:hAnsi="Arial"/>
          <w:sz w:val="14"/>
          <w:szCs w:val="14"/>
          <w:color w:val="auto"/>
        </w:rPr>
      </w:pPr>
    </w:p>
    <w:p>
      <w:pPr>
        <w:jc w:val="both"/>
        <w:ind w:left="380" w:hanging="372"/>
        <w:spacing w:after="0" w:line="297" w:lineRule="auto"/>
        <w:tabs>
          <w:tab w:leader="none" w:pos="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Included in Other Non-United States tax rate differences is the impact of all Non-United States pre-tax earnings and permanent tax differences at the local statutory tax rate versus the United States federal rate of 21%. This includes benefits of $1.5, $2.5 and $6.1 for 2022, 2021 and 2020, respectively, related to the difference between the United States federal rate and the French tax rate applied to the respective gross amounts of the French business tax deduction previously mentioned.</w:t>
      </w:r>
    </w:p>
    <w:p>
      <w:pPr>
        <w:spacing w:after="0" w:line="1" w:lineRule="exact"/>
        <w:rPr>
          <w:rFonts w:ascii="Arial" w:cs="Arial" w:eastAsia="Arial" w:hAnsi="Arial"/>
          <w:sz w:val="15"/>
          <w:szCs w:val="15"/>
          <w:color w:val="auto"/>
        </w:rPr>
      </w:pPr>
    </w:p>
    <w:p>
      <w:pPr>
        <w:jc w:val="both"/>
        <w:ind w:left="380" w:hanging="372"/>
        <w:spacing w:after="0" w:line="274"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2020, we determined that it was more likely than not that certain deferred tax assets in Germany and the Netherlands would not be realized and recorded income tax expense of $36.9 and $8.1, respectively, to establish valuation allowances. Additional losses incurred in 2022 and 2021 in Germany resulted in an increase in valuation allowance of $13.5 and $20.1, respectively.</w:t>
      </w:r>
    </w:p>
    <w:p>
      <w:pPr>
        <w:spacing w:after="0" w:line="2" w:lineRule="exact"/>
        <w:rPr>
          <w:rFonts w:ascii="Arial" w:cs="Arial" w:eastAsia="Arial" w:hAnsi="Arial"/>
          <w:sz w:val="16"/>
          <w:szCs w:val="16"/>
          <w:color w:val="auto"/>
        </w:rPr>
      </w:pPr>
    </w:p>
    <w:p>
      <w:pPr>
        <w:ind w:left="380" w:hanging="372"/>
        <w:spacing w:after="0"/>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Work Opportunity Tax Credit is currently authorized until December 31, 2025.</w:t>
      </w:r>
    </w:p>
    <w:p>
      <w:pPr>
        <w:spacing w:after="0" w:line="58" w:lineRule="exact"/>
        <w:rPr>
          <w:rFonts w:ascii="Arial" w:cs="Arial" w:eastAsia="Arial" w:hAnsi="Arial"/>
          <w:sz w:val="16"/>
          <w:szCs w:val="16"/>
          <w:color w:val="auto"/>
        </w:rPr>
      </w:pPr>
    </w:p>
    <w:p>
      <w:pPr>
        <w:ind w:left="380" w:hanging="372"/>
        <w:spacing w:after="0"/>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Non-deductible portion of the goodwill impairment charges recorded in the Netherlands in 2022 and Germany in 2020.</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Deferred income taxes are recorded based on temporary differences at the tax rate expected to be in effect when the temporary differences reverse.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Temporary differences, which give rise to the deferred taxes,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29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42"/>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Future Income Tax Benefits (Expense)</w:t>
            </w:r>
          </w:p>
        </w:tc>
        <w:tc>
          <w:tcPr>
            <w:tcW w:w="29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Accrued payroll taxes and insurance</w:t>
            </w:r>
          </w:p>
        </w:tc>
        <w:tc>
          <w:tcPr>
            <w:tcW w:w="2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8.8</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22.5</w:t>
            </w:r>
          </w:p>
        </w:tc>
      </w:tr>
      <w:tr>
        <w:trPr>
          <w:trHeight w:val="248"/>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compensation payable</w:t>
            </w:r>
          </w:p>
        </w:tc>
        <w:tc>
          <w:tcPr>
            <w:tcW w:w="29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37.7</w:t>
            </w:r>
          </w:p>
        </w:tc>
        <w:tc>
          <w:tcPr>
            <w:tcW w:w="6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38.9</w:t>
            </w: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Pension and postretirement benefits</w:t>
            </w:r>
          </w:p>
        </w:tc>
        <w:tc>
          <w:tcPr>
            <w:tcW w:w="290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65.0</w:t>
            </w:r>
          </w:p>
        </w:tc>
        <w:tc>
          <w:tcPr>
            <w:tcW w:w="6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77.9</w:t>
            </w:r>
          </w:p>
        </w:tc>
      </w:tr>
      <w:tr>
        <w:trPr>
          <w:trHeight w:val="248"/>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29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(140.4 )</w:t>
            </w:r>
          </w:p>
        </w:tc>
        <w:tc>
          <w:tcPr>
            <w:tcW w:w="6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(135.7 )</w:t>
            </w: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Repatriation of non-United States earnings</w:t>
            </w:r>
          </w:p>
        </w:tc>
        <w:tc>
          <w:tcPr>
            <w:tcW w:w="29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(18.4 )</w:t>
            </w:r>
          </w:p>
        </w:tc>
        <w:tc>
          <w:tcPr>
            <w:tcW w:w="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(16.1 )</w:t>
            </w:r>
          </w:p>
        </w:tc>
      </w:tr>
      <w:tr>
        <w:trPr>
          <w:trHeight w:val="248"/>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Loans denominated in foreign currencies</w:t>
            </w:r>
          </w:p>
        </w:tc>
        <w:tc>
          <w:tcPr>
            <w:tcW w:w="29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(0.7 )</w:t>
            </w:r>
          </w:p>
        </w:tc>
        <w:tc>
          <w:tcPr>
            <w:tcW w:w="6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Operating lease ROU assets</w:t>
            </w:r>
          </w:p>
        </w:tc>
        <w:tc>
          <w:tcPr>
            <w:tcW w:w="29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(92.9 )</w:t>
            </w:r>
          </w:p>
        </w:tc>
        <w:tc>
          <w:tcPr>
            <w:tcW w:w="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(96.3 )</w:t>
            </w:r>
          </w:p>
        </w:tc>
      </w:tr>
      <w:tr>
        <w:trPr>
          <w:trHeight w:val="248"/>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29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94.6</w:t>
            </w:r>
          </w:p>
        </w:tc>
        <w:tc>
          <w:tcPr>
            <w:tcW w:w="6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99.5</w:t>
            </w: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Net operating losses</w:t>
            </w:r>
          </w:p>
        </w:tc>
        <w:tc>
          <w:tcPr>
            <w:tcW w:w="290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128.9</w:t>
            </w:r>
          </w:p>
        </w:tc>
        <w:tc>
          <w:tcPr>
            <w:tcW w:w="6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129.4</w:t>
            </w:r>
          </w:p>
        </w:tc>
      </w:tr>
      <w:tr>
        <w:trPr>
          <w:trHeight w:val="248"/>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9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179.7</w:t>
            </w:r>
          </w:p>
        </w:tc>
        <w:tc>
          <w:tcPr>
            <w:tcW w:w="6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163.9</w:t>
            </w:r>
          </w:p>
        </w:tc>
      </w:tr>
      <w:tr>
        <w:trPr>
          <w:trHeight w:val="236"/>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Valuation allowance</w:t>
            </w:r>
          </w:p>
        </w:tc>
        <w:tc>
          <w:tcPr>
            <w:tcW w:w="29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(161.1 )</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(167.1 )</w:t>
            </w:r>
          </w:p>
        </w:tc>
      </w:tr>
      <w:tr>
        <w:trPr>
          <w:trHeight w:val="236"/>
        </w:trPr>
        <w:tc>
          <w:tcPr>
            <w:tcW w:w="54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future tax benefits</w:t>
            </w:r>
          </w:p>
        </w:tc>
        <w:tc>
          <w:tcPr>
            <w:tcW w:w="29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101.2</w:t>
            </w:r>
          </w:p>
        </w:tc>
        <w:tc>
          <w:tcPr>
            <w:tcW w:w="6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116.9</w:t>
            </w: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126.7</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135.0</w:t>
            </w:r>
          </w:p>
        </w:tc>
      </w:tr>
      <w:tr>
        <w:trPr>
          <w:trHeight w:val="242"/>
        </w:trPr>
        <w:tc>
          <w:tcPr>
            <w:tcW w:w="54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Deferred tax liability</w:t>
            </w:r>
          </w:p>
        </w:tc>
        <w:tc>
          <w:tcPr>
            <w:tcW w:w="29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(25.5 )</w:t>
            </w:r>
          </w:p>
        </w:tc>
        <w:tc>
          <w:tcPr>
            <w:tcW w:w="6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(18.1 )</w:t>
            </w:r>
          </w:p>
        </w:tc>
      </w:tr>
      <w:tr>
        <w:trPr>
          <w:trHeight w:val="236"/>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future tax benefits</w:t>
            </w:r>
          </w:p>
        </w:tc>
        <w:tc>
          <w:tcPr>
            <w:tcW w:w="2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101.2</w:t>
            </w: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116.9</w:t>
            </w:r>
          </w:p>
        </w:tc>
      </w:tr>
    </w:tbl>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Pre-tax earnings of non-United States operations were $380.9, $433.6 and $86.3 in 2022, 2021 and 2020, respectively. We have not provided deferred taxes on $339.9 of accumulated unremitted earnings of non-United States subsidiaries that are considered indefinitely reinvested. We have not estimated the deferred tax liability on these earnings as such estimation is not practicable to determine or immaterial to the financial statements. As of December 31, 2022, deferred taxes for non-United States withholding and other taxes were provided on $1,227.8 of accumulated unremitted earnings of non-United States subsidiaries that may be remitted to the United States. As of December 31, 2022 and 2021, we have recorded a deferred tax liability of $18.4 and $16.1, respectively, related to these non-United States earnings that may be remitted.</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had United States federal and non-United States net operating loss carryforwards and United States state net operating loss carryforwards totaling $651.4 and $141.3, respectively, as of December 31, 2022. The net operating loss carryforwards expire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United States</w:t>
            </w: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5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Federal and</w:t>
            </w: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5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Non-United</w:t>
            </w:r>
          </w:p>
        </w:tc>
        <w:tc>
          <w:tcPr>
            <w:tcW w:w="4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United States</w:t>
            </w:r>
          </w:p>
        </w:tc>
      </w:tr>
      <w:tr>
        <w:trPr>
          <w:trHeight w:val="236"/>
        </w:trPr>
        <w:tc>
          <w:tcPr>
            <w:tcW w:w="5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States</w:t>
            </w:r>
          </w:p>
        </w:tc>
        <w:tc>
          <w:tcPr>
            <w:tcW w:w="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State</w:t>
            </w:r>
          </w:p>
        </w:tc>
      </w:tr>
      <w:tr>
        <w:trPr>
          <w:trHeight w:val="242"/>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8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w:t>
            </w:r>
          </w:p>
        </w:tc>
      </w:tr>
      <w:tr>
        <w:trPr>
          <w:trHeight w:val="236"/>
        </w:trPr>
        <w:tc>
          <w:tcPr>
            <w:tcW w:w="5240" w:type="dxa"/>
            <w:vAlign w:val="bottom"/>
          </w:tcPr>
          <w:p>
            <w:pPr>
              <w:ind w:left="20"/>
              <w:spacing w:after="0"/>
              <w:rPr>
                <w:sz w:val="20"/>
                <w:szCs w:val="20"/>
                <w:color w:val="auto"/>
              </w:rPr>
            </w:pPr>
            <w:r>
              <w:rPr>
                <w:rFonts w:ascii="Arial" w:cs="Arial" w:eastAsia="Arial" w:hAnsi="Arial"/>
                <w:sz w:val="18"/>
                <w:szCs w:val="18"/>
                <w:color w:val="auto"/>
              </w:rPr>
              <w:t>2024</w:t>
            </w:r>
          </w:p>
        </w:tc>
        <w:tc>
          <w:tcPr>
            <w:tcW w:w="2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52.2</w:t>
            </w:r>
          </w:p>
        </w:tc>
      </w:tr>
      <w:tr>
        <w:trPr>
          <w:trHeight w:val="248"/>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8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r>
      <w:tr>
        <w:trPr>
          <w:trHeight w:val="236"/>
        </w:trPr>
        <w:tc>
          <w:tcPr>
            <w:tcW w:w="5240" w:type="dxa"/>
            <w:vAlign w:val="bottom"/>
          </w:tcPr>
          <w:p>
            <w:pPr>
              <w:ind w:left="20"/>
              <w:spacing w:after="0"/>
              <w:rPr>
                <w:sz w:val="20"/>
                <w:szCs w:val="20"/>
                <w:color w:val="auto"/>
              </w:rPr>
            </w:pPr>
            <w:r>
              <w:rPr>
                <w:rFonts w:ascii="Arial" w:cs="Arial" w:eastAsia="Arial" w:hAnsi="Arial"/>
                <w:sz w:val="18"/>
                <w:szCs w:val="18"/>
                <w:color w:val="auto"/>
              </w:rPr>
              <w:t>2026</w:t>
            </w:r>
          </w:p>
        </w:tc>
        <w:tc>
          <w:tcPr>
            <w:tcW w:w="2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9.2</w:t>
            </w:r>
          </w:p>
        </w:tc>
      </w:tr>
      <w:tr>
        <w:trPr>
          <w:trHeight w:val="248"/>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8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r>
      <w:tr>
        <w:trPr>
          <w:trHeight w:val="236"/>
        </w:trPr>
        <w:tc>
          <w:tcPr>
            <w:tcW w:w="5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52.6</w:t>
            </w:r>
          </w:p>
        </w:tc>
      </w:tr>
      <w:tr>
        <w:trPr>
          <w:trHeight w:val="242"/>
        </w:trPr>
        <w:tc>
          <w:tcPr>
            <w:tcW w:w="5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No expirations</w:t>
            </w:r>
          </w:p>
        </w:tc>
        <w:tc>
          <w:tcPr>
            <w:tcW w:w="28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631.0</w:t>
            </w:r>
          </w:p>
        </w:tc>
        <w:tc>
          <w:tcPr>
            <w:tcW w:w="4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w:t>
            </w:r>
          </w:p>
        </w:tc>
      </w:tr>
      <w:tr>
        <w:trPr>
          <w:trHeight w:val="236"/>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operating loss carryforwards</w:t>
            </w:r>
          </w:p>
        </w:tc>
        <w:tc>
          <w:tcPr>
            <w:tcW w:w="2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651.4</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141.3</w:t>
            </w:r>
          </w:p>
        </w:tc>
      </w:tr>
    </w:tbl>
    <w:p>
      <w:pPr>
        <w:spacing w:after="0" w:line="20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have recorded a deferred tax asset of $128.9 as of December 31, 2022, for the benefit of these net operating losses. Realization of this asset is dependent on generating sufficient taxable income prior to the expiration of the loss carryforwards. A related valuation allowance of $111.8 was recorded as of December 31, 2022, as management believes that realization of certain net operating loss carryforwards is unlikely.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78" w:name="page79"/>
    <w:bookmarkEnd w:id="78"/>
    <w:p>
      <w:pPr>
        <w:jc w:val="both"/>
        <w:spacing w:after="0" w:line="258" w:lineRule="auto"/>
        <w:rPr>
          <w:sz w:val="20"/>
          <w:szCs w:val="20"/>
          <w:color w:val="auto"/>
        </w:rPr>
      </w:pPr>
      <w:r>
        <w:rPr>
          <w:rFonts w:ascii="Arial" w:cs="Arial" w:eastAsia="Arial" w:hAnsi="Arial"/>
          <w:sz w:val="18"/>
          <w:szCs w:val="18"/>
          <w:color w:val="auto"/>
        </w:rPr>
        <w:t>We had gross unrecognized tax benefits related to various tax jurisdictions, including interest and penalties, of $81.6, $71.8 and $64.5 in 2022, 2021 and 2020, respectively. If recognized, the entire amount would favorably affect the effective tax rate except for $6.0. We believe that it is reasonably possible that the amount of gross unrecognized tax benefits could decrease between $16.1 and $19.4 in the next 12 months as a result of the resolution of tax matters in various global jurisdictions and the lapses of statutes of limitations.</w:t>
      </w:r>
    </w:p>
    <w:p>
      <w:pPr>
        <w:spacing w:after="0" w:line="15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recognize accrued interest and penalties related to unrecognized tax benefits in income tax expense. We accrued net interest and penalties of $0.8, $0.9 and $0.0 in 2022, 2021 and 2020,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unrecognized tax benefits during 2022, 2021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4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42"/>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unrecognized tax benefits, beginning of year</w:t>
            </w:r>
          </w:p>
        </w:tc>
        <w:tc>
          <w:tcPr>
            <w:tcW w:w="17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67.3</w:t>
            </w:r>
          </w:p>
        </w:tc>
        <w:tc>
          <w:tcPr>
            <w:tcW w:w="6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60.9</w:t>
            </w:r>
          </w:p>
        </w:tc>
        <w:tc>
          <w:tcPr>
            <w:tcW w:w="6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65.9</w:t>
            </w:r>
          </w:p>
        </w:tc>
      </w:tr>
      <w:tr>
        <w:trPr>
          <w:trHeight w:val="236"/>
        </w:trPr>
        <w:tc>
          <w:tcPr>
            <w:tcW w:w="5420" w:type="dxa"/>
            <w:vAlign w:val="bottom"/>
          </w:tcPr>
          <w:p>
            <w:pPr>
              <w:ind w:left="200"/>
              <w:spacing w:after="0"/>
              <w:rPr>
                <w:sz w:val="20"/>
                <w:szCs w:val="20"/>
                <w:color w:val="auto"/>
              </w:rPr>
            </w:pPr>
            <w:r>
              <w:rPr>
                <w:rFonts w:ascii="Arial" w:cs="Arial" w:eastAsia="Arial" w:hAnsi="Arial"/>
                <w:sz w:val="18"/>
                <w:szCs w:val="18"/>
                <w:color w:val="auto"/>
              </w:rPr>
              <w:t>Increases in prior year tax positions</w:t>
            </w:r>
          </w:p>
        </w:tc>
        <w:tc>
          <w:tcPr>
            <w:tcW w:w="17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6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48"/>
        </w:trPr>
        <w:tc>
          <w:tcPr>
            <w:tcW w:w="5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Decreases in prior year tax positions</w:t>
            </w:r>
          </w:p>
        </w:tc>
        <w:tc>
          <w:tcPr>
            <w:tcW w:w="17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(1.2 )</w:t>
            </w:r>
          </w:p>
        </w:tc>
        <w:tc>
          <w:tcPr>
            <w:tcW w:w="6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(0.4 )</w:t>
            </w:r>
          </w:p>
        </w:tc>
        <w:tc>
          <w:tcPr>
            <w:tcW w:w="6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(4.1 )</w:t>
            </w:r>
          </w:p>
        </w:tc>
      </w:tr>
      <w:tr>
        <w:trPr>
          <w:trHeight w:val="236"/>
        </w:trPr>
        <w:tc>
          <w:tcPr>
            <w:tcW w:w="5420" w:type="dxa"/>
            <w:vAlign w:val="bottom"/>
          </w:tcPr>
          <w:p>
            <w:pPr>
              <w:ind w:left="200"/>
              <w:spacing w:after="0"/>
              <w:rPr>
                <w:sz w:val="20"/>
                <w:szCs w:val="20"/>
                <w:color w:val="auto"/>
              </w:rPr>
            </w:pPr>
            <w:r>
              <w:rPr>
                <w:rFonts w:ascii="Arial" w:cs="Arial" w:eastAsia="Arial" w:hAnsi="Arial"/>
                <w:sz w:val="18"/>
                <w:szCs w:val="18"/>
                <w:color w:val="auto"/>
              </w:rPr>
              <w:t>Increases for current year tax positions</w:t>
            </w:r>
          </w:p>
        </w:tc>
        <w:tc>
          <w:tcPr>
            <w:tcW w:w="17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6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9.0</w:t>
            </w:r>
          </w:p>
        </w:tc>
        <w:tc>
          <w:tcPr>
            <w:tcW w:w="6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42"/>
        </w:trPr>
        <w:tc>
          <w:tcPr>
            <w:tcW w:w="54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Expiration of statute of limitations and audit settlements</w:t>
            </w:r>
          </w:p>
        </w:tc>
        <w:tc>
          <w:tcPr>
            <w:tcW w:w="17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(2.6 )</w:t>
            </w:r>
          </w:p>
        </w:tc>
        <w:tc>
          <w:tcPr>
            <w:tcW w:w="6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(6.8 )</w:t>
            </w:r>
          </w:p>
        </w:tc>
        <w:tc>
          <w:tcPr>
            <w:tcW w:w="6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(5.5 )</w:t>
            </w:r>
          </w:p>
        </w:tc>
      </w:tr>
      <w:tr>
        <w:trPr>
          <w:trHeight w:val="23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Gross unrecognized tax benefits, end of year</w:t>
            </w:r>
          </w:p>
        </w:tc>
        <w:tc>
          <w:tcPr>
            <w:tcW w:w="1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76.3</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67.3</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60.9</w:t>
            </w:r>
          </w:p>
        </w:tc>
      </w:tr>
      <w:tr>
        <w:trPr>
          <w:trHeight w:val="236"/>
        </w:trPr>
        <w:tc>
          <w:tcPr>
            <w:tcW w:w="54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Potential interest and penalties</w:t>
            </w:r>
          </w:p>
        </w:tc>
        <w:tc>
          <w:tcPr>
            <w:tcW w:w="17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5.3</w:t>
            </w:r>
          </w:p>
        </w:tc>
        <w:tc>
          <w:tcPr>
            <w:tcW w:w="6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4.5</w:t>
            </w:r>
          </w:p>
        </w:tc>
        <w:tc>
          <w:tcPr>
            <w:tcW w:w="6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r>
      <w:tr>
        <w:trPr>
          <w:trHeight w:val="23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81.6</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71.8</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64.5</w:t>
            </w:r>
          </w:p>
        </w:tc>
      </w:tr>
    </w:tbl>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2015 through 2022 for our major operations in France, Italy, the United Kingdom and the United States. As of December 31, 2022, we were subject to tax audits in Austria, Germany, India, Israel, Portugal, Spain and the United States. We believe that the resolution of these audits will not have a material adverse impact on earnings.</w:t>
      </w:r>
    </w:p>
    <w:p>
      <w:pPr>
        <w:spacing w:after="0" w:line="2"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earnings per share - basic and net earnings per share - diluted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1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36"/>
        </w:trPr>
        <w:tc>
          <w:tcPr>
            <w:tcW w:w="55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earnings available to common shareholders:</w:t>
            </w:r>
          </w:p>
        </w:tc>
        <w:tc>
          <w:tcPr>
            <w:tcW w:w="1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373.8</w:t>
            </w:r>
          </w:p>
        </w:tc>
        <w:tc>
          <w:tcPr>
            <w:tcW w:w="4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382.4</w:t>
            </w:r>
          </w:p>
        </w:tc>
        <w:tc>
          <w:tcPr>
            <w:tcW w:w="4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23.8</w:t>
            </w: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8"/>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4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52.2</w:t>
            </w: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54.5</w:t>
            </w:r>
          </w:p>
        </w:tc>
        <w:tc>
          <w:tcPr>
            <w:tcW w:w="4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58.0</w:t>
            </w:r>
          </w:p>
        </w:tc>
      </w:tr>
      <w:tr>
        <w:trPr>
          <w:trHeight w:val="236"/>
        </w:trPr>
        <w:tc>
          <w:tcPr>
            <w:tcW w:w="5500" w:type="dxa"/>
            <w:vAlign w:val="bottom"/>
          </w:tcPr>
          <w:p>
            <w:pPr>
              <w:ind w:left="200"/>
              <w:spacing w:after="0"/>
              <w:rPr>
                <w:sz w:val="20"/>
                <w:szCs w:val="20"/>
                <w:color w:val="auto"/>
              </w:rPr>
            </w:pPr>
            <w:r>
              <w:rPr>
                <w:rFonts w:ascii="Arial" w:cs="Arial" w:eastAsia="Arial" w:hAnsi="Arial"/>
                <w:sz w:val="18"/>
                <w:szCs w:val="18"/>
                <w:color w:val="auto"/>
              </w:rPr>
              <w:t>Effect of dilutive securities - stock options</w:t>
            </w:r>
          </w:p>
        </w:tc>
        <w:tc>
          <w:tcPr>
            <w:tcW w:w="14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2"/>
        </w:trPr>
        <w:tc>
          <w:tcPr>
            <w:tcW w:w="55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Effect of other share-based awards</w:t>
            </w:r>
          </w:p>
        </w:tc>
        <w:tc>
          <w:tcPr>
            <w:tcW w:w="14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0.6</w:t>
            </w:r>
          </w:p>
        </w:tc>
        <w:tc>
          <w:tcPr>
            <w:tcW w:w="4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c>
          <w:tcPr>
            <w:tcW w:w="4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r>
      <w:tr>
        <w:trPr>
          <w:trHeight w:val="236"/>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52.8</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55.4</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w:t>
            </w:r>
          </w:p>
        </w:tc>
      </w:tr>
      <w:tr>
        <w:trPr>
          <w:trHeight w:val="236"/>
        </w:trPr>
        <w:tc>
          <w:tcPr>
            <w:tcW w:w="55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earnings per share - basic</w:t>
            </w:r>
          </w:p>
        </w:tc>
        <w:tc>
          <w:tcPr>
            <w:tcW w:w="1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7.17</w:t>
            </w:r>
          </w:p>
        </w:tc>
        <w:tc>
          <w:tcPr>
            <w:tcW w:w="4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7.01</w:t>
            </w:r>
          </w:p>
        </w:tc>
        <w:tc>
          <w:tcPr>
            <w:tcW w:w="4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0.41</w:t>
            </w:r>
          </w:p>
        </w:tc>
      </w:tr>
      <w:tr>
        <w:trPr>
          <w:trHeight w:val="236"/>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 per share - diluted</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7.08</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6.91</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0.41</w:t>
            </w: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There were 0.5 million, 0.1 million and 0.6 million share-based awards excluded from the calculation of net earnings per share - diluted for the years ended December 31, 2022, 2021 and 2020, respectively, because their impact was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2420" w:type="dxa"/>
            <w:vAlign w:val="bottom"/>
            <w:gridSpan w:val="3"/>
          </w:tcPr>
          <w:p>
            <w:pPr>
              <w:spacing w:after="0"/>
              <w:rPr>
                <w:sz w:val="20"/>
                <w:szCs w:val="20"/>
                <w:color w:val="auto"/>
              </w:rPr>
            </w:pPr>
            <w:r>
              <w:rPr>
                <w:rFonts w:ascii="Arial" w:cs="Arial" w:eastAsia="Arial" w:hAnsi="Arial"/>
                <w:sz w:val="18"/>
                <w:szCs w:val="18"/>
                <w:color w:val="auto"/>
              </w:rPr>
              <w:t>(7) Goodwill</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1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0"/>
        </w:trPr>
        <w:tc>
          <w:tcPr>
            <w:tcW w:w="7040" w:type="dxa"/>
            <w:vAlign w:val="bottom"/>
            <w:gridSpan w:val="9"/>
          </w:tcPr>
          <w:p>
            <w:pPr>
              <w:spacing w:after="0"/>
              <w:rPr>
                <w:sz w:val="20"/>
                <w:szCs w:val="20"/>
                <w:color w:val="auto"/>
              </w:rPr>
            </w:pPr>
            <w:r>
              <w:rPr>
                <w:rFonts w:ascii="Arial" w:cs="Arial" w:eastAsia="Arial" w:hAnsi="Arial"/>
                <w:sz w:val="18"/>
                <w:szCs w:val="18"/>
                <w:color w:val="auto"/>
                <w:w w:val="91"/>
              </w:rPr>
              <w:t>Changes in the carrying value of goodwill by reportable segment and Corporate were as follows: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3"/>
        </w:trPr>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110"/>
              <w:spacing w:after="0" w:line="194" w:lineRule="exact"/>
              <w:rPr>
                <w:sz w:val="20"/>
                <w:szCs w:val="20"/>
                <w:color w:val="auto"/>
              </w:rPr>
            </w:pPr>
            <w:r>
              <w:rPr>
                <w:rFonts w:ascii="Arial" w:cs="Arial" w:eastAsia="Arial" w:hAnsi="Arial"/>
                <w:sz w:val="18"/>
                <w:szCs w:val="18"/>
                <w:color w:val="auto"/>
              </w:rPr>
              <w:t>Southern</w:t>
            </w:r>
          </w:p>
        </w:tc>
        <w:tc>
          <w:tcPr>
            <w:tcW w:w="420" w:type="dxa"/>
            <w:vAlign w:val="bottom"/>
          </w:tcPr>
          <w:p>
            <w:pPr>
              <w:spacing w:after="0"/>
              <w:rPr>
                <w:sz w:val="16"/>
                <w:szCs w:val="16"/>
                <w:color w:val="auto"/>
              </w:rPr>
            </w:pPr>
          </w:p>
        </w:tc>
        <w:tc>
          <w:tcPr>
            <w:tcW w:w="1040" w:type="dxa"/>
            <w:vAlign w:val="bottom"/>
          </w:tcPr>
          <w:p>
            <w:pPr>
              <w:jc w:val="right"/>
              <w:ind w:right="90"/>
              <w:spacing w:after="0" w:line="194" w:lineRule="exact"/>
              <w:rPr>
                <w:sz w:val="20"/>
                <w:szCs w:val="20"/>
                <w:color w:val="auto"/>
              </w:rPr>
            </w:pPr>
            <w:r>
              <w:rPr>
                <w:rFonts w:ascii="Arial" w:cs="Arial" w:eastAsia="Arial" w:hAnsi="Arial"/>
                <w:sz w:val="18"/>
                <w:szCs w:val="18"/>
                <w:color w:val="auto"/>
              </w:rPr>
              <w:t>Northern</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5"/>
        </w:trPr>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0"/>
              <w:spacing w:after="0" w:line="265" w:lineRule="exact"/>
              <w:rPr>
                <w:sz w:val="20"/>
                <w:szCs w:val="20"/>
                <w:color w:val="auto"/>
              </w:rPr>
            </w:pPr>
            <w:r>
              <w:rPr>
                <w:rFonts w:ascii="Arial" w:cs="Arial" w:eastAsia="Arial" w:hAnsi="Arial"/>
                <w:sz w:val="18"/>
                <w:szCs w:val="18"/>
                <w:color w:val="auto"/>
                <w:w w:val="99"/>
              </w:rPr>
              <w:t>Americas</w:t>
            </w:r>
            <w:r>
              <w:rPr>
                <w:rFonts w:ascii="Arial" w:cs="Arial" w:eastAsia="Arial" w:hAnsi="Arial"/>
                <w:sz w:val="24"/>
                <w:szCs w:val="24"/>
                <w:color w:val="auto"/>
                <w:w w:val="99"/>
                <w:vertAlign w:val="superscript"/>
              </w:rPr>
              <w:t>(1)</w:t>
            </w: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0"/>
              <w:spacing w:after="0" w:line="265" w:lineRule="exact"/>
              <w:rPr>
                <w:sz w:val="20"/>
                <w:szCs w:val="20"/>
                <w:color w:val="auto"/>
              </w:rPr>
            </w:pPr>
            <w:r>
              <w:rPr>
                <w:rFonts w:ascii="Arial" w:cs="Arial" w:eastAsia="Arial" w:hAnsi="Arial"/>
                <w:sz w:val="18"/>
                <w:szCs w:val="18"/>
                <w:color w:val="auto"/>
              </w:rPr>
              <w:t>Europe</w:t>
            </w:r>
            <w:r>
              <w:rPr>
                <w:rFonts w:ascii="Arial" w:cs="Arial" w:eastAsia="Arial" w:hAnsi="Arial"/>
                <w:sz w:val="24"/>
                <w:szCs w:val="24"/>
                <w:color w:val="auto"/>
                <w:vertAlign w:val="superscript"/>
              </w:rPr>
              <w:t>(2)</w:t>
            </w: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Europe</w:t>
            </w: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APME</w:t>
            </w: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0"/>
              <w:spacing w:after="0" w:line="265" w:lineRule="exact"/>
              <w:rPr>
                <w:sz w:val="20"/>
                <w:szCs w:val="20"/>
                <w:color w:val="auto"/>
              </w:rPr>
            </w:pPr>
            <w:r>
              <w:rPr>
                <w:rFonts w:ascii="Arial" w:cs="Arial" w:eastAsia="Arial" w:hAnsi="Arial"/>
                <w:sz w:val="18"/>
                <w:szCs w:val="18"/>
                <w:color w:val="auto"/>
                <w:w w:val="92"/>
              </w:rPr>
              <w:t>Corporate</w:t>
            </w:r>
            <w:r>
              <w:rPr>
                <w:rFonts w:ascii="Arial" w:cs="Arial" w:eastAsia="Arial" w:hAnsi="Arial"/>
                <w:sz w:val="24"/>
                <w:szCs w:val="24"/>
                <w:color w:val="auto"/>
                <w:w w:val="92"/>
                <w:vertAlign w:val="superscript"/>
              </w:rPr>
              <w:t>(3)</w:t>
            </w: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line="265" w:lineRule="exact"/>
              <w:rPr>
                <w:sz w:val="20"/>
                <w:szCs w:val="20"/>
                <w:color w:val="auto"/>
              </w:rPr>
            </w:pPr>
            <w:r>
              <w:rPr>
                <w:rFonts w:ascii="Arial" w:cs="Arial" w:eastAsia="Arial" w:hAnsi="Arial"/>
                <w:sz w:val="18"/>
                <w:szCs w:val="18"/>
                <w:color w:val="auto"/>
              </w:rPr>
              <w:t>Total</w:t>
            </w:r>
            <w:r>
              <w:rPr>
                <w:rFonts w:ascii="Arial" w:cs="Arial" w:eastAsia="Arial" w:hAnsi="Arial"/>
                <w:sz w:val="24"/>
                <w:szCs w:val="24"/>
                <w:color w:val="auto"/>
                <w:vertAlign w:val="superscript"/>
              </w:rPr>
              <w:t>(4)</w:t>
            </w:r>
          </w:p>
        </w:tc>
      </w:tr>
      <w:tr>
        <w:trPr>
          <w:trHeight w:val="236"/>
        </w:trPr>
        <w:tc>
          <w:tcPr>
            <w:tcW w:w="24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Balance, January 1, 2021</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536.6</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154.9</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326.6</w:t>
            </w:r>
          </w:p>
        </w:tc>
        <w:tc>
          <w:tcPr>
            <w:tcW w:w="4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81.7</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126.0</w:t>
            </w:r>
          </w:p>
        </w:tc>
        <w:tc>
          <w:tcPr>
            <w:tcW w:w="4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1,225.8</w:t>
            </w:r>
          </w:p>
        </w:tc>
      </w:tr>
      <w:tr>
        <w:trPr>
          <w:trHeight w:val="236"/>
        </w:trPr>
        <w:tc>
          <w:tcPr>
            <w:tcW w:w="2420" w:type="dxa"/>
            <w:vAlign w:val="bottom"/>
            <w:gridSpan w:val="3"/>
          </w:tcPr>
          <w:p>
            <w:pPr>
              <w:ind w:left="120"/>
              <w:spacing w:after="0"/>
              <w:rPr>
                <w:sz w:val="20"/>
                <w:szCs w:val="20"/>
                <w:color w:val="auto"/>
              </w:rPr>
            </w:pPr>
            <w:r>
              <w:rPr>
                <w:rFonts w:ascii="Arial" w:cs="Arial" w:eastAsia="Arial" w:hAnsi="Arial"/>
                <w:sz w:val="18"/>
                <w:szCs w:val="18"/>
                <w:color w:val="auto"/>
              </w:rPr>
              <w:t>Acquisitions</w:t>
            </w:r>
          </w:p>
        </w:tc>
        <w:tc>
          <w:tcPr>
            <w:tcW w:w="5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522.7</w:t>
            </w:r>
          </w:p>
        </w:tc>
        <w:tc>
          <w:tcPr>
            <w:tcW w:w="4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522.7</w:t>
            </w:r>
          </w:p>
        </w:tc>
      </w:tr>
      <w:tr>
        <w:trPr>
          <w:trHeight w:val="242"/>
        </w:trPr>
        <w:tc>
          <w:tcPr>
            <w:tcW w:w="2420" w:type="dxa"/>
            <w:vAlign w:val="bottom"/>
            <w:tcBorders>
              <w:bottom w:val="single" w:sz="8" w:color="auto"/>
            </w:tcBorders>
            <w:gridSpan w:val="3"/>
            <w:shd w:val="clear" w:color="auto" w:fill="CFF0FC"/>
          </w:tcPr>
          <w:p>
            <w:pPr>
              <w:ind w:left="120"/>
              <w:spacing w:after="0"/>
              <w:rPr>
                <w:sz w:val="20"/>
                <w:szCs w:val="20"/>
                <w:color w:val="auto"/>
              </w:rPr>
            </w:pPr>
            <w:r>
              <w:rPr>
                <w:rFonts w:ascii="Arial" w:cs="Arial" w:eastAsia="Arial" w:hAnsi="Arial"/>
                <w:sz w:val="18"/>
                <w:szCs w:val="18"/>
                <w:color w:val="auto"/>
              </w:rPr>
              <w:t>Currency impact and other</w:t>
            </w:r>
          </w:p>
        </w:tc>
        <w:tc>
          <w:tcPr>
            <w:tcW w:w="5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(0.4 )</w:t>
            </w:r>
          </w:p>
        </w:tc>
        <w:tc>
          <w:tcPr>
            <w:tcW w:w="4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(8.2 )</w:t>
            </w:r>
          </w:p>
        </w:tc>
        <w:tc>
          <w:tcPr>
            <w:tcW w:w="4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(12.9 )</w:t>
            </w:r>
          </w:p>
        </w:tc>
        <w:tc>
          <w:tcPr>
            <w:tcW w:w="4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(4.8 )</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(26.3 )</w:t>
            </w:r>
          </w:p>
        </w:tc>
      </w:tr>
      <w:tr>
        <w:trPr>
          <w:trHeight w:val="236"/>
        </w:trPr>
        <w:tc>
          <w:tcPr>
            <w:tcW w:w="2420" w:type="dxa"/>
            <w:vAlign w:val="bottom"/>
            <w:gridSpan w:val="3"/>
          </w:tcPr>
          <w:p>
            <w:pPr>
              <w:ind w:left="20"/>
              <w:spacing w:after="0"/>
              <w:rPr>
                <w:sz w:val="20"/>
                <w:szCs w:val="20"/>
                <w:color w:val="auto"/>
              </w:rPr>
            </w:pPr>
            <w:r>
              <w:rPr>
                <w:rFonts w:ascii="Arial" w:cs="Arial" w:eastAsia="Arial" w:hAnsi="Arial"/>
                <w:sz w:val="18"/>
                <w:szCs w:val="18"/>
                <w:color w:val="auto"/>
              </w:rPr>
              <w:t>Balance, December 31, 2021</w:t>
            </w:r>
          </w:p>
        </w:tc>
        <w:tc>
          <w:tcPr>
            <w:tcW w:w="5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1,058.9</w:t>
            </w:r>
          </w:p>
        </w:tc>
        <w:tc>
          <w:tcPr>
            <w:tcW w:w="4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146.7</w:t>
            </w:r>
          </w:p>
        </w:tc>
        <w:tc>
          <w:tcPr>
            <w:tcW w:w="4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313.7</w:t>
            </w:r>
          </w:p>
        </w:tc>
        <w:tc>
          <w:tcPr>
            <w:tcW w:w="4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76.9</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126.0</w:t>
            </w:r>
          </w:p>
        </w:tc>
        <w:tc>
          <w:tcPr>
            <w:tcW w:w="4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1,722.2</w:t>
            </w:r>
          </w:p>
        </w:tc>
      </w:tr>
      <w:tr>
        <w:trPr>
          <w:trHeight w:val="248"/>
        </w:trPr>
        <w:tc>
          <w:tcPr>
            <w:tcW w:w="242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Acquisitions</w:t>
            </w:r>
          </w:p>
        </w:tc>
        <w:tc>
          <w:tcPr>
            <w:tcW w:w="5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(6.5 )</w:t>
            </w: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8.8</w:t>
            </w: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r>
        <w:trPr>
          <w:trHeight w:val="242"/>
        </w:trPr>
        <w:tc>
          <w:tcPr>
            <w:tcW w:w="2420" w:type="dxa"/>
            <w:vAlign w:val="bottom"/>
            <w:gridSpan w:val="3"/>
          </w:tcPr>
          <w:p>
            <w:pPr>
              <w:ind w:left="120"/>
              <w:spacing w:after="0" w:line="242" w:lineRule="exact"/>
              <w:rPr>
                <w:sz w:val="20"/>
                <w:szCs w:val="20"/>
                <w:color w:val="auto"/>
              </w:rPr>
            </w:pPr>
            <w:r>
              <w:rPr>
                <w:rFonts w:ascii="Arial" w:cs="Arial" w:eastAsia="Arial" w:hAnsi="Arial"/>
                <w:sz w:val="18"/>
                <w:szCs w:val="18"/>
                <w:color w:val="auto"/>
              </w:rPr>
              <w:t>Impairment Charge</w:t>
            </w:r>
            <w:r>
              <w:rPr>
                <w:rFonts w:ascii="Arial" w:cs="Arial" w:eastAsia="Arial" w:hAnsi="Arial"/>
                <w:sz w:val="24"/>
                <w:szCs w:val="24"/>
                <w:color w:val="auto"/>
                <w:vertAlign w:val="superscript"/>
              </w:rPr>
              <w:t>(5)</w:t>
            </w:r>
          </w:p>
        </w:tc>
        <w:tc>
          <w:tcPr>
            <w:tcW w:w="5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(50.0 )</w:t>
            </w:r>
          </w:p>
        </w:tc>
        <w:tc>
          <w:tcPr>
            <w:tcW w:w="4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36"/>
        </w:trPr>
        <w:tc>
          <w:tcPr>
            <w:tcW w:w="2420" w:type="dxa"/>
            <w:vAlign w:val="bottom"/>
            <w:tcBorders>
              <w:bottom w:val="single" w:sz="8" w:color="auto"/>
            </w:tcBorders>
            <w:gridSpan w:val="3"/>
            <w:shd w:val="clear" w:color="auto" w:fill="CFF0FC"/>
          </w:tcPr>
          <w:p>
            <w:pPr>
              <w:ind w:left="120"/>
              <w:spacing w:after="0"/>
              <w:rPr>
                <w:sz w:val="20"/>
                <w:szCs w:val="20"/>
                <w:color w:val="auto"/>
              </w:rPr>
            </w:pPr>
            <w:r>
              <w:rPr>
                <w:rFonts w:ascii="Arial" w:cs="Arial" w:eastAsia="Arial" w:hAnsi="Arial"/>
                <w:sz w:val="18"/>
                <w:szCs w:val="18"/>
                <w:color w:val="auto"/>
              </w:rPr>
              <w:t>Currency impact and other</w:t>
            </w:r>
          </w:p>
        </w:tc>
        <w:tc>
          <w:tcPr>
            <w:tcW w:w="5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(2.8 )</w:t>
            </w:r>
          </w:p>
        </w:tc>
        <w:tc>
          <w:tcPr>
            <w:tcW w:w="4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(7.3 )</w:t>
            </w:r>
          </w:p>
        </w:tc>
        <w:tc>
          <w:tcPr>
            <w:tcW w:w="4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(28.9 )</w:t>
            </w:r>
          </w:p>
        </w:tc>
        <w:tc>
          <w:tcPr>
            <w:tcW w:w="4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(7.4 )</w:t>
            </w: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(46.4 )</w:t>
            </w:r>
          </w:p>
        </w:tc>
      </w:tr>
      <w:tr>
        <w:trPr>
          <w:trHeight w:val="236"/>
        </w:trPr>
        <w:tc>
          <w:tcPr>
            <w:tcW w:w="24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Balance, December 31, 2022</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1,049.6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148.2</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234.8</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69.5</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126.0</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1,628.1</w:t>
            </w:r>
          </w:p>
        </w:tc>
      </w:tr>
    </w:tbl>
    <w:p>
      <w:pPr>
        <w:spacing w:after="0" w:line="205" w:lineRule="exact"/>
        <w:rPr>
          <w:sz w:val="20"/>
          <w:szCs w:val="20"/>
          <w:color w:val="auto"/>
        </w:rPr>
      </w:pPr>
    </w:p>
    <w:p>
      <w:pPr>
        <w:jc w:val="both"/>
        <w:ind w:left="520" w:right="60" w:hanging="512"/>
        <w:spacing w:after="0" w:line="277"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Balances related to United States were $490.2, $1,013.0 and $1,006.5 as of January 1, 2021, December 31, 2021 and December 31, 2022, respectively. The increase in 2021 is related to the Experis acquisition. The 2022 reduction for acquisitions represents post-closing opening balance adjustments related to the Experis acquisition.</w:t>
      </w:r>
    </w:p>
    <w:p>
      <w:pPr>
        <w:spacing w:after="0" w:line="8" w:lineRule="exact"/>
        <w:rPr>
          <w:rFonts w:ascii="Arial" w:cs="Arial" w:eastAsia="Arial" w:hAnsi="Arial"/>
          <w:sz w:val="16"/>
          <w:szCs w:val="16"/>
          <w:color w:val="auto"/>
        </w:rPr>
      </w:pPr>
    </w:p>
    <w:p>
      <w:pPr>
        <w:ind w:left="520" w:right="80" w:hanging="512"/>
        <w:spacing w:after="0" w:line="289"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Balances related to France were $73.3, $68.2 and $73.3 as of January 1, 2021, December 31, 2021 and December 31, 2022, respectively. Balances related to Italy were $4.2, $3.9 and $3.7 as of January 1, 2021, December 31, 2021 and December 31, 2022, respectively.</w:t>
      </w:r>
    </w:p>
    <w:p>
      <w:pPr>
        <w:jc w:val="both"/>
        <w:ind w:left="520" w:right="60" w:hanging="512"/>
        <w:spacing w:after="0" w:line="270"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majority of the Corporate balance as of December 31, 2021 and 2022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jc w:val="both"/>
        <w:ind w:left="520" w:right="60" w:hanging="512"/>
        <w:spacing w:after="0" w:line="277"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Balances were net of accumulated impairment loss of $644.2 ($127.0 related to Northern Europe, $3.8 related to APME, $235.2 related to Right Management and $278.2 related to corporate) as of both January 1, 2021 and December 31, 2021; and $694.2 ($177.0 related to Northern Europe, $3.8 related to APME, $235.2 related to Right Management and $278.2 related to Corporate) as of December 31, 2022.</w:t>
      </w:r>
    </w:p>
    <w:p>
      <w:pPr>
        <w:spacing w:after="0" w:line="8" w:lineRule="exact"/>
        <w:rPr>
          <w:rFonts w:ascii="Arial" w:cs="Arial" w:eastAsia="Arial" w:hAnsi="Arial"/>
          <w:sz w:val="16"/>
          <w:szCs w:val="16"/>
          <w:color w:val="auto"/>
        </w:rPr>
      </w:pPr>
    </w:p>
    <w:p>
      <w:pPr>
        <w:ind w:left="520" w:right="80" w:hanging="512"/>
        <w:spacing w:after="0" w:line="291"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2022 impairment charge of $50.0 relates to our Netherlands reporting unit, which was recorded during the fourth quarter of 2022. See Note 1 to the Consolidated Financial Statements for further information.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3"/>
          </w:tcPr>
          <w:p>
            <w:pPr>
              <w:spacing w:after="0"/>
              <w:rPr>
                <w:sz w:val="20"/>
                <w:szCs w:val="20"/>
                <w:color w:val="auto"/>
              </w:rPr>
            </w:pPr>
            <w:r>
              <w:rPr>
                <w:rFonts w:ascii="Arial" w:cs="Arial" w:eastAsia="Arial" w:hAnsi="Arial"/>
                <w:sz w:val="18"/>
                <w:szCs w:val="18"/>
                <w:color w:val="auto"/>
              </w:rPr>
              <w:t>Goodwill balances by reporting unit were as follows:</w:t>
            </w: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51"/>
        </w:trPr>
        <w:tc>
          <w:tcPr>
            <w:tcW w:w="50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December 31</w:t>
            </w:r>
          </w:p>
        </w:tc>
        <w:tc>
          <w:tcPr>
            <w:tcW w:w="17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9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r>
      <w:tr>
        <w:trPr>
          <w:trHeight w:val="242"/>
        </w:trPr>
        <w:tc>
          <w:tcPr>
            <w:tcW w:w="50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7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1,085.3</w:t>
            </w:r>
          </w:p>
        </w:tc>
        <w:tc>
          <w:tcPr>
            <w:tcW w:w="9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1,091.7</w:t>
            </w:r>
          </w:p>
        </w:tc>
      </w:tr>
      <w:tr>
        <w:trPr>
          <w:trHeight w:val="236"/>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United Kingdom</w:t>
            </w:r>
          </w:p>
        </w:tc>
        <w:tc>
          <w:tcPr>
            <w:tcW w:w="172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100.2</w:t>
            </w: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112.2</w:t>
            </w:r>
          </w:p>
        </w:tc>
      </w:tr>
      <w:tr>
        <w:trPr>
          <w:trHeight w:val="248"/>
        </w:trPr>
        <w:tc>
          <w:tcPr>
            <w:tcW w:w="50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France</w:t>
            </w:r>
          </w:p>
        </w:tc>
        <w:tc>
          <w:tcPr>
            <w:tcW w:w="17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79.5</w:t>
            </w: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110.7</w:t>
            </w:r>
          </w:p>
        </w:tc>
      </w:tr>
      <w:tr>
        <w:trPr>
          <w:trHeight w:val="236"/>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Netherlands</w:t>
            </w:r>
          </w:p>
        </w:tc>
        <w:tc>
          <w:tcPr>
            <w:tcW w:w="172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55.1</w:t>
            </w: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74.3</w:t>
            </w:r>
          </w:p>
        </w:tc>
      </w:tr>
      <w:tr>
        <w:trPr>
          <w:trHeight w:val="248"/>
        </w:trPr>
        <w:tc>
          <w:tcPr>
            <w:tcW w:w="50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Canada</w:t>
            </w:r>
          </w:p>
        </w:tc>
        <w:tc>
          <w:tcPr>
            <w:tcW w:w="17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41.6</w:t>
            </w: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44.5</w:t>
            </w:r>
          </w:p>
        </w:tc>
      </w:tr>
      <w:tr>
        <w:trPr>
          <w:trHeight w:val="236"/>
        </w:trPr>
        <w:tc>
          <w:tcPr>
            <w:tcW w:w="50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Other reporting units</w:t>
            </w:r>
          </w:p>
        </w:tc>
        <w:tc>
          <w:tcPr>
            <w:tcW w:w="17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266.4</w:t>
            </w:r>
          </w:p>
        </w:tc>
        <w:tc>
          <w:tcPr>
            <w:tcW w:w="9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288.8</w:t>
            </w:r>
          </w:p>
        </w:tc>
      </w:tr>
      <w:tr>
        <w:trPr>
          <w:trHeight w:val="236"/>
        </w:trPr>
        <w:tc>
          <w:tcPr>
            <w:tcW w:w="5060" w:type="dxa"/>
            <w:vAlign w:val="bottom"/>
            <w:tcBorders>
              <w:bottom w:val="single" w:sz="8" w:color="auto"/>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goodwill</w:t>
            </w:r>
          </w:p>
        </w:tc>
        <w:tc>
          <w:tcPr>
            <w:tcW w:w="17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1,628.1</w:t>
            </w:r>
          </w:p>
        </w:tc>
        <w:tc>
          <w:tcPr>
            <w:tcW w:w="9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1,722.2</w:t>
            </w:r>
          </w:p>
        </w:tc>
      </w:tr>
      <w:tr>
        <w:trPr>
          <w:trHeight w:val="753"/>
        </w:trPr>
        <w:tc>
          <w:tcPr>
            <w:tcW w:w="5060" w:type="dxa"/>
            <w:vAlign w:val="bottom"/>
            <w:gridSpan w:val="3"/>
          </w:tcPr>
          <w:p>
            <w:pPr>
              <w:spacing w:after="0"/>
              <w:rPr>
                <w:sz w:val="20"/>
                <w:szCs w:val="20"/>
                <w:color w:val="auto"/>
              </w:rPr>
            </w:pPr>
            <w:r>
              <w:rPr>
                <w:rFonts w:ascii="Arial" w:cs="Arial" w:eastAsia="Arial" w:hAnsi="Arial"/>
                <w:sz w:val="18"/>
                <w:szCs w:val="18"/>
                <w:color w:val="auto"/>
              </w:rPr>
              <w:t>(8) Debt</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0"/>
        </w:trPr>
        <w:tc>
          <w:tcPr>
            <w:tcW w:w="5060" w:type="dxa"/>
            <w:vAlign w:val="bottom"/>
            <w:gridSpan w:val="3"/>
          </w:tcPr>
          <w:p>
            <w:pPr>
              <w:spacing w:after="0"/>
              <w:rPr>
                <w:sz w:val="20"/>
                <w:szCs w:val="20"/>
                <w:color w:val="auto"/>
              </w:rPr>
            </w:pPr>
            <w:r>
              <w:rPr>
                <w:rFonts w:ascii="Arial" w:cs="Arial" w:eastAsia="Arial" w:hAnsi="Arial"/>
                <w:sz w:val="18"/>
                <w:szCs w:val="18"/>
                <w:color w:val="auto"/>
              </w:rPr>
              <w:t>Information concerning short-term borrowings is as follows:</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6"/>
        </w:trPr>
        <w:tc>
          <w:tcPr>
            <w:tcW w:w="50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December 31</w:t>
            </w:r>
          </w:p>
        </w:tc>
        <w:tc>
          <w:tcPr>
            <w:tcW w:w="17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r>
      <w:tr>
        <w:trPr>
          <w:trHeight w:val="242"/>
        </w:trPr>
        <w:tc>
          <w:tcPr>
            <w:tcW w:w="50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Short-term borrowings</w:t>
            </w:r>
          </w:p>
        </w:tc>
        <w:tc>
          <w:tcPr>
            <w:tcW w:w="17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21.5</w:t>
            </w:r>
          </w:p>
        </w:tc>
        <w:tc>
          <w:tcPr>
            <w:tcW w:w="70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60" w:type="dxa"/>
            <w:vAlign w:val="bottom"/>
          </w:tcPr>
          <w:p>
            <w:pPr>
              <w:ind w:left="20"/>
              <w:spacing w:after="0"/>
              <w:rPr>
                <w:sz w:val="20"/>
                <w:szCs w:val="20"/>
                <w:color w:val="auto"/>
              </w:rPr>
            </w:pPr>
            <w:r>
              <w:rPr>
                <w:rFonts w:ascii="Arial" w:cs="Arial" w:eastAsia="Arial" w:hAnsi="Arial"/>
                <w:sz w:val="18"/>
                <w:szCs w:val="18"/>
                <w:color w:val="auto"/>
              </w:rPr>
              <w:t>Weighted-average interest rates</w:t>
            </w:r>
          </w:p>
        </w:tc>
        <w:tc>
          <w:tcPr>
            <w:tcW w:w="4500" w:type="dxa"/>
            <w:vAlign w:val="bottom"/>
          </w:tcPr>
          <w:p>
            <w:pPr>
              <w:jc w:val="right"/>
              <w:ind w:right="630"/>
              <w:spacing w:after="0"/>
              <w:rPr>
                <w:sz w:val="20"/>
                <w:szCs w:val="20"/>
                <w:color w:val="auto"/>
              </w:rPr>
            </w:pPr>
            <w:r>
              <w:rPr>
                <w:rFonts w:ascii="Arial" w:cs="Arial" w:eastAsia="Arial" w:hAnsi="Arial"/>
                <w:sz w:val="18"/>
                <w:szCs w:val="18"/>
                <w:color w:val="auto"/>
              </w:rPr>
              <w:t>6.1 %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7.6 %</w:t>
            </w:r>
          </w:p>
        </w:tc>
      </w:tr>
      <w:tr>
        <w:trPr>
          <w:trHeight w:val="20"/>
        </w:trPr>
        <w:tc>
          <w:tcPr>
            <w:tcW w:w="5660" w:type="dxa"/>
            <w:vAlign w:val="bottom"/>
            <w:shd w:val="clear" w:color="auto" w:fill="000000"/>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We maintain separate bank credit lines with financial institutions to meet working capital needs of our subsidiary operations. As of December 31, 2022, such uncommitted credit lines totaled $318.4, of which $288.5 was unused. Under our revolving credit agreement, total subsidiary borrowings cannot exceed $300.0 in the first, second and fourth quarters, and $600.0 in the third quarter of each year. Due to these limitations, additional borrowings of $270.1 could have been made under these lines as of December 31, 2022.</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323" w:right="2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A summary of long-term debt is as follows:</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29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r>
      <w:tr>
        <w:trPr>
          <w:trHeight w:val="236"/>
        </w:trPr>
        <w:tc>
          <w:tcPr>
            <w:tcW w:w="5420" w:type="dxa"/>
            <w:vAlign w:val="bottom"/>
          </w:tcPr>
          <w:p>
            <w:pPr>
              <w:ind w:left="20"/>
              <w:spacing w:after="0"/>
              <w:rPr>
                <w:sz w:val="20"/>
                <w:szCs w:val="20"/>
                <w:color w:val="auto"/>
              </w:rPr>
            </w:pPr>
            <w:r>
              <w:rPr>
                <w:rFonts w:ascii="Arial" w:cs="Arial" w:eastAsia="Arial" w:hAnsi="Arial"/>
                <w:sz w:val="18"/>
                <w:szCs w:val="18"/>
                <w:color w:val="auto"/>
              </w:rPr>
              <w:t>Euro-denominated notes:</w:t>
            </w:r>
          </w:p>
        </w:tc>
        <w:tc>
          <w:tcPr>
            <w:tcW w:w="2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8"/>
        </w:trPr>
        <w:tc>
          <w:tcPr>
            <w:tcW w:w="5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€500.0 due June 2026</w:t>
            </w:r>
          </w:p>
        </w:tc>
        <w:tc>
          <w:tcPr>
            <w:tcW w:w="292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532.7</w:t>
            </w:r>
          </w:p>
        </w:tc>
        <w:tc>
          <w:tcPr>
            <w:tcW w:w="68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565.2</w:t>
            </w:r>
          </w:p>
        </w:tc>
      </w:tr>
      <w:tr>
        <w:trPr>
          <w:trHeight w:val="236"/>
        </w:trPr>
        <w:tc>
          <w:tcPr>
            <w:tcW w:w="5420" w:type="dxa"/>
            <w:vAlign w:val="bottom"/>
          </w:tcPr>
          <w:p>
            <w:pPr>
              <w:ind w:left="200"/>
              <w:spacing w:after="0"/>
              <w:rPr>
                <w:sz w:val="20"/>
                <w:szCs w:val="20"/>
                <w:color w:val="auto"/>
              </w:rPr>
            </w:pPr>
            <w:r>
              <w:rPr>
                <w:rFonts w:ascii="Arial" w:cs="Arial" w:eastAsia="Arial" w:hAnsi="Arial"/>
                <w:sz w:val="18"/>
                <w:szCs w:val="18"/>
                <w:color w:val="auto"/>
              </w:rPr>
              <w:t>€400.0 due June 2027</w:t>
            </w:r>
          </w:p>
        </w:tc>
        <w:tc>
          <w:tcPr>
            <w:tcW w:w="29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423.9</w:t>
            </w:r>
          </w:p>
        </w:tc>
        <w:tc>
          <w:tcPr>
            <w:tcW w:w="6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454.4</w:t>
            </w:r>
          </w:p>
        </w:tc>
      </w:tr>
      <w:tr>
        <w:trPr>
          <w:trHeight w:val="248"/>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Credit Agreement</w:t>
            </w:r>
          </w:p>
        </w:tc>
        <w:tc>
          <w:tcPr>
            <w:tcW w:w="29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75.0</w:t>
            </w:r>
          </w:p>
        </w:tc>
      </w:tr>
      <w:tr>
        <w:trPr>
          <w:trHeight w:val="23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9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236"/>
        </w:trPr>
        <w:tc>
          <w:tcPr>
            <w:tcW w:w="5420" w:type="dxa"/>
            <w:vAlign w:val="bottom"/>
            <w:tcBorders>
              <w:bottom w:val="single" w:sz="8" w:color="auto"/>
            </w:tcBorders>
            <w:shd w:val="clear" w:color="auto" w:fill="CFF0FC"/>
          </w:tcPr>
          <w:p>
            <w:pPr>
              <w:spacing w:after="0"/>
              <w:rPr>
                <w:sz w:val="20"/>
                <w:szCs w:val="20"/>
                <w:color w:val="auto"/>
              </w:rPr>
            </w:pPr>
          </w:p>
        </w:tc>
        <w:tc>
          <w:tcPr>
            <w:tcW w:w="29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965.0</w:t>
            </w:r>
          </w:p>
        </w:tc>
        <w:tc>
          <w:tcPr>
            <w:tcW w:w="6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1,101.5</w:t>
            </w:r>
          </w:p>
        </w:tc>
      </w:tr>
      <w:tr>
        <w:trPr>
          <w:trHeight w:val="23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maturities</w:t>
            </w:r>
          </w:p>
        </w:tc>
        <w:tc>
          <w:tcPr>
            <w:tcW w:w="29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535.8</w:t>
            </w:r>
          </w:p>
        </w:tc>
      </w:tr>
      <w:tr>
        <w:trPr>
          <w:trHeight w:val="236"/>
        </w:trPr>
        <w:tc>
          <w:tcPr>
            <w:tcW w:w="54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292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959.9</w:t>
            </w:r>
          </w:p>
        </w:tc>
        <w:tc>
          <w:tcPr>
            <w:tcW w:w="68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565.7</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Notes</w:t>
      </w:r>
    </w:p>
    <w:p>
      <w:pPr>
        <w:spacing w:after="0" w:line="2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June 30, 2022, we offered and sold €400.0 million aggregate principal amount of the Company’s 3.50% notes due June 30, 2027 (the “€400.0 notes”). The proceeds from the €400.0 notes were used in July 2022 to repay our €400.0 1.875% notes due September 11, 2022. The €400.0 notes were issued at a price of 99.465% to yield an effective interest rate of 3.514%, net of a favorable impact of a forward starting interest rate swap. Interest on the Notes is payable in arrears on June 30 of each year. The Notes are unsecured senior obligations and rank equally with all of the Company’s existing and future senior unsecured debt and other liabilities.</w:t>
      </w:r>
    </w:p>
    <w:p>
      <w:pPr>
        <w:spacing w:after="0" w:line="1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June 22, 2018, we offered and sold €500.0 aggregate principal amount of the Company’s 1.750% notes due June 2026 (the “€500.0 notes”). The net proceeds from the €500.0 notes of €495.7 were used to repay our €350.0 notes due June 22, 2018, with the remaining balance used for general corporate purposes, which included share repurchases. The €500.0 notes were issued at a price of 99.564% to yield an effective interest rate of 1.809%. Interest on the €500.0 notes is payable in arrears on June 22 of each year. The €500.0 notes are unsecured senior obligations and rank equally with all of the Company’s existing and future senior unsecured debt and other liabilities.</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Both the €500.0 notes and €400.0 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2022. Since our net investment in these subsidiaries exceeds the respective amount of the designated borrowings, the related translation gains or losses are included as a component of accumulated other comprehensive loss. (See Note 12 to the Consolidated Financial Statements for further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w:t>
      </w:r>
    </w:p>
    <w:p>
      <w:pPr>
        <w:spacing w:after="0" w:line="2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May 27, 2022, we entered into a new Credit Agreement (the “Credit Agreement”) with a syndicate of commercial banks with a termination date of May 27, 2027 to replace our previous $600.0 revolving credit facility. The Credit Agreement includes terms generally consistent with our previous 5-year credit facility, except the Credit Agreement uses Secured Overnight Financing Rate (SOFR) as the base rate index instead of London Interbank Offered Rate (LIBOR). The Credit Agreement allows for borrowing of $600.0 in various currencies, and up to $150.0 may be used for the issuance of stand-by letters of credit. We had no borrowings under this facility as of December 31, 2022 and $75.0 as of December 31, 2021 under the previous facility. Outstanding letters of credit issued totaled $0.4 and $0.5 as of December 31, 2022 and 2021, respectively. Additional borrowings of $599.6 and $524.5 were available to us under the facility as of December 31, 2022 and 2021, respectively.</w:t>
      </w:r>
    </w:p>
    <w:p>
      <w:pPr>
        <w:spacing w:after="0" w:line="177" w:lineRule="exact"/>
        <w:rPr>
          <w:sz w:val="20"/>
          <w:szCs w:val="20"/>
          <w:color w:val="auto"/>
        </w:rPr>
      </w:pPr>
    </w:p>
    <w:p>
      <w:pPr>
        <w:jc w:val="both"/>
        <w:ind w:right="380"/>
        <w:spacing w:after="0" w:line="262" w:lineRule="auto"/>
        <w:rPr>
          <w:sz w:val="20"/>
          <w:szCs w:val="20"/>
          <w:color w:val="auto"/>
        </w:rPr>
      </w:pPr>
      <w:r>
        <w:rPr>
          <w:rFonts w:ascii="Arial" w:cs="Arial" w:eastAsia="Arial" w:hAnsi="Arial"/>
          <w:sz w:val="18"/>
          <w:szCs w:val="18"/>
          <w:color w:val="auto"/>
        </w:rPr>
        <w:t>Under the Credit Agreement, a credit ratings-based pricing grid determines the facility fee and the credit spread that we add to the applicable interbank borrowing rate on all borrowings. At our current credit rating, the annual facility fee is 10 basis points paid on the entire facility and the credit spread is 102.5 basis points on any borrowings.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81" w:name="page82"/>
    <w:bookmarkEnd w:id="81"/>
    <w:p>
      <w:pPr>
        <w:ind w:right="300"/>
        <w:spacing w:after="0" w:line="253" w:lineRule="auto"/>
        <w:rPr>
          <w:sz w:val="20"/>
          <w:szCs w:val="20"/>
          <w:color w:val="auto"/>
        </w:rPr>
      </w:pPr>
      <w:r>
        <w:rPr>
          <w:rFonts w:ascii="Arial" w:cs="Arial" w:eastAsia="Arial" w:hAnsi="Arial"/>
          <w:sz w:val="18"/>
          <w:szCs w:val="18"/>
          <w:color w:val="auto"/>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judgements, change of control and customary ERISA defaults.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Maturities</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maturities of long-term debt payable within each of the four years subsequent to December 31, 2023 are as follows: 2024 - $0.0, 2025 - $0.0, 2026 - $535.8, 2027 - $424.1.</w:t>
      </w:r>
    </w:p>
    <w:p>
      <w:pPr>
        <w:spacing w:after="0" w:line="346"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Retirement and Deferred Compensation Plans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all of our United States defined benefit and retiree health care plans, we adopted the Society of Actuaries’ Pri-2012 Mortality Table with MP-2021 Mortality Improvement Scale in determining the plans’ benefit obligations as of December 31,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sponsor several qualified and nonqualified pension plans covering permanent employees.</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2020, we fully settled our United States Qualified Retirement Plan (the “Plan”) liability. We purchased annuities of $19.2 and settled lump sum payments of $3.2 from the Plan in January and February 2020, respectively. The completion of lump sum payments in February 2020 and transfer of remaining participants to the Pension Benefit Guarantee Corporation (“PBGC”) in March 2020 triggered final settlement of the plan. Upon settlement of the pension liability, we reclassified the related pension losses of $6.6, net of tax, recorded in accumulated other comprehensive loss to the Consolidated Statements of Comprehensive Income. The total amount of the required payout to plan participants was determined based on employee elections and market conditions at the time of settlement. The standard PBGC audit was completed in March 2021, and the remaining plan assets of $16.6 which were in excess of the pension liability upon settlement are being utilized to fund qualified 401(k) plan contributions in current and future years.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our Switzerland pension plan, we recognized a partial settlement as a result of local regulations and turnover common to our industry and reclassified pension losses of $2.7 and $1.0 in 2022 and 2021, respectively, net of tax, recorded in accumulated other comprehensive loss to the Consolidated Statements of Comprehensive Income.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The reconciliation of the changes in the plans’ benefit obligations, the fair value of plan assets and the funded status of the plans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United States Plans</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Non-United States Plans</w:t>
            </w:r>
          </w:p>
        </w:tc>
      </w:tr>
      <w:tr>
        <w:trPr>
          <w:trHeight w:val="23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r>
      <w:tr>
        <w:trPr>
          <w:trHeight w:val="242"/>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color w:val="auto"/>
              </w:rPr>
              <w:t>Benefit obligation, beginning of year</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26.0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897.9</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965.6</w:t>
            </w:r>
          </w:p>
        </w:tc>
      </w:tr>
      <w:tr>
        <w:trPr>
          <w:trHeight w:val="248"/>
        </w:trPr>
        <w:tc>
          <w:tcPr>
            <w:tcW w:w="5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19.4</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22.0</w:t>
            </w:r>
          </w:p>
        </w:tc>
      </w:tr>
      <w:tr>
        <w:trPr>
          <w:trHeight w:val="236"/>
        </w:trPr>
        <w:tc>
          <w:tcPr>
            <w:tcW w:w="588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5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r>
      <w:tr>
        <w:trPr>
          <w:trHeight w:val="248"/>
        </w:trPr>
        <w:tc>
          <w:tcPr>
            <w:tcW w:w="5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Settlements</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(57.4 )</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(61.7 )</w:t>
            </w:r>
          </w:p>
        </w:tc>
      </w:tr>
      <w:tr>
        <w:trPr>
          <w:trHeight w:val="236"/>
        </w:trPr>
        <w:tc>
          <w:tcPr>
            <w:tcW w:w="5880" w:type="dxa"/>
            <w:vAlign w:val="bottom"/>
          </w:tcPr>
          <w:p>
            <w:pPr>
              <w:ind w:left="200"/>
              <w:spacing w:after="0"/>
              <w:rPr>
                <w:sz w:val="20"/>
                <w:szCs w:val="20"/>
                <w:color w:val="auto"/>
              </w:rPr>
            </w:pPr>
            <w:r>
              <w:rPr>
                <w:rFonts w:ascii="Arial" w:cs="Arial" w:eastAsia="Arial" w:hAnsi="Arial"/>
                <w:sz w:val="18"/>
                <w:szCs w:val="18"/>
                <w:color w:val="auto"/>
              </w:rPr>
              <w:t>Transfers</w:t>
            </w:r>
          </w:p>
        </w:tc>
        <w:tc>
          <w:tcPr>
            <w:tcW w:w="42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52.8</w:t>
            </w:r>
          </w:p>
        </w:tc>
      </w:tr>
      <w:tr>
        <w:trPr>
          <w:trHeight w:val="248"/>
        </w:trPr>
        <w:tc>
          <w:tcPr>
            <w:tcW w:w="5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Actuarial gain</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(3.7 )</w:t>
            </w: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(218.7 )</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(47.3 )</w:t>
            </w:r>
          </w:p>
        </w:tc>
      </w:tr>
      <w:tr>
        <w:trPr>
          <w:trHeight w:val="236"/>
        </w:trPr>
        <w:tc>
          <w:tcPr>
            <w:tcW w:w="5880" w:type="dxa"/>
            <w:vAlign w:val="bottom"/>
          </w:tcPr>
          <w:p>
            <w:pPr>
              <w:ind w:left="200"/>
              <w:spacing w:after="0"/>
              <w:rPr>
                <w:sz w:val="20"/>
                <w:szCs w:val="20"/>
                <w:color w:val="auto"/>
              </w:rPr>
            </w:pPr>
            <w:r>
              <w:rPr>
                <w:rFonts w:ascii="Arial" w:cs="Arial" w:eastAsia="Arial" w:hAnsi="Arial"/>
                <w:sz w:val="18"/>
                <w:szCs w:val="18"/>
                <w:color w:val="auto"/>
              </w:rPr>
              <w:t>Plan participant contributions</w:t>
            </w:r>
          </w:p>
        </w:tc>
        <w:tc>
          <w:tcPr>
            <w:tcW w:w="42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13.0</w:t>
            </w: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14.1</w:t>
            </w:r>
          </w:p>
        </w:tc>
      </w:tr>
      <w:tr>
        <w:trPr>
          <w:trHeight w:val="248"/>
        </w:trPr>
        <w:tc>
          <w:tcPr>
            <w:tcW w:w="5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Benefits paid</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(2.3 )</w:t>
            </w: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(11.4 )</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(12.8 )</w:t>
            </w:r>
          </w:p>
        </w:tc>
      </w:tr>
      <w:tr>
        <w:trPr>
          <w:trHeight w:val="236"/>
        </w:trPr>
        <w:tc>
          <w:tcPr>
            <w:tcW w:w="5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Currency exchange rate changes</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(49.8 )</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(40.5 )</w:t>
            </w:r>
          </w:p>
        </w:tc>
      </w:tr>
      <w:tr>
        <w:trPr>
          <w:trHeight w:val="236"/>
        </w:trPr>
        <w:tc>
          <w:tcPr>
            <w:tcW w:w="58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Benefit obligation, end of year</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20.5</w:t>
            </w:r>
          </w:p>
        </w:tc>
        <w:tc>
          <w:tcPr>
            <w:tcW w:w="52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26.0</w:t>
            </w:r>
          </w:p>
        </w:tc>
        <w:tc>
          <w:tcPr>
            <w:tcW w:w="50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632.3</w:t>
            </w:r>
          </w:p>
        </w:tc>
        <w:tc>
          <w:tcPr>
            <w:tcW w:w="44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897.9</w:t>
            </w:r>
          </w:p>
        </w:tc>
      </w:tr>
      <w:tr>
        <w:trPr>
          <w:trHeight w:val="450"/>
        </w:trPr>
        <w:tc>
          <w:tcPr>
            <w:tcW w:w="58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United States Plans</w:t>
            </w: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Non-United States Plans</w:t>
            </w:r>
          </w:p>
        </w:tc>
      </w:tr>
      <w:tr>
        <w:trPr>
          <w:trHeight w:val="23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r>
      <w:tr>
        <w:trPr>
          <w:trHeight w:val="242"/>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762.5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753.6</w:t>
            </w:r>
          </w:p>
        </w:tc>
      </w:tr>
      <w:tr>
        <w:trPr>
          <w:trHeight w:val="248"/>
        </w:trPr>
        <w:tc>
          <w:tcPr>
            <w:tcW w:w="5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Actual return on plan assets</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(166.7 )</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24.3</w:t>
            </w:r>
          </w:p>
        </w:tc>
      </w:tr>
      <w:tr>
        <w:trPr>
          <w:trHeight w:val="236"/>
        </w:trPr>
        <w:tc>
          <w:tcPr>
            <w:tcW w:w="588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42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(57.4 )</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(61.7 )</w:t>
            </w:r>
          </w:p>
        </w:tc>
      </w:tr>
      <w:tr>
        <w:trPr>
          <w:trHeight w:val="248"/>
        </w:trPr>
        <w:tc>
          <w:tcPr>
            <w:tcW w:w="5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Transfers</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31.8</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52.8</w:t>
            </w:r>
          </w:p>
        </w:tc>
      </w:tr>
      <w:tr>
        <w:trPr>
          <w:trHeight w:val="236"/>
        </w:trPr>
        <w:tc>
          <w:tcPr>
            <w:tcW w:w="5880" w:type="dxa"/>
            <w:vAlign w:val="bottom"/>
          </w:tcPr>
          <w:p>
            <w:pPr>
              <w:ind w:left="200"/>
              <w:spacing w:after="0"/>
              <w:rPr>
                <w:sz w:val="20"/>
                <w:szCs w:val="20"/>
                <w:color w:val="auto"/>
              </w:rPr>
            </w:pPr>
            <w:r>
              <w:rPr>
                <w:rFonts w:ascii="Arial" w:cs="Arial" w:eastAsia="Arial" w:hAnsi="Arial"/>
                <w:sz w:val="18"/>
                <w:szCs w:val="18"/>
                <w:color w:val="auto"/>
              </w:rPr>
              <w:t>Plan participant contributions</w:t>
            </w:r>
          </w:p>
        </w:tc>
        <w:tc>
          <w:tcPr>
            <w:tcW w:w="42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13.0</w:t>
            </w: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14.1</w:t>
            </w:r>
          </w:p>
        </w:tc>
      </w:tr>
      <w:tr>
        <w:trPr>
          <w:trHeight w:val="248"/>
        </w:trPr>
        <w:tc>
          <w:tcPr>
            <w:tcW w:w="5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Company contributions</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17.1</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18.7</w:t>
            </w:r>
          </w:p>
        </w:tc>
      </w:tr>
      <w:tr>
        <w:trPr>
          <w:trHeight w:val="236"/>
        </w:trPr>
        <w:tc>
          <w:tcPr>
            <w:tcW w:w="588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4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(2.3 )</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(11.4 )</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(12.8 )</w:t>
            </w:r>
          </w:p>
        </w:tc>
      </w:tr>
      <w:tr>
        <w:trPr>
          <w:trHeight w:val="242"/>
        </w:trPr>
        <w:tc>
          <w:tcPr>
            <w:tcW w:w="58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Currency exchange rate changes</w:t>
            </w:r>
          </w:p>
        </w:tc>
        <w:tc>
          <w:tcPr>
            <w:tcW w:w="4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(41.1 )</w:t>
            </w:r>
          </w:p>
        </w:tc>
        <w:tc>
          <w:tcPr>
            <w:tcW w:w="4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(26.5 )</w:t>
            </w:r>
          </w:p>
        </w:tc>
      </w:tr>
      <w:tr>
        <w:trPr>
          <w:trHeight w:val="23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of plan assets, end of year</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547.8</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762.5</w:t>
            </w:r>
          </w:p>
        </w:tc>
      </w:tr>
      <w:tr>
        <w:trPr>
          <w:trHeight w:val="242"/>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Funded Status at End of Year</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Funded status, end of year</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(20.5 )</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(26.0 )</w:t>
            </w:r>
          </w:p>
        </w:tc>
        <w:tc>
          <w:tcPr>
            <w:tcW w:w="5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(84.5 )</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(135.4 )</w:t>
            </w:r>
          </w:p>
        </w:tc>
      </w:tr>
      <w:tr>
        <w:trPr>
          <w:trHeight w:val="242"/>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Amounts Recognized</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6"/>
        </w:trPr>
        <w:tc>
          <w:tcPr>
            <w:tcW w:w="58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26.6</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51.2</w:t>
            </w:r>
          </w:p>
        </w:tc>
      </w:tr>
      <w:tr>
        <w:trPr>
          <w:trHeight w:val="248"/>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(2.4 )</w:t>
            </w: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(0.8 )</w:t>
            </w:r>
          </w:p>
        </w:tc>
      </w:tr>
      <w:tr>
        <w:trPr>
          <w:trHeight w:val="23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liabilities</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(18.1 )</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(23.7 )</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(109.9 )</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(185.8 )</w:t>
            </w:r>
          </w:p>
        </w:tc>
      </w:tr>
      <w:tr>
        <w:trPr>
          <w:trHeight w:val="236"/>
        </w:trPr>
        <w:tc>
          <w:tcPr>
            <w:tcW w:w="58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amount recognized</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(20.5 )</w:t>
            </w:r>
          </w:p>
        </w:tc>
        <w:tc>
          <w:tcPr>
            <w:tcW w:w="52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(26.0 )</w:t>
            </w:r>
          </w:p>
        </w:tc>
        <w:tc>
          <w:tcPr>
            <w:tcW w:w="50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(84.5 )</w:t>
            </w:r>
          </w:p>
        </w:tc>
        <w:tc>
          <w:tcPr>
            <w:tcW w:w="44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(135.4 )</w:t>
            </w:r>
          </w:p>
        </w:tc>
      </w:tr>
    </w:tbl>
    <w:p>
      <w:pPr>
        <w:spacing w:after="0" w:line="174"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For both 2022 and 2021, the actuarial gain related to the non-United States plans' benefit obligation was primarily related to changes in discount rates. The settlements and transfers of the non-United States plans represent transfers in and out of temporary associates within our Switzerland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Amounts recognized in accumulated other comprehensive loss, net of tax, consisted of:</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United States Plans</w:t>
            </w:r>
          </w:p>
        </w:tc>
        <w:tc>
          <w:tcPr>
            <w:tcW w:w="520" w:type="dxa"/>
            <w:vAlign w:val="bottom"/>
          </w:tcPr>
          <w:p>
            <w:pPr>
              <w:spacing w:after="0"/>
              <w:rPr>
                <w:sz w:val="19"/>
                <w:szCs w:val="19"/>
                <w:color w:val="auto"/>
              </w:rPr>
            </w:pPr>
          </w:p>
        </w:tc>
        <w:tc>
          <w:tcPr>
            <w:tcW w:w="2180" w:type="dxa"/>
            <w:vAlign w:val="bottom"/>
            <w:gridSpan w:val="3"/>
          </w:tcPr>
          <w:p>
            <w:pPr>
              <w:jc w:val="right"/>
              <w:ind w:right="30"/>
              <w:spacing w:after="0"/>
              <w:rPr>
                <w:sz w:val="20"/>
                <w:szCs w:val="20"/>
                <w:color w:val="auto"/>
              </w:rPr>
            </w:pPr>
            <w:r>
              <w:rPr>
                <w:rFonts w:ascii="Arial" w:cs="Arial" w:eastAsia="Arial" w:hAnsi="Arial"/>
                <w:sz w:val="18"/>
                <w:szCs w:val="18"/>
                <w:color w:val="auto"/>
              </w:rPr>
              <w:t>Non-United States Plans</w:t>
            </w:r>
          </w:p>
        </w:tc>
      </w:tr>
      <w:tr>
        <w:trPr>
          <w:trHeight w:val="249"/>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24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7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r>
      <w:tr>
        <w:trPr>
          <w:trHeight w:val="242"/>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7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w:t>
            </w:r>
          </w:p>
        </w:tc>
        <w:tc>
          <w:tcPr>
            <w:tcW w:w="5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5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41.8</w:t>
            </w:r>
          </w:p>
        </w:tc>
      </w:tr>
      <w:tr>
        <w:trPr>
          <w:trHeight w:val="236"/>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Prior service cost</w:t>
            </w:r>
          </w:p>
        </w:tc>
        <w:tc>
          <w:tcPr>
            <w:tcW w:w="2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w:t>
            </w:r>
          </w:p>
        </w:tc>
      </w:tr>
      <w:tr>
        <w:trPr>
          <w:trHeight w:val="236"/>
        </w:trPr>
        <w:tc>
          <w:tcPr>
            <w:tcW w:w="38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70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7.8</w:t>
            </w:r>
          </w:p>
        </w:tc>
        <w:tc>
          <w:tcPr>
            <w:tcW w:w="52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w:t>
            </w:r>
          </w:p>
        </w:tc>
        <w:tc>
          <w:tcPr>
            <w:tcW w:w="5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48.9</w:t>
            </w:r>
          </w:p>
        </w:tc>
      </w:tr>
    </w:tbl>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accumulated benefit obligation (ABO) for all qualified defined benefit pension plans was $629.0 and $891.7 as of December 31, 2022 and 2021, respectively. The ABO for plans that have plan assets was $554.1 and $787.5 as of December 31, 2022 and 2021, respectively. The decrease in the balances in 2022 resulted from higher discount rates applied to all our significant plans. The accumulated benefit obligation for some of our plans exceeded the fair value of plan assets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3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r>
      <w:tr>
        <w:trPr>
          <w:trHeight w:val="242"/>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benefit obligation</w:t>
            </w:r>
          </w:p>
        </w:tc>
        <w:tc>
          <w:tcPr>
            <w:tcW w:w="336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113.4</w:t>
            </w:r>
          </w:p>
        </w:tc>
        <w:tc>
          <w:tcPr>
            <w:tcW w:w="7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181.8</w:t>
            </w:r>
          </w:p>
        </w:tc>
      </w:tr>
      <w:tr>
        <w:trPr>
          <w:trHeight w:val="23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Plan assets</w:t>
            </w:r>
          </w:p>
        </w:tc>
        <w:tc>
          <w:tcPr>
            <w:tcW w:w="3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76.8</w:t>
            </w:r>
          </w:p>
        </w:tc>
        <w:tc>
          <w:tcPr>
            <w:tcW w:w="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99.4</w:t>
            </w:r>
          </w:p>
        </w:tc>
      </w:tr>
    </w:tbl>
    <w:p>
      <w:pPr>
        <w:spacing w:after="0" w:line="20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projected benefit obligation (PBO) for all qualified defined benefit pension plans was $652.8 and $923.9 as of December 31, 2022 and 2021, respectively. The PBO for some of our plans exceeded the fair value of plan assets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3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r>
      <w:tr>
        <w:trPr>
          <w:trHeight w:val="242"/>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Projected benefit obligation</w:t>
            </w:r>
          </w:p>
        </w:tc>
        <w:tc>
          <w:tcPr>
            <w:tcW w:w="350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117.4</w:t>
            </w:r>
          </w:p>
        </w:tc>
        <w:tc>
          <w:tcPr>
            <w:tcW w:w="7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188.3</w:t>
            </w:r>
          </w:p>
        </w:tc>
      </w:tr>
      <w:tr>
        <w:trPr>
          <w:trHeight w:val="23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Plan assets</w:t>
            </w:r>
          </w:p>
        </w:tc>
        <w:tc>
          <w:tcPr>
            <w:tcW w:w="3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76.8</w:t>
            </w:r>
          </w:p>
        </w:tc>
        <w:tc>
          <w:tcPr>
            <w:tcW w:w="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99.4</w:t>
            </w: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By their nature, certain of our plans do not have plan assets. The accumulated benefit obligation for these plans was $74.9 and $104.2 as of December 31, 2022 and 2021, respectively.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620" w:type="dxa"/>
            <w:vAlign w:val="bottom"/>
            <w:gridSpan w:val="6"/>
          </w:tcPr>
          <w:p>
            <w:pPr>
              <w:spacing w:after="0"/>
              <w:rPr>
                <w:sz w:val="20"/>
                <w:szCs w:val="20"/>
                <w:color w:val="auto"/>
              </w:rPr>
            </w:pPr>
            <w:r>
              <w:rPr>
                <w:rFonts w:ascii="Arial" w:cs="Arial" w:eastAsia="Arial" w:hAnsi="Arial"/>
                <w:sz w:val="18"/>
                <w:szCs w:val="18"/>
                <w:color w:val="auto"/>
                <w:w w:val="91"/>
              </w:rPr>
              <w:t>The components of the net periodic benefit cost and other amounts recognized in other comprehensive income (loss) for all plans were as follows:</w:t>
            </w:r>
          </w:p>
        </w:tc>
        <w:tc>
          <w:tcPr>
            <w:tcW w:w="620" w:type="dxa"/>
            <w:vAlign w:val="bottom"/>
          </w:tcPr>
          <w:p>
            <w:pPr>
              <w:spacing w:after="0"/>
              <w:rPr>
                <w:sz w:val="19"/>
                <w:szCs w:val="19"/>
                <w:color w:val="auto"/>
              </w:rPr>
            </w:pPr>
          </w:p>
        </w:tc>
      </w:tr>
      <w:tr>
        <w:trPr>
          <w:trHeight w:val="23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r>
      <w:tr>
        <w:trPr>
          <w:trHeight w:val="242"/>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8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r>
      <w:tr>
        <w:trPr>
          <w:trHeight w:val="236"/>
        </w:trPr>
        <w:tc>
          <w:tcPr>
            <w:tcW w:w="630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19.4</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22.0</w:t>
            </w:r>
          </w:p>
        </w:tc>
        <w:tc>
          <w:tcPr>
            <w:tcW w:w="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21.0</w:t>
            </w:r>
          </w:p>
        </w:tc>
      </w:tr>
      <w:tr>
        <w:trPr>
          <w:trHeight w:val="248"/>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8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8.7</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6.1</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r>
      <w:tr>
        <w:trPr>
          <w:trHeight w:val="236"/>
        </w:trPr>
        <w:tc>
          <w:tcPr>
            <w:tcW w:w="630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8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(14.7 )</w:t>
            </w:r>
          </w:p>
        </w:tc>
        <w:tc>
          <w:tcPr>
            <w:tcW w:w="6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(12.2 )</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(13.5 )</w:t>
            </w:r>
          </w:p>
        </w:tc>
      </w:tr>
      <w:tr>
        <w:trPr>
          <w:trHeight w:val="248"/>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Settlements</w:t>
            </w:r>
          </w:p>
        </w:tc>
        <w:tc>
          <w:tcPr>
            <w:tcW w:w="8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1.0</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w:t>
            </w:r>
          </w:p>
        </w:tc>
      </w:tr>
      <w:tr>
        <w:trPr>
          <w:trHeight w:val="236"/>
        </w:trPr>
        <w:tc>
          <w:tcPr>
            <w:tcW w:w="6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9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42"/>
        </w:trPr>
        <w:tc>
          <w:tcPr>
            <w:tcW w:w="6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Prior service cost</w:t>
            </w:r>
          </w:p>
        </w:tc>
        <w:tc>
          <w:tcPr>
            <w:tcW w:w="8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0.7</w:t>
            </w:r>
          </w:p>
        </w:tc>
        <w:tc>
          <w:tcPr>
            <w:tcW w:w="6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0.7</w:t>
            </w:r>
          </w:p>
        </w:tc>
        <w:tc>
          <w:tcPr>
            <w:tcW w:w="9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r>
      <w:tr>
        <w:trPr>
          <w:trHeight w:val="23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w:t>
            </w: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18.6</w:t>
            </w: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22.2</w:t>
            </w:r>
          </w:p>
        </w:tc>
        <w:tc>
          <w:tcPr>
            <w:tcW w:w="9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w:t>
            </w:r>
          </w:p>
        </w:tc>
      </w:tr>
      <w:tr>
        <w:trPr>
          <w:trHeight w:val="210"/>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8"/>
              </w:rPr>
              <w:t>Other Changes in Plan Assets and Benefit Obligation Recognized in Other</w:t>
            </w:r>
          </w:p>
        </w:tc>
        <w:tc>
          <w:tcPr>
            <w:tcW w:w="8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47"/>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Income/Loss</w:t>
            </w:r>
          </w:p>
        </w:tc>
        <w:tc>
          <w:tcPr>
            <w:tcW w:w="8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r>
      <w:tr>
        <w:trPr>
          <w:trHeight w:val="236"/>
        </w:trPr>
        <w:tc>
          <w:tcPr>
            <w:tcW w:w="6300" w:type="dxa"/>
            <w:vAlign w:val="bottom"/>
          </w:tcPr>
          <w:p>
            <w:pPr>
              <w:ind w:left="20"/>
              <w:spacing w:after="0"/>
              <w:rPr>
                <w:sz w:val="20"/>
                <w:szCs w:val="20"/>
                <w:color w:val="auto"/>
              </w:rPr>
            </w:pPr>
            <w:r>
              <w:rPr>
                <w:rFonts w:ascii="Arial" w:cs="Arial" w:eastAsia="Arial" w:hAnsi="Arial"/>
                <w:sz w:val="18"/>
                <w:szCs w:val="18"/>
                <w:color w:val="auto"/>
              </w:rPr>
              <w:t>Net (gain) loss</w:t>
            </w:r>
          </w:p>
        </w:tc>
        <w:tc>
          <w:tcPr>
            <w:tcW w:w="8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(40.9 )</w:t>
            </w:r>
          </w:p>
        </w:tc>
        <w:tc>
          <w:tcPr>
            <w:tcW w:w="6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(60.0 )</w:t>
            </w:r>
          </w:p>
        </w:tc>
        <w:tc>
          <w:tcPr>
            <w:tcW w:w="9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44.1</w:t>
            </w:r>
          </w:p>
        </w:tc>
      </w:tr>
      <w:tr>
        <w:trPr>
          <w:trHeight w:val="248"/>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Prior service (credit) cost</w:t>
            </w:r>
          </w:p>
        </w:tc>
        <w:tc>
          <w:tcPr>
            <w:tcW w:w="8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(0.2 )</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91"/>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r>
      <w:tr>
        <w:trPr>
          <w:trHeight w:val="236"/>
        </w:trPr>
        <w:tc>
          <w:tcPr>
            <w:tcW w:w="6300" w:type="dxa"/>
            <w:vAlign w:val="bottom"/>
          </w:tcPr>
          <w:p>
            <w:pPr>
              <w:ind w:left="20"/>
              <w:spacing w:after="0"/>
              <w:rPr>
                <w:sz w:val="20"/>
                <w:szCs w:val="20"/>
                <w:color w:val="auto"/>
              </w:rPr>
            </w:pPr>
            <w:r>
              <w:rPr>
                <w:rFonts w:ascii="Arial" w:cs="Arial" w:eastAsia="Arial" w:hAnsi="Arial"/>
                <w:sz w:val="18"/>
                <w:szCs w:val="18"/>
                <w:color w:val="auto"/>
              </w:rPr>
              <w:t>Amortization of net loss</w:t>
            </w:r>
          </w:p>
        </w:tc>
        <w:tc>
          <w:tcPr>
            <w:tcW w:w="8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(5.0 )</w:t>
            </w:r>
          </w:p>
        </w:tc>
        <w:tc>
          <w:tcPr>
            <w:tcW w:w="6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(5.6 )</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42"/>
        </w:trPr>
        <w:tc>
          <w:tcPr>
            <w:tcW w:w="6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Amortization of prior service cost</w:t>
            </w:r>
          </w:p>
        </w:tc>
        <w:tc>
          <w:tcPr>
            <w:tcW w:w="8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(0.7 )</w:t>
            </w:r>
          </w:p>
        </w:tc>
        <w:tc>
          <w:tcPr>
            <w:tcW w:w="6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(0.7 )</w:t>
            </w:r>
          </w:p>
        </w:tc>
        <w:tc>
          <w:tcPr>
            <w:tcW w:w="9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(0.7 )</w:t>
            </w:r>
          </w:p>
        </w:tc>
      </w:tr>
      <w:tr>
        <w:trPr>
          <w:trHeight w:val="23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recognized in other comprehensive income/loss</w:t>
            </w: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(46.8 )</w:t>
            </w: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(66.3 )</w:t>
            </w:r>
          </w:p>
        </w:tc>
        <w:tc>
          <w:tcPr>
            <w:tcW w:w="9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w:t>
            </w:r>
          </w:p>
        </w:tc>
      </w:tr>
      <w:tr>
        <w:trPr>
          <w:trHeight w:val="236"/>
        </w:trPr>
        <w:tc>
          <w:tcPr>
            <w:tcW w:w="6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5"/>
              </w:rPr>
              <w:t>Total recognized in net periodic benefit cost and other comprehensive income/loss</w:t>
            </w:r>
          </w:p>
        </w:tc>
        <w:tc>
          <w:tcPr>
            <w:tcW w:w="88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(28.2 )</w:t>
            </w:r>
          </w:p>
        </w:tc>
        <w:tc>
          <w:tcPr>
            <w:tcW w:w="6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(44.1 )</w:t>
            </w:r>
          </w:p>
        </w:tc>
        <w:tc>
          <w:tcPr>
            <w:tcW w:w="90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71.6</w:t>
            </w:r>
          </w:p>
        </w:tc>
      </w:tr>
      <w:tr>
        <w:trPr>
          <w:trHeight w:val="646"/>
        </w:trPr>
        <w:tc>
          <w:tcPr>
            <w:tcW w:w="6300" w:type="dxa"/>
            <w:vAlign w:val="bottom"/>
          </w:tcPr>
          <w:p>
            <w:pPr>
              <w:ind w:left="5540"/>
              <w:spacing w:after="0"/>
              <w:rPr>
                <w:sz w:val="20"/>
                <w:szCs w:val="20"/>
                <w:color w:val="auto"/>
              </w:rPr>
            </w:pPr>
            <w:r>
              <w:rPr>
                <w:rFonts w:ascii="Arial" w:cs="Arial" w:eastAsia="Arial" w:hAnsi="Arial"/>
                <w:sz w:val="18"/>
                <w:szCs w:val="18"/>
                <w:color w:val="auto"/>
              </w:rPr>
              <w:t>84</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4"/>
        </w:trPr>
        <w:tc>
          <w:tcPr>
            <w:tcW w:w="63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84" w:name="page85"/>
    <w:bookmarkEnd w:id="84"/>
    <w:p>
      <w:pPr>
        <w:jc w:val="both"/>
        <w:ind w:right="60"/>
        <w:spacing w:after="0" w:line="275" w:lineRule="auto"/>
        <w:rPr>
          <w:sz w:val="20"/>
          <w:szCs w:val="20"/>
          <w:color w:val="auto"/>
        </w:rPr>
      </w:pPr>
      <w:r>
        <w:rPr>
          <w:rFonts w:ascii="Arial" w:cs="Arial" w:eastAsia="Arial" w:hAnsi="Arial"/>
          <w:sz w:val="18"/>
          <w:szCs w:val="18"/>
          <w:color w:val="auto"/>
        </w:rPr>
        <w:t>The estimated net gain and prior service cost for the defined benefit pension plans that will be amortized from accumulated other comprehensive income/loss into net periodic benefit cost during 2023 are $(3.3) and $0.7,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measurement of the benefit obligation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60" w:type="dxa"/>
            <w:vAlign w:val="bottom"/>
          </w:tcPr>
          <w:p>
            <w:pPr>
              <w:spacing w:after="0"/>
              <w:rPr>
                <w:sz w:val="20"/>
                <w:szCs w:val="20"/>
                <w:color w:val="auto"/>
              </w:rPr>
            </w:pPr>
          </w:p>
        </w:tc>
        <w:tc>
          <w:tcPr>
            <w:tcW w:w="2820" w:type="dxa"/>
            <w:vAlign w:val="bottom"/>
            <w:gridSpan w:val="3"/>
          </w:tcPr>
          <w:p>
            <w:pPr>
              <w:jc w:val="right"/>
              <w:ind w:right="240"/>
              <w:spacing w:after="0"/>
              <w:rPr>
                <w:sz w:val="20"/>
                <w:szCs w:val="20"/>
                <w:color w:val="auto"/>
              </w:rPr>
            </w:pPr>
            <w:r>
              <w:rPr>
                <w:rFonts w:ascii="Arial" w:cs="Arial" w:eastAsia="Arial" w:hAnsi="Arial"/>
                <w:sz w:val="18"/>
                <w:szCs w:val="18"/>
                <w:color w:val="auto"/>
              </w:rPr>
              <w:t>United States Plans</w:t>
            </w:r>
          </w:p>
        </w:tc>
        <w:tc>
          <w:tcPr>
            <w:tcW w:w="2720" w:type="dxa"/>
            <w:vAlign w:val="bottom"/>
            <w:gridSpan w:val="3"/>
          </w:tcPr>
          <w:p>
            <w:pPr>
              <w:jc w:val="right"/>
              <w:ind w:right="180"/>
              <w:spacing w:after="0"/>
              <w:rPr>
                <w:sz w:val="20"/>
                <w:szCs w:val="20"/>
                <w:color w:val="auto"/>
              </w:rPr>
            </w:pPr>
            <w:r>
              <w:rPr>
                <w:rFonts w:ascii="Arial" w:cs="Arial" w:eastAsia="Arial" w:hAnsi="Arial"/>
                <w:sz w:val="18"/>
                <w:szCs w:val="18"/>
                <w:color w:val="auto"/>
              </w:rPr>
              <w:t>Non-United States Plans</w:t>
            </w:r>
          </w:p>
        </w:tc>
      </w:tr>
      <w:tr>
        <w:trPr>
          <w:trHeight w:val="236"/>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18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20"/>
                <w:szCs w:val="20"/>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800" w:type="dxa"/>
            <w:vAlign w:val="bottom"/>
          </w:tcPr>
          <w:p>
            <w:pPr>
              <w:jc w:val="right"/>
              <w:ind w:right="350"/>
              <w:spacing w:after="0"/>
              <w:rPr>
                <w:sz w:val="20"/>
                <w:szCs w:val="20"/>
                <w:color w:val="auto"/>
              </w:rPr>
            </w:pPr>
            <w:r>
              <w:rPr>
                <w:rFonts w:ascii="Arial" w:cs="Arial" w:eastAsia="Arial" w:hAnsi="Arial"/>
                <w:sz w:val="18"/>
                <w:szCs w:val="18"/>
                <w:color w:val="auto"/>
              </w:rPr>
              <w:t>5.4 %</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2.6 %</w:t>
            </w:r>
          </w:p>
        </w:tc>
        <w:tc>
          <w:tcPr>
            <w:tcW w:w="1760" w:type="dxa"/>
            <w:vAlign w:val="bottom"/>
          </w:tcPr>
          <w:p>
            <w:pPr>
              <w:jc w:val="right"/>
              <w:ind w:right="330"/>
              <w:spacing w:after="0"/>
              <w:rPr>
                <w:sz w:val="20"/>
                <w:szCs w:val="20"/>
                <w:color w:val="auto"/>
              </w:rPr>
            </w:pPr>
            <w:r>
              <w:rPr>
                <w:rFonts w:ascii="Arial" w:cs="Arial" w:eastAsia="Arial" w:hAnsi="Arial"/>
                <w:sz w:val="18"/>
                <w:szCs w:val="18"/>
                <w:color w:val="auto"/>
              </w:rPr>
              <w:t>3.2 %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48"/>
        </w:trPr>
        <w:tc>
          <w:tcPr>
            <w:tcW w:w="576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800" w:type="dxa"/>
            <w:vAlign w:val="bottom"/>
          </w:tcPr>
          <w:p>
            <w:pPr>
              <w:jc w:val="right"/>
              <w:ind w:right="350"/>
              <w:spacing w:after="0"/>
              <w:rPr>
                <w:sz w:val="20"/>
                <w:szCs w:val="20"/>
                <w:color w:val="auto"/>
              </w:rPr>
            </w:pPr>
            <w:r>
              <w:rPr>
                <w:rFonts w:ascii="Arial" w:cs="Arial" w:eastAsia="Arial" w:hAnsi="Arial"/>
                <w:sz w:val="18"/>
                <w:szCs w:val="18"/>
                <w:color w:val="auto"/>
              </w:rPr>
              <w:t>1.3 %</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1.3 %</w:t>
            </w:r>
          </w:p>
        </w:tc>
        <w:tc>
          <w:tcPr>
            <w:tcW w:w="1760" w:type="dxa"/>
            <w:vAlign w:val="bottom"/>
          </w:tcPr>
          <w:p>
            <w:pPr>
              <w:jc w:val="right"/>
              <w:ind w:right="330"/>
              <w:spacing w:after="0"/>
              <w:rPr>
                <w:sz w:val="20"/>
                <w:szCs w:val="20"/>
                <w:color w:val="auto"/>
              </w:rPr>
            </w:pPr>
            <w:r>
              <w:rPr>
                <w:rFonts w:ascii="Arial" w:cs="Arial" w:eastAsia="Arial" w:hAnsi="Arial"/>
                <w:sz w:val="18"/>
                <w:szCs w:val="18"/>
                <w:color w:val="auto"/>
              </w:rPr>
              <w:t>1.9 %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57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955" cy="1536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measurement of the net periodic benefit cost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20" w:type="dxa"/>
            <w:vAlign w:val="bottom"/>
            <w:gridSpan w:val="3"/>
          </w:tcPr>
          <w:p>
            <w:pPr>
              <w:jc w:val="right"/>
              <w:ind w:right="180"/>
              <w:spacing w:after="0"/>
              <w:rPr>
                <w:sz w:val="20"/>
                <w:szCs w:val="20"/>
                <w:color w:val="auto"/>
              </w:rPr>
            </w:pPr>
            <w:r>
              <w:rPr>
                <w:rFonts w:ascii="Arial" w:cs="Arial" w:eastAsia="Arial" w:hAnsi="Arial"/>
                <w:sz w:val="18"/>
                <w:szCs w:val="18"/>
                <w:color w:val="auto"/>
              </w:rPr>
              <w:t>United States Plans</w:t>
            </w:r>
          </w:p>
        </w:tc>
        <w:tc>
          <w:tcPr>
            <w:tcW w:w="1220" w:type="dxa"/>
            <w:vAlign w:val="bottom"/>
          </w:tcPr>
          <w:p>
            <w:pPr>
              <w:spacing w:after="0"/>
              <w:rPr>
                <w:sz w:val="20"/>
                <w:szCs w:val="20"/>
                <w:color w:val="auto"/>
              </w:rPr>
            </w:pPr>
          </w:p>
        </w:tc>
        <w:tc>
          <w:tcPr>
            <w:tcW w:w="206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Non-United States Plans</w:t>
            </w:r>
          </w:p>
        </w:tc>
      </w:tr>
      <w:tr>
        <w:trPr>
          <w:trHeight w:val="236"/>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14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12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2.6 %</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2.1 %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1.0 %</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0.6 %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41"/>
        </w:trPr>
        <w:tc>
          <w:tcPr>
            <w:tcW w:w="4680" w:type="dxa"/>
            <w:vAlign w:val="bottom"/>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N/A</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2.2 %</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1.8 %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42"/>
        </w:trPr>
        <w:tc>
          <w:tcPr>
            <w:tcW w:w="468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1.3 %</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1.7 %</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1.7 %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49"/>
        </w:trPr>
        <w:tc>
          <w:tcPr>
            <w:tcW w:w="4680" w:type="dxa"/>
            <w:vAlign w:val="bottom"/>
          </w:tcPr>
          <w:p>
            <w:pPr>
              <w:ind w:left="20"/>
              <w:spacing w:after="0"/>
              <w:rPr>
                <w:sz w:val="20"/>
                <w:szCs w:val="20"/>
                <w:color w:val="auto"/>
              </w:rPr>
            </w:pPr>
            <w:r>
              <w:rPr>
                <w:rFonts w:ascii="Arial" w:cs="Arial" w:eastAsia="Arial" w:hAnsi="Arial"/>
                <w:sz w:val="18"/>
                <w:szCs w:val="18"/>
                <w:color w:val="auto"/>
              </w:rPr>
              <w:t>Interest crediting rates for cash balance plans</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N/A</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0.5 %</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1.9 %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46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955" cy="1536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-315595</wp:posOffset>
            </wp:positionV>
            <wp:extent cx="7132955" cy="1536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81" w:lineRule="exact"/>
        <w:rPr>
          <w:sz w:val="20"/>
          <w:szCs w:val="20"/>
          <w:color w:val="auto"/>
        </w:rPr>
      </w:pPr>
    </w:p>
    <w:p>
      <w:pPr>
        <w:jc w:val="both"/>
        <w:ind w:right="60"/>
        <w:spacing w:after="0" w:line="275" w:lineRule="auto"/>
        <w:rPr>
          <w:sz w:val="20"/>
          <w:szCs w:val="20"/>
          <w:color w:val="auto"/>
        </w:rPr>
      </w:pPr>
      <w:r>
        <w:rPr>
          <w:rFonts w:ascii="Arial" w:cs="Arial" w:eastAsia="Arial" w:hAnsi="Arial"/>
          <w:sz w:val="18"/>
          <w:szCs w:val="18"/>
          <w:color w:val="auto"/>
        </w:rPr>
        <w:t>We determine our assumption for the discount rate based on an index of high-quality corporate bond yields and matched-funding yield curve analysis as of the end of each fiscal year.</w:t>
      </w:r>
    </w:p>
    <w:p>
      <w:pPr>
        <w:spacing w:after="0" w:line="131"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Our overall expected long-term rate of return used in the measurement of the 2022 net periodic benefit cost on non-United States plans varied by country and ranged from 0.5% to 3.0%.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four of our foreign plans. Peer data and historical returns are reviewed to check for reasonableness and appropriateness of our expected rate of return. None of our United States plans has plan assets due to the settlement of the Qualified Retirement Plan liability during the first quarter of 2020.</w:t>
      </w:r>
    </w:p>
    <w:p>
      <w:pPr>
        <w:spacing w:after="0" w:line="151" w:lineRule="exact"/>
        <w:rPr>
          <w:sz w:val="20"/>
          <w:szCs w:val="20"/>
          <w:color w:val="auto"/>
        </w:rPr>
      </w:pPr>
    </w:p>
    <w:p>
      <w:pPr>
        <w:jc w:val="both"/>
        <w:ind w:right="60"/>
        <w:spacing w:after="0" w:line="275" w:lineRule="auto"/>
        <w:rPr>
          <w:sz w:val="20"/>
          <w:szCs w:val="20"/>
          <w:color w:val="auto"/>
        </w:rPr>
      </w:pPr>
      <w:r>
        <w:rPr>
          <w:rFonts w:ascii="Arial" w:cs="Arial" w:eastAsia="Arial" w:hAnsi="Arial"/>
          <w:sz w:val="18"/>
          <w:szCs w:val="18"/>
          <w:color w:val="auto"/>
        </w:rPr>
        <w:t>Projected salary levels utilized in the determination of the projected benefit obligation for the pension plans are based upon historical experience and the future expectations for each respective country.</w:t>
      </w:r>
    </w:p>
    <w:p>
      <w:pPr>
        <w:spacing w:after="0" w:line="13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2022 allocations, are determined based on the favorable risk tolerance characteristics of the plan and, at times, may be adjusted within a specified range to advance our overall objective.</w:t>
      </w:r>
    </w:p>
    <w:p>
      <w:pPr>
        <w:spacing w:after="0" w:line="147" w:lineRule="exact"/>
        <w:rPr>
          <w:sz w:val="20"/>
          <w:szCs w:val="20"/>
          <w:color w:val="auto"/>
        </w:rPr>
      </w:pPr>
    </w:p>
    <w:p>
      <w:pPr>
        <w:jc w:val="both"/>
        <w:ind w:right="60"/>
        <w:spacing w:after="0" w:line="300" w:lineRule="auto"/>
        <w:rPr>
          <w:sz w:val="20"/>
          <w:szCs w:val="20"/>
          <w:color w:val="auto"/>
        </w:rPr>
      </w:pPr>
      <w:r>
        <w:rPr>
          <w:rFonts w:ascii="Arial" w:cs="Arial" w:eastAsia="Arial" w:hAnsi="Arial"/>
          <w:sz w:val="16"/>
          <w:szCs w:val="16"/>
          <w:color w:val="auto"/>
        </w:rPr>
        <w:t>The fair values of our Level 1 and Level 2 pension plan assets are primarily determined by using market quotes and other relevant information that is generated by market transactions involving identical or comparable assets. Insurance contracts and annuity contracts are measured at the present value of expected future benefit payments primarily using associated interest curves. Hedge funds consist of a number of diversified funds including those investing in international securities, equity and private partnership interests valued using market available data and various models and assumptions.</w:t>
      </w:r>
    </w:p>
    <w:p>
      <w:pPr>
        <w:spacing w:after="0" w:line="15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340" w:right="27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The fair value of our pension plan assets by asset category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8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Fair Value Measurements Using</w:t>
            </w:r>
          </w:p>
        </w:tc>
      </w:tr>
      <w:tr>
        <w:trPr>
          <w:trHeight w:val="205"/>
        </w:trPr>
        <w:tc>
          <w:tcPr>
            <w:tcW w:w="3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Quoted Prices</w:t>
            </w: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3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w w:val="99"/>
              </w:rPr>
              <w:t>in Active Markets for</w:t>
            </w:r>
          </w:p>
        </w:tc>
        <w:tc>
          <w:tcPr>
            <w:tcW w:w="34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Significant Other</w:t>
            </w:r>
          </w:p>
        </w:tc>
        <w:tc>
          <w:tcPr>
            <w:tcW w:w="320" w:type="dxa"/>
            <w:vAlign w:val="bottom"/>
          </w:tcPr>
          <w:p>
            <w:pPr>
              <w:spacing w:after="0"/>
              <w:rPr>
                <w:sz w:val="17"/>
                <w:szCs w:val="17"/>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Significant</w:t>
            </w:r>
          </w:p>
        </w:tc>
      </w:tr>
      <w:tr>
        <w:trPr>
          <w:trHeight w:val="202"/>
        </w:trPr>
        <w:tc>
          <w:tcPr>
            <w:tcW w:w="3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Identical Assets</w:t>
            </w:r>
          </w:p>
        </w:tc>
        <w:tc>
          <w:tcPr>
            <w:tcW w:w="34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w w:val="98"/>
              </w:rPr>
              <w:t>Observable Inputs</w:t>
            </w:r>
          </w:p>
        </w:tc>
        <w:tc>
          <w:tcPr>
            <w:tcW w:w="32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w w:val="98"/>
              </w:rPr>
              <w:t>Unobservable Inputs</w:t>
            </w:r>
          </w:p>
        </w:tc>
      </w:tr>
      <w:tr>
        <w:trPr>
          <w:trHeight w:val="219"/>
        </w:trPr>
        <w:tc>
          <w:tcPr>
            <w:tcW w:w="38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8"/>
              </w:rPr>
              <w:t>December 31, 2022</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(Level 1)</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(Level 2)</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(Level 3)</w:t>
            </w:r>
          </w:p>
        </w:tc>
      </w:tr>
      <w:tr>
        <w:trPr>
          <w:trHeight w:val="22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 Category</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r>
      <w:tr>
        <w:trPr>
          <w:trHeight w:val="219"/>
        </w:trPr>
        <w:tc>
          <w:tcPr>
            <w:tcW w:w="38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18.3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18.3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8"/>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securities:</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r>
      <w:tr>
        <w:trPr>
          <w:trHeight w:val="219"/>
        </w:trPr>
        <w:tc>
          <w:tcPr>
            <w:tcW w:w="3820" w:type="dxa"/>
            <w:vAlign w:val="bottom"/>
          </w:tcPr>
          <w:p>
            <w:pPr>
              <w:ind w:left="200"/>
              <w:spacing w:after="0"/>
              <w:rPr>
                <w:sz w:val="20"/>
                <w:szCs w:val="20"/>
                <w:color w:val="auto"/>
              </w:rPr>
            </w:pPr>
            <w:r>
              <w:rPr>
                <w:rFonts w:ascii="Arial" w:cs="Arial" w:eastAsia="Arial" w:hAnsi="Arial"/>
                <w:sz w:val="16"/>
                <w:szCs w:val="16"/>
                <w:color w:val="auto"/>
              </w:rPr>
              <w:t>Mutual funds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114.5</w:t>
            </w:r>
          </w:p>
        </w:tc>
        <w:tc>
          <w:tcPr>
            <w:tcW w:w="300" w:type="dxa"/>
            <w:vAlign w:val="bottom"/>
          </w:tcPr>
          <w:p>
            <w:pPr>
              <w:spacing w:after="0"/>
              <w:rPr>
                <w:sz w:val="19"/>
                <w:szCs w:val="19"/>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114.5</w:t>
            </w:r>
          </w:p>
        </w:tc>
        <w:tc>
          <w:tcPr>
            <w:tcW w:w="34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8"/>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29.0</w:t>
            </w: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29.0</w:t>
            </w: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3820" w:type="dxa"/>
            <w:vAlign w:val="bottom"/>
          </w:tcPr>
          <w:p>
            <w:pPr>
              <w:ind w:left="20"/>
              <w:spacing w:after="0"/>
              <w:rPr>
                <w:sz w:val="20"/>
                <w:szCs w:val="20"/>
                <w:color w:val="auto"/>
              </w:rPr>
            </w:pPr>
            <w:r>
              <w:rPr>
                <w:rFonts w:ascii="Arial" w:cs="Arial" w:eastAsia="Arial" w:hAnsi="Arial"/>
                <w:sz w:val="16"/>
                <w:szCs w:val="16"/>
                <w:color w:val="auto"/>
              </w:rPr>
              <w:t>Fixed income instruments: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8"/>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Fixed income funds</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73.7</w:t>
            </w: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73.7</w:t>
            </w: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3820" w:type="dxa"/>
            <w:vAlign w:val="bottom"/>
          </w:tcPr>
          <w:p>
            <w:pPr>
              <w:ind w:left="200"/>
              <w:spacing w:after="0"/>
              <w:rPr>
                <w:sz w:val="20"/>
                <w:szCs w:val="20"/>
                <w:color w:val="auto"/>
              </w:rPr>
            </w:pPr>
            <w:r>
              <w:rPr>
                <w:rFonts w:ascii="Arial" w:cs="Arial" w:eastAsia="Arial" w:hAnsi="Arial"/>
                <w:sz w:val="16"/>
                <w:szCs w:val="16"/>
                <w:color w:val="auto"/>
              </w:rPr>
              <w:t>Bonds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38.0</w:t>
            </w:r>
          </w:p>
        </w:tc>
        <w:tc>
          <w:tcPr>
            <w:tcW w:w="300" w:type="dxa"/>
            <w:vAlign w:val="bottom"/>
          </w:tcPr>
          <w:p>
            <w:pPr>
              <w:spacing w:after="0"/>
              <w:rPr>
                <w:sz w:val="19"/>
                <w:szCs w:val="19"/>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3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8"/>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Annuity contract</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33.5</w:t>
            </w: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33.5</w:t>
            </w:r>
          </w:p>
        </w:tc>
      </w:tr>
      <w:tr>
        <w:trPr>
          <w:trHeight w:val="219"/>
        </w:trPr>
        <w:tc>
          <w:tcPr>
            <w:tcW w:w="3820" w:type="dxa"/>
            <w:vAlign w:val="bottom"/>
          </w:tcPr>
          <w:p>
            <w:pPr>
              <w:ind w:left="200"/>
              <w:spacing w:after="0"/>
              <w:rPr>
                <w:sz w:val="20"/>
                <w:szCs w:val="20"/>
                <w:color w:val="auto"/>
              </w:rPr>
            </w:pPr>
            <w:r>
              <w:rPr>
                <w:rFonts w:ascii="Arial" w:cs="Arial" w:eastAsia="Arial" w:hAnsi="Arial"/>
                <w:sz w:val="16"/>
                <w:szCs w:val="16"/>
                <w:color w:val="auto"/>
              </w:rPr>
              <w:t>Guaranteed insurance contracts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21.3</w:t>
            </w:r>
          </w:p>
        </w:tc>
        <w:tc>
          <w:tcPr>
            <w:tcW w:w="300" w:type="dxa"/>
            <w:vAlign w:val="bottom"/>
          </w:tcPr>
          <w:p>
            <w:pPr>
              <w:spacing w:after="0"/>
              <w:rPr>
                <w:sz w:val="19"/>
                <w:szCs w:val="19"/>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3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8"/>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types of investments:</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r>
      <w:tr>
        <w:trPr>
          <w:trHeight w:val="219"/>
        </w:trPr>
        <w:tc>
          <w:tcPr>
            <w:tcW w:w="3820" w:type="dxa"/>
            <w:vAlign w:val="bottom"/>
          </w:tcPr>
          <w:p>
            <w:pPr>
              <w:ind w:left="200"/>
              <w:spacing w:after="0"/>
              <w:rPr>
                <w:sz w:val="20"/>
                <w:szCs w:val="20"/>
                <w:color w:val="auto"/>
              </w:rPr>
            </w:pPr>
            <w:r>
              <w:rPr>
                <w:rFonts w:ascii="Arial" w:cs="Arial" w:eastAsia="Arial" w:hAnsi="Arial"/>
                <w:sz w:val="16"/>
                <w:szCs w:val="16"/>
                <w:color w:val="auto"/>
              </w:rPr>
              <w:t>Real estate funds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95.3</w:t>
            </w:r>
          </w:p>
        </w:tc>
        <w:tc>
          <w:tcPr>
            <w:tcW w:w="300" w:type="dxa"/>
            <w:vAlign w:val="bottom"/>
          </w:tcPr>
          <w:p>
            <w:pPr>
              <w:spacing w:after="0"/>
              <w:rPr>
                <w:sz w:val="19"/>
                <w:szCs w:val="19"/>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94.0</w:t>
            </w:r>
          </w:p>
        </w:tc>
        <w:tc>
          <w:tcPr>
            <w:tcW w:w="3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1.3</w:t>
            </w:r>
          </w:p>
        </w:tc>
      </w:tr>
      <w:tr>
        <w:trPr>
          <w:trHeight w:val="238"/>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Insurance contracts</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76.7</w:t>
            </w: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76.7</w:t>
            </w:r>
          </w:p>
        </w:tc>
      </w:tr>
      <w:tr>
        <w:trPr>
          <w:trHeight w:val="219"/>
        </w:trPr>
        <w:tc>
          <w:tcPr>
            <w:tcW w:w="3820" w:type="dxa"/>
            <w:vAlign w:val="bottom"/>
          </w:tcPr>
          <w:p>
            <w:pPr>
              <w:ind w:left="200"/>
              <w:spacing w:after="0"/>
              <w:rPr>
                <w:sz w:val="20"/>
                <w:szCs w:val="20"/>
                <w:color w:val="auto"/>
              </w:rPr>
            </w:pPr>
            <w:r>
              <w:rPr>
                <w:rFonts w:ascii="Arial" w:cs="Arial" w:eastAsia="Arial" w:hAnsi="Arial"/>
                <w:sz w:val="16"/>
                <w:szCs w:val="16"/>
                <w:color w:val="auto"/>
              </w:rPr>
              <w:t>Hedge funds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28.7</w:t>
            </w:r>
          </w:p>
        </w:tc>
        <w:tc>
          <w:tcPr>
            <w:tcW w:w="300" w:type="dxa"/>
            <w:vAlign w:val="bottom"/>
          </w:tcPr>
          <w:p>
            <w:pPr>
              <w:spacing w:after="0"/>
              <w:rPr>
                <w:sz w:val="19"/>
                <w:szCs w:val="19"/>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3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15.2</w:t>
            </w:r>
          </w:p>
        </w:tc>
      </w:tr>
      <w:tr>
        <w:trPr>
          <w:trHeight w:val="232"/>
        </w:trPr>
        <w:tc>
          <w:tcPr>
            <w:tcW w:w="38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18.8</w:t>
            </w:r>
          </w:p>
        </w:tc>
        <w:tc>
          <w:tcPr>
            <w:tcW w:w="30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3.3</w:t>
            </w:r>
          </w:p>
        </w:tc>
        <w:tc>
          <w:tcPr>
            <w:tcW w:w="32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15.5</w:t>
            </w:r>
          </w:p>
        </w:tc>
      </w:tr>
      <w:tr>
        <w:trPr>
          <w:trHeight w:val="222"/>
        </w:trPr>
        <w:tc>
          <w:tcPr>
            <w:tcW w:w="3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547.8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161.8</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243.8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142.2</w:t>
            </w:r>
          </w:p>
        </w:tc>
      </w:tr>
      <w:tr>
        <w:trPr>
          <w:trHeight w:val="437"/>
        </w:trPr>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Fair Value Measurements Using</w:t>
            </w:r>
          </w:p>
        </w:tc>
      </w:tr>
      <w:tr>
        <w:trPr>
          <w:trHeight w:val="205"/>
        </w:trPr>
        <w:tc>
          <w:tcPr>
            <w:tcW w:w="3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Quoted Prices</w:t>
            </w: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Significant</w:t>
            </w:r>
          </w:p>
        </w:tc>
      </w:tr>
      <w:tr>
        <w:trPr>
          <w:trHeight w:val="202"/>
        </w:trPr>
        <w:tc>
          <w:tcPr>
            <w:tcW w:w="3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in Active Markets for</w:t>
            </w:r>
          </w:p>
        </w:tc>
        <w:tc>
          <w:tcPr>
            <w:tcW w:w="340" w:type="dxa"/>
            <w:vAlign w:val="bottom"/>
          </w:tcPr>
          <w:p>
            <w:pPr>
              <w:spacing w:after="0"/>
              <w:rPr>
                <w:sz w:val="17"/>
                <w:szCs w:val="17"/>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Significant Other</w:t>
            </w:r>
          </w:p>
        </w:tc>
        <w:tc>
          <w:tcPr>
            <w:tcW w:w="32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Unobservable</w:t>
            </w:r>
          </w:p>
        </w:tc>
      </w:tr>
      <w:tr>
        <w:trPr>
          <w:trHeight w:val="202"/>
        </w:trPr>
        <w:tc>
          <w:tcPr>
            <w:tcW w:w="3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Identical Assets</w:t>
            </w:r>
          </w:p>
        </w:tc>
        <w:tc>
          <w:tcPr>
            <w:tcW w:w="34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w w:val="95"/>
              </w:rPr>
              <w:t>Observable Inputs</w:t>
            </w:r>
          </w:p>
        </w:tc>
        <w:tc>
          <w:tcPr>
            <w:tcW w:w="32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Inputs</w:t>
            </w:r>
          </w:p>
        </w:tc>
      </w:tr>
      <w:tr>
        <w:trPr>
          <w:trHeight w:val="219"/>
        </w:trPr>
        <w:tc>
          <w:tcPr>
            <w:tcW w:w="38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December 31, 2021</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1)</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(Level 2)</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(Level 3)</w:t>
            </w:r>
          </w:p>
        </w:tc>
      </w:tr>
      <w:tr>
        <w:trPr>
          <w:trHeight w:val="22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 Category</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r>
      <w:tr>
        <w:trPr>
          <w:trHeight w:val="219"/>
        </w:trPr>
        <w:tc>
          <w:tcPr>
            <w:tcW w:w="38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18.8</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8"/>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securities:</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r>
      <w:tr>
        <w:trPr>
          <w:trHeight w:val="219"/>
        </w:trPr>
        <w:tc>
          <w:tcPr>
            <w:tcW w:w="3820" w:type="dxa"/>
            <w:vAlign w:val="bottom"/>
          </w:tcPr>
          <w:p>
            <w:pPr>
              <w:ind w:left="200"/>
              <w:spacing w:after="0"/>
              <w:rPr>
                <w:sz w:val="20"/>
                <w:szCs w:val="20"/>
                <w:color w:val="auto"/>
              </w:rPr>
            </w:pPr>
            <w:r>
              <w:rPr>
                <w:rFonts w:ascii="Arial" w:cs="Arial" w:eastAsia="Arial" w:hAnsi="Arial"/>
                <w:sz w:val="16"/>
                <w:szCs w:val="16"/>
                <w:color w:val="auto"/>
              </w:rPr>
              <w:t>Mutual funds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141.5</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141.5</w:t>
            </w:r>
          </w:p>
        </w:tc>
        <w:tc>
          <w:tcPr>
            <w:tcW w:w="3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8"/>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37.7</w:t>
            </w: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3820" w:type="dxa"/>
            <w:vAlign w:val="bottom"/>
          </w:tcPr>
          <w:p>
            <w:pPr>
              <w:ind w:left="20"/>
              <w:spacing w:after="0"/>
              <w:rPr>
                <w:sz w:val="20"/>
                <w:szCs w:val="20"/>
                <w:color w:val="auto"/>
              </w:rPr>
            </w:pPr>
            <w:r>
              <w:rPr>
                <w:rFonts w:ascii="Arial" w:cs="Arial" w:eastAsia="Arial" w:hAnsi="Arial"/>
                <w:sz w:val="16"/>
                <w:szCs w:val="16"/>
                <w:color w:val="auto"/>
              </w:rPr>
              <w:t>Fixed income instruments: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8"/>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Fixed income funds</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175.0</w:t>
            </w: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175.0</w:t>
            </w: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3820" w:type="dxa"/>
            <w:vAlign w:val="bottom"/>
          </w:tcPr>
          <w:p>
            <w:pPr>
              <w:ind w:left="200"/>
              <w:spacing w:after="0"/>
              <w:rPr>
                <w:sz w:val="20"/>
                <w:szCs w:val="20"/>
                <w:color w:val="auto"/>
              </w:rPr>
            </w:pPr>
            <w:r>
              <w:rPr>
                <w:rFonts w:ascii="Arial" w:cs="Arial" w:eastAsia="Arial" w:hAnsi="Arial"/>
                <w:sz w:val="16"/>
                <w:szCs w:val="16"/>
                <w:color w:val="auto"/>
              </w:rPr>
              <w:t>Annuity contract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51.7</w:t>
            </w:r>
          </w:p>
        </w:tc>
      </w:tr>
      <w:tr>
        <w:trPr>
          <w:trHeight w:val="238"/>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Bonds</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44.9</w:t>
            </w: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44.9</w:t>
            </w: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3820" w:type="dxa"/>
            <w:vAlign w:val="bottom"/>
          </w:tcPr>
          <w:p>
            <w:pPr>
              <w:ind w:left="200"/>
              <w:spacing w:after="0"/>
              <w:rPr>
                <w:sz w:val="20"/>
                <w:szCs w:val="20"/>
                <w:color w:val="auto"/>
              </w:rPr>
            </w:pPr>
            <w:r>
              <w:rPr>
                <w:rFonts w:ascii="Arial" w:cs="Arial" w:eastAsia="Arial" w:hAnsi="Arial"/>
                <w:sz w:val="16"/>
                <w:szCs w:val="16"/>
                <w:color w:val="auto"/>
              </w:rPr>
              <w:t>Guaranteed insurance contracts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21.3</w:t>
            </w:r>
          </w:p>
        </w:tc>
        <w:tc>
          <w:tcPr>
            <w:tcW w:w="3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8"/>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types of investments:</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r>
      <w:tr>
        <w:trPr>
          <w:trHeight w:val="219"/>
        </w:trPr>
        <w:tc>
          <w:tcPr>
            <w:tcW w:w="3820" w:type="dxa"/>
            <w:vAlign w:val="bottom"/>
          </w:tcPr>
          <w:p>
            <w:pPr>
              <w:ind w:left="200"/>
              <w:spacing w:after="0"/>
              <w:rPr>
                <w:sz w:val="20"/>
                <w:szCs w:val="20"/>
                <w:color w:val="auto"/>
              </w:rPr>
            </w:pPr>
            <w:r>
              <w:rPr>
                <w:rFonts w:ascii="Arial" w:cs="Arial" w:eastAsia="Arial" w:hAnsi="Arial"/>
                <w:sz w:val="16"/>
                <w:szCs w:val="16"/>
                <w:color w:val="auto"/>
              </w:rPr>
              <w:t>Insurance contracts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129.6</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129.6</w:t>
            </w:r>
          </w:p>
        </w:tc>
      </w:tr>
      <w:tr>
        <w:trPr>
          <w:trHeight w:val="238"/>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Real estate funds</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102.1</w:t>
            </w: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100.8</w:t>
            </w: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w:t>
            </w:r>
          </w:p>
        </w:tc>
      </w:tr>
      <w:tr>
        <w:trPr>
          <w:trHeight w:val="219"/>
        </w:trPr>
        <w:tc>
          <w:tcPr>
            <w:tcW w:w="3820" w:type="dxa"/>
            <w:vAlign w:val="bottom"/>
          </w:tcPr>
          <w:p>
            <w:pPr>
              <w:ind w:left="200"/>
              <w:spacing w:after="0"/>
              <w:rPr>
                <w:sz w:val="20"/>
                <w:szCs w:val="20"/>
                <w:color w:val="auto"/>
              </w:rPr>
            </w:pPr>
            <w:r>
              <w:rPr>
                <w:rFonts w:ascii="Arial" w:cs="Arial" w:eastAsia="Arial" w:hAnsi="Arial"/>
                <w:sz w:val="16"/>
                <w:szCs w:val="16"/>
                <w:color w:val="auto"/>
              </w:rPr>
              <w:t>Hedge funds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12.6</w:t>
            </w:r>
          </w:p>
        </w:tc>
        <w:tc>
          <w:tcPr>
            <w:tcW w:w="3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16.6</w:t>
            </w:r>
          </w:p>
        </w:tc>
      </w:tr>
      <w:tr>
        <w:trPr>
          <w:trHeight w:val="232"/>
        </w:trPr>
        <w:tc>
          <w:tcPr>
            <w:tcW w:w="38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10.7</w:t>
            </w:r>
          </w:p>
        </w:tc>
        <w:tc>
          <w:tcPr>
            <w:tcW w:w="30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w:t>
            </w:r>
          </w:p>
        </w:tc>
        <w:tc>
          <w:tcPr>
            <w:tcW w:w="32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w:t>
            </w:r>
          </w:p>
        </w:tc>
      </w:tr>
      <w:tr>
        <w:trPr>
          <w:trHeight w:val="222"/>
        </w:trPr>
        <w:tc>
          <w:tcPr>
            <w:tcW w:w="3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762.5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358.0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206.5</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86" w:name="page87"/>
    <w:bookmarkEnd w:id="86"/>
    <w:p>
      <w:pPr>
        <w:spacing w:after="0" w:line="275" w:lineRule="auto"/>
        <w:rPr>
          <w:sz w:val="20"/>
          <w:szCs w:val="20"/>
          <w:color w:val="auto"/>
        </w:rPr>
      </w:pPr>
      <w:r>
        <w:rPr>
          <w:rFonts w:ascii="Arial" w:cs="Arial" w:eastAsia="Arial" w:hAnsi="Arial"/>
          <w:sz w:val="18"/>
          <w:szCs w:val="18"/>
          <w:color w:val="auto"/>
        </w:rPr>
        <w:t>The following table summarizes the changes in fair value of the pension assets that are measured using Level 3 inputs. We determined that transfers between fair-value-measurement levels occurred on the date of the event that caused the transfer.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3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color w:val="auto"/>
              </w:rPr>
              <w:t>2022</w:t>
            </w: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color w:val="auto"/>
              </w:rPr>
              <w:t>2021</w:t>
            </w:r>
          </w:p>
        </w:tc>
      </w:tr>
      <w:tr>
        <w:trPr>
          <w:trHeight w:val="242"/>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year</w:t>
            </w:r>
          </w:p>
        </w:tc>
        <w:tc>
          <w:tcPr>
            <w:tcW w:w="310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206.5</w:t>
            </w:r>
          </w:p>
        </w:tc>
        <w:tc>
          <w:tcPr>
            <w:tcW w:w="68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242.6</w:t>
            </w:r>
          </w:p>
        </w:tc>
      </w:tr>
      <w:tr>
        <w:trPr>
          <w:trHeight w:val="236"/>
        </w:trPr>
        <w:tc>
          <w:tcPr>
            <w:tcW w:w="5300" w:type="dxa"/>
            <w:vAlign w:val="bottom"/>
          </w:tcPr>
          <w:p>
            <w:pPr>
              <w:ind w:left="200"/>
              <w:spacing w:after="0"/>
              <w:rPr>
                <w:sz w:val="20"/>
                <w:szCs w:val="20"/>
                <w:color w:val="auto"/>
              </w:rPr>
            </w:pPr>
            <w:r>
              <w:rPr>
                <w:rFonts w:ascii="Arial" w:cs="Arial" w:eastAsia="Arial" w:hAnsi="Arial"/>
                <w:sz w:val="18"/>
                <w:szCs w:val="18"/>
                <w:color w:val="auto"/>
              </w:rPr>
              <w:t>Actual return on plan assets</w:t>
            </w:r>
          </w:p>
        </w:tc>
        <w:tc>
          <w:tcPr>
            <w:tcW w:w="3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(61.2 )</w:t>
            </w: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(21.6 )</w:t>
            </w:r>
          </w:p>
        </w:tc>
      </w:tr>
      <w:tr>
        <w:trPr>
          <w:trHeight w:val="248"/>
        </w:trPr>
        <w:tc>
          <w:tcPr>
            <w:tcW w:w="5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sales and settlements, net</w:t>
            </w:r>
          </w:p>
        </w:tc>
        <w:tc>
          <w:tcPr>
            <w:tcW w:w="3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7.4</w:t>
            </w:r>
          </w:p>
        </w:tc>
        <w:tc>
          <w:tcPr>
            <w:tcW w:w="6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r>
      <w:tr>
        <w:trPr>
          <w:trHeight w:val="236"/>
        </w:trPr>
        <w:tc>
          <w:tcPr>
            <w:tcW w:w="53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Currency exchange rate changes</w:t>
            </w:r>
          </w:p>
        </w:tc>
        <w:tc>
          <w:tcPr>
            <w:tcW w:w="3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(10.5 )</w:t>
            </w: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(11.4 )</w:t>
            </w:r>
          </w:p>
        </w:tc>
      </w:tr>
      <w:tr>
        <w:trPr>
          <w:trHeight w:val="236"/>
        </w:trPr>
        <w:tc>
          <w:tcPr>
            <w:tcW w:w="5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Balance, end of year</w:t>
            </w:r>
          </w:p>
        </w:tc>
        <w:tc>
          <w:tcPr>
            <w:tcW w:w="310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142.2</w:t>
            </w:r>
          </w:p>
        </w:tc>
        <w:tc>
          <w:tcPr>
            <w:tcW w:w="68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206.5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Retiree </w:t>
      </w:r>
      <w:r>
        <w:rPr>
          <w:rFonts w:ascii="Arial" w:cs="Arial" w:eastAsia="Arial" w:hAnsi="Arial"/>
          <w:sz w:val="18"/>
          <w:szCs w:val="18"/>
          <w:i w:val="1"/>
          <w:iCs w:val="1"/>
          <w:color w:val="282A32"/>
        </w:rPr>
        <w:t>Health Care Plan</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3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r>
      <w:tr>
        <w:trPr>
          <w:trHeight w:val="242"/>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3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Benefit obligation, beginning of year</w:t>
            </w:r>
          </w:p>
        </w:tc>
        <w:tc>
          <w:tcPr>
            <w:tcW w:w="32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14.6</w:t>
            </w:r>
          </w:p>
        </w:tc>
      </w:tr>
      <w:tr>
        <w:trPr>
          <w:trHeight w:val="248"/>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cost</w:t>
            </w:r>
          </w:p>
        </w:tc>
        <w:tc>
          <w:tcPr>
            <w:tcW w:w="3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0.3</w:t>
            </w:r>
          </w:p>
        </w:tc>
        <w:tc>
          <w:tcPr>
            <w:tcW w:w="7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Actuarial (gain) loss</w:t>
            </w:r>
          </w:p>
        </w:tc>
        <w:tc>
          <w:tcPr>
            <w:tcW w:w="3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(2.1 )</w:t>
            </w:r>
          </w:p>
        </w:tc>
        <w:tc>
          <w:tcPr>
            <w:tcW w:w="7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42"/>
        </w:trPr>
        <w:tc>
          <w:tcPr>
            <w:tcW w:w="52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Benefits paid</w:t>
            </w:r>
          </w:p>
        </w:tc>
        <w:tc>
          <w:tcPr>
            <w:tcW w:w="3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(0.8 )</w:t>
            </w:r>
          </w:p>
        </w:tc>
        <w:tc>
          <w:tcPr>
            <w:tcW w:w="7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(0.8 )</w:t>
            </w:r>
          </w:p>
        </w:tc>
      </w:tr>
      <w:tr>
        <w:trPr>
          <w:trHeight w:val="23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Benefit obligation, end of year</w:t>
            </w:r>
          </w:p>
        </w:tc>
        <w:tc>
          <w:tcPr>
            <w:tcW w:w="3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11.5</w:t>
            </w:r>
          </w:p>
        </w:tc>
        <w:tc>
          <w:tcPr>
            <w:tcW w:w="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w:t>
            </w:r>
          </w:p>
        </w:tc>
      </w:tr>
      <w:tr>
        <w:trPr>
          <w:trHeight w:val="242"/>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Funded Status at End of Year</w:t>
            </w:r>
          </w:p>
        </w:tc>
        <w:tc>
          <w:tcPr>
            <w:tcW w:w="3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3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Funded status, end of year</w:t>
            </w:r>
          </w:p>
        </w:tc>
        <w:tc>
          <w:tcPr>
            <w:tcW w:w="3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(11.5 )</w:t>
            </w:r>
          </w:p>
        </w:tc>
        <w:tc>
          <w:tcPr>
            <w:tcW w:w="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(14.1 )</w:t>
            </w:r>
          </w:p>
        </w:tc>
      </w:tr>
      <w:tr>
        <w:trPr>
          <w:trHeight w:val="242"/>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Amounts Recognized</w:t>
            </w:r>
          </w:p>
        </w:tc>
        <w:tc>
          <w:tcPr>
            <w:tcW w:w="3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(1.2 )</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42"/>
        </w:trPr>
        <w:tc>
          <w:tcPr>
            <w:tcW w:w="5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(10.3 )</w:t>
            </w:r>
          </w:p>
        </w:tc>
        <w:tc>
          <w:tcPr>
            <w:tcW w:w="7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(12.9 )</w:t>
            </w:r>
          </w:p>
        </w:tc>
      </w:tr>
      <w:tr>
        <w:trPr>
          <w:trHeight w:val="23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amount recognized</w:t>
            </w:r>
          </w:p>
        </w:tc>
        <w:tc>
          <w:tcPr>
            <w:tcW w:w="3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(11.5 )</w:t>
            </w:r>
          </w:p>
        </w:tc>
        <w:tc>
          <w:tcPr>
            <w:tcW w:w="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(14.1 )</w:t>
            </w: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amount recognized in accumulated other comprehensive loss, net of tax, consists of a net loss of $0.5 and $2.2 as of December 31, 2022 and 2021, respectively, and a prior service credit of $1.7 and $2.3 as of December 31, 2022 and 2021, respectively.</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discount rate used in the measurement of the benefit obligation was 5.1% and 2.6% in 2022 and 2021, respectively. The discount rate used in the measurement of net periodic benefit cost was 2.6%, 2.2% and 3.0% in 2022, 2021, and 2020,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 components of net periodic benefit cost and other amounts recognized in other comprehensive loss for this plan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r>
      <w:tr>
        <w:trPr>
          <w:trHeight w:val="242"/>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Periodic Benefit Credit</w:t>
            </w:r>
          </w:p>
        </w:tc>
        <w:tc>
          <w:tcPr>
            <w:tcW w:w="8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r>
      <w:tr>
        <w:trPr>
          <w:trHeight w:val="236"/>
        </w:trPr>
        <w:tc>
          <w:tcPr>
            <w:tcW w:w="63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0.4</w:t>
            </w:r>
          </w:p>
        </w:tc>
      </w:tr>
      <w:tr>
        <w:trPr>
          <w:trHeight w:val="248"/>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r>
      <w:tr>
        <w:trPr>
          <w:trHeight w:val="23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Prior service credit</w:t>
            </w: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(0.8 )</w:t>
            </w: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(0.8 )</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r>
      <w:tr>
        <w:trPr>
          <w:trHeight w:val="236"/>
        </w:trPr>
        <w:tc>
          <w:tcPr>
            <w:tcW w:w="6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periodic benefit credit</w:t>
            </w:r>
          </w:p>
        </w:tc>
        <w:tc>
          <w:tcPr>
            <w:tcW w:w="88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(0.3 )</w:t>
            </w:r>
          </w:p>
        </w:tc>
        <w:tc>
          <w:tcPr>
            <w:tcW w:w="6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(0.4 )</w:t>
            </w:r>
          </w:p>
        </w:tc>
        <w:tc>
          <w:tcPr>
            <w:tcW w:w="62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(0.3 )</w:t>
            </w:r>
          </w:p>
        </w:tc>
      </w:tr>
      <w:tr>
        <w:trPr>
          <w:trHeight w:val="210"/>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w w:val="97"/>
              </w:rPr>
              <w:t>Other Changes in Plan Assets and Benefit Obligations Recognized in Other</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0"/>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Income/Loss</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9"/>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(gain) loss</w:t>
            </w:r>
          </w:p>
        </w:tc>
        <w:tc>
          <w:tcPr>
            <w:tcW w:w="88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(2.0 )</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36"/>
        </w:trPr>
        <w:tc>
          <w:tcPr>
            <w:tcW w:w="6300" w:type="dxa"/>
            <w:vAlign w:val="bottom"/>
          </w:tcPr>
          <w:p>
            <w:pPr>
              <w:ind w:left="20"/>
              <w:spacing w:after="0"/>
              <w:rPr>
                <w:sz w:val="20"/>
                <w:szCs w:val="20"/>
                <w:color w:val="auto"/>
              </w:rPr>
            </w:pPr>
            <w:r>
              <w:rPr>
                <w:rFonts w:ascii="Arial" w:cs="Arial" w:eastAsia="Arial" w:hAnsi="Arial"/>
                <w:sz w:val="18"/>
                <w:szCs w:val="18"/>
                <w:color w:val="auto"/>
              </w:rPr>
              <w:t>Amortization of net loss</w:t>
            </w:r>
          </w:p>
        </w:tc>
        <w:tc>
          <w:tcPr>
            <w:tcW w:w="8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(0.2 )</w:t>
            </w:r>
          </w:p>
        </w:tc>
        <w:tc>
          <w:tcPr>
            <w:tcW w:w="6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(0.2 )</w:t>
            </w: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42"/>
        </w:trPr>
        <w:tc>
          <w:tcPr>
            <w:tcW w:w="6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Amortization of prior service credit</w:t>
            </w:r>
          </w:p>
        </w:tc>
        <w:tc>
          <w:tcPr>
            <w:tcW w:w="8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0.8</w:t>
            </w:r>
          </w:p>
        </w:tc>
        <w:tc>
          <w:tcPr>
            <w:tcW w:w="6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0.8</w:t>
            </w:r>
          </w:p>
        </w:tc>
        <w:tc>
          <w:tcPr>
            <w:tcW w:w="6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0.8</w:t>
            </w:r>
          </w:p>
        </w:tc>
      </w:tr>
      <w:tr>
        <w:trPr>
          <w:trHeight w:val="23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recognized in other comprehensive income/loss</w:t>
            </w: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(1.4 )</w:t>
            </w: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r>
      <w:tr>
        <w:trPr>
          <w:trHeight w:val="236"/>
        </w:trPr>
        <w:tc>
          <w:tcPr>
            <w:tcW w:w="6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5"/>
              </w:rPr>
              <w:t>Total recognized in net periodic benefit cost and other comprehensive income/loss</w:t>
            </w:r>
          </w:p>
        </w:tc>
        <w:tc>
          <w:tcPr>
            <w:tcW w:w="88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(1.7 )</w:t>
            </w:r>
          </w:p>
        </w:tc>
        <w:tc>
          <w:tcPr>
            <w:tcW w:w="6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0.4</w:t>
            </w:r>
          </w:p>
        </w:tc>
        <w:tc>
          <w:tcPr>
            <w:tcW w:w="62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estimated prior service credit for the retiree health care plan that will be amortized from accumulated other comprehensive income/loss into net periodic benefit cost during 2023 is $0.8. No net gain/loss is estimated to be amortized in 2023.</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health care cost trend rate is assumed to be 6.7% for 2023, decreasing gradually to an ultimate rate of 4.5% in 2031. Assumed health care cost trend rates are not expected to have a material effect on the amounts reported.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Contributions and Payments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2023, we plan to contribute approximately $16.0 to our pension plans and to fund our retiree health care payments as incurred. Projected benefit payments from the plans as of December 31, 2022 were estimated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Retiree Health</w:t>
            </w:r>
          </w:p>
        </w:tc>
      </w:tr>
      <w:tr>
        <w:trPr>
          <w:trHeight w:val="23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w:t>
            </w:r>
          </w:p>
        </w:tc>
        <w:tc>
          <w:tcPr>
            <w:tcW w:w="30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Pension Plans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Care Plan</w:t>
            </w:r>
          </w:p>
        </w:tc>
      </w:tr>
      <w:tr>
        <w:trPr>
          <w:trHeight w:val="242"/>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0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67.8</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2024</w:t>
            </w:r>
          </w:p>
        </w:tc>
        <w:tc>
          <w:tcPr>
            <w:tcW w:w="30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4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48"/>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0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2026</w:t>
            </w:r>
          </w:p>
        </w:tc>
        <w:tc>
          <w:tcPr>
            <w:tcW w:w="30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4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48"/>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0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27.3</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3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2028–2032</w:t>
            </w:r>
          </w:p>
        </w:tc>
        <w:tc>
          <w:tcPr>
            <w:tcW w:w="30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158.3</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r>
      <w:tr>
        <w:trPr>
          <w:trHeight w:val="236"/>
        </w:trPr>
        <w:tc>
          <w:tcPr>
            <w:tcW w:w="50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projected benefit payments</w:t>
            </w:r>
          </w:p>
        </w:tc>
        <w:tc>
          <w:tcPr>
            <w:tcW w:w="302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358.6</w:t>
            </w:r>
          </w:p>
        </w:tc>
        <w:tc>
          <w:tcPr>
            <w:tcW w:w="4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10.2</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 and Deferred Compensation Plans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defined contribution plans covering substantially all permanent United States employees and various other employees throughout the world. With our company-sponsored plans, employees may elect to contribute a portion of their salary to the plans and we match a portion of their contributions up to a maximum percentage of the employee’s salary. In addition, profit sharing contributions are made if a targeted earnings level is reached at management’s discretion. The total expense for our match and any profit sharing contributions was $18.4, $17.3 and $16.6 for the years ended December 31, 2022, 2021 and 2020, respectively. In certain countries with statutory defined contribution plans, we pay a percentage of the employees' salary in pension premiums. The total expense for the statutory defined contribution plans was $31.4, $32.2 and $27.5 for the years ended December 31, 2022, 2021 and 2020,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88" w:name="page89"/>
    <w:bookmarkEnd w:id="88"/>
    <w:p>
      <w:pPr>
        <w:spacing w:after="0" w:line="275" w:lineRule="auto"/>
        <w:rPr>
          <w:sz w:val="20"/>
          <w:szCs w:val="20"/>
          <w:color w:val="auto"/>
        </w:rPr>
      </w:pPr>
      <w:r>
        <w:rPr>
          <w:rFonts w:ascii="Arial" w:cs="Arial" w:eastAsia="Arial" w:hAnsi="Arial"/>
          <w:sz w:val="18"/>
          <w:szCs w:val="18"/>
          <w:color w:val="auto"/>
        </w:rPr>
        <w:t>We also have deferred compensation plans in the United States. One of the plans had an asset and liability of $114.4 and $136.9 as of December 31, 2022 and 2021, respectively, with the remaining plans holding immaterial amounts of assets and liabilities.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5"/>
          </w:tcPr>
          <w:p>
            <w:pPr>
              <w:spacing w:after="0"/>
              <w:rPr>
                <w:sz w:val="20"/>
                <w:szCs w:val="20"/>
                <w:color w:val="auto"/>
              </w:rPr>
            </w:pPr>
            <w:r>
              <w:rPr>
                <w:rFonts w:ascii="Arial" w:cs="Arial" w:eastAsia="Arial" w:hAnsi="Arial"/>
                <w:sz w:val="18"/>
                <w:szCs w:val="18"/>
                <w:color w:val="auto"/>
              </w:rPr>
              <w:t>(10) Accumulated Other Comprehensive Loss</w:t>
            </w: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24"/>
        </w:trPr>
        <w:tc>
          <w:tcPr>
            <w:tcW w:w="6740" w:type="dxa"/>
            <w:vAlign w:val="bottom"/>
            <w:gridSpan w:val="5"/>
          </w:tcPr>
          <w:p>
            <w:pPr>
              <w:spacing w:after="0"/>
              <w:rPr>
                <w:sz w:val="20"/>
                <w:szCs w:val="20"/>
                <w:color w:val="auto"/>
              </w:rPr>
            </w:pPr>
            <w:r>
              <w:rPr>
                <w:rFonts w:ascii="Arial" w:cs="Arial" w:eastAsia="Arial" w:hAnsi="Arial"/>
                <w:sz w:val="18"/>
                <w:szCs w:val="18"/>
                <w:color w:val="auto"/>
                <w:w w:val="96"/>
              </w:rPr>
              <w:t>The components of accumulated other comprehensive loss, net of tax, were as follows:</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1"/>
        </w:trPr>
        <w:tc>
          <w:tcPr>
            <w:tcW w:w="67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r>
      <w:tr>
        <w:trPr>
          <w:trHeight w:val="242"/>
        </w:trPr>
        <w:tc>
          <w:tcPr>
            <w:tcW w:w="674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Foreign currency translation</w:t>
            </w:r>
          </w:p>
        </w:tc>
        <w:tc>
          <w:tcPr>
            <w:tcW w:w="8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(369.7 )</w:t>
            </w: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(180.8 )</w:t>
            </w:r>
          </w:p>
        </w:tc>
      </w:tr>
      <w:tr>
        <w:trPr>
          <w:trHeight w:val="236"/>
        </w:trPr>
        <w:tc>
          <w:tcPr>
            <w:tcW w:w="7560" w:type="dxa"/>
            <w:vAlign w:val="bottom"/>
            <w:gridSpan w:val="6"/>
          </w:tcPr>
          <w:p>
            <w:pPr>
              <w:ind w:left="20"/>
              <w:spacing w:after="0"/>
              <w:rPr>
                <w:sz w:val="20"/>
                <w:szCs w:val="20"/>
                <w:color w:val="auto"/>
              </w:rPr>
            </w:pPr>
            <w:r>
              <w:rPr>
                <w:rFonts w:ascii="Arial" w:cs="Arial" w:eastAsia="Arial" w:hAnsi="Arial"/>
                <w:sz w:val="18"/>
                <w:szCs w:val="18"/>
                <w:color w:val="auto"/>
                <w:w w:val="91"/>
              </w:rPr>
              <w:t>Translation loss on long-term intercompany loans, net of income taxes of $19.1 and $19.9, respectively</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(132.8 )</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(133.6 )</w:t>
            </w:r>
          </w:p>
        </w:tc>
      </w:tr>
      <w:tr>
        <w:trPr>
          <w:trHeight w:val="248"/>
        </w:trPr>
        <w:tc>
          <w:tcPr>
            <w:tcW w:w="756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w w:val="97"/>
              </w:rPr>
              <w:t>Gain (loss) on derivative instruments, net of income tax benefit of $(5.3) and $(16.4), respectively</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53.4</w:t>
            </w:r>
          </w:p>
        </w:tc>
        <w:tc>
          <w:tcPr>
            <w:tcW w:w="4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(18.4 )</w:t>
            </w:r>
          </w:p>
        </w:tc>
      </w:tr>
      <w:tr>
        <w:trPr>
          <w:trHeight w:val="236"/>
        </w:trPr>
        <w:tc>
          <w:tcPr>
            <w:tcW w:w="6740" w:type="dxa"/>
            <w:vAlign w:val="bottom"/>
            <w:gridSpan w:val="5"/>
          </w:tcPr>
          <w:p>
            <w:pPr>
              <w:ind w:left="20"/>
              <w:spacing w:after="0"/>
              <w:rPr>
                <w:sz w:val="20"/>
                <w:szCs w:val="20"/>
                <w:color w:val="auto"/>
              </w:rPr>
            </w:pPr>
            <w:r>
              <w:rPr>
                <w:rFonts w:ascii="Arial" w:cs="Arial" w:eastAsia="Arial" w:hAnsi="Arial"/>
                <w:sz w:val="18"/>
                <w:szCs w:val="18"/>
                <w:color w:val="auto"/>
              </w:rPr>
              <w:t>Gain on interest rate swap, net of income taxes of $0.4 for 2022</w:t>
            </w: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8"/>
        </w:trPr>
        <w:tc>
          <w:tcPr>
            <w:tcW w:w="674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w w:val="92"/>
              </w:rPr>
              <w:t>Defined benefit pension plans, net of income tax benefit of $(20.4) and $(22.8), respectively</w:t>
            </w:r>
          </w:p>
        </w:tc>
        <w:tc>
          <w:tcPr>
            <w:tcW w:w="8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(12.2 )</w:t>
            </w:r>
          </w:p>
        </w:tc>
        <w:tc>
          <w:tcPr>
            <w:tcW w:w="4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(56.7 )</w:t>
            </w:r>
          </w:p>
        </w:tc>
      </w:tr>
      <w:tr>
        <w:trPr>
          <w:trHeight w:val="236"/>
        </w:trPr>
        <w:tc>
          <w:tcPr>
            <w:tcW w:w="67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Retiree health care plan, net of income taxes of $1.9 and $1.6, respectively</w:t>
            </w:r>
          </w:p>
        </w:tc>
        <w:tc>
          <w:tcPr>
            <w:tcW w:w="8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r>
      <w:tr>
        <w:trPr>
          <w:trHeight w:val="236"/>
        </w:trPr>
        <w:tc>
          <w:tcPr>
            <w:tcW w:w="674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(458.7 )</w:t>
            </w:r>
          </w:p>
        </w:tc>
        <w:tc>
          <w:tcPr>
            <w:tcW w:w="4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(389.4 )</w:t>
            </w:r>
          </w:p>
        </w:tc>
      </w:tr>
      <w:tr>
        <w:trPr>
          <w:trHeight w:val="740"/>
        </w:trPr>
        <w:tc>
          <w:tcPr>
            <w:tcW w:w="6740" w:type="dxa"/>
            <w:vAlign w:val="bottom"/>
            <w:gridSpan w:val="5"/>
          </w:tcPr>
          <w:p>
            <w:pPr>
              <w:spacing w:after="0"/>
              <w:rPr>
                <w:sz w:val="20"/>
                <w:szCs w:val="20"/>
                <w:color w:val="auto"/>
              </w:rPr>
            </w:pPr>
            <w:r>
              <w:rPr>
                <w:rFonts w:ascii="Arial" w:cs="Arial" w:eastAsia="Arial" w:hAnsi="Arial"/>
                <w:sz w:val="18"/>
                <w:szCs w:val="18"/>
                <w:color w:val="auto"/>
              </w:rPr>
              <w:t>(11) Interest and Other Expenses, Net</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24"/>
        </w:trPr>
        <w:tc>
          <w:tcPr>
            <w:tcW w:w="6740" w:type="dxa"/>
            <w:vAlign w:val="bottom"/>
            <w:gridSpan w:val="5"/>
          </w:tcPr>
          <w:p>
            <w:pPr>
              <w:spacing w:after="0"/>
              <w:rPr>
                <w:sz w:val="20"/>
                <w:szCs w:val="20"/>
                <w:color w:val="auto"/>
              </w:rPr>
            </w:pPr>
            <w:r>
              <w:rPr>
                <w:rFonts w:ascii="Arial" w:cs="Arial" w:eastAsia="Arial" w:hAnsi="Arial"/>
                <w:sz w:val="18"/>
                <w:szCs w:val="18"/>
                <w:color w:val="auto"/>
              </w:rPr>
              <w:t>Interest and other expenses, net consisted of the following:</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1"/>
        </w:trPr>
        <w:tc>
          <w:tcPr>
            <w:tcW w:w="67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42"/>
        </w:trPr>
        <w:tc>
          <w:tcPr>
            <w:tcW w:w="674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46.9</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38.8</w:t>
            </w:r>
          </w:p>
        </w:tc>
        <w:tc>
          <w:tcPr>
            <w:tcW w:w="52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43.3</w:t>
            </w:r>
          </w:p>
        </w:tc>
      </w:tr>
      <w:tr>
        <w:trPr>
          <w:trHeight w:val="236"/>
        </w:trPr>
        <w:tc>
          <w:tcPr>
            <w:tcW w:w="6740" w:type="dxa"/>
            <w:vAlign w:val="bottom"/>
            <w:gridSpan w:val="5"/>
          </w:tcPr>
          <w:p>
            <w:pPr>
              <w:ind w:left="20"/>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(17.9 )</w:t>
            </w:r>
          </w:p>
        </w:tc>
        <w:tc>
          <w:tcPr>
            <w:tcW w:w="3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(12.0 )</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(13.1 )</w:t>
            </w:r>
          </w:p>
        </w:tc>
      </w:tr>
      <w:tr>
        <w:trPr>
          <w:trHeight w:val="248"/>
        </w:trPr>
        <w:tc>
          <w:tcPr>
            <w:tcW w:w="674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Foreign exchange loss</w:t>
            </w:r>
          </w:p>
        </w:tc>
        <w:tc>
          <w:tcPr>
            <w:tcW w:w="8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11.9</w:t>
            </w: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87"/>
              </w:rPr>
              <w:t>5.2</w:t>
            </w:r>
          </w:p>
        </w:tc>
        <w:tc>
          <w:tcPr>
            <w:tcW w:w="5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r>
      <w:tr>
        <w:trPr>
          <w:trHeight w:val="236"/>
        </w:trPr>
        <w:tc>
          <w:tcPr>
            <w:tcW w:w="67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Miscellaneous (income) expenses, net</w:t>
            </w:r>
          </w:p>
        </w:tc>
        <w:tc>
          <w:tcPr>
            <w:tcW w:w="8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(16.3 )</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(14.7 )</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r>
      <w:tr>
        <w:trPr>
          <w:trHeight w:val="236"/>
        </w:trPr>
        <w:tc>
          <w:tcPr>
            <w:tcW w:w="674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8"/>
                <w:szCs w:val="18"/>
                <w:color w:val="auto"/>
              </w:rPr>
              <w:t>Interest and other expenses, net</w:t>
            </w:r>
          </w:p>
        </w:tc>
        <w:tc>
          <w:tcPr>
            <w:tcW w:w="82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24.6</w:t>
            </w:r>
          </w:p>
        </w:tc>
        <w:tc>
          <w:tcPr>
            <w:tcW w:w="3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17.3</w:t>
            </w:r>
          </w:p>
        </w:tc>
        <w:tc>
          <w:tcPr>
            <w:tcW w:w="52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39.9</w:t>
            </w:r>
          </w:p>
        </w:tc>
      </w:tr>
    </w:tbl>
    <w:p>
      <w:pPr>
        <w:spacing w:after="0" w:line="200" w:lineRule="exact"/>
        <w:rPr>
          <w:sz w:val="20"/>
          <w:szCs w:val="20"/>
          <w:color w:val="auto"/>
        </w:rPr>
      </w:pPr>
    </w:p>
    <w:p>
      <w:pPr>
        <w:spacing w:after="0" w:line="216"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cross-currency swaps and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Hedges</w:t>
      </w:r>
    </w:p>
    <w:p>
      <w:pPr>
        <w:spacing w:after="0" w:line="19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adjustments, a component of accumulated other comprehensive loss (“AOCL”),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89" w:name="page90"/>
    <w:bookmarkEnd w:id="89"/>
    <w:p>
      <w:pPr>
        <w:jc w:val="both"/>
        <w:ind w:right="20"/>
        <w:spacing w:after="0" w:line="275" w:lineRule="auto"/>
        <w:rPr>
          <w:sz w:val="20"/>
          <w:szCs w:val="20"/>
          <w:color w:val="auto"/>
        </w:rPr>
      </w:pPr>
      <w:r>
        <w:rPr>
          <w:rFonts w:ascii="Arial" w:cs="Arial" w:eastAsia="Arial" w:hAnsi="Arial"/>
          <w:sz w:val="18"/>
          <w:szCs w:val="18"/>
          <w:color w:val="auto"/>
        </w:rPr>
        <w:t>The €400.0 ($423.9) notes due June 2027 and the €500.0 ($532.7) notes due June 2026 were designated as a hedge of our net investment in our foreign subsidiaries with a Euro-functional currency as of December 31, 2022.</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September 2019, we entered into a cross-currency swap agreement that net converts fixed-rate Swiss franc (“CHF”) payments to fixed-rate United States dollar payments which matured in September 2022. In September 2022, we entered into a new cross-currency swap agreement that converts fixed-rate Swiss franc ("CHF") payments to fixed-rate United States dollar payments. This swap was designated as a net investment hedge of our foreign subsidiaries with CHF functional currency.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AOCI for the year ended December 31, 2022, and 2021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84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Gain (Loss) Recognized in Other Comprehensive Income</w:t>
            </w:r>
          </w:p>
        </w:tc>
      </w:tr>
      <w:tr>
        <w:trPr>
          <w:trHeight w:val="236"/>
        </w:trPr>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8"/>
        </w:trPr>
        <w:tc>
          <w:tcPr>
            <w:tcW w:w="4840" w:type="dxa"/>
            <w:vAlign w:val="bottom"/>
            <w:gridSpan w:val="2"/>
          </w:tcPr>
          <w:p>
            <w:pPr>
              <w:ind w:left="1900"/>
              <w:spacing w:after="0"/>
              <w:rPr>
                <w:sz w:val="20"/>
                <w:szCs w:val="20"/>
                <w:color w:val="auto"/>
              </w:rPr>
            </w:pPr>
            <w:r>
              <w:rPr>
                <w:rFonts w:ascii="Arial" w:cs="Arial" w:eastAsia="Arial" w:hAnsi="Arial"/>
                <w:sz w:val="18"/>
                <w:szCs w:val="18"/>
                <w:b w:val="1"/>
                <w:bCs w:val="1"/>
                <w:color w:val="auto"/>
              </w:rPr>
              <w:t>Instrument</w:t>
            </w:r>
          </w:p>
        </w:tc>
        <w:tc>
          <w:tcPr>
            <w:tcW w:w="560" w:type="dxa"/>
            <w:vAlign w:val="bottom"/>
          </w:tcPr>
          <w:p>
            <w:pPr>
              <w:spacing w:after="0"/>
              <w:rPr>
                <w:sz w:val="20"/>
                <w:szCs w:val="20"/>
                <w:color w:val="auto"/>
              </w:rPr>
            </w:pPr>
          </w:p>
        </w:tc>
        <w:tc>
          <w:tcPr>
            <w:tcW w:w="2540" w:type="dxa"/>
            <w:vAlign w:val="bottom"/>
          </w:tcPr>
          <w:p>
            <w:pPr>
              <w:jc w:val="right"/>
              <w:ind w:right="13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60" w:type="dxa"/>
            <w:vAlign w:val="bottom"/>
          </w:tcPr>
          <w:p>
            <w:pPr>
              <w:jc w:val="right"/>
              <w:ind w:right="1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r>
      <w:tr>
        <w:trPr>
          <w:trHeight w:val="240"/>
        </w:trPr>
        <w:tc>
          <w:tcPr>
            <w:tcW w:w="46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Euro Notes</w:t>
            </w:r>
          </w:p>
        </w:tc>
        <w:tc>
          <w:tcPr>
            <w:tcW w:w="16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2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20"/>
                <w:szCs w:val="20"/>
                <w:color w:val="auto"/>
              </w:rPr>
            </w:pPr>
          </w:p>
        </w:tc>
      </w:tr>
      <w:tr>
        <w:trPr>
          <w:trHeight w:val="23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Cross-currency swaps</w:t>
            </w:r>
          </w:p>
        </w:tc>
        <w:tc>
          <w:tcPr>
            <w:tcW w:w="56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83"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other comprehensive income (“OCI”) with an immediate reclassification into earnings for the change in fair value attributable to fluctuations in foreign currency exchange rates.</w:t>
      </w:r>
    </w:p>
    <w:p>
      <w:pPr>
        <w:spacing w:after="0" w:line="1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had an original maturity of April 2022, which aligned to the term of the intercompany note. On March 17, 2022, we settled the swap ahead of its maturity date, resulting in a net cash inflow of $19.2. We simultaneously entered into new cross-currency swaps, which we account for as fair value hedges, with maturity dates of April 2024. In September 2019, we entered into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matured in September 2022 and we simultaneously entered into new cross-currency swaps, which we account for as fair value hedges, with maturity dates of September 2024. Refer to the "Fair Value Hedge" section below for additional detail.</w:t>
      </w:r>
    </w:p>
    <w:p>
      <w:pPr>
        <w:spacing w:after="0" w:line="167" w:lineRule="exact"/>
        <w:rPr>
          <w:sz w:val="20"/>
          <w:szCs w:val="20"/>
          <w:color w:val="auto"/>
        </w:rPr>
      </w:pPr>
    </w:p>
    <w:p>
      <w:pPr>
        <w:jc w:val="both"/>
        <w:ind w:right="340"/>
        <w:spacing w:after="0" w:line="285" w:lineRule="auto"/>
        <w:rPr>
          <w:sz w:val="20"/>
          <w:szCs w:val="20"/>
          <w:color w:val="auto"/>
        </w:rPr>
      </w:pPr>
      <w:r>
        <w:rPr>
          <w:rFonts w:ascii="Arial" w:cs="Arial" w:eastAsia="Arial" w:hAnsi="Arial"/>
          <w:sz w:val="17"/>
          <w:szCs w:val="17"/>
          <w:color w:val="auto"/>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AOCI and reclassified into earnings when the underlying operating expense is recognized in earnings.</w:t>
      </w:r>
    </w:p>
    <w:p>
      <w:pPr>
        <w:spacing w:after="0" w:line="16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September 2021, we entered into a series of forward currency exchange contracts denominated in GBP. The economic effect of the forward is to eliminate the uncertainty in cash flows in GBP associated with a portion of our forecasted IT contract spend in 2022 by fixing the amount at £6.0. Gains and losses from the hedge offset the foreign currency exchange impact of the contracts.</w:t>
      </w:r>
    </w:p>
    <w:p>
      <w:pPr>
        <w:spacing w:after="0" w:line="183"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On June 9, 2022, we entered into a forward starting interest rate swap agreement with a notional amount of €300.0 and a fixed rate of 1.936%, which was accounted for as a cash flow hedge, to hedge the interest rate exposure related to our anticipated issuance of €400.0 notes to repay our existing €400.0 notes maturing in September 2022. Upon the issuance of the notes on June 30, 2022, we settled this forward starting interest rate swap, resulting in a gain of $2.0, which was recorded in accumulated other comprehensive income and is amortized over the term of the notes as an offset to interest expense.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90" w:name="page91"/>
    <w:bookmarkEnd w:id="90"/>
    <w:p>
      <w:pPr>
        <w:ind w:right="100"/>
        <w:spacing w:after="0" w:line="258" w:lineRule="auto"/>
        <w:rPr>
          <w:sz w:val="20"/>
          <w:szCs w:val="20"/>
          <w:color w:val="auto"/>
        </w:rPr>
      </w:pPr>
      <w:r>
        <w:rPr>
          <w:rFonts w:ascii="Arial" w:cs="Arial" w:eastAsia="Arial" w:hAnsi="Arial"/>
          <w:sz w:val="18"/>
          <w:szCs w:val="18"/>
          <w:color w:val="auto"/>
        </w:rPr>
        <w:t>We assessed the hedging relationship at the inception of the hedges in order to determine whether the derivatives that are used in the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OCI, AOCL and earnings for the year ended December 31, 2022, and 2021:</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87"/>
              </w:rPr>
              <w:t>Gain (Loss) Reclassified</w:t>
            </w:r>
          </w:p>
        </w:tc>
      </w:tr>
      <w:tr>
        <w:trPr>
          <w:trHeight w:val="249"/>
        </w:trPr>
        <w:tc>
          <w:tcPr>
            <w:tcW w:w="3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6"/>
              </w:rPr>
              <w:t>Gain Recognized in OCI</w:t>
            </w:r>
          </w:p>
        </w:tc>
        <w:tc>
          <w:tcPr>
            <w:tcW w:w="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w w:val="93"/>
              </w:rPr>
              <w:t>from AOCL into Income</w:t>
            </w:r>
          </w:p>
        </w:tc>
      </w:tr>
      <w:tr>
        <w:trPr>
          <w:trHeight w:val="242"/>
        </w:trPr>
        <w:tc>
          <w:tcPr>
            <w:tcW w:w="3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0"/>
              </w:rPr>
              <w:t>Year Ended December 31,</w:t>
            </w:r>
          </w:p>
        </w:tc>
        <w:tc>
          <w:tcPr>
            <w:tcW w:w="40" w:type="dxa"/>
            <w:vAlign w:val="bottom"/>
          </w:tcPr>
          <w:p>
            <w:pPr>
              <w:spacing w:after="0"/>
              <w:rPr>
                <w:sz w:val="21"/>
                <w:szCs w:val="21"/>
                <w:color w:val="auto"/>
              </w:rPr>
            </w:pPr>
          </w:p>
        </w:tc>
        <w:tc>
          <w:tcPr>
            <w:tcW w:w="3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Location of Gain Reclassified</w:t>
            </w:r>
          </w:p>
        </w:tc>
        <w:tc>
          <w:tcPr>
            <w:tcW w:w="1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r>
      <w:tr>
        <w:trPr>
          <w:trHeight w:val="231"/>
        </w:trPr>
        <w:tc>
          <w:tcPr>
            <w:tcW w:w="3160" w:type="dxa"/>
            <w:vAlign w:val="bottom"/>
            <w:gridSpan w:val="2"/>
          </w:tcPr>
          <w:p>
            <w:pPr>
              <w:ind w:left="1120"/>
              <w:spacing w:after="0"/>
              <w:rPr>
                <w:sz w:val="20"/>
                <w:szCs w:val="20"/>
                <w:color w:val="auto"/>
              </w:rPr>
            </w:pPr>
            <w:r>
              <w:rPr>
                <w:rFonts w:ascii="Arial" w:cs="Arial" w:eastAsia="Arial" w:hAnsi="Arial"/>
                <w:sz w:val="18"/>
                <w:szCs w:val="18"/>
                <w:b w:val="1"/>
                <w:bCs w:val="1"/>
                <w:color w:val="auto"/>
              </w:rPr>
              <w:t>Instrument</w:t>
            </w:r>
          </w:p>
        </w:tc>
        <w:tc>
          <w:tcPr>
            <w:tcW w:w="14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3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from AOCL into Income</w:t>
            </w:r>
          </w:p>
        </w:tc>
        <w:tc>
          <w:tcPr>
            <w:tcW w:w="1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40"/>
        </w:trPr>
        <w:tc>
          <w:tcPr>
            <w:tcW w:w="3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Cross-currency swaps</w:t>
            </w:r>
          </w:p>
        </w:tc>
        <w:tc>
          <w:tcPr>
            <w:tcW w:w="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11.8</w:t>
            </w:r>
          </w:p>
        </w:tc>
        <w:tc>
          <w:tcPr>
            <w:tcW w:w="40" w:type="dxa"/>
            <w:vAlign w:val="bottom"/>
            <w:shd w:val="clear" w:color="auto" w:fill="CFF0FC"/>
          </w:tcPr>
          <w:p>
            <w:pPr>
              <w:spacing w:after="0"/>
              <w:rPr>
                <w:sz w:val="20"/>
                <w:szCs w:val="20"/>
                <w:color w:val="auto"/>
              </w:rPr>
            </w:pPr>
          </w:p>
        </w:tc>
        <w:tc>
          <w:tcPr>
            <w:tcW w:w="308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Interest and other expenses, net</w:t>
            </w:r>
          </w:p>
        </w:tc>
        <w:tc>
          <w:tcPr>
            <w:tcW w:w="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r>
      <w:tr>
        <w:trPr>
          <w:trHeight w:val="236"/>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8"/>
        </w:trPr>
        <w:tc>
          <w:tcPr>
            <w:tcW w:w="3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Forward starting interest swap</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312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Interest and other expenses, net</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expect the net amount of pre-tax derivative gains and losses included in AOCL on December 31, 2022 to be reclassified into earnings over the next 12 months will not be significant. The actual amount that will be reclassified to earnings will vary due to future currency exchange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223"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We account for derivatives as fair value hedges when the hedged item is a recognized asset, liability or firm commitment. We use fair value hedges to hedge the changes in cash flows of certain of our foreign currency intercompany denominated notes due to changes in foreign currency exchange rates. We record the change in carrying value of the foreign currency denominated notes due to changes in exchange rates into earnings each period. Gains and losses on the fair value hedges are recorded in earnings, offsetting gains and losses on the hedged item.</w:t>
      </w:r>
    </w:p>
    <w:p>
      <w:pPr>
        <w:spacing w:after="0" w:line="17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March 2022, we entered into a cross-currency swap agreement to hedge our intercompany fixed-rate, CHF denominated note. The economic effect of the swap agreement is to eliminate the uncertainty of cash flows in CHF associated with the note due to changes in foreign currency exchange rates against our Euro functional subsidiary entity. The cross-currency swap matures in April 2024, which aligns the term of the intercompany note and has a fixed interest rate of 1.05973%.</w:t>
      </w:r>
    </w:p>
    <w:p>
      <w:pPr>
        <w:spacing w:after="0" w:line="186"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In September 2022, we entered into a cross-currency swap agreement to hedge our intercompany fixed-rate, CHF denominated note. The economic effect of the swap agreement is to eliminate the uncertainty of cash flows in CHF associated with the note due to changes in foreign currency exchange rates against our Euro functional subsidiary entity. The cross-currency swap matures in September 2024, which aligns the term of the intercompany note and has a fixed interest rate of 1.7975%.</w:t>
      </w:r>
    </w:p>
    <w:p>
      <w:pPr>
        <w:spacing w:after="0" w:line="18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The cross-currency swaps are accounted for as fair value hedges. Gains and losses from the hedge offset the changes in the value of principal on the note due to changes in foreign exchange rates.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91" w:name="page92"/>
    <w:bookmarkEnd w:id="91"/>
    <w:p>
      <w:pPr>
        <w:ind w:right="100"/>
        <w:spacing w:after="0" w:line="275" w:lineRule="auto"/>
        <w:rPr>
          <w:sz w:val="20"/>
          <w:szCs w:val="20"/>
          <w:color w:val="auto"/>
        </w:rPr>
      </w:pPr>
      <w:r>
        <w:rPr>
          <w:rFonts w:ascii="Arial" w:cs="Arial" w:eastAsia="Arial" w:hAnsi="Arial"/>
          <w:sz w:val="18"/>
          <w:szCs w:val="18"/>
          <w:color w:val="auto"/>
        </w:rPr>
        <w:t>The following tables present the impact that the fair value hedges had on our Consolidated Statement of Income for the year ended December 31, 2022 and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8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89"/>
              </w:rPr>
              <w:t>Amount of Gain (Loss) Recognized in Income</w:t>
            </w:r>
          </w:p>
        </w:tc>
      </w:tr>
      <w:tr>
        <w:trPr>
          <w:trHeight w:val="242"/>
        </w:trPr>
        <w:tc>
          <w:tcPr>
            <w:tcW w:w="3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Location of Gain</w:t>
            </w:r>
          </w:p>
        </w:tc>
        <w:tc>
          <w:tcPr>
            <w:tcW w:w="38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4"/>
          </w:tcPr>
          <w:p>
            <w:pPr>
              <w:jc w:val="center"/>
              <w:ind w:right="410"/>
              <w:spacing w:after="0"/>
              <w:rPr>
                <w:sz w:val="20"/>
                <w:szCs w:val="20"/>
                <w:color w:val="auto"/>
              </w:rPr>
            </w:pPr>
            <w:r>
              <w:rPr>
                <w:rFonts w:ascii="Arial" w:cs="Arial" w:eastAsia="Arial" w:hAnsi="Arial"/>
                <w:sz w:val="18"/>
                <w:szCs w:val="18"/>
                <w:b w:val="1"/>
                <w:bCs w:val="1"/>
                <w:color w:val="auto"/>
                <w:w w:val="90"/>
              </w:rPr>
              <w:t>Year Ended December 31,</w:t>
            </w:r>
          </w:p>
        </w:tc>
      </w:tr>
      <w:tr>
        <w:trPr>
          <w:trHeight w:val="231"/>
        </w:trPr>
        <w:tc>
          <w:tcPr>
            <w:tcW w:w="3900" w:type="dxa"/>
            <w:vAlign w:val="bottom"/>
          </w:tcPr>
          <w:p>
            <w:pPr>
              <w:ind w:left="1520"/>
              <w:spacing w:after="0"/>
              <w:rPr>
                <w:sz w:val="20"/>
                <w:szCs w:val="20"/>
                <w:color w:val="auto"/>
              </w:rPr>
            </w:pPr>
            <w:r>
              <w:rPr>
                <w:rFonts w:ascii="Arial" w:cs="Arial" w:eastAsia="Arial" w:hAnsi="Arial"/>
                <w:sz w:val="18"/>
                <w:szCs w:val="18"/>
                <w:b w:val="1"/>
                <w:bCs w:val="1"/>
                <w:color w:val="auto"/>
              </w:rPr>
              <w:t>Instrument</w:t>
            </w:r>
          </w:p>
        </w:tc>
        <w:tc>
          <w:tcPr>
            <w:tcW w:w="80" w:type="dxa"/>
            <w:vAlign w:val="bottom"/>
          </w:tcPr>
          <w:p>
            <w:pPr>
              <w:spacing w:after="0"/>
              <w:rPr>
                <w:sz w:val="20"/>
                <w:szCs w:val="20"/>
                <w:color w:val="auto"/>
              </w:rPr>
            </w:pPr>
          </w:p>
        </w:tc>
        <w:tc>
          <w:tcPr>
            <w:tcW w:w="35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Recognized in Income</w:t>
            </w:r>
          </w:p>
        </w:tc>
        <w:tc>
          <w:tcPr>
            <w:tcW w:w="380" w:type="dxa"/>
            <w:vAlign w:val="bottom"/>
          </w:tcPr>
          <w:p>
            <w:pPr>
              <w:spacing w:after="0"/>
              <w:rPr>
                <w:sz w:val="20"/>
                <w:szCs w:val="20"/>
                <w:color w:val="auto"/>
              </w:rPr>
            </w:pPr>
          </w:p>
        </w:tc>
        <w:tc>
          <w:tcPr>
            <w:tcW w:w="1440" w:type="dxa"/>
            <w:vAlign w:val="bottom"/>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240"/>
        </w:trPr>
        <w:tc>
          <w:tcPr>
            <w:tcW w:w="39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Intercompany CHF note</w:t>
            </w:r>
          </w:p>
        </w:tc>
        <w:tc>
          <w:tcPr>
            <w:tcW w:w="80" w:type="dxa"/>
            <w:vAlign w:val="bottom"/>
            <w:shd w:val="clear" w:color="auto" w:fill="CFF0FC"/>
          </w:tcPr>
          <w:p>
            <w:pPr>
              <w:spacing w:after="0"/>
              <w:rPr>
                <w:sz w:val="20"/>
                <w:szCs w:val="20"/>
                <w:color w:val="auto"/>
              </w:rPr>
            </w:pPr>
          </w:p>
        </w:tc>
        <w:tc>
          <w:tcPr>
            <w:tcW w:w="35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Interest and other expenses, net</w:t>
            </w:r>
          </w:p>
        </w:tc>
        <w:tc>
          <w:tcPr>
            <w:tcW w:w="8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(9.4 )</w:t>
            </w:r>
          </w:p>
        </w:tc>
        <w:tc>
          <w:tcPr>
            <w:tcW w:w="8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Cross-currency swaps</w:t>
            </w:r>
          </w:p>
        </w:tc>
        <w:tc>
          <w:tcPr>
            <w:tcW w:w="80" w:type="dxa"/>
            <w:vAlign w:val="bottom"/>
          </w:tcPr>
          <w:p>
            <w:pPr>
              <w:spacing w:after="0"/>
              <w:rPr>
                <w:sz w:val="19"/>
                <w:szCs w:val="19"/>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Interest and other expenses, net</w:t>
            </w:r>
          </w:p>
        </w:tc>
        <w:tc>
          <w:tcPr>
            <w:tcW w:w="38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Instruments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The effect of our forward contracts that are not designated as hedging instruments on the consolidated statements of operations for the year ended December 31, 2022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Location of Gain</w:t>
            </w:r>
          </w:p>
        </w:tc>
        <w:tc>
          <w:tcPr>
            <w:tcW w:w="372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89"/>
              </w:rPr>
              <w:t>Amount of Gain (Loss) Recognized in Income</w:t>
            </w:r>
          </w:p>
        </w:tc>
      </w:tr>
      <w:tr>
        <w:trPr>
          <w:trHeight w:val="231"/>
        </w:trPr>
        <w:tc>
          <w:tcPr>
            <w:tcW w:w="3840" w:type="dxa"/>
            <w:vAlign w:val="bottom"/>
          </w:tcPr>
          <w:p>
            <w:pPr>
              <w:ind w:left="1500"/>
              <w:spacing w:after="0"/>
              <w:rPr>
                <w:sz w:val="20"/>
                <w:szCs w:val="20"/>
                <w:color w:val="auto"/>
              </w:rPr>
            </w:pPr>
            <w:r>
              <w:rPr>
                <w:rFonts w:ascii="Arial" w:cs="Arial" w:eastAsia="Arial" w:hAnsi="Arial"/>
                <w:sz w:val="18"/>
                <w:szCs w:val="18"/>
                <w:b w:val="1"/>
                <w:bCs w:val="1"/>
                <w:color w:val="auto"/>
              </w:rPr>
              <w:t>Instrument</w:t>
            </w:r>
          </w:p>
        </w:tc>
        <w:tc>
          <w:tcPr>
            <w:tcW w:w="120" w:type="dxa"/>
            <w:vAlign w:val="bottom"/>
          </w:tcPr>
          <w:p>
            <w:pPr>
              <w:spacing w:after="0"/>
              <w:rPr>
                <w:sz w:val="20"/>
                <w:szCs w:val="20"/>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Recognized in Income</w:t>
            </w:r>
          </w:p>
        </w:tc>
        <w:tc>
          <w:tcPr>
            <w:tcW w:w="380" w:type="dxa"/>
            <w:vAlign w:val="bottom"/>
          </w:tcPr>
          <w:p>
            <w:pPr>
              <w:spacing w:after="0"/>
              <w:rPr>
                <w:sz w:val="20"/>
                <w:szCs w:val="20"/>
                <w:color w:val="auto"/>
              </w:rPr>
            </w:pPr>
          </w:p>
        </w:tc>
        <w:tc>
          <w:tcPr>
            <w:tcW w:w="3340" w:type="dxa"/>
            <w:vAlign w:val="bottom"/>
            <w:gridSpan w:val="4"/>
          </w:tcPr>
          <w:p>
            <w:pPr>
              <w:jc w:val="center"/>
              <w:ind w:right="410"/>
              <w:spacing w:after="0"/>
              <w:rPr>
                <w:sz w:val="20"/>
                <w:szCs w:val="20"/>
                <w:color w:val="auto"/>
              </w:rPr>
            </w:pPr>
            <w:r>
              <w:rPr>
                <w:rFonts w:ascii="Arial" w:cs="Arial" w:eastAsia="Arial" w:hAnsi="Arial"/>
                <w:sz w:val="18"/>
                <w:szCs w:val="18"/>
                <w:b w:val="1"/>
                <w:bCs w:val="1"/>
                <w:color w:val="auto"/>
                <w:w w:val="90"/>
              </w:rPr>
              <w:t>Year Ended December 31,</w:t>
            </w:r>
          </w:p>
        </w:tc>
      </w:tr>
      <w:tr>
        <w:trPr>
          <w:trHeight w:val="236"/>
        </w:trPr>
        <w:tc>
          <w:tcPr>
            <w:tcW w:w="3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40"/>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FF0FC"/>
          </w:tcPr>
          <w:p>
            <w:pPr>
              <w:spacing w:after="0"/>
              <w:rPr>
                <w:sz w:val="20"/>
                <w:szCs w:val="20"/>
                <w:color w:val="auto"/>
              </w:rPr>
            </w:pPr>
          </w:p>
        </w:tc>
        <w:tc>
          <w:tcPr>
            <w:tcW w:w="3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and other expenses (income), net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(29.3 )</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(11.6 )</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Derivative and Non-Derivative Assets and Liabilities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82A32"/>
        </w:rPr>
        <w:t>The following tables present the fair value of derivative and non-derivative assets and liabilities on the Consolidated Balance Sheets as of December 31, 2022, and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80" w:type="dxa"/>
            <w:vAlign w:val="bottom"/>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21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34"/>
        </w:trPr>
        <w:tc>
          <w:tcPr>
            <w:tcW w:w="49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44"/>
        </w:trPr>
        <w:tc>
          <w:tcPr>
            <w:tcW w:w="4980" w:type="dxa"/>
            <w:vAlign w:val="bottom"/>
          </w:tcPr>
          <w:p>
            <w:pPr>
              <w:spacing w:after="0"/>
              <w:rPr>
                <w:sz w:val="21"/>
                <w:szCs w:val="21"/>
                <w:color w:val="auto"/>
              </w:rPr>
            </w:pPr>
          </w:p>
        </w:tc>
        <w:tc>
          <w:tcPr>
            <w:tcW w:w="26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98"/>
              </w:rPr>
              <w:t>Balance Sheet Location</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42"/>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Instruments designated as cash flow hedges:</w:t>
            </w:r>
          </w:p>
        </w:tc>
        <w:tc>
          <w:tcPr>
            <w:tcW w:w="26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6"/>
        </w:trPr>
        <w:tc>
          <w:tcPr>
            <w:tcW w:w="4980" w:type="dxa"/>
            <w:vAlign w:val="bottom"/>
          </w:tcPr>
          <w:p>
            <w:pPr>
              <w:ind w:left="200"/>
              <w:spacing w:after="0"/>
              <w:rPr>
                <w:sz w:val="20"/>
                <w:szCs w:val="20"/>
                <w:color w:val="auto"/>
              </w:rPr>
            </w:pPr>
            <w:r>
              <w:rPr>
                <w:rFonts w:ascii="Arial" w:cs="Arial" w:eastAsia="Arial" w:hAnsi="Arial"/>
                <w:sz w:val="18"/>
                <w:szCs w:val="18"/>
                <w:color w:val="auto"/>
              </w:rPr>
              <w:t>Cross-currency swaps</w:t>
            </w:r>
          </w:p>
        </w:tc>
        <w:tc>
          <w:tcPr>
            <w:tcW w:w="26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24.7</w:t>
            </w:r>
          </w:p>
        </w:tc>
      </w:tr>
      <w:tr>
        <w:trPr>
          <w:trHeight w:val="248"/>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Instruments designated as fair value hedges:</w:t>
            </w:r>
          </w:p>
        </w:tc>
        <w:tc>
          <w:tcPr>
            <w:tcW w:w="26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6"/>
        </w:trPr>
        <w:tc>
          <w:tcPr>
            <w:tcW w:w="4980" w:type="dxa"/>
            <w:vAlign w:val="bottom"/>
          </w:tcPr>
          <w:p>
            <w:pPr>
              <w:ind w:left="200"/>
              <w:spacing w:after="0"/>
              <w:rPr>
                <w:sz w:val="20"/>
                <w:szCs w:val="20"/>
                <w:color w:val="auto"/>
              </w:rPr>
            </w:pPr>
            <w:r>
              <w:rPr>
                <w:rFonts w:ascii="Arial" w:cs="Arial" w:eastAsia="Arial" w:hAnsi="Arial"/>
                <w:sz w:val="18"/>
                <w:szCs w:val="18"/>
                <w:color w:val="auto"/>
              </w:rPr>
              <w:t>Cross-currency swaps</w:t>
            </w:r>
          </w:p>
        </w:tc>
        <w:tc>
          <w:tcPr>
            <w:tcW w:w="26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8"/>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Instruments not designated as hedges:</w:t>
            </w:r>
          </w:p>
        </w:tc>
        <w:tc>
          <w:tcPr>
            <w:tcW w:w="26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42"/>
        </w:trPr>
        <w:tc>
          <w:tcPr>
            <w:tcW w:w="4980" w:type="dxa"/>
            <w:vAlign w:val="bottom"/>
          </w:tcPr>
          <w:p>
            <w:pPr>
              <w:ind w:left="200"/>
              <w:spacing w:after="0"/>
              <w:rPr>
                <w:sz w:val="20"/>
                <w:szCs w:val="20"/>
                <w:color w:val="auto"/>
              </w:rPr>
            </w:pPr>
            <w:r>
              <w:rPr>
                <w:rFonts w:ascii="Arial" w:cs="Arial" w:eastAsia="Arial" w:hAnsi="Arial"/>
                <w:sz w:val="18"/>
                <w:szCs w:val="18"/>
                <w:color w:val="auto"/>
              </w:rPr>
              <w:t>Foreign currency forward contracts</w:t>
            </w:r>
          </w:p>
        </w:tc>
        <w:tc>
          <w:tcPr>
            <w:tcW w:w="26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69"/>
        </w:trPr>
        <w:tc>
          <w:tcPr>
            <w:tcW w:w="4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instruments</w:t>
            </w:r>
          </w:p>
        </w:tc>
        <w:tc>
          <w:tcPr>
            <w:tcW w:w="26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gridSpan w:val="2"/>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24.7</w:t>
            </w:r>
          </w:p>
        </w:tc>
      </w:tr>
      <w:tr>
        <w:trPr>
          <w:trHeight w:val="632"/>
        </w:trPr>
        <w:tc>
          <w:tcPr>
            <w:tcW w:w="4980" w:type="dxa"/>
            <w:vAlign w:val="bottom"/>
          </w:tcPr>
          <w:p>
            <w:pPr>
              <w:spacing w:after="0"/>
              <w:rPr>
                <w:sz w:val="24"/>
                <w:szCs w:val="24"/>
                <w:color w:val="auto"/>
              </w:rPr>
            </w:pPr>
          </w:p>
        </w:tc>
        <w:tc>
          <w:tcPr>
            <w:tcW w:w="2620" w:type="dxa"/>
            <w:vAlign w:val="bottom"/>
          </w:tcPr>
          <w:p>
            <w:pPr>
              <w:ind w:left="560"/>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87"/>
        </w:trPr>
        <w:tc>
          <w:tcPr>
            <w:tcW w:w="4980" w:type="dxa"/>
            <w:vAlign w:val="bottom"/>
            <w:tcBorders>
              <w:bottom w:val="single" w:sz="8" w:color="9A9A9A"/>
            </w:tcBorders>
          </w:tcPr>
          <w:p>
            <w:pPr>
              <w:spacing w:after="0"/>
              <w:rPr>
                <w:sz w:val="7"/>
                <w:szCs w:val="7"/>
                <w:color w:val="auto"/>
              </w:rPr>
            </w:pPr>
          </w:p>
        </w:tc>
        <w:tc>
          <w:tcPr>
            <w:tcW w:w="2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6095365</wp:posOffset>
            </wp:positionH>
            <wp:positionV relativeFrom="paragraph">
              <wp:posOffset>-503555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-486410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40"/>
        </w:trPr>
        <w:tc>
          <w:tcPr>
            <w:tcW w:w="498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34"/>
        </w:trPr>
        <w:tc>
          <w:tcPr>
            <w:tcW w:w="49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44"/>
        </w:trPr>
        <w:tc>
          <w:tcPr>
            <w:tcW w:w="4980" w:type="dxa"/>
            <w:vAlign w:val="bottom"/>
          </w:tcPr>
          <w:p>
            <w:pPr>
              <w:spacing w:after="0"/>
              <w:rPr>
                <w:sz w:val="21"/>
                <w:szCs w:val="21"/>
                <w:color w:val="auto"/>
              </w:rPr>
            </w:pPr>
          </w:p>
        </w:tc>
        <w:tc>
          <w:tcPr>
            <w:tcW w:w="260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97"/>
              </w:rPr>
              <w:t>Balance Sheet Location</w:t>
            </w:r>
          </w:p>
        </w:tc>
        <w:tc>
          <w:tcPr>
            <w:tcW w:w="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42"/>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Instruments designated as net investment hedges:</w:t>
            </w:r>
          </w:p>
        </w:tc>
        <w:tc>
          <w:tcPr>
            <w:tcW w:w="26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14"/>
        </w:trPr>
        <w:tc>
          <w:tcPr>
            <w:tcW w:w="4980" w:type="dxa"/>
            <w:vAlign w:val="bottom"/>
          </w:tcPr>
          <w:p>
            <w:pPr>
              <w:ind w:left="200"/>
              <w:spacing w:after="0"/>
              <w:rPr>
                <w:sz w:val="20"/>
                <w:szCs w:val="20"/>
                <w:color w:val="auto"/>
              </w:rPr>
            </w:pPr>
            <w:r>
              <w:rPr>
                <w:rFonts w:ascii="Arial" w:cs="Arial" w:eastAsia="Arial" w:hAnsi="Arial"/>
                <w:sz w:val="18"/>
                <w:szCs w:val="18"/>
                <w:color w:val="auto"/>
              </w:rPr>
              <w:t>Euro Notes due in 2022</w:t>
            </w:r>
          </w:p>
        </w:tc>
        <w:tc>
          <w:tcPr>
            <w:tcW w:w="2600" w:type="dxa"/>
            <w:vAlign w:val="bottom"/>
          </w:tcPr>
          <w:p>
            <w:pPr>
              <w:spacing w:after="0"/>
              <w:rPr>
                <w:sz w:val="20"/>
                <w:szCs w:val="20"/>
                <w:color w:val="auto"/>
              </w:rPr>
            </w:pPr>
            <w:r>
              <w:rPr>
                <w:rFonts w:ascii="Arial" w:cs="Arial" w:eastAsia="Arial" w:hAnsi="Arial"/>
                <w:sz w:val="18"/>
                <w:szCs w:val="18"/>
                <w:color w:val="auto"/>
                <w:w w:val="94"/>
              </w:rPr>
              <w:t>Short-term borrowings and current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6"/>
        </w:trPr>
        <w:tc>
          <w:tcPr>
            <w:tcW w:w="498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maturities of long-term debt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454.4</w:t>
            </w: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Euro Notes due in 2026</w:t>
            </w: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532.7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565.2</w:t>
            </w:r>
          </w:p>
        </w:tc>
      </w:tr>
      <w:tr>
        <w:trPr>
          <w:trHeight w:val="236"/>
        </w:trPr>
        <w:tc>
          <w:tcPr>
            <w:tcW w:w="4980" w:type="dxa"/>
            <w:vAlign w:val="bottom"/>
          </w:tcPr>
          <w:p>
            <w:pPr>
              <w:ind w:left="200"/>
              <w:spacing w:after="0"/>
              <w:rPr>
                <w:sz w:val="20"/>
                <w:szCs w:val="20"/>
                <w:color w:val="auto"/>
              </w:rPr>
            </w:pPr>
            <w:r>
              <w:rPr>
                <w:rFonts w:ascii="Arial" w:cs="Arial" w:eastAsia="Arial" w:hAnsi="Arial"/>
                <w:sz w:val="18"/>
                <w:szCs w:val="18"/>
                <w:color w:val="auto"/>
              </w:rPr>
              <w:t>Euro Notes due in 2027</w:t>
            </w:r>
          </w:p>
        </w:tc>
        <w:tc>
          <w:tcPr>
            <w:tcW w:w="2600" w:type="dxa"/>
            <w:vAlign w:val="bottom"/>
          </w:tcPr>
          <w:p>
            <w:pPr>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8"/>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Cross-currency swaps</w:t>
            </w: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24.2</w:t>
            </w:r>
          </w:p>
        </w:tc>
      </w:tr>
      <w:tr>
        <w:trPr>
          <w:trHeight w:val="236"/>
        </w:trPr>
        <w:tc>
          <w:tcPr>
            <w:tcW w:w="4980" w:type="dxa"/>
            <w:vAlign w:val="bottom"/>
          </w:tcPr>
          <w:p>
            <w:pPr>
              <w:ind w:left="20"/>
              <w:spacing w:after="0"/>
              <w:rPr>
                <w:sz w:val="20"/>
                <w:szCs w:val="20"/>
                <w:color w:val="auto"/>
              </w:rPr>
            </w:pPr>
            <w:r>
              <w:rPr>
                <w:rFonts w:ascii="Arial" w:cs="Arial" w:eastAsia="Arial" w:hAnsi="Arial"/>
                <w:sz w:val="18"/>
                <w:szCs w:val="18"/>
                <w:color w:val="auto"/>
              </w:rPr>
              <w:t>Instruments not designated as hedges:</w:t>
            </w:r>
          </w:p>
        </w:tc>
        <w:tc>
          <w:tcPr>
            <w:tcW w:w="2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8"/>
        </w:trPr>
        <w:tc>
          <w:tcPr>
            <w:tcW w:w="4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Foreign currency forward contracts</w:t>
            </w:r>
          </w:p>
        </w:tc>
        <w:tc>
          <w:tcPr>
            <w:tcW w:w="2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4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r>
      <w:tr>
        <w:trPr>
          <w:trHeight w:val="229"/>
        </w:trPr>
        <w:tc>
          <w:tcPr>
            <w:tcW w:w="4980" w:type="dxa"/>
            <w:vAlign w:val="bottom"/>
          </w:tcPr>
          <w:p>
            <w:pPr>
              <w:ind w:left="380"/>
              <w:spacing w:after="0"/>
              <w:rPr>
                <w:sz w:val="20"/>
                <w:szCs w:val="20"/>
                <w:color w:val="auto"/>
              </w:rPr>
            </w:pPr>
            <w:r>
              <w:rPr>
                <w:rFonts w:ascii="Arial" w:cs="Arial" w:eastAsia="Arial" w:hAnsi="Arial"/>
                <w:sz w:val="18"/>
                <w:szCs w:val="18"/>
                <w:color w:val="auto"/>
              </w:rPr>
              <w:t>Total instruments</w:t>
            </w:r>
          </w:p>
        </w:tc>
        <w:tc>
          <w:tcPr>
            <w:tcW w:w="26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982.4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1,049.3</w:t>
            </w:r>
          </w:p>
        </w:tc>
      </w:tr>
      <w:tr>
        <w:trPr>
          <w:trHeight w:val="20"/>
        </w:trPr>
        <w:tc>
          <w:tcPr>
            <w:tcW w:w="49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6095365</wp:posOffset>
            </wp:positionH>
            <wp:positionV relativeFrom="paragraph">
              <wp:posOffset>-187325</wp:posOffset>
            </wp:positionV>
            <wp:extent cx="68580" cy="1879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8580" cy="187960"/>
                    </a:xfrm>
                    <a:prstGeom prst="rect">
                      <a:avLst/>
                    </a:prstGeom>
                    <a:noFill/>
                  </pic:spPr>
                </pic:pic>
              </a:graphicData>
            </a:graphic>
          </wp:anchor>
        </w:drawing>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82A32"/>
        </w:rPr>
        <w:t>The fair value measurements of these items recorded in our Consolidated Balance Sheets for the years ended December 31, 2022 and 2021 are disclosed in Note 1 to the Consolidated Financial Statements.</w:t>
      </w:r>
    </w:p>
    <w:p>
      <w:pPr>
        <w:spacing w:after="0" w:line="64"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51"/>
        </w:trPr>
        <w:tc>
          <w:tcPr>
            <w:tcW w:w="60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Year Ended December 31,</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38"/>
        </w:trPr>
        <w:tc>
          <w:tcPr>
            <w:tcW w:w="60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40"/>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140.8</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143.1</w:t>
            </w:r>
          </w:p>
        </w:tc>
      </w:tr>
      <w:tr>
        <w:trPr>
          <w:trHeight w:val="236"/>
        </w:trPr>
        <w:tc>
          <w:tcPr>
            <w:tcW w:w="602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11.3</w:t>
            </w:r>
          </w:p>
        </w:tc>
      </w:tr>
      <w:tr>
        <w:trPr>
          <w:trHeight w:val="248"/>
        </w:trPr>
        <w:tc>
          <w:tcPr>
            <w:tcW w:w="6020" w:type="dxa"/>
            <w:vAlign w:val="bottom"/>
            <w:tcBorders>
              <w:bottom w:val="single" w:sz="8" w:color="CFF0FC"/>
            </w:tcBorders>
            <w:shd w:val="clear" w:color="auto" w:fill="CFF0FC"/>
          </w:tcPr>
          <w:p>
            <w:pPr>
              <w:ind w:left="20"/>
              <w:spacing w:after="0" w:line="248" w:lineRule="exact"/>
              <w:rPr>
                <w:sz w:val="20"/>
                <w:szCs w:val="20"/>
                <w:color w:val="auto"/>
              </w:rPr>
            </w:pPr>
            <w:r>
              <w:rPr>
                <w:rFonts w:ascii="Arial" w:cs="Arial" w:eastAsia="Arial" w:hAnsi="Arial"/>
                <w:sz w:val="18"/>
                <w:szCs w:val="18"/>
                <w:color w:val="auto"/>
              </w:rPr>
              <w:t>Other lease expense</w:t>
            </w:r>
            <w:r>
              <w:rPr>
                <w:rFonts w:ascii="Arial" w:cs="Arial" w:eastAsia="Arial" w:hAnsi="Arial"/>
                <w:sz w:val="24"/>
                <w:szCs w:val="24"/>
                <w:color w:val="auto"/>
                <w:vertAlign w:val="superscript"/>
              </w:rPr>
              <w:t>(1)</w:t>
            </w: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20.4</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16.7</w:t>
            </w:r>
          </w:p>
        </w:tc>
      </w:tr>
      <w:tr>
        <w:trPr>
          <w:trHeight w:val="223"/>
        </w:trPr>
        <w:tc>
          <w:tcPr>
            <w:tcW w:w="6020" w:type="dxa"/>
            <w:vAlign w:val="bottom"/>
          </w:tcPr>
          <w:p>
            <w:pPr>
              <w:ind w:left="200"/>
              <w:spacing w:after="0"/>
              <w:rPr>
                <w:sz w:val="20"/>
                <w:szCs w:val="20"/>
                <w:color w:val="auto"/>
              </w:rPr>
            </w:pPr>
            <w:r>
              <w:rPr>
                <w:rFonts w:ascii="Arial" w:cs="Arial" w:eastAsia="Arial" w:hAnsi="Arial"/>
                <w:sz w:val="18"/>
                <w:szCs w:val="18"/>
                <w:color w:val="auto"/>
              </w:rPr>
              <w:t>Total lease expense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149.4</w:t>
            </w:r>
          </w:p>
        </w:tc>
        <w:tc>
          <w:tcPr>
            <w:tcW w:w="6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167.2</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-153670</wp:posOffset>
            </wp:positionV>
            <wp:extent cx="3314700" cy="1879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314700" cy="187960"/>
                    </a:xfrm>
                    <a:prstGeom prst="rect">
                      <a:avLst/>
                    </a:prstGeom>
                    <a:noFill/>
                  </pic:spPr>
                </pic:pic>
              </a:graphicData>
            </a:graphic>
          </wp:anchor>
        </w:drawing>
      </w:r>
    </w:p>
    <w:p>
      <w:pPr>
        <w:spacing w:after="0" w:line="1"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21"/>
          <w:szCs w:val="21"/>
          <w:color w:val="282A32"/>
          <w:vertAlign w:val="superscript"/>
        </w:rPr>
      </w:pPr>
      <w:r>
        <w:rPr>
          <w:rFonts w:ascii="Arial" w:cs="Arial" w:eastAsia="Arial" w:hAnsi="Arial"/>
          <w:sz w:val="15"/>
          <w:szCs w:val="15"/>
          <w:color w:val="282A32"/>
        </w:rPr>
        <w:t>Other lease expense includes variable lease expense and sublease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0"/>
              </w:rPr>
              <w:t>Year Ended December 31,</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42"/>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36"/>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Cash paid for amounts included in the measurement of operating lease liabilities</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FF0FC"/>
          </w:tcPr>
          <w:p>
            <w:pPr>
              <w:ind w:left="760"/>
              <w:spacing w:after="0"/>
              <w:rPr>
                <w:sz w:val="20"/>
                <w:szCs w:val="20"/>
                <w:color w:val="auto"/>
              </w:rPr>
            </w:pPr>
            <w:r>
              <w:rPr>
                <w:rFonts w:ascii="Arial" w:cs="Arial" w:eastAsia="Arial" w:hAnsi="Arial"/>
                <w:sz w:val="18"/>
                <w:szCs w:val="18"/>
                <w:color w:val="auto"/>
                <w:w w:val="93"/>
              </w:rPr>
              <w:t>127.7</w:t>
            </w:r>
          </w:p>
        </w:tc>
        <w:tc>
          <w:tcPr>
            <w:tcW w:w="1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gridSpan w:val="4"/>
            <w:shd w:val="clear" w:color="auto" w:fill="CFF0FC"/>
          </w:tcPr>
          <w:p>
            <w:pPr>
              <w:jc w:val="right"/>
              <w:ind w:right="30"/>
              <w:spacing w:after="0"/>
              <w:rPr>
                <w:sz w:val="20"/>
                <w:szCs w:val="20"/>
                <w:color w:val="auto"/>
              </w:rPr>
            </w:pPr>
            <w:r>
              <w:rPr>
                <w:rFonts w:ascii="Arial" w:cs="Arial" w:eastAsia="Arial" w:hAnsi="Arial"/>
                <w:sz w:val="18"/>
                <w:szCs w:val="18"/>
                <w:color w:val="auto"/>
              </w:rPr>
              <w:t>139.6</w:t>
            </w:r>
          </w:p>
        </w:tc>
        <w:tc>
          <w:tcPr>
            <w:tcW w:w="1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142.0</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Operating ROU assets obtained in exchange for lease obligations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w w:val="91"/>
              </w:rPr>
              <w:t>70.2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63.6</w:t>
            </w:r>
          </w:p>
        </w:tc>
      </w:tr>
      <w:tr>
        <w:trPr>
          <w:trHeight w:val="456"/>
        </w:trPr>
        <w:tc>
          <w:tcPr>
            <w:tcW w:w="6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6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95"/>
              </w:rPr>
              <w:t>December 31,</w:t>
            </w:r>
          </w:p>
        </w:tc>
      </w:tr>
      <w:tr>
        <w:trPr>
          <w:trHeight w:val="255"/>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Balance Sheet Information</w:t>
            </w:r>
          </w:p>
        </w:tc>
        <w:tc>
          <w:tcPr>
            <w:tcW w:w="7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Leases</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63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Operating lease ROU assets</w:t>
            </w:r>
          </w:p>
        </w:tc>
        <w:tc>
          <w:tcPr>
            <w:tcW w:w="7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373.4</w:t>
            </w:r>
          </w:p>
        </w:tc>
      </w:tr>
      <w:tr>
        <w:trPr>
          <w:trHeight w:val="242"/>
        </w:trPr>
        <w:tc>
          <w:tcPr>
            <w:tcW w:w="6360" w:type="dxa"/>
            <w:vAlign w:val="bottom"/>
            <w:gridSpan w:val="2"/>
          </w:tcPr>
          <w:p>
            <w:pPr>
              <w:spacing w:after="0"/>
              <w:rPr>
                <w:sz w:val="21"/>
                <w:szCs w:val="21"/>
                <w:color w:val="auto"/>
              </w:rPr>
            </w:pPr>
          </w:p>
        </w:tc>
        <w:tc>
          <w:tcPr>
            <w:tcW w:w="1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gridSpan w:val="3"/>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2"/>
        </w:trPr>
        <w:tc>
          <w:tcPr>
            <w:tcW w:w="6360" w:type="dxa"/>
            <w:vAlign w:val="bottom"/>
            <w:gridSpan w:val="2"/>
            <w:shd w:val="clear" w:color="auto" w:fill="CFF0FC"/>
          </w:tcPr>
          <w:p>
            <w:pPr>
              <w:ind w:left="20"/>
              <w:spacing w:after="0" w:line="242" w:lineRule="exact"/>
              <w:rPr>
                <w:sz w:val="20"/>
                <w:szCs w:val="20"/>
                <w:color w:val="auto"/>
              </w:rPr>
            </w:pPr>
            <w:r>
              <w:rPr>
                <w:rFonts w:ascii="Arial" w:cs="Arial" w:eastAsia="Arial" w:hAnsi="Arial"/>
                <w:sz w:val="18"/>
                <w:szCs w:val="18"/>
                <w:color w:val="auto"/>
              </w:rPr>
              <w:t>Operating lease liabilities - current</w:t>
            </w:r>
            <w:r>
              <w:rPr>
                <w:rFonts w:ascii="Arial" w:cs="Arial" w:eastAsia="Arial" w:hAnsi="Arial"/>
                <w:sz w:val="24"/>
                <w:szCs w:val="24"/>
                <w:color w:val="auto"/>
                <w:vertAlign w:val="superscript"/>
              </w:rPr>
              <w:t>(1)</w:t>
            </w: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110.0</w:t>
            </w:r>
          </w:p>
        </w:tc>
      </w:tr>
      <w:tr>
        <w:trPr>
          <w:trHeight w:val="236"/>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 long-term</w:t>
            </w:r>
          </w:p>
        </w:tc>
        <w:tc>
          <w:tcPr>
            <w:tcW w:w="7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275.8</w:t>
            </w:r>
          </w:p>
        </w:tc>
      </w:tr>
      <w:tr>
        <w:trPr>
          <w:trHeight w:val="230"/>
        </w:trPr>
        <w:tc>
          <w:tcPr>
            <w:tcW w:w="6360" w:type="dxa"/>
            <w:vAlign w:val="bottom"/>
            <w:gridSpan w:val="2"/>
          </w:tcPr>
          <w:p>
            <w:pPr>
              <w:ind w:left="200"/>
              <w:spacing w:after="0"/>
              <w:rPr>
                <w:sz w:val="20"/>
                <w:szCs w:val="20"/>
                <w:color w:val="auto"/>
              </w:rPr>
            </w:pPr>
            <w:r>
              <w:rPr>
                <w:rFonts w:ascii="Arial" w:cs="Arial" w:eastAsia="Arial" w:hAnsi="Arial"/>
                <w:sz w:val="18"/>
                <w:szCs w:val="18"/>
                <w:color w:val="auto"/>
              </w:rPr>
              <w:t>Total operating lease liabilities</w:t>
            </w:r>
          </w:p>
        </w:tc>
        <w:tc>
          <w:tcPr>
            <w:tcW w:w="76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385.8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5770880</wp:posOffset>
            </wp:positionH>
            <wp:positionV relativeFrom="paragraph">
              <wp:posOffset>-623570</wp:posOffset>
            </wp:positionV>
            <wp:extent cx="12827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27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955"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955" cy="162560"/>
                    </a:xfrm>
                    <a:prstGeom prst="rect">
                      <a:avLst/>
                    </a:prstGeom>
                    <a:noFill/>
                  </pic:spPr>
                </pic:pic>
              </a:graphicData>
            </a:graphic>
          </wp:anchor>
        </w:drawing>
      </w:r>
    </w:p>
    <w:p>
      <w:pPr>
        <w:ind w:left="180" w:hanging="172"/>
        <w:spacing w:after="0" w:line="233" w:lineRule="auto"/>
        <w:tabs>
          <w:tab w:leader="none" w:pos="180"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Operating lease liabilities - current are included in accrued expenses on our Consolidated Balance Sheets.</w:t>
      </w:r>
    </w:p>
    <w:p>
      <w:pPr>
        <w:spacing w:after="0" w:line="207"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8"/>
                <w:szCs w:val="18"/>
                <w:b w:val="1"/>
                <w:bCs w:val="1"/>
                <w:color w:val="auto"/>
              </w:rPr>
              <w:t>December 31,</w:t>
            </w:r>
          </w:p>
        </w:tc>
        <w:tc>
          <w:tcPr>
            <w:tcW w:w="1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7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5.3 years</w:t>
            </w:r>
          </w:p>
        </w:tc>
        <w:tc>
          <w:tcPr>
            <w:tcW w:w="18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5.1 years</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 years</w:t>
            </w:r>
          </w:p>
        </w:tc>
        <w:tc>
          <w:tcPr>
            <w:tcW w:w="6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leases</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2.9 %</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2.6 %</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444"/>
        </w:trPr>
        <w:tc>
          <w:tcPr>
            <w:tcW w:w="5960" w:type="dxa"/>
            <w:vAlign w:val="bottom"/>
            <w:gridSpan w:val="2"/>
          </w:tcPr>
          <w:p>
            <w:pPr>
              <w:spacing w:after="0"/>
              <w:rPr>
                <w:sz w:val="20"/>
                <w:szCs w:val="20"/>
                <w:color w:val="auto"/>
              </w:rPr>
            </w:pPr>
            <w:r>
              <w:rPr>
                <w:rFonts w:ascii="Arial" w:cs="Arial" w:eastAsia="Arial" w:hAnsi="Arial"/>
                <w:sz w:val="18"/>
                <w:szCs w:val="18"/>
                <w:color w:val="auto"/>
                <w:w w:val="92"/>
              </w:rPr>
              <w:t>Maturities of operating lease liabilities as of December 31, 2022 were as follows:</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1"/>
        </w:trPr>
        <w:tc>
          <w:tcPr>
            <w:tcW w:w="2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Period Ending December 31, 2022</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Operating Leases</w:t>
            </w:r>
          </w:p>
        </w:tc>
      </w:tr>
      <w:tr>
        <w:trPr>
          <w:trHeight w:val="242"/>
        </w:trPr>
        <w:tc>
          <w:tcPr>
            <w:tcW w:w="20" w:type="dxa"/>
            <w:vAlign w:val="bottom"/>
          </w:tcPr>
          <w:p>
            <w:pPr>
              <w:spacing w:after="0"/>
              <w:rPr>
                <w:sz w:val="21"/>
                <w:szCs w:val="21"/>
                <w:color w:val="auto"/>
              </w:rPr>
            </w:pPr>
          </w:p>
        </w:tc>
        <w:tc>
          <w:tcPr>
            <w:tcW w:w="5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170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113.5</w:t>
            </w:r>
          </w:p>
        </w:tc>
        <w:tc>
          <w:tcPr>
            <w:tcW w:w="6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2024</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81.1</w:t>
            </w:r>
          </w:p>
        </w:tc>
        <w:tc>
          <w:tcPr>
            <w:tcW w:w="60" w:type="dxa"/>
            <w:vAlign w:val="bottom"/>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7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55.9</w:t>
            </w:r>
          </w:p>
        </w:tc>
        <w:tc>
          <w:tcPr>
            <w:tcW w:w="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2026</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7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22"/>
                <w:szCs w:val="22"/>
                <w:color w:val="auto"/>
              </w:rPr>
            </w:pPr>
          </w:p>
        </w:tc>
      </w:tr>
      <w:tr>
        <w:trPr>
          <w:trHeight w:val="236"/>
        </w:trPr>
        <w:tc>
          <w:tcPr>
            <w:tcW w:w="20" w:type="dxa"/>
            <w:vAlign w:val="bottom"/>
          </w:tcPr>
          <w:p>
            <w:pPr>
              <w:spacing w:after="0"/>
              <w:rPr>
                <w:sz w:val="20"/>
                <w:szCs w:val="20"/>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1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94.9</w:t>
            </w:r>
          </w:p>
        </w:tc>
        <w:tc>
          <w:tcPr>
            <w:tcW w:w="6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5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future undiscounted lease payments</w:t>
            </w:r>
          </w:p>
        </w:tc>
        <w:tc>
          <w:tcPr>
            <w:tcW w:w="1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423.0</w:t>
            </w:r>
          </w:p>
        </w:tc>
        <w:tc>
          <w:tcPr>
            <w:tcW w:w="6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imputed interest</w:t>
            </w:r>
          </w:p>
        </w:tc>
        <w:tc>
          <w:tcPr>
            <w:tcW w:w="1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(50.9 )</w:t>
            </w:r>
          </w:p>
        </w:tc>
        <w:tc>
          <w:tcPr>
            <w:tcW w:w="60" w:type="dxa"/>
            <w:vAlign w:val="bottom"/>
          </w:tcPr>
          <w:p>
            <w:pPr>
              <w:spacing w:after="0"/>
              <w:rPr>
                <w:sz w:val="20"/>
                <w:szCs w:val="20"/>
                <w:color w:val="auto"/>
              </w:rPr>
            </w:pPr>
          </w:p>
        </w:tc>
      </w:tr>
      <w:tr>
        <w:trPr>
          <w:trHeight w:val="276"/>
        </w:trPr>
        <w:tc>
          <w:tcPr>
            <w:tcW w:w="20" w:type="dxa"/>
            <w:vAlign w:val="bottom"/>
          </w:tcPr>
          <w:p>
            <w:pPr>
              <w:spacing w:after="0"/>
              <w:rPr>
                <w:sz w:val="23"/>
                <w:szCs w:val="23"/>
                <w:color w:val="auto"/>
              </w:rPr>
            </w:pPr>
          </w:p>
        </w:tc>
        <w:tc>
          <w:tcPr>
            <w:tcW w:w="59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operating lease liabilities</w:t>
            </w:r>
          </w:p>
        </w:tc>
        <w:tc>
          <w:tcPr>
            <w:tcW w:w="17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3"/>
                <w:szCs w:val="23"/>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372.1</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-2152015</wp:posOffset>
            </wp:positionV>
            <wp:extent cx="7132955" cy="1536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183" w:lineRule="exact"/>
        <w:rPr>
          <w:sz w:val="20"/>
          <w:szCs w:val="20"/>
          <w:color w:val="auto"/>
        </w:rPr>
      </w:pPr>
    </w:p>
    <w:p>
      <w:pPr>
        <w:jc w:val="both"/>
        <w:ind w:right="60"/>
        <w:spacing w:after="0" w:line="295" w:lineRule="auto"/>
        <w:rPr>
          <w:sz w:val="20"/>
          <w:szCs w:val="20"/>
          <w:color w:val="auto"/>
        </w:rPr>
      </w:pPr>
      <w:r>
        <w:rPr>
          <w:rFonts w:ascii="Arial" w:cs="Arial" w:eastAsia="Arial" w:hAnsi="Arial"/>
          <w:sz w:val="16"/>
          <w:szCs w:val="16"/>
          <w:color w:val="auto"/>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34"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color w:val="auto"/>
        </w:rPr>
        <w:t>The segments derive a significant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565" w:right="27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Total assets for the segments are reported after the elimination of investments in subsidiaries and intercompany accounts.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42"/>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 from Services</w:t>
            </w: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6"/>
        </w:trPr>
        <w:tc>
          <w:tcPr>
            <w:tcW w:w="6160" w:type="dxa"/>
            <w:vAlign w:val="bottom"/>
          </w:tcPr>
          <w:p>
            <w:pPr>
              <w:ind w:left="20"/>
              <w:spacing w:after="0"/>
              <w:rPr>
                <w:sz w:val="20"/>
                <w:szCs w:val="20"/>
                <w:color w:val="auto"/>
              </w:rPr>
            </w:pPr>
            <w:r>
              <w:rPr>
                <w:rFonts w:ascii="Arial" w:cs="Arial" w:eastAsia="Arial" w:hAnsi="Arial"/>
                <w:sz w:val="18"/>
                <w:szCs w:val="18"/>
                <w:color w:val="auto"/>
              </w:rPr>
              <w:t>Americas:</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8"/>
        </w:trPr>
        <w:tc>
          <w:tcPr>
            <w:tcW w:w="6160" w:type="dxa"/>
            <w:vAlign w:val="bottom"/>
            <w:shd w:val="clear" w:color="auto" w:fill="CFF0FC"/>
          </w:tcPr>
          <w:p>
            <w:pPr>
              <w:ind w:left="200"/>
              <w:spacing w:after="0" w:line="248" w:lineRule="exact"/>
              <w:rPr>
                <w:sz w:val="20"/>
                <w:szCs w:val="20"/>
                <w:color w:val="auto"/>
              </w:rPr>
            </w:pPr>
            <w:r>
              <w:rPr>
                <w:rFonts w:ascii="Arial" w:cs="Arial" w:eastAsia="Arial" w:hAnsi="Arial"/>
                <w:sz w:val="18"/>
                <w:szCs w:val="18"/>
                <w:color w:val="auto"/>
              </w:rPr>
              <w:t>United States</w:t>
            </w:r>
            <w:r>
              <w:rPr>
                <w:rFonts w:ascii="Arial" w:cs="Arial" w:eastAsia="Arial" w:hAnsi="Arial"/>
                <w:sz w:val="24"/>
                <w:szCs w:val="24"/>
                <w:color w:val="auto"/>
                <w:vertAlign w:val="superscript"/>
              </w:rPr>
              <w:t>(a)</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3,499.3</w:t>
            </w:r>
          </w:p>
        </w:tc>
        <w:tc>
          <w:tcPr>
            <w:tcW w:w="6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2,743.3</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2,327.2</w:t>
            </w:r>
          </w:p>
        </w:tc>
      </w:tr>
      <w:tr>
        <w:trPr>
          <w:trHeight w:val="236"/>
        </w:trPr>
        <w:tc>
          <w:tcPr>
            <w:tcW w:w="6160" w:type="dxa"/>
            <w:vAlign w:val="bottom"/>
          </w:tcPr>
          <w:p>
            <w:pPr>
              <w:ind w:left="200"/>
              <w:spacing w:after="0"/>
              <w:rPr>
                <w:sz w:val="20"/>
                <w:szCs w:val="20"/>
                <w:color w:val="auto"/>
              </w:rPr>
            </w:pPr>
            <w:r>
              <w:rPr>
                <w:rFonts w:ascii="Arial" w:cs="Arial" w:eastAsia="Arial" w:hAnsi="Arial"/>
                <w:sz w:val="18"/>
                <w:szCs w:val="18"/>
                <w:color w:val="auto"/>
              </w:rPr>
              <w:t>Other Americas</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1,436.4</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1,520.4</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1,465.2</w:t>
            </w:r>
          </w:p>
        </w:tc>
      </w:tr>
      <w:tr>
        <w:trPr>
          <w:trHeight w:val="236"/>
        </w:trPr>
        <w:tc>
          <w:tcPr>
            <w:tcW w:w="6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4,935.7</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4,263.7</w:t>
            </w: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3,792.4</w:t>
            </w:r>
          </w:p>
        </w:tc>
      </w:tr>
      <w:tr>
        <w:trPr>
          <w:trHeight w:val="236"/>
        </w:trPr>
        <w:tc>
          <w:tcPr>
            <w:tcW w:w="6160" w:type="dxa"/>
            <w:vAlign w:val="bottom"/>
          </w:tcPr>
          <w:p>
            <w:pPr>
              <w:ind w:left="20"/>
              <w:spacing w:after="0"/>
              <w:rPr>
                <w:sz w:val="20"/>
                <w:szCs w:val="20"/>
                <w:color w:val="auto"/>
              </w:rPr>
            </w:pPr>
            <w:r>
              <w:rPr>
                <w:rFonts w:ascii="Arial" w:cs="Arial" w:eastAsia="Arial" w:hAnsi="Arial"/>
                <w:sz w:val="18"/>
                <w:szCs w:val="18"/>
                <w:color w:val="auto"/>
              </w:rPr>
              <w:t>Southern Europe:</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8"/>
        </w:trPr>
        <w:tc>
          <w:tcPr>
            <w:tcW w:w="6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France</w:t>
            </w: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4,785.0</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5,171.3</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4,338.1</w:t>
            </w:r>
          </w:p>
        </w:tc>
      </w:tr>
      <w:tr>
        <w:trPr>
          <w:trHeight w:val="236"/>
        </w:trPr>
        <w:tc>
          <w:tcPr>
            <w:tcW w:w="6160" w:type="dxa"/>
            <w:vAlign w:val="bottom"/>
          </w:tcPr>
          <w:p>
            <w:pPr>
              <w:ind w:left="200"/>
              <w:spacing w:after="0"/>
              <w:rPr>
                <w:sz w:val="20"/>
                <w:szCs w:val="20"/>
                <w:color w:val="auto"/>
              </w:rPr>
            </w:pPr>
            <w:r>
              <w:rPr>
                <w:rFonts w:ascii="Arial" w:cs="Arial" w:eastAsia="Arial" w:hAnsi="Arial"/>
                <w:sz w:val="18"/>
                <w:szCs w:val="18"/>
                <w:color w:val="auto"/>
              </w:rPr>
              <w:t>Italy</w:t>
            </w:r>
          </w:p>
        </w:tc>
        <w:tc>
          <w:tcPr>
            <w:tcW w:w="4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1,706.9</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1,795.4</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1,370.7</w:t>
            </w:r>
          </w:p>
        </w:tc>
      </w:tr>
      <w:tr>
        <w:trPr>
          <w:trHeight w:val="242"/>
        </w:trPr>
        <w:tc>
          <w:tcPr>
            <w:tcW w:w="6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Southern Europe</w:t>
            </w:r>
          </w:p>
        </w:tc>
        <w:tc>
          <w:tcPr>
            <w:tcW w:w="4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2,044.4</w:t>
            </w:r>
          </w:p>
        </w:tc>
        <w:tc>
          <w:tcPr>
            <w:tcW w:w="1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2,380.1</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2,146.4</w:t>
            </w:r>
          </w:p>
        </w:tc>
      </w:tr>
      <w:tr>
        <w:trPr>
          <w:trHeight w:val="236"/>
        </w:trPr>
        <w:tc>
          <w:tcPr>
            <w:tcW w:w="6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8,536.3</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9,346.8</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7,855.2</w:t>
            </w:r>
          </w:p>
        </w:tc>
      </w:tr>
      <w:tr>
        <w:trPr>
          <w:trHeight w:val="242"/>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Northern Europe</w:t>
            </w: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4,048.3</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4,670.5</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3,976.7</w:t>
            </w:r>
          </w:p>
        </w:tc>
      </w:tr>
      <w:tr>
        <w:trPr>
          <w:trHeight w:val="236"/>
        </w:trPr>
        <w:tc>
          <w:tcPr>
            <w:tcW w:w="6160" w:type="dxa"/>
            <w:vAlign w:val="bottom"/>
          </w:tcPr>
          <w:p>
            <w:pPr>
              <w:ind w:left="20"/>
              <w:spacing w:after="0"/>
              <w:rPr>
                <w:sz w:val="20"/>
                <w:szCs w:val="20"/>
                <w:color w:val="auto"/>
              </w:rPr>
            </w:pPr>
            <w:r>
              <w:rPr>
                <w:rFonts w:ascii="Arial" w:cs="Arial" w:eastAsia="Arial" w:hAnsi="Arial"/>
                <w:sz w:val="18"/>
                <w:szCs w:val="18"/>
                <w:color w:val="auto"/>
              </w:rPr>
              <w:t>APME</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2,387.3</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2,481.1</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2,376.7</w:t>
            </w:r>
          </w:p>
        </w:tc>
      </w:tr>
      <w:tr>
        <w:trPr>
          <w:trHeight w:val="236"/>
        </w:trPr>
        <w:tc>
          <w:tcPr>
            <w:tcW w:w="6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19,907.6</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20,762.1</w:t>
            </w: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18,001.0</w:t>
            </w:r>
          </w:p>
        </w:tc>
      </w:tr>
      <w:tr>
        <w:trPr>
          <w:trHeight w:val="235"/>
        </w:trPr>
        <w:tc>
          <w:tcPr>
            <w:tcW w:w="6160" w:type="dxa"/>
            <w:vAlign w:val="bottom"/>
          </w:tcPr>
          <w:p>
            <w:pPr>
              <w:ind w:left="20"/>
              <w:spacing w:after="0"/>
              <w:rPr>
                <w:sz w:val="20"/>
                <w:szCs w:val="20"/>
                <w:color w:val="auto"/>
              </w:rPr>
            </w:pPr>
            <w:r>
              <w:rPr>
                <w:rFonts w:ascii="Arial" w:cs="Arial" w:eastAsia="Arial" w:hAnsi="Arial"/>
                <w:sz w:val="18"/>
                <w:szCs w:val="18"/>
                <w:color w:val="auto"/>
              </w:rPr>
              <w:t>Intercompany Eliminations</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(80.1 )</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(37.7 )</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82"/>
        </w:trPr>
        <w:tc>
          <w:tcPr>
            <w:tcW w:w="6160" w:type="dxa"/>
            <w:vAlign w:val="bottom"/>
            <w:tcBorders>
              <w:bottom w:val="single" w:sz="8" w:color="CFF0FC"/>
            </w:tcBorders>
            <w:shd w:val="clear" w:color="auto" w:fill="CFF0FC"/>
          </w:tcPr>
          <w:p>
            <w:pPr>
              <w:ind w:left="20"/>
              <w:spacing w:after="0" w:line="242" w:lineRule="exact"/>
              <w:rPr>
                <w:sz w:val="20"/>
                <w:szCs w:val="20"/>
                <w:color w:val="auto"/>
              </w:rPr>
            </w:pPr>
            <w:r>
              <w:rPr>
                <w:rFonts w:ascii="Arial" w:cs="Arial" w:eastAsia="Arial" w:hAnsi="Arial"/>
                <w:sz w:val="18"/>
                <w:szCs w:val="18"/>
                <w:color w:val="auto"/>
              </w:rPr>
              <w:t>Consolidated</w:t>
            </w:r>
            <w:r>
              <w:rPr>
                <w:rFonts w:ascii="Arial" w:cs="Arial" w:eastAsia="Arial" w:hAnsi="Arial"/>
                <w:sz w:val="24"/>
                <w:szCs w:val="24"/>
                <w:color w:val="auto"/>
                <w:vertAlign w:val="superscript"/>
              </w:rPr>
              <w:t>(a)</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19,827.5</w:t>
            </w: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20,724.4</w:t>
            </w:r>
          </w:p>
        </w:tc>
        <w:tc>
          <w:tcPr>
            <w:tcW w:w="1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18,001.0</w:t>
            </w:r>
          </w:p>
        </w:tc>
      </w:tr>
      <w:tr>
        <w:trPr>
          <w:trHeight w:val="223"/>
        </w:trPr>
        <w:tc>
          <w:tcPr>
            <w:tcW w:w="6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2"/>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Unit Profit (Loss)</w:t>
            </w: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6"/>
        </w:trPr>
        <w:tc>
          <w:tcPr>
            <w:tcW w:w="6160" w:type="dxa"/>
            <w:vAlign w:val="bottom"/>
          </w:tcPr>
          <w:p>
            <w:pPr>
              <w:ind w:left="20"/>
              <w:spacing w:after="0"/>
              <w:rPr>
                <w:sz w:val="20"/>
                <w:szCs w:val="20"/>
                <w:color w:val="auto"/>
              </w:rPr>
            </w:pPr>
            <w:r>
              <w:rPr>
                <w:rFonts w:ascii="Arial" w:cs="Arial" w:eastAsia="Arial" w:hAnsi="Arial"/>
                <w:sz w:val="18"/>
                <w:szCs w:val="18"/>
                <w:color w:val="auto"/>
              </w:rPr>
              <w:t>Americas:</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8"/>
        </w:trPr>
        <w:tc>
          <w:tcPr>
            <w:tcW w:w="6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United States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219.2</w:t>
            </w:r>
          </w:p>
        </w:tc>
        <w:tc>
          <w:tcPr>
            <w:tcW w:w="6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136.0</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60.9</w:t>
            </w:r>
          </w:p>
        </w:tc>
      </w:tr>
      <w:tr>
        <w:trPr>
          <w:trHeight w:val="236"/>
        </w:trPr>
        <w:tc>
          <w:tcPr>
            <w:tcW w:w="6160" w:type="dxa"/>
            <w:vAlign w:val="bottom"/>
          </w:tcPr>
          <w:p>
            <w:pPr>
              <w:ind w:left="200"/>
              <w:spacing w:after="0"/>
              <w:rPr>
                <w:sz w:val="20"/>
                <w:szCs w:val="20"/>
                <w:color w:val="auto"/>
              </w:rPr>
            </w:pPr>
            <w:r>
              <w:rPr>
                <w:rFonts w:ascii="Arial" w:cs="Arial" w:eastAsia="Arial" w:hAnsi="Arial"/>
                <w:sz w:val="18"/>
                <w:szCs w:val="18"/>
                <w:color w:val="auto"/>
              </w:rPr>
              <w:t>Other Americas</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63.4</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55.1</w:t>
            </w:r>
          </w:p>
        </w:tc>
      </w:tr>
      <w:tr>
        <w:trPr>
          <w:trHeight w:val="236"/>
        </w:trPr>
        <w:tc>
          <w:tcPr>
            <w:tcW w:w="6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282.6</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195.2</w:t>
            </w: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116.0</w:t>
            </w:r>
          </w:p>
        </w:tc>
      </w:tr>
      <w:tr>
        <w:trPr>
          <w:trHeight w:val="236"/>
        </w:trPr>
        <w:tc>
          <w:tcPr>
            <w:tcW w:w="6160" w:type="dxa"/>
            <w:vAlign w:val="bottom"/>
          </w:tcPr>
          <w:p>
            <w:pPr>
              <w:ind w:left="20"/>
              <w:spacing w:after="0"/>
              <w:rPr>
                <w:sz w:val="20"/>
                <w:szCs w:val="20"/>
                <w:color w:val="auto"/>
              </w:rPr>
            </w:pPr>
            <w:r>
              <w:rPr>
                <w:rFonts w:ascii="Arial" w:cs="Arial" w:eastAsia="Arial" w:hAnsi="Arial"/>
                <w:sz w:val="18"/>
                <w:szCs w:val="18"/>
                <w:color w:val="auto"/>
              </w:rPr>
              <w:t>Southern Europe:</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8"/>
        </w:trPr>
        <w:tc>
          <w:tcPr>
            <w:tcW w:w="6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France</w:t>
            </w: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226.7</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233.5</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149.0</w:t>
            </w:r>
          </w:p>
        </w:tc>
      </w:tr>
      <w:tr>
        <w:trPr>
          <w:trHeight w:val="236"/>
        </w:trPr>
        <w:tc>
          <w:tcPr>
            <w:tcW w:w="6160" w:type="dxa"/>
            <w:vAlign w:val="bottom"/>
          </w:tcPr>
          <w:p>
            <w:pPr>
              <w:ind w:left="200"/>
              <w:spacing w:after="0"/>
              <w:rPr>
                <w:sz w:val="20"/>
                <w:szCs w:val="20"/>
                <w:color w:val="auto"/>
              </w:rPr>
            </w:pPr>
            <w:r>
              <w:rPr>
                <w:rFonts w:ascii="Arial" w:cs="Arial" w:eastAsia="Arial" w:hAnsi="Arial"/>
                <w:sz w:val="18"/>
                <w:szCs w:val="18"/>
                <w:color w:val="auto"/>
              </w:rPr>
              <w:t>Italy</w:t>
            </w:r>
          </w:p>
        </w:tc>
        <w:tc>
          <w:tcPr>
            <w:tcW w:w="4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122.9</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115.3</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64.2</w:t>
            </w:r>
          </w:p>
        </w:tc>
      </w:tr>
      <w:tr>
        <w:trPr>
          <w:trHeight w:val="242"/>
        </w:trPr>
        <w:tc>
          <w:tcPr>
            <w:tcW w:w="6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Southern Europe</w:t>
            </w:r>
          </w:p>
        </w:tc>
        <w:tc>
          <w:tcPr>
            <w:tcW w:w="4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63.4</w:t>
            </w:r>
          </w:p>
        </w:tc>
        <w:tc>
          <w:tcPr>
            <w:tcW w:w="1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67.5</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23.8</w:t>
            </w:r>
          </w:p>
        </w:tc>
      </w:tr>
      <w:tr>
        <w:trPr>
          <w:trHeight w:val="236"/>
        </w:trPr>
        <w:tc>
          <w:tcPr>
            <w:tcW w:w="6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413.0</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416.3</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237.0</w:t>
            </w:r>
          </w:p>
        </w:tc>
      </w:tr>
      <w:tr>
        <w:trPr>
          <w:trHeight w:val="242"/>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Northern Europe</w:t>
            </w: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67.8</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(27.6 )</w:t>
            </w:r>
          </w:p>
        </w:tc>
      </w:tr>
      <w:tr>
        <w:trPr>
          <w:trHeight w:val="236"/>
        </w:trPr>
        <w:tc>
          <w:tcPr>
            <w:tcW w:w="6160" w:type="dxa"/>
            <w:vAlign w:val="bottom"/>
          </w:tcPr>
          <w:p>
            <w:pPr>
              <w:ind w:left="20"/>
              <w:spacing w:after="0"/>
              <w:rPr>
                <w:sz w:val="20"/>
                <w:szCs w:val="20"/>
                <w:color w:val="auto"/>
              </w:rPr>
            </w:pPr>
            <w:r>
              <w:rPr>
                <w:rFonts w:ascii="Arial" w:cs="Arial" w:eastAsia="Arial" w:hAnsi="Arial"/>
                <w:sz w:val="18"/>
                <w:szCs w:val="18"/>
                <w:color w:val="auto"/>
              </w:rPr>
              <w:t>APME</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70.1</w:t>
            </w:r>
          </w:p>
        </w:tc>
      </w:tr>
      <w:tr>
        <w:trPr>
          <w:trHeight w:val="236"/>
        </w:trPr>
        <w:tc>
          <w:tcPr>
            <w:tcW w:w="6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825.8</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763.9</w:t>
            </w: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395.5</w:t>
            </w:r>
          </w:p>
        </w:tc>
      </w:tr>
      <w:tr>
        <w:trPr>
          <w:trHeight w:val="236"/>
        </w:trPr>
        <w:tc>
          <w:tcPr>
            <w:tcW w:w="6160" w:type="dxa"/>
            <w:vAlign w:val="bottom"/>
          </w:tcPr>
          <w:p>
            <w:pPr>
              <w:ind w:left="20"/>
              <w:spacing w:after="0"/>
              <w:rPr>
                <w:sz w:val="20"/>
                <w:szCs w:val="20"/>
                <w:color w:val="auto"/>
              </w:rPr>
            </w:pPr>
            <w:r>
              <w:rPr>
                <w:rFonts w:ascii="Arial" w:cs="Arial" w:eastAsia="Arial" w:hAnsi="Arial"/>
                <w:sz w:val="18"/>
                <w:szCs w:val="18"/>
                <w:color w:val="auto"/>
              </w:rPr>
              <w:t>Corporate expenses</w:t>
            </w: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(157.0 )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(154.3 )</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(113.9 )</w:t>
            </w:r>
          </w:p>
        </w:tc>
      </w:tr>
      <w:tr>
        <w:trPr>
          <w:trHeight w:val="248"/>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impairment charges</w:t>
            </w: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(66.8 )</w:t>
            </w:r>
          </w:p>
        </w:tc>
      </w:tr>
      <w:tr>
        <w:trPr>
          <w:trHeight w:val="242"/>
        </w:trPr>
        <w:tc>
          <w:tcPr>
            <w:tcW w:w="6160" w:type="dxa"/>
            <w:vAlign w:val="bottom"/>
          </w:tcPr>
          <w:p>
            <w:pPr>
              <w:ind w:left="20"/>
              <w:spacing w:after="0" w:line="242" w:lineRule="exact"/>
              <w:rPr>
                <w:sz w:val="20"/>
                <w:szCs w:val="20"/>
                <w:color w:val="auto"/>
              </w:rPr>
            </w:pPr>
            <w:r>
              <w:rPr>
                <w:rFonts w:ascii="Arial" w:cs="Arial" w:eastAsia="Arial" w:hAnsi="Arial"/>
                <w:sz w:val="18"/>
                <w:szCs w:val="18"/>
                <w:color w:val="auto"/>
              </w:rPr>
              <w:t>Intangible asset amortization expense</w:t>
            </w:r>
            <w:r>
              <w:rPr>
                <w:rFonts w:ascii="Arial" w:cs="Arial" w:eastAsia="Arial" w:hAnsi="Arial"/>
                <w:sz w:val="24"/>
                <w:szCs w:val="24"/>
                <w:color w:val="auto"/>
                <w:vertAlign w:val="superscript"/>
              </w:rPr>
              <w:t>(b)</w:t>
            </w: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(37.1 )</w:t>
            </w:r>
          </w:p>
        </w:tc>
        <w:tc>
          <w:tcPr>
            <w:tcW w:w="1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(27.2 )</w:t>
            </w:r>
          </w:p>
        </w:tc>
      </w:tr>
      <w:tr>
        <w:trPr>
          <w:trHeight w:val="236"/>
        </w:trPr>
        <w:tc>
          <w:tcPr>
            <w:tcW w:w="6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profit</w:t>
            </w:r>
          </w:p>
        </w:tc>
        <w:tc>
          <w:tcPr>
            <w:tcW w:w="4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581.7</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585.4</w:t>
            </w: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187.6</w:t>
            </w:r>
          </w:p>
        </w:tc>
      </w:tr>
      <w:tr>
        <w:trPr>
          <w:trHeight w:val="236"/>
        </w:trPr>
        <w:tc>
          <w:tcPr>
            <w:tcW w:w="6160" w:type="dxa"/>
            <w:vAlign w:val="bottom"/>
          </w:tcPr>
          <w:p>
            <w:pPr>
              <w:ind w:left="20"/>
              <w:spacing w:after="0"/>
              <w:rPr>
                <w:sz w:val="20"/>
                <w:szCs w:val="20"/>
                <w:color w:val="auto"/>
              </w:rPr>
            </w:pPr>
            <w:r>
              <w:rPr>
                <w:rFonts w:ascii="Arial" w:cs="Arial" w:eastAsia="Arial" w:hAnsi="Arial"/>
                <w:sz w:val="18"/>
                <w:szCs w:val="18"/>
                <w:color w:val="auto"/>
              </w:rPr>
              <w:t>Interest and other expenses, net</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(24.6 )</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(17.3 )</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(39.9 )</w:t>
            </w:r>
          </w:p>
        </w:tc>
      </w:tr>
      <w:tr>
        <w:trPr>
          <w:trHeight w:val="276"/>
        </w:trPr>
        <w:tc>
          <w:tcPr>
            <w:tcW w:w="6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Earnings before income taxes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557.1</w:t>
            </w:r>
          </w:p>
        </w:tc>
        <w:tc>
          <w:tcPr>
            <w:tcW w:w="18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568.1</w:t>
            </w:r>
          </w:p>
        </w:tc>
        <w:tc>
          <w:tcPr>
            <w:tcW w:w="16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-4782820</wp:posOffset>
            </wp:positionV>
            <wp:extent cx="102235"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02235" cy="16256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-4782820</wp:posOffset>
            </wp:positionV>
            <wp:extent cx="102235"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02235" cy="16256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-4159250</wp:posOffset>
            </wp:positionV>
            <wp:extent cx="102235" cy="1708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-4159250</wp:posOffset>
            </wp:positionV>
            <wp:extent cx="102235" cy="1708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-3518535</wp:posOffset>
            </wp:positionV>
            <wp:extent cx="102235" cy="1708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-3518535</wp:posOffset>
            </wp:positionV>
            <wp:extent cx="102235" cy="1708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-3194050</wp:posOffset>
            </wp:positionV>
            <wp:extent cx="1204595"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04595" cy="17970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-2237740</wp:posOffset>
            </wp:positionV>
            <wp:extent cx="102235" cy="162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02235" cy="16256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-2237740</wp:posOffset>
            </wp:positionV>
            <wp:extent cx="102235"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02235" cy="16256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-1614170</wp:posOffset>
            </wp:positionV>
            <wp:extent cx="102235" cy="1708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-1614170</wp:posOffset>
            </wp:positionV>
            <wp:extent cx="102235" cy="1708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-973455</wp:posOffset>
            </wp:positionV>
            <wp:extent cx="102235"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02235" cy="16256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-973455</wp:posOffset>
            </wp:positionV>
            <wp:extent cx="102235"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02235" cy="16256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1022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1022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-24765</wp:posOffset>
            </wp:positionV>
            <wp:extent cx="1022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-7620</wp:posOffset>
            </wp:positionV>
            <wp:extent cx="1022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02235" cy="8255"/>
                    </a:xfrm>
                    <a:prstGeom prst="rect">
                      <a:avLst/>
                    </a:prstGeom>
                    <a:noFill/>
                  </pic:spPr>
                </pic:pic>
              </a:graphicData>
            </a:graphic>
          </wp:anchor>
        </w:drawing>
      </w:r>
    </w:p>
    <w:p>
      <w:pPr>
        <w:ind w:firstLine="8"/>
        <w:spacing w:after="0" w:line="274" w:lineRule="auto"/>
        <w:tabs>
          <w:tab w:leader="none" w:pos="229" w:val="left"/>
        </w:tabs>
        <w:numPr>
          <w:ilvl w:val="0"/>
          <w:numId w:val="45"/>
        </w:numPr>
        <w:rPr>
          <w:rFonts w:ascii="Arial" w:cs="Arial" w:eastAsia="Arial" w:hAnsi="Arial"/>
          <w:sz w:val="16"/>
          <w:szCs w:val="16"/>
          <w:color w:val="282A32"/>
        </w:rPr>
      </w:pPr>
      <w:r>
        <w:rPr>
          <w:rFonts w:ascii="Arial" w:cs="Arial" w:eastAsia="Arial" w:hAnsi="Arial"/>
          <w:sz w:val="16"/>
          <w:szCs w:val="16"/>
          <w:color w:val="282A32"/>
        </w:rPr>
        <w:t>The United States revenues above represent revenues from our company-owned branches and franchise fees received from our franchise operations, which were $12.8, $12.8 and $12.6 for 2022, 2021 and 2020, respectively.</w:t>
      </w:r>
    </w:p>
    <w:p>
      <w:pPr>
        <w:ind w:left="240" w:hanging="232"/>
        <w:spacing w:after="0"/>
        <w:tabs>
          <w:tab w:leader="none" w:pos="240" w:val="left"/>
        </w:tabs>
        <w:numPr>
          <w:ilvl w:val="0"/>
          <w:numId w:val="45"/>
        </w:numPr>
        <w:rPr>
          <w:rFonts w:ascii="Arial" w:cs="Arial" w:eastAsia="Arial" w:hAnsi="Arial"/>
          <w:sz w:val="15"/>
          <w:szCs w:val="15"/>
          <w:color w:val="282A32"/>
        </w:rPr>
      </w:pPr>
      <w:r>
        <w:rPr>
          <w:rFonts w:ascii="Arial" w:cs="Arial" w:eastAsia="Arial" w:hAnsi="Arial"/>
          <w:sz w:val="15"/>
          <w:szCs w:val="15"/>
          <w:color w:val="282A32"/>
        </w:rPr>
        <w:t>Intangible asset amortization related to acquisitions is excluded from operating costs within the reportable segments and corporate expenses, and shown separately.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40"/>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2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42"/>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Depreciation and Amortization Expense</w:t>
            </w:r>
          </w:p>
        </w:tc>
        <w:tc>
          <w:tcPr>
            <w:tcW w:w="2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Americas:</w:t>
            </w:r>
          </w:p>
        </w:tc>
        <w:tc>
          <w:tcPr>
            <w:tcW w:w="2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8"/>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United States</w:t>
            </w:r>
          </w:p>
        </w:tc>
        <w:tc>
          <w:tcPr>
            <w:tcW w:w="214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7.8</w:t>
            </w:r>
          </w:p>
        </w:tc>
        <w:tc>
          <w:tcPr>
            <w:tcW w:w="72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6.9</w:t>
            </w:r>
          </w:p>
        </w:tc>
        <w:tc>
          <w:tcPr>
            <w:tcW w:w="72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w:t>
            </w:r>
          </w:p>
        </w:tc>
      </w:tr>
      <w:tr>
        <w:trPr>
          <w:trHeight w:val="236"/>
        </w:trPr>
        <w:tc>
          <w:tcPr>
            <w:tcW w:w="46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Americas</w:t>
            </w:r>
          </w:p>
        </w:tc>
        <w:tc>
          <w:tcPr>
            <w:tcW w:w="2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w:t>
            </w:r>
          </w:p>
        </w:tc>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w:t>
            </w:r>
          </w:p>
        </w:tc>
        <w:tc>
          <w:tcPr>
            <w:tcW w:w="7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r>
      <w:tr>
        <w:trPr>
          <w:trHeight w:val="236"/>
        </w:trPr>
        <w:tc>
          <w:tcPr>
            <w:tcW w:w="4620" w:type="dxa"/>
            <w:vAlign w:val="bottom"/>
            <w:tcBorders>
              <w:bottom w:val="single" w:sz="8" w:color="auto"/>
            </w:tcBorders>
            <w:shd w:val="clear" w:color="auto" w:fill="CFF0FC"/>
          </w:tcPr>
          <w:p>
            <w:pPr>
              <w:spacing w:after="0"/>
              <w:rPr>
                <w:sz w:val="20"/>
                <w:szCs w:val="20"/>
                <w:color w:val="auto"/>
              </w:rPr>
            </w:pPr>
          </w:p>
        </w:tc>
        <w:tc>
          <w:tcPr>
            <w:tcW w:w="21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10.0</w:t>
            </w:r>
          </w:p>
        </w:tc>
        <w:tc>
          <w:tcPr>
            <w:tcW w:w="7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9.3</w:t>
            </w:r>
          </w:p>
        </w:tc>
        <w:tc>
          <w:tcPr>
            <w:tcW w:w="7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Southern Europe:</w:t>
            </w:r>
          </w:p>
        </w:tc>
        <w:tc>
          <w:tcPr>
            <w:tcW w:w="2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8"/>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France</w:t>
            </w:r>
          </w:p>
        </w:tc>
        <w:tc>
          <w:tcPr>
            <w:tcW w:w="2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10.5</w:t>
            </w: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12.5</w:t>
            </w:r>
          </w:p>
        </w:tc>
        <w:tc>
          <w:tcPr>
            <w:tcW w:w="7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w:t>
            </w:r>
          </w:p>
        </w:tc>
      </w:tr>
      <w:tr>
        <w:trPr>
          <w:trHeight w:val="236"/>
        </w:trPr>
        <w:tc>
          <w:tcPr>
            <w:tcW w:w="4620" w:type="dxa"/>
            <w:vAlign w:val="bottom"/>
          </w:tcPr>
          <w:p>
            <w:pPr>
              <w:ind w:left="200"/>
              <w:spacing w:after="0"/>
              <w:rPr>
                <w:sz w:val="20"/>
                <w:szCs w:val="20"/>
                <w:color w:val="auto"/>
              </w:rPr>
            </w:pPr>
            <w:r>
              <w:rPr>
                <w:rFonts w:ascii="Arial" w:cs="Arial" w:eastAsia="Arial" w:hAnsi="Arial"/>
                <w:sz w:val="18"/>
                <w:szCs w:val="18"/>
                <w:color w:val="auto"/>
              </w:rPr>
              <w:t>Italy</w:t>
            </w:r>
          </w:p>
        </w:tc>
        <w:tc>
          <w:tcPr>
            <w:tcW w:w="21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7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42"/>
        </w:trPr>
        <w:tc>
          <w:tcPr>
            <w:tcW w:w="46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Other Southern Europe</w:t>
            </w:r>
          </w:p>
        </w:tc>
        <w:tc>
          <w:tcPr>
            <w:tcW w:w="2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4.8</w:t>
            </w:r>
          </w:p>
        </w:tc>
        <w:tc>
          <w:tcPr>
            <w:tcW w:w="7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5.0</w:t>
            </w:r>
          </w:p>
        </w:tc>
        <w:tc>
          <w:tcPr>
            <w:tcW w:w="7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r>
      <w:tr>
        <w:trPr>
          <w:trHeight w:val="236"/>
        </w:trPr>
        <w:tc>
          <w:tcPr>
            <w:tcW w:w="46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17.7</w:t>
            </w:r>
          </w:p>
        </w:tc>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w:t>
            </w:r>
          </w:p>
        </w:tc>
        <w:tc>
          <w:tcPr>
            <w:tcW w:w="7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w:t>
            </w:r>
          </w:p>
        </w:tc>
      </w:tr>
      <w:tr>
        <w:trPr>
          <w:trHeight w:val="242"/>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Northern Europe</w:t>
            </w:r>
          </w:p>
        </w:tc>
        <w:tc>
          <w:tcPr>
            <w:tcW w:w="2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10.7</w:t>
            </w: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10.9</w:t>
            </w:r>
          </w:p>
        </w:tc>
        <w:tc>
          <w:tcPr>
            <w:tcW w:w="7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w:t>
            </w: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APME</w:t>
            </w:r>
          </w:p>
        </w:tc>
        <w:tc>
          <w:tcPr>
            <w:tcW w:w="21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7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7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w:t>
            </w:r>
          </w:p>
        </w:tc>
      </w:tr>
      <w:tr>
        <w:trPr>
          <w:trHeight w:val="248"/>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expenses</w:t>
            </w:r>
          </w:p>
        </w:tc>
        <w:tc>
          <w:tcPr>
            <w:tcW w:w="2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w:t>
            </w: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0.7</w:t>
            </w:r>
          </w:p>
        </w:tc>
        <w:tc>
          <w:tcPr>
            <w:tcW w:w="7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r>
      <w:tr>
        <w:trPr>
          <w:trHeight w:val="242"/>
        </w:trPr>
        <w:tc>
          <w:tcPr>
            <w:tcW w:w="4620" w:type="dxa"/>
            <w:vAlign w:val="bottom"/>
            <w:tcBorders>
              <w:bottom w:val="single" w:sz="8" w:color="auto"/>
            </w:tcBorders>
          </w:tcPr>
          <w:p>
            <w:pPr>
              <w:ind w:left="20"/>
              <w:spacing w:after="0" w:line="242" w:lineRule="exact"/>
              <w:rPr>
                <w:sz w:val="20"/>
                <w:szCs w:val="20"/>
                <w:color w:val="auto"/>
              </w:rPr>
            </w:pPr>
            <w:r>
              <w:rPr>
                <w:rFonts w:ascii="Arial" w:cs="Arial" w:eastAsia="Arial" w:hAnsi="Arial"/>
                <w:sz w:val="18"/>
                <w:szCs w:val="18"/>
                <w:color w:val="auto"/>
              </w:rPr>
              <w:t>Intangible asset amortization expense</w:t>
            </w:r>
            <w:r>
              <w:rPr>
                <w:rFonts w:ascii="Arial" w:cs="Arial" w:eastAsia="Arial" w:hAnsi="Arial"/>
                <w:sz w:val="24"/>
                <w:szCs w:val="24"/>
                <w:color w:val="auto"/>
                <w:vertAlign w:val="superscript"/>
              </w:rPr>
              <w:t>(a)</w:t>
            </w:r>
          </w:p>
        </w:tc>
        <w:tc>
          <w:tcPr>
            <w:tcW w:w="2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37.1</w:t>
            </w:r>
          </w:p>
        </w:tc>
        <w:tc>
          <w:tcPr>
            <w:tcW w:w="7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24.2</w:t>
            </w:r>
          </w:p>
        </w:tc>
        <w:tc>
          <w:tcPr>
            <w:tcW w:w="7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w:t>
            </w:r>
          </w:p>
        </w:tc>
      </w:tr>
      <w:tr>
        <w:trPr>
          <w:trHeight w:val="229"/>
        </w:trPr>
        <w:tc>
          <w:tcPr>
            <w:tcW w:w="462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84.6</w:t>
            </w:r>
          </w:p>
        </w:tc>
        <w:tc>
          <w:tcPr>
            <w:tcW w:w="72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73.4</w:t>
            </w:r>
          </w:p>
        </w:tc>
        <w:tc>
          <w:tcPr>
            <w:tcW w:w="72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76.3</w:t>
            </w:r>
          </w:p>
        </w:tc>
      </w:tr>
    </w:tbl>
    <w:p>
      <w:pPr>
        <w:spacing w:after="0"/>
        <w:rPr>
          <w:sz w:val="20"/>
          <w:szCs w:val="20"/>
          <w:color w:val="auto"/>
        </w:rPr>
      </w:pPr>
      <w:r>
        <w:rPr>
          <w:rFonts w:ascii="Arial" w:cs="Arial" w:eastAsia="Arial" w:hAnsi="Arial"/>
          <w:sz w:val="15"/>
          <w:szCs w:val="15"/>
          <w:color w:val="282A32"/>
        </w:rPr>
        <w:t>(a) Intangible asset amortization related to acquisitions is excluded from operating costs within the reportable segments and corporate expenses, and shown separately.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of December 31</w:t>
            </w:r>
          </w:p>
        </w:tc>
        <w:tc>
          <w:tcPr>
            <w:tcW w:w="2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42"/>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26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Americas:</w:t>
            </w:r>
          </w:p>
        </w:tc>
        <w:tc>
          <w:tcPr>
            <w:tcW w:w="2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8"/>
        </w:trPr>
        <w:tc>
          <w:tcPr>
            <w:tcW w:w="4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United States</w:t>
            </w:r>
          </w:p>
        </w:tc>
        <w:tc>
          <w:tcPr>
            <w:tcW w:w="26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3,243.2</w:t>
            </w:r>
          </w:p>
        </w:tc>
        <w:tc>
          <w:tcPr>
            <w:tcW w:w="6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3,434.6</w:t>
            </w:r>
          </w:p>
        </w:tc>
        <w:tc>
          <w:tcPr>
            <w:tcW w:w="6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2,103.8</w:t>
            </w:r>
          </w:p>
        </w:tc>
      </w:tr>
      <w:tr>
        <w:trPr>
          <w:trHeight w:val="236"/>
        </w:trPr>
        <w:tc>
          <w:tcPr>
            <w:tcW w:w="4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Americas</w:t>
            </w:r>
          </w:p>
        </w:tc>
        <w:tc>
          <w:tcPr>
            <w:tcW w:w="2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397.4</w:t>
            </w: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397.0</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381.3</w:t>
            </w:r>
          </w:p>
        </w:tc>
      </w:tr>
      <w:tr>
        <w:trPr>
          <w:trHeight w:val="236"/>
        </w:trPr>
        <w:tc>
          <w:tcPr>
            <w:tcW w:w="4020" w:type="dxa"/>
            <w:vAlign w:val="bottom"/>
            <w:tcBorders>
              <w:bottom w:val="single" w:sz="8" w:color="auto"/>
            </w:tcBorders>
            <w:shd w:val="clear" w:color="auto" w:fill="CFF0FC"/>
          </w:tcPr>
          <w:p>
            <w:pPr>
              <w:spacing w:after="0"/>
              <w:rPr>
                <w:sz w:val="20"/>
                <w:szCs w:val="20"/>
                <w:color w:val="auto"/>
              </w:rPr>
            </w:pPr>
          </w:p>
        </w:tc>
        <w:tc>
          <w:tcPr>
            <w:tcW w:w="26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3,640.6</w:t>
            </w:r>
          </w:p>
        </w:tc>
        <w:tc>
          <w:tcPr>
            <w:tcW w:w="6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3,831.6</w:t>
            </w:r>
          </w:p>
        </w:tc>
        <w:tc>
          <w:tcPr>
            <w:tcW w:w="6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2,485.1</w:t>
            </w: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Southern Europe:</w:t>
            </w:r>
          </w:p>
        </w:tc>
        <w:tc>
          <w:tcPr>
            <w:tcW w:w="2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8"/>
        </w:trPr>
        <w:tc>
          <w:tcPr>
            <w:tcW w:w="4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France</w:t>
            </w:r>
          </w:p>
        </w:tc>
        <w:tc>
          <w:tcPr>
            <w:tcW w:w="2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2,281.9</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2,353.3</w:t>
            </w: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2,778.3</w:t>
            </w:r>
          </w:p>
        </w:tc>
      </w:tr>
      <w:tr>
        <w:trPr>
          <w:trHeight w:val="236"/>
        </w:trPr>
        <w:tc>
          <w:tcPr>
            <w:tcW w:w="4020" w:type="dxa"/>
            <w:vAlign w:val="bottom"/>
          </w:tcPr>
          <w:p>
            <w:pPr>
              <w:ind w:left="200"/>
              <w:spacing w:after="0"/>
              <w:rPr>
                <w:sz w:val="20"/>
                <w:szCs w:val="20"/>
                <w:color w:val="auto"/>
              </w:rPr>
            </w:pPr>
            <w:r>
              <w:rPr>
                <w:rFonts w:ascii="Arial" w:cs="Arial" w:eastAsia="Arial" w:hAnsi="Arial"/>
                <w:sz w:val="18"/>
                <w:szCs w:val="18"/>
                <w:color w:val="auto"/>
              </w:rPr>
              <w:t>Italy</w:t>
            </w:r>
          </w:p>
        </w:tc>
        <w:tc>
          <w:tcPr>
            <w:tcW w:w="26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455.3</w:t>
            </w:r>
          </w:p>
        </w:tc>
        <w:tc>
          <w:tcPr>
            <w:tcW w:w="6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509.7</w:t>
            </w:r>
          </w:p>
        </w:tc>
        <w:tc>
          <w:tcPr>
            <w:tcW w:w="6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540.4</w:t>
            </w:r>
          </w:p>
        </w:tc>
      </w:tr>
      <w:tr>
        <w:trPr>
          <w:trHeight w:val="242"/>
        </w:trPr>
        <w:tc>
          <w:tcPr>
            <w:tcW w:w="40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Other Southern Europe</w:t>
            </w:r>
          </w:p>
        </w:tc>
        <w:tc>
          <w:tcPr>
            <w:tcW w:w="26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821.2</w:t>
            </w:r>
          </w:p>
        </w:tc>
        <w:tc>
          <w:tcPr>
            <w:tcW w:w="6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828.2</w:t>
            </w:r>
          </w:p>
        </w:tc>
        <w:tc>
          <w:tcPr>
            <w:tcW w:w="6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848.5</w:t>
            </w:r>
          </w:p>
        </w:tc>
      </w:tr>
      <w:tr>
        <w:trPr>
          <w:trHeight w:val="236"/>
        </w:trPr>
        <w:tc>
          <w:tcPr>
            <w:tcW w:w="40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3,558.4</w:t>
            </w: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3,691.2</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4,167.2</w:t>
            </w:r>
          </w:p>
        </w:tc>
      </w:tr>
      <w:tr>
        <w:trPr>
          <w:trHeight w:val="242"/>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Northern Europe</w:t>
            </w:r>
          </w:p>
        </w:tc>
        <w:tc>
          <w:tcPr>
            <w:tcW w:w="2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742.9</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1,095.7</w:t>
            </w: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1,366.7</w:t>
            </w: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APME</w:t>
            </w:r>
          </w:p>
        </w:tc>
        <w:tc>
          <w:tcPr>
            <w:tcW w:w="26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744.4</w:t>
            </w:r>
          </w:p>
        </w:tc>
        <w:tc>
          <w:tcPr>
            <w:tcW w:w="6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813.8</w:t>
            </w:r>
          </w:p>
        </w:tc>
        <w:tc>
          <w:tcPr>
            <w:tcW w:w="6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806.0</w:t>
            </w:r>
          </w:p>
        </w:tc>
      </w:tr>
      <w:tr>
        <w:trPr>
          <w:trHeight w:val="248"/>
        </w:trPr>
        <w:tc>
          <w:tcPr>
            <w:tcW w:w="4020" w:type="dxa"/>
            <w:vAlign w:val="bottom"/>
            <w:tcBorders>
              <w:bottom w:val="single" w:sz="8" w:color="auto"/>
            </w:tcBorders>
            <w:shd w:val="clear" w:color="auto" w:fill="CFF0FC"/>
          </w:tcPr>
          <w:p>
            <w:pPr>
              <w:ind w:left="20"/>
              <w:spacing w:after="0" w:line="248" w:lineRule="exact"/>
              <w:rPr>
                <w:sz w:val="20"/>
                <w:szCs w:val="20"/>
                <w:color w:val="auto"/>
              </w:rPr>
            </w:pPr>
            <w:r>
              <w:rPr>
                <w:rFonts w:ascii="Arial" w:cs="Arial" w:eastAsia="Arial" w:hAnsi="Arial"/>
                <w:sz w:val="18"/>
                <w:szCs w:val="18"/>
                <w:color w:val="auto"/>
              </w:rPr>
              <w:t>Corporate</w:t>
            </w:r>
            <w:r>
              <w:rPr>
                <w:rFonts w:ascii="Arial" w:cs="Arial" w:eastAsia="Arial" w:hAnsi="Arial"/>
                <w:sz w:val="24"/>
                <w:szCs w:val="24"/>
                <w:color w:val="auto"/>
                <w:vertAlign w:val="superscript"/>
              </w:rPr>
              <w:t>(a)</w:t>
            </w:r>
          </w:p>
        </w:tc>
        <w:tc>
          <w:tcPr>
            <w:tcW w:w="26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444.1</w:t>
            </w:r>
          </w:p>
        </w:tc>
        <w:tc>
          <w:tcPr>
            <w:tcW w:w="6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396.6</w:t>
            </w:r>
          </w:p>
        </w:tc>
        <w:tc>
          <w:tcPr>
            <w:tcW w:w="6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503.2</w:t>
            </w:r>
          </w:p>
        </w:tc>
      </w:tr>
      <w:tr>
        <w:trPr>
          <w:trHeight w:val="223"/>
        </w:trPr>
        <w:tc>
          <w:tcPr>
            <w:tcW w:w="4020" w:type="dxa"/>
            <w:vAlign w:val="bottom"/>
          </w:tcPr>
          <w:p>
            <w:pPr>
              <w:spacing w:after="0"/>
              <w:rPr>
                <w:sz w:val="19"/>
                <w:szCs w:val="19"/>
                <w:color w:val="auto"/>
              </w:rPr>
            </w:pPr>
          </w:p>
        </w:tc>
        <w:tc>
          <w:tcPr>
            <w:tcW w:w="2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9,130.4</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9,828.9</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9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ind w:left="220" w:hanging="212"/>
        <w:spacing w:after="0"/>
        <w:tabs>
          <w:tab w:leader="none" w:pos="220" w:val="left"/>
        </w:tabs>
        <w:numPr>
          <w:ilvl w:val="0"/>
          <w:numId w:val="46"/>
        </w:numPr>
        <w:rPr>
          <w:rFonts w:ascii="Arial" w:cs="Arial" w:eastAsia="Arial" w:hAnsi="Arial"/>
          <w:sz w:val="16"/>
          <w:szCs w:val="16"/>
          <w:color w:val="282A32"/>
        </w:rPr>
      </w:pPr>
      <w:r>
        <w:rPr>
          <w:rFonts w:ascii="Arial" w:cs="Arial" w:eastAsia="Arial" w:hAnsi="Arial"/>
          <w:sz w:val="16"/>
          <w:szCs w:val="16"/>
          <w:color w:val="282A32"/>
        </w:rPr>
        <w:t>Corporate assets include assets that were not used in the operations of any segment, the most significant of which were purchased intangibles and cash.</w:t>
      </w:r>
    </w:p>
    <w:p>
      <w:pPr>
        <w:spacing w:after="0" w:line="228" w:lineRule="exact"/>
        <w:rPr>
          <w:rFonts w:ascii="Arial" w:cs="Arial" w:eastAsia="Arial" w:hAnsi="Arial"/>
          <w:sz w:val="16"/>
          <w:szCs w:val="16"/>
          <w:color w:val="282A32"/>
        </w:rPr>
      </w:pPr>
    </w:p>
    <w:p>
      <w:pPr>
        <w:ind w:left="5540"/>
        <w:spacing w:after="0"/>
        <w:rPr>
          <w:rFonts w:ascii="Arial" w:cs="Arial" w:eastAsia="Arial" w:hAnsi="Arial"/>
          <w:sz w:val="16"/>
          <w:szCs w:val="16"/>
          <w:color w:val="282A32"/>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40"/>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of and Year Ended December 31</w:t>
            </w:r>
          </w:p>
        </w:tc>
        <w:tc>
          <w:tcPr>
            <w:tcW w:w="2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42"/>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Long-lived Assets</w:t>
            </w:r>
          </w:p>
        </w:tc>
        <w:tc>
          <w:tcPr>
            <w:tcW w:w="23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36"/>
        </w:trPr>
        <w:tc>
          <w:tcPr>
            <w:tcW w:w="4380" w:type="dxa"/>
            <w:vAlign w:val="bottom"/>
          </w:tcPr>
          <w:p>
            <w:pPr>
              <w:ind w:left="20"/>
              <w:spacing w:after="0"/>
              <w:rPr>
                <w:sz w:val="20"/>
                <w:szCs w:val="20"/>
                <w:color w:val="auto"/>
              </w:rPr>
            </w:pPr>
            <w:r>
              <w:rPr>
                <w:rFonts w:ascii="Arial" w:cs="Arial" w:eastAsia="Arial" w:hAnsi="Arial"/>
                <w:sz w:val="18"/>
                <w:szCs w:val="18"/>
                <w:color w:val="auto"/>
              </w:rPr>
              <w:t>Americas:</w:t>
            </w:r>
          </w:p>
        </w:tc>
        <w:tc>
          <w:tcPr>
            <w:tcW w:w="2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8"/>
        </w:trPr>
        <w:tc>
          <w:tcPr>
            <w:tcW w:w="4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United States</w:t>
            </w:r>
          </w:p>
        </w:tc>
        <w:tc>
          <w:tcPr>
            <w:tcW w:w="236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79.2</w:t>
            </w:r>
          </w:p>
        </w:tc>
        <w:tc>
          <w:tcPr>
            <w:tcW w:w="70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76.9</w:t>
            </w:r>
          </w:p>
        </w:tc>
        <w:tc>
          <w:tcPr>
            <w:tcW w:w="7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73.9</w:t>
            </w:r>
          </w:p>
        </w:tc>
      </w:tr>
      <w:tr>
        <w:trPr>
          <w:trHeight w:val="236"/>
        </w:trPr>
        <w:tc>
          <w:tcPr>
            <w:tcW w:w="4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Americas</w:t>
            </w:r>
          </w:p>
        </w:tc>
        <w:tc>
          <w:tcPr>
            <w:tcW w:w="2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14.6</w:t>
            </w: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16.3</w:t>
            </w:r>
          </w:p>
        </w:tc>
        <w:tc>
          <w:tcPr>
            <w:tcW w:w="7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w:t>
            </w:r>
          </w:p>
        </w:tc>
      </w:tr>
      <w:tr>
        <w:trPr>
          <w:trHeight w:val="236"/>
        </w:trPr>
        <w:tc>
          <w:tcPr>
            <w:tcW w:w="4380" w:type="dxa"/>
            <w:vAlign w:val="bottom"/>
            <w:tcBorders>
              <w:bottom w:val="single" w:sz="8" w:color="auto"/>
            </w:tcBorders>
            <w:shd w:val="clear" w:color="auto" w:fill="CFF0FC"/>
          </w:tcPr>
          <w:p>
            <w:pPr>
              <w:spacing w:after="0"/>
              <w:rPr>
                <w:sz w:val="20"/>
                <w:szCs w:val="20"/>
                <w:color w:val="auto"/>
              </w:rPr>
            </w:pPr>
          </w:p>
        </w:tc>
        <w:tc>
          <w:tcPr>
            <w:tcW w:w="23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93.8</w:t>
            </w:r>
          </w:p>
        </w:tc>
        <w:tc>
          <w:tcPr>
            <w:tcW w:w="7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93.2</w:t>
            </w:r>
          </w:p>
        </w:tc>
        <w:tc>
          <w:tcPr>
            <w:tcW w:w="7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93.5</w:t>
            </w:r>
          </w:p>
        </w:tc>
      </w:tr>
      <w:tr>
        <w:trPr>
          <w:trHeight w:val="236"/>
        </w:trPr>
        <w:tc>
          <w:tcPr>
            <w:tcW w:w="4380" w:type="dxa"/>
            <w:vAlign w:val="bottom"/>
          </w:tcPr>
          <w:p>
            <w:pPr>
              <w:ind w:left="20"/>
              <w:spacing w:after="0"/>
              <w:rPr>
                <w:sz w:val="20"/>
                <w:szCs w:val="20"/>
                <w:color w:val="auto"/>
              </w:rPr>
            </w:pPr>
            <w:r>
              <w:rPr>
                <w:rFonts w:ascii="Arial" w:cs="Arial" w:eastAsia="Arial" w:hAnsi="Arial"/>
                <w:sz w:val="18"/>
                <w:szCs w:val="18"/>
                <w:color w:val="auto"/>
              </w:rPr>
              <w:t>Southern Europe:</w:t>
            </w:r>
          </w:p>
        </w:tc>
        <w:tc>
          <w:tcPr>
            <w:tcW w:w="2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8"/>
        </w:trPr>
        <w:tc>
          <w:tcPr>
            <w:tcW w:w="4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France</w:t>
            </w:r>
          </w:p>
        </w:tc>
        <w:tc>
          <w:tcPr>
            <w:tcW w:w="23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160.7</w:t>
            </w:r>
          </w:p>
        </w:tc>
        <w:tc>
          <w:tcPr>
            <w:tcW w:w="7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135.0</w:t>
            </w:r>
          </w:p>
        </w:tc>
        <w:tc>
          <w:tcPr>
            <w:tcW w:w="7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147.8</w:t>
            </w:r>
          </w:p>
        </w:tc>
      </w:tr>
      <w:tr>
        <w:trPr>
          <w:trHeight w:val="236"/>
        </w:trPr>
        <w:tc>
          <w:tcPr>
            <w:tcW w:w="4380" w:type="dxa"/>
            <w:vAlign w:val="bottom"/>
          </w:tcPr>
          <w:p>
            <w:pPr>
              <w:ind w:left="200"/>
              <w:spacing w:after="0"/>
              <w:rPr>
                <w:sz w:val="20"/>
                <w:szCs w:val="20"/>
                <w:color w:val="auto"/>
              </w:rPr>
            </w:pPr>
            <w:r>
              <w:rPr>
                <w:rFonts w:ascii="Arial" w:cs="Arial" w:eastAsia="Arial" w:hAnsi="Arial"/>
                <w:sz w:val="18"/>
                <w:szCs w:val="18"/>
                <w:color w:val="auto"/>
              </w:rPr>
              <w:t>Italy</w:t>
            </w:r>
          </w:p>
        </w:tc>
        <w:tc>
          <w:tcPr>
            <w:tcW w:w="23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32.7</w:t>
            </w:r>
          </w:p>
        </w:tc>
        <w:tc>
          <w:tcPr>
            <w:tcW w:w="70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33.6</w:t>
            </w:r>
          </w:p>
        </w:tc>
        <w:tc>
          <w:tcPr>
            <w:tcW w:w="7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36.0</w:t>
            </w:r>
          </w:p>
        </w:tc>
      </w:tr>
      <w:tr>
        <w:trPr>
          <w:trHeight w:val="242"/>
        </w:trPr>
        <w:tc>
          <w:tcPr>
            <w:tcW w:w="43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Other Southern Europe</w:t>
            </w:r>
          </w:p>
        </w:tc>
        <w:tc>
          <w:tcPr>
            <w:tcW w:w="23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60.1</w:t>
            </w:r>
          </w:p>
        </w:tc>
        <w:tc>
          <w:tcPr>
            <w:tcW w:w="7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68.7</w:t>
            </w:r>
          </w:p>
        </w:tc>
        <w:tc>
          <w:tcPr>
            <w:tcW w:w="7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68.0</w:t>
            </w:r>
          </w:p>
        </w:tc>
      </w:tr>
      <w:tr>
        <w:trPr>
          <w:trHeight w:val="236"/>
        </w:trPr>
        <w:tc>
          <w:tcPr>
            <w:tcW w:w="43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253.5</w:t>
            </w: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237.3</w:t>
            </w:r>
          </w:p>
        </w:tc>
        <w:tc>
          <w:tcPr>
            <w:tcW w:w="7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251.8</w:t>
            </w:r>
          </w:p>
        </w:tc>
      </w:tr>
      <w:tr>
        <w:trPr>
          <w:trHeight w:val="242"/>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Northern Europe</w:t>
            </w:r>
          </w:p>
        </w:tc>
        <w:tc>
          <w:tcPr>
            <w:tcW w:w="23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116.5</w:t>
            </w:r>
          </w:p>
        </w:tc>
        <w:tc>
          <w:tcPr>
            <w:tcW w:w="7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106.6</w:t>
            </w:r>
          </w:p>
        </w:tc>
        <w:tc>
          <w:tcPr>
            <w:tcW w:w="7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127.1</w:t>
            </w:r>
          </w:p>
        </w:tc>
      </w:tr>
      <w:tr>
        <w:trPr>
          <w:trHeight w:val="236"/>
        </w:trPr>
        <w:tc>
          <w:tcPr>
            <w:tcW w:w="4380" w:type="dxa"/>
            <w:vAlign w:val="bottom"/>
          </w:tcPr>
          <w:p>
            <w:pPr>
              <w:ind w:left="20"/>
              <w:spacing w:after="0"/>
              <w:rPr>
                <w:sz w:val="20"/>
                <w:szCs w:val="20"/>
                <w:color w:val="auto"/>
              </w:rPr>
            </w:pPr>
            <w:r>
              <w:rPr>
                <w:rFonts w:ascii="Arial" w:cs="Arial" w:eastAsia="Arial" w:hAnsi="Arial"/>
                <w:sz w:val="18"/>
                <w:szCs w:val="18"/>
                <w:color w:val="auto"/>
              </w:rPr>
              <w:t>APME</w:t>
            </w:r>
          </w:p>
        </w:tc>
        <w:tc>
          <w:tcPr>
            <w:tcW w:w="23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52.8</w:t>
            </w:r>
          </w:p>
        </w:tc>
        <w:tc>
          <w:tcPr>
            <w:tcW w:w="70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77.3</w:t>
            </w:r>
          </w:p>
        </w:tc>
        <w:tc>
          <w:tcPr>
            <w:tcW w:w="7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76.1</w:t>
            </w:r>
          </w:p>
        </w:tc>
      </w:tr>
      <w:tr>
        <w:trPr>
          <w:trHeight w:val="242"/>
        </w:trPr>
        <w:tc>
          <w:tcPr>
            <w:tcW w:w="4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Corporate</w:t>
            </w:r>
          </w:p>
        </w:tc>
        <w:tc>
          <w:tcPr>
            <w:tcW w:w="23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9.0</w:t>
            </w:r>
          </w:p>
        </w:tc>
        <w:tc>
          <w:tcPr>
            <w:tcW w:w="7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14.0</w:t>
            </w:r>
          </w:p>
        </w:tc>
        <w:tc>
          <w:tcPr>
            <w:tcW w:w="7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r>
      <w:tr>
        <w:trPr>
          <w:trHeight w:val="236"/>
        </w:trPr>
        <w:tc>
          <w:tcPr>
            <w:tcW w:w="43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525.6</w:t>
            </w:r>
          </w:p>
        </w:tc>
        <w:tc>
          <w:tcPr>
            <w:tcW w:w="7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528.4</w:t>
            </w:r>
          </w:p>
        </w:tc>
        <w:tc>
          <w:tcPr>
            <w:tcW w:w="7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555.0</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Commitments and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entered into certain guarantee contracts and stand-by letters of credit that total $840.2 as of December 31, 2022 ($793.0 for guarantees and $47.2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normal course of business, the Company is named as a defendant in various legal proceedings in which claims are asserted against the Company. We record accruals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97" w:name="page98"/>
    <w:bookmarkEnd w:id="97"/>
    <w:p>
      <w:pPr>
        <w:ind w:right="3820"/>
        <w:spacing w:after="0" w:line="483"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Disclosure controls and procedures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responsible for establishing and maintaining effective internal control over financial reporting as defined in Rule 13a-15(f) under the Exchange Act.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our Executive Vice President and Chief Financial Officer, we conducted an evaluation of the effectiveness of our internal control over financial reporting based on the framework in Internal Control — Integrated Framework (2013)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2022.</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Deloitte &amp; Touche LLP, an independent registered public accounting firm, as stated in their report which appears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0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last fiscal quarter that have materially affected, or are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17, 2023, ManpowerGroup Inc. (the “Company”) entered into a letter agreement with each of Jonas Prising, John (“Jack”) McGinnis, Michelle S. Nettles and Richard Buchband that provides for severance and other post-employment benefits and contains certain post-employment restrictive covenants. The letter agreements replace similar severance agreements previously entered into by each of Messrs. Prising, McGinnis and Buchband and Ms. Nettles. The new letter agreements expire on the first to occur of (1) the date two years after the occurrence of a change of control of the Company or (2) February 28, 2026, if no such change of control occurs before February 28, 2026. Aside from the new term, the letter agreements are in substantially the same form as the severance agreements they replace.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The foregoing description of the letter agreements is qualified in its entirety by reference to the compensation agreements and severance agreements and compensation agreements filed herewith as exhibits 10.6 (a), 10.8 (b), 10.8 (a) and 10.6(d), which are incorporated by reference to this report.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PART III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1" w:lineRule="exact"/>
        <w:rPr>
          <w:sz w:val="20"/>
          <w:szCs w:val="20"/>
          <w:color w:val="auto"/>
        </w:rPr>
      </w:pPr>
    </w:p>
    <w:p>
      <w:pPr>
        <w:ind w:left="600" w:hanging="382"/>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 Officers. Reference is made to “Executive Officers of ManpowerGroup” in Part I after Item 4.</w:t>
      </w:r>
    </w:p>
    <w:p>
      <w:pPr>
        <w:spacing w:after="0" w:line="183" w:lineRule="exact"/>
        <w:rPr>
          <w:rFonts w:ascii="Arial" w:cs="Arial" w:eastAsia="Arial" w:hAnsi="Arial"/>
          <w:sz w:val="18"/>
          <w:szCs w:val="18"/>
          <w:color w:val="auto"/>
        </w:rPr>
      </w:pPr>
    </w:p>
    <w:p>
      <w:pPr>
        <w:ind w:left="600" w:hanging="382"/>
        <w:spacing w:after="0" w:line="275"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Directors. The information required by this Item is set forth in our Proxy Statement for the Annual Meeting of Shareholders to be held on May 5, 2023 under the caption “Election of Directors,” which information is hereby incorporated herein by reference.</w:t>
      </w:r>
    </w:p>
    <w:p>
      <w:pPr>
        <w:spacing w:after="0" w:line="131" w:lineRule="exact"/>
        <w:rPr>
          <w:rFonts w:ascii="Arial" w:cs="Arial" w:eastAsia="Arial" w:hAnsi="Arial"/>
          <w:sz w:val="18"/>
          <w:szCs w:val="18"/>
          <w:color w:val="auto"/>
        </w:rPr>
      </w:pPr>
    </w:p>
    <w:p>
      <w:pPr>
        <w:ind w:left="600" w:hanging="382"/>
        <w:spacing w:after="0" w:line="340" w:lineRule="auto"/>
        <w:tabs>
          <w:tab w:leader="none" w:pos="6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board of directors has determined that each of John F. Ferraro and Paul Read, chair of the audit committee, is an “audit committee financial expert.” Mr. Ferraro and Mr. Read are both “independent” as that term is used in Item 7(d)(3)(iv) of Schedule 14A under the Exchange Act.</w:t>
      </w:r>
    </w:p>
    <w:p>
      <w:pPr>
        <w:spacing w:after="0" w:line="97" w:lineRule="exact"/>
        <w:rPr>
          <w:rFonts w:ascii="Arial" w:cs="Arial" w:eastAsia="Arial" w:hAnsi="Arial"/>
          <w:sz w:val="16"/>
          <w:szCs w:val="16"/>
          <w:color w:val="auto"/>
        </w:rPr>
      </w:pPr>
    </w:p>
    <w:p>
      <w:pPr>
        <w:jc w:val="both"/>
        <w:ind w:left="600" w:hanging="382"/>
        <w:spacing w:after="0" w:line="262"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Audit Committee. The information required by this Item is set forth in our Proxy Statement for the Annual Meeting of Shareholders to be held on May 5, 2023 under the caption “Election of Directors - Meetings and Committees of the Board,” which information is hereby incorporated herein by reference.</w:t>
      </w:r>
    </w:p>
    <w:p>
      <w:pPr>
        <w:spacing w:after="0" w:line="142" w:lineRule="exact"/>
        <w:rPr>
          <w:rFonts w:ascii="Arial" w:cs="Arial" w:eastAsia="Arial" w:hAnsi="Arial"/>
          <w:sz w:val="18"/>
          <w:szCs w:val="18"/>
          <w:color w:val="auto"/>
        </w:rPr>
      </w:pPr>
    </w:p>
    <w:p>
      <w:pPr>
        <w:jc w:val="both"/>
        <w:ind w:left="600" w:hanging="382"/>
        <w:spacing w:after="0" w:line="274" w:lineRule="auto"/>
        <w:tabs>
          <w:tab w:leader="none" w:pos="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www.manpowergroup.com. We intend to satisfy our disclosure requirements under Item 5.05 of Form 8-K, regarding any amendments to, or waiver of, a provision of our Code of Business Conduct and Ethics that applies to our principal executive officer, principal financial officer, principal accounting officer and controller or our directors by posting such information at this location on our website.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5, 2023, under the captions "Compensation Discussion and Analysis," "Compensation Tables," "CEO Pay Ratio;" and "Pay vs. Performance" under the caption “Compensation Committee Interlocks and Insider Participation;” and under the caption “Report of the People, Culture and Compensation Committee of the Board of Directors,” which information is hereby incorporated herein by reference.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5, 2023, under the caption “Security Ownership of Certain Beneficial Owners,” and under the caption “Beneficial Ownership of Directors and Executive Officers,” which information is hereby incorporated herein by reference.</w:t>
      </w:r>
    </w:p>
    <w:p>
      <w:pPr>
        <w:spacing w:after="0" w:line="14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following table sets forth information as of December 31, 2022 about our shares of common stock outstanding and available for issuance under our existing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105410</wp:posOffset>
            </wp:positionV>
            <wp:extent cx="4403725" cy="8794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4403725" cy="87947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88"/>
              </w:rPr>
              <w:t>Weighted-average exercise</w:t>
            </w:r>
          </w:p>
        </w:tc>
        <w:tc>
          <w:tcPr>
            <w:tcW w:w="120" w:type="dxa"/>
            <w:vAlign w:val="bottom"/>
          </w:tcPr>
          <w:p>
            <w:pPr>
              <w:spacing w:after="0"/>
              <w:rPr>
                <w:sz w:val="19"/>
                <w:szCs w:val="19"/>
                <w:color w:val="auto"/>
              </w:rPr>
            </w:pPr>
          </w:p>
        </w:tc>
        <w:tc>
          <w:tcPr>
            <w:tcW w:w="17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8"/>
              </w:rPr>
              <w:t>Weighted-average</w:t>
            </w:r>
          </w:p>
        </w:tc>
        <w:tc>
          <w:tcPr>
            <w:tcW w:w="120" w:type="dxa"/>
            <w:vAlign w:val="bottom"/>
          </w:tcPr>
          <w:p>
            <w:pPr>
              <w:spacing w:after="0"/>
              <w:rPr>
                <w:sz w:val="19"/>
                <w:szCs w:val="19"/>
                <w:color w:val="auto"/>
              </w:rPr>
            </w:pPr>
          </w:p>
        </w:tc>
        <w:tc>
          <w:tcPr>
            <w:tcW w:w="27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0"/>
              </w:rPr>
              <w:t>Number of securities remaining</w:t>
            </w:r>
          </w:p>
        </w:tc>
        <w:tc>
          <w:tcPr>
            <w:tcW w:w="0" w:type="dxa"/>
            <w:vAlign w:val="bottom"/>
          </w:tcPr>
          <w:p>
            <w:pPr>
              <w:spacing w:after="0"/>
              <w:rPr>
                <w:sz w:val="1"/>
                <w:szCs w:val="1"/>
                <w:color w:val="auto"/>
              </w:rPr>
            </w:pPr>
          </w:p>
        </w:tc>
      </w:tr>
      <w:tr>
        <w:trPr>
          <w:trHeight w:val="215"/>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Number of securities to be</w:t>
            </w:r>
          </w:p>
        </w:tc>
        <w:tc>
          <w:tcPr>
            <w:tcW w:w="120" w:type="dxa"/>
            <w:vAlign w:val="bottom"/>
          </w:tcPr>
          <w:p>
            <w:pPr>
              <w:spacing w:after="0"/>
              <w:rPr>
                <w:sz w:val="18"/>
                <w:szCs w:val="18"/>
                <w:color w:val="auto"/>
              </w:rPr>
            </w:pPr>
          </w:p>
        </w:tc>
        <w:tc>
          <w:tcPr>
            <w:tcW w:w="2100" w:type="dxa"/>
            <w:vAlign w:val="bottom"/>
          </w:tcPr>
          <w:p>
            <w:pPr>
              <w:jc w:val="center"/>
              <w:ind w:right="50"/>
              <w:spacing w:after="0"/>
              <w:rPr>
                <w:sz w:val="20"/>
                <w:szCs w:val="20"/>
                <w:color w:val="auto"/>
              </w:rPr>
            </w:pPr>
            <w:r>
              <w:rPr>
                <w:rFonts w:ascii="Arial" w:cs="Arial" w:eastAsia="Arial" w:hAnsi="Arial"/>
                <w:sz w:val="18"/>
                <w:szCs w:val="18"/>
                <w:color w:val="auto"/>
                <w:w w:val="91"/>
              </w:rPr>
              <w:t>price of outstanding</w:t>
            </w:r>
          </w:p>
        </w:tc>
        <w:tc>
          <w:tcPr>
            <w:tcW w:w="120" w:type="dxa"/>
            <w:vAlign w:val="bottom"/>
          </w:tcPr>
          <w:p>
            <w:pPr>
              <w:spacing w:after="0"/>
              <w:rPr>
                <w:sz w:val="18"/>
                <w:szCs w:val="18"/>
                <w:color w:val="auto"/>
              </w:rPr>
            </w:pP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1"/>
              </w:rPr>
              <w:t>contractual term of</w:t>
            </w:r>
          </w:p>
        </w:tc>
        <w:tc>
          <w:tcPr>
            <w:tcW w:w="120" w:type="dxa"/>
            <w:vAlign w:val="bottom"/>
          </w:tcPr>
          <w:p>
            <w:pPr>
              <w:spacing w:after="0"/>
              <w:rPr>
                <w:sz w:val="18"/>
                <w:szCs w:val="18"/>
                <w:color w:val="auto"/>
              </w:rPr>
            </w:pPr>
          </w:p>
        </w:tc>
        <w:tc>
          <w:tcPr>
            <w:tcW w:w="2740" w:type="dxa"/>
            <w:vAlign w:val="bottom"/>
          </w:tcPr>
          <w:p>
            <w:pPr>
              <w:jc w:val="center"/>
              <w:ind w:right="50"/>
              <w:spacing w:after="0"/>
              <w:rPr>
                <w:sz w:val="20"/>
                <w:szCs w:val="20"/>
                <w:color w:val="auto"/>
              </w:rPr>
            </w:pPr>
            <w:r>
              <w:rPr>
                <w:rFonts w:ascii="Arial" w:cs="Arial" w:eastAsia="Arial" w:hAnsi="Arial"/>
                <w:sz w:val="18"/>
                <w:szCs w:val="18"/>
                <w:color w:val="auto"/>
                <w:w w:val="90"/>
              </w:rPr>
              <w:t>available for future issuance under</w:t>
            </w:r>
          </w:p>
        </w:tc>
        <w:tc>
          <w:tcPr>
            <w:tcW w:w="0" w:type="dxa"/>
            <w:vAlign w:val="bottom"/>
          </w:tcPr>
          <w:p>
            <w:pPr>
              <w:spacing w:after="0"/>
              <w:rPr>
                <w:sz w:val="1"/>
                <w:szCs w:val="1"/>
                <w:color w:val="auto"/>
              </w:rPr>
            </w:pPr>
          </w:p>
        </w:tc>
      </w:tr>
      <w:tr>
        <w:trPr>
          <w:trHeight w:val="215"/>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88"/>
              </w:rPr>
              <w:t>issued upon exercise of</w:t>
            </w:r>
          </w:p>
        </w:tc>
        <w:tc>
          <w:tcPr>
            <w:tcW w:w="120" w:type="dxa"/>
            <w:vAlign w:val="bottom"/>
          </w:tcPr>
          <w:p>
            <w:pPr>
              <w:spacing w:after="0"/>
              <w:rPr>
                <w:sz w:val="18"/>
                <w:szCs w:val="18"/>
                <w:color w:val="auto"/>
              </w:rPr>
            </w:pPr>
          </w:p>
        </w:tc>
        <w:tc>
          <w:tcPr>
            <w:tcW w:w="2100" w:type="dxa"/>
            <w:vAlign w:val="bottom"/>
          </w:tcPr>
          <w:p>
            <w:pPr>
              <w:jc w:val="center"/>
              <w:ind w:right="50"/>
              <w:spacing w:after="0"/>
              <w:rPr>
                <w:sz w:val="20"/>
                <w:szCs w:val="20"/>
                <w:color w:val="auto"/>
              </w:rPr>
            </w:pPr>
            <w:r>
              <w:rPr>
                <w:rFonts w:ascii="Arial" w:cs="Arial" w:eastAsia="Arial" w:hAnsi="Arial"/>
                <w:sz w:val="18"/>
                <w:szCs w:val="18"/>
                <w:color w:val="auto"/>
                <w:w w:val="88"/>
              </w:rPr>
              <w:t>options, warrants and</w:t>
            </w:r>
          </w:p>
        </w:tc>
        <w:tc>
          <w:tcPr>
            <w:tcW w:w="12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0"/>
              </w:rPr>
              <w:t>outstanding options,</w:t>
            </w:r>
          </w:p>
        </w:tc>
        <w:tc>
          <w:tcPr>
            <w:tcW w:w="120" w:type="dxa"/>
            <w:vAlign w:val="bottom"/>
          </w:tcPr>
          <w:p>
            <w:pPr>
              <w:spacing w:after="0"/>
              <w:rPr>
                <w:sz w:val="18"/>
                <w:szCs w:val="18"/>
                <w:color w:val="auto"/>
              </w:rPr>
            </w:pPr>
          </w:p>
        </w:tc>
        <w:tc>
          <w:tcPr>
            <w:tcW w:w="2740" w:type="dxa"/>
            <w:vAlign w:val="bottom"/>
          </w:tcPr>
          <w:p>
            <w:pPr>
              <w:jc w:val="center"/>
              <w:ind w:right="70"/>
              <w:spacing w:after="0"/>
              <w:rPr>
                <w:sz w:val="20"/>
                <w:szCs w:val="20"/>
                <w:color w:val="auto"/>
              </w:rPr>
            </w:pPr>
            <w:r>
              <w:rPr>
                <w:rFonts w:ascii="Arial" w:cs="Arial" w:eastAsia="Arial" w:hAnsi="Arial"/>
                <w:sz w:val="18"/>
                <w:szCs w:val="18"/>
                <w:color w:val="auto"/>
                <w:w w:val="89"/>
              </w:rPr>
              <w:t>equity compensation plans as of</w:t>
            </w:r>
          </w:p>
        </w:tc>
        <w:tc>
          <w:tcPr>
            <w:tcW w:w="0" w:type="dxa"/>
            <w:vAlign w:val="bottom"/>
          </w:tcPr>
          <w:p>
            <w:pPr>
              <w:spacing w:after="0"/>
              <w:rPr>
                <w:sz w:val="1"/>
                <w:szCs w:val="1"/>
                <w:color w:val="auto"/>
              </w:rPr>
            </w:pPr>
          </w:p>
        </w:tc>
      </w:tr>
      <w:tr>
        <w:trPr>
          <w:trHeight w:val="215"/>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89"/>
              </w:rPr>
              <w:t>outstanding options,</w:t>
            </w:r>
          </w:p>
        </w:tc>
        <w:tc>
          <w:tcPr>
            <w:tcW w:w="120" w:type="dxa"/>
            <w:vAlign w:val="bottom"/>
          </w:tcPr>
          <w:p>
            <w:pPr>
              <w:spacing w:after="0"/>
              <w:rPr>
                <w:sz w:val="18"/>
                <w:szCs w:val="18"/>
                <w:color w:val="auto"/>
              </w:rPr>
            </w:pPr>
          </w:p>
        </w:tc>
        <w:tc>
          <w:tcPr>
            <w:tcW w:w="2100" w:type="dxa"/>
            <w:vAlign w:val="bottom"/>
          </w:tcPr>
          <w:p>
            <w:pPr>
              <w:jc w:val="center"/>
              <w:ind w:right="50"/>
              <w:spacing w:after="0"/>
              <w:rPr>
                <w:sz w:val="20"/>
                <w:szCs w:val="20"/>
                <w:color w:val="auto"/>
              </w:rPr>
            </w:pPr>
            <w:r>
              <w:rPr>
                <w:rFonts w:ascii="Arial" w:cs="Arial" w:eastAsia="Arial" w:hAnsi="Arial"/>
                <w:sz w:val="18"/>
                <w:szCs w:val="18"/>
                <w:color w:val="auto"/>
                <w:w w:val="90"/>
              </w:rPr>
              <w:t>rights</w:t>
            </w:r>
          </w:p>
        </w:tc>
        <w:tc>
          <w:tcPr>
            <w:tcW w:w="12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18"/>
                <w:szCs w:val="18"/>
                <w:color w:val="auto"/>
              </w:rPr>
            </w:pPr>
          </w:p>
        </w:tc>
        <w:tc>
          <w:tcPr>
            <w:tcW w:w="274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2022</w:t>
            </w:r>
          </w:p>
        </w:tc>
        <w:tc>
          <w:tcPr>
            <w:tcW w:w="0" w:type="dxa"/>
            <w:vAlign w:val="bottom"/>
          </w:tcPr>
          <w:p>
            <w:pPr>
              <w:spacing w:after="0"/>
              <w:rPr>
                <w:sz w:val="1"/>
                <w:szCs w:val="1"/>
                <w:color w:val="auto"/>
              </w:rPr>
            </w:pPr>
          </w:p>
        </w:tc>
      </w:tr>
      <w:tr>
        <w:trPr>
          <w:trHeight w:val="193"/>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jc w:val="center"/>
              <w:ind w:right="70"/>
              <w:spacing w:after="0" w:line="194" w:lineRule="exact"/>
              <w:rPr>
                <w:sz w:val="20"/>
                <w:szCs w:val="20"/>
                <w:color w:val="auto"/>
              </w:rPr>
            </w:pPr>
            <w:r>
              <w:rPr>
                <w:rFonts w:ascii="Arial" w:cs="Arial" w:eastAsia="Arial" w:hAnsi="Arial"/>
                <w:sz w:val="18"/>
                <w:szCs w:val="18"/>
                <w:color w:val="auto"/>
                <w:w w:val="88"/>
              </w:rPr>
              <w:t>warrants and rights</w:t>
            </w:r>
          </w:p>
        </w:tc>
        <w:tc>
          <w:tcPr>
            <w:tcW w:w="120" w:type="dxa"/>
            <w:vAlign w:val="bottom"/>
          </w:tcPr>
          <w:p>
            <w:pPr>
              <w:spacing w:after="0"/>
              <w:rPr>
                <w:sz w:val="16"/>
                <w:szCs w:val="16"/>
                <w:color w:val="auto"/>
              </w:rPr>
            </w:pPr>
          </w:p>
        </w:tc>
        <w:tc>
          <w:tcPr>
            <w:tcW w:w="2100" w:type="dxa"/>
            <w:vAlign w:val="bottom"/>
          </w:tcPr>
          <w:p>
            <w:pPr>
              <w:jc w:val="center"/>
              <w:ind w:right="50"/>
              <w:spacing w:after="0" w:line="194" w:lineRule="exact"/>
              <w:rPr>
                <w:sz w:val="20"/>
                <w:szCs w:val="20"/>
                <w:color w:val="auto"/>
              </w:rPr>
            </w:pPr>
            <w:r>
              <w:rPr>
                <w:rFonts w:ascii="Arial" w:cs="Arial" w:eastAsia="Arial" w:hAnsi="Arial"/>
                <w:sz w:val="18"/>
                <w:szCs w:val="18"/>
                <w:color w:val="auto"/>
                <w:w w:val="89"/>
              </w:rPr>
              <w:t>as of December 31, 2022</w:t>
            </w:r>
          </w:p>
        </w:tc>
        <w:tc>
          <w:tcPr>
            <w:tcW w:w="120" w:type="dxa"/>
            <w:vAlign w:val="bottom"/>
          </w:tcPr>
          <w:p>
            <w:pPr>
              <w:spacing w:after="0"/>
              <w:rPr>
                <w:sz w:val="16"/>
                <w:szCs w:val="16"/>
                <w:color w:val="auto"/>
              </w:rPr>
            </w:pPr>
          </w:p>
        </w:tc>
        <w:tc>
          <w:tcPr>
            <w:tcW w:w="1720" w:type="dxa"/>
            <w:vAlign w:val="bottom"/>
          </w:tcPr>
          <w:p>
            <w:pPr>
              <w:jc w:val="center"/>
              <w:ind w:right="70"/>
              <w:spacing w:after="0" w:line="194" w:lineRule="exact"/>
              <w:rPr>
                <w:sz w:val="20"/>
                <w:szCs w:val="20"/>
                <w:color w:val="auto"/>
              </w:rPr>
            </w:pPr>
            <w:r>
              <w:rPr>
                <w:rFonts w:ascii="Arial" w:cs="Arial" w:eastAsia="Arial" w:hAnsi="Arial"/>
                <w:sz w:val="18"/>
                <w:szCs w:val="18"/>
                <w:color w:val="auto"/>
                <w:w w:val="89"/>
              </w:rPr>
              <w:t>as of December 31,</w:t>
            </w:r>
          </w:p>
        </w:tc>
        <w:tc>
          <w:tcPr>
            <w:tcW w:w="120" w:type="dxa"/>
            <w:vAlign w:val="bottom"/>
          </w:tcPr>
          <w:p>
            <w:pPr>
              <w:spacing w:after="0"/>
              <w:rPr>
                <w:sz w:val="16"/>
                <w:szCs w:val="16"/>
                <w:color w:val="auto"/>
              </w:rPr>
            </w:pPr>
          </w:p>
        </w:tc>
        <w:tc>
          <w:tcPr>
            <w:tcW w:w="2740" w:type="dxa"/>
            <w:vAlign w:val="bottom"/>
          </w:tcPr>
          <w:p>
            <w:pPr>
              <w:jc w:val="center"/>
              <w:ind w:right="30"/>
              <w:spacing w:after="0" w:line="194" w:lineRule="exact"/>
              <w:rPr>
                <w:sz w:val="20"/>
                <w:szCs w:val="20"/>
                <w:color w:val="auto"/>
              </w:rPr>
            </w:pPr>
            <w:r>
              <w:rPr>
                <w:rFonts w:ascii="Arial" w:cs="Arial" w:eastAsia="Arial" w:hAnsi="Arial"/>
                <w:sz w:val="18"/>
                <w:szCs w:val="18"/>
                <w:color w:val="auto"/>
                <w:w w:val="91"/>
              </w:rPr>
              <w:t>(excluding securities reflected in the</w:t>
            </w:r>
          </w:p>
        </w:tc>
        <w:tc>
          <w:tcPr>
            <w:tcW w:w="0" w:type="dxa"/>
            <w:vAlign w:val="bottom"/>
          </w:tcPr>
          <w:p>
            <w:pPr>
              <w:spacing w:after="0"/>
              <w:rPr>
                <w:sz w:val="1"/>
                <w:szCs w:val="1"/>
                <w:color w:val="auto"/>
              </w:rPr>
            </w:pPr>
          </w:p>
        </w:tc>
      </w:tr>
      <w:tr>
        <w:trPr>
          <w:trHeight w:val="265"/>
        </w:trPr>
        <w:tc>
          <w:tcPr>
            <w:tcW w:w="2080" w:type="dxa"/>
            <w:vAlign w:val="bottom"/>
          </w:tcPr>
          <w:p>
            <w:pPr>
              <w:ind w:left="20"/>
              <w:spacing w:after="0"/>
              <w:rPr>
                <w:sz w:val="20"/>
                <w:szCs w:val="20"/>
                <w:color w:val="auto"/>
              </w:rPr>
            </w:pPr>
            <w:r>
              <w:rPr>
                <w:rFonts w:ascii="Arial" w:cs="Arial" w:eastAsia="Arial" w:hAnsi="Arial"/>
                <w:sz w:val="18"/>
                <w:szCs w:val="18"/>
                <w:color w:val="auto"/>
              </w:rPr>
              <w:t>Plan category</w:t>
            </w:r>
          </w:p>
        </w:tc>
        <w:tc>
          <w:tcPr>
            <w:tcW w:w="120" w:type="dxa"/>
            <w:vAlign w:val="bottom"/>
          </w:tcPr>
          <w:p>
            <w:pPr>
              <w:spacing w:after="0"/>
              <w:rPr>
                <w:sz w:val="23"/>
                <w:szCs w:val="23"/>
                <w:color w:val="auto"/>
              </w:rPr>
            </w:pPr>
          </w:p>
        </w:tc>
        <w:tc>
          <w:tcPr>
            <w:tcW w:w="2120" w:type="dxa"/>
            <w:vAlign w:val="bottom"/>
          </w:tcPr>
          <w:p>
            <w:pPr>
              <w:jc w:val="right"/>
              <w:ind w:right="130"/>
              <w:spacing w:after="0"/>
              <w:rPr>
                <w:sz w:val="20"/>
                <w:szCs w:val="20"/>
                <w:color w:val="auto"/>
              </w:rPr>
            </w:pPr>
            <w:r>
              <w:rPr>
                <w:rFonts w:ascii="Arial" w:cs="Arial" w:eastAsia="Arial" w:hAnsi="Arial"/>
                <w:sz w:val="18"/>
                <w:szCs w:val="18"/>
                <w:color w:val="auto"/>
                <w:w w:val="92"/>
              </w:rPr>
              <w:t>as of December 31, 2022</w:t>
            </w:r>
          </w:p>
        </w:tc>
        <w:tc>
          <w:tcPr>
            <w:tcW w:w="2220" w:type="dxa"/>
            <w:vAlign w:val="bottom"/>
            <w:gridSpan w:val="2"/>
          </w:tcPr>
          <w:p>
            <w:pPr>
              <w:jc w:val="center"/>
              <w:spacing w:after="0"/>
              <w:rPr>
                <w:sz w:val="20"/>
                <w:szCs w:val="20"/>
                <w:color w:val="auto"/>
              </w:rPr>
            </w:pPr>
            <w:r>
              <w:rPr>
                <w:rFonts w:ascii="Arial" w:cs="Arial" w:eastAsia="Arial" w:hAnsi="Arial"/>
                <w:sz w:val="18"/>
                <w:szCs w:val="18"/>
                <w:color w:val="auto"/>
                <w:w w:val="90"/>
              </w:rPr>
              <w:t>($)</w:t>
            </w:r>
          </w:p>
        </w:tc>
        <w:tc>
          <w:tcPr>
            <w:tcW w:w="120" w:type="dxa"/>
            <w:vAlign w:val="bottom"/>
          </w:tcPr>
          <w:p>
            <w:pPr>
              <w:spacing w:after="0"/>
              <w:rPr>
                <w:sz w:val="23"/>
                <w:szCs w:val="23"/>
                <w:color w:val="auto"/>
              </w:rPr>
            </w:pPr>
          </w:p>
        </w:tc>
        <w:tc>
          <w:tcPr>
            <w:tcW w:w="1720" w:type="dxa"/>
            <w:vAlign w:val="bottom"/>
          </w:tcPr>
          <w:p>
            <w:pPr>
              <w:jc w:val="center"/>
              <w:ind w:right="10"/>
              <w:spacing w:after="0"/>
              <w:rPr>
                <w:sz w:val="20"/>
                <w:szCs w:val="20"/>
                <w:color w:val="auto"/>
              </w:rPr>
            </w:pPr>
            <w:r>
              <w:rPr>
                <w:rFonts w:ascii="Arial" w:cs="Arial" w:eastAsia="Arial" w:hAnsi="Arial"/>
                <w:sz w:val="18"/>
                <w:szCs w:val="18"/>
                <w:color w:val="auto"/>
                <w:w w:val="89"/>
              </w:rPr>
              <w:t>2022 (years)</w:t>
            </w:r>
          </w:p>
        </w:tc>
        <w:tc>
          <w:tcPr>
            <w:tcW w:w="120" w:type="dxa"/>
            <w:vAlign w:val="bottom"/>
          </w:tcPr>
          <w:p>
            <w:pPr>
              <w:spacing w:after="0"/>
              <w:rPr>
                <w:sz w:val="23"/>
                <w:szCs w:val="23"/>
                <w:color w:val="auto"/>
              </w:rPr>
            </w:pPr>
          </w:p>
        </w:tc>
        <w:tc>
          <w:tcPr>
            <w:tcW w:w="2740" w:type="dxa"/>
            <w:vAlign w:val="bottom"/>
          </w:tcPr>
          <w:p>
            <w:pPr>
              <w:jc w:val="center"/>
              <w:ind w:right="10"/>
              <w:spacing w:after="0" w:line="265" w:lineRule="exact"/>
              <w:rPr>
                <w:sz w:val="20"/>
                <w:szCs w:val="20"/>
                <w:color w:val="auto"/>
              </w:rPr>
            </w:pPr>
            <w:r>
              <w:rPr>
                <w:rFonts w:ascii="Arial" w:cs="Arial" w:eastAsia="Arial" w:hAnsi="Arial"/>
                <w:sz w:val="18"/>
                <w:szCs w:val="18"/>
                <w:color w:val="auto"/>
                <w:w w:val="91"/>
              </w:rPr>
              <w:t>first column)</w:t>
            </w:r>
            <w:r>
              <w:rPr>
                <w:rFonts w:ascii="Arial" w:cs="Arial" w:eastAsia="Arial" w:hAnsi="Arial"/>
                <w:sz w:val="24"/>
                <w:szCs w:val="24"/>
                <w:color w:val="auto"/>
                <w:w w:val="91"/>
                <w:vertAlign w:val="superscript"/>
              </w:rPr>
              <w:t>(1)</w:t>
            </w:r>
          </w:p>
        </w:tc>
        <w:tc>
          <w:tcPr>
            <w:tcW w:w="0" w:type="dxa"/>
            <w:vAlign w:val="bottom"/>
          </w:tcPr>
          <w:p>
            <w:pPr>
              <w:spacing w:after="0"/>
              <w:rPr>
                <w:sz w:val="1"/>
                <w:szCs w:val="1"/>
                <w:color w:val="auto"/>
              </w:rPr>
            </w:pPr>
          </w:p>
        </w:tc>
      </w:tr>
      <w:tr>
        <w:trPr>
          <w:trHeight w:val="208"/>
        </w:trPr>
        <w:tc>
          <w:tcPr>
            <w:tcW w:w="2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4"/>
              </w:rPr>
              <w:t>Equity compensation plans</w:t>
            </w:r>
          </w:p>
        </w:tc>
        <w:tc>
          <w:tcPr>
            <w:tcW w:w="120" w:type="dxa"/>
            <w:vAlign w:val="bottom"/>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7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approved by security</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holders</w:t>
            </w:r>
          </w:p>
        </w:tc>
        <w:tc>
          <w:tcPr>
            <w:tcW w:w="2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2,034,090</w:t>
            </w:r>
          </w:p>
        </w:tc>
        <w:tc>
          <w:tcPr>
            <w:tcW w:w="2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89.04</w:t>
            </w:r>
          </w:p>
        </w:tc>
        <w:tc>
          <w:tcPr>
            <w:tcW w:w="18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28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3,896,515</w:t>
            </w:r>
          </w:p>
        </w:tc>
        <w:tc>
          <w:tcPr>
            <w:tcW w:w="0" w:type="dxa"/>
            <w:vAlign w:val="bottom"/>
          </w:tcPr>
          <w:p>
            <w:pPr>
              <w:spacing w:after="0"/>
              <w:rPr>
                <w:sz w:val="1"/>
                <w:szCs w:val="1"/>
                <w:color w:val="auto"/>
              </w:rPr>
            </w:pPr>
          </w:p>
        </w:tc>
      </w:tr>
      <w:tr>
        <w:trPr>
          <w:trHeight w:val="214"/>
        </w:trPr>
        <w:tc>
          <w:tcPr>
            <w:tcW w:w="2080" w:type="dxa"/>
            <w:vAlign w:val="bottom"/>
          </w:tcPr>
          <w:p>
            <w:pPr>
              <w:ind w:left="20"/>
              <w:spacing w:after="0"/>
              <w:rPr>
                <w:sz w:val="20"/>
                <w:szCs w:val="20"/>
                <w:color w:val="auto"/>
              </w:rPr>
            </w:pPr>
            <w:r>
              <w:rPr>
                <w:rFonts w:ascii="Arial" w:cs="Arial" w:eastAsia="Arial" w:hAnsi="Arial"/>
                <w:sz w:val="18"/>
                <w:szCs w:val="18"/>
                <w:color w:val="auto"/>
                <w:w w:val="94"/>
              </w:rPr>
              <w:t>Equity compensation plans</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8"/>
                <w:szCs w:val="18"/>
                <w:color w:val="auto"/>
              </w:rPr>
              <w:t>not approved by security</w:t>
            </w:r>
          </w:p>
        </w:tc>
        <w:tc>
          <w:tcPr>
            <w:tcW w:w="120" w:type="dxa"/>
            <w:vAlign w:val="bottom"/>
          </w:tcPr>
          <w:p>
            <w:pPr>
              <w:spacing w:after="0"/>
              <w:rPr>
                <w:sz w:val="18"/>
                <w:szCs w:val="18"/>
                <w:color w:val="auto"/>
              </w:rPr>
            </w:pPr>
          </w:p>
        </w:tc>
        <w:tc>
          <w:tcPr>
            <w:tcW w:w="21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80" w:type="dxa"/>
            <w:vAlign w:val="bottom"/>
          </w:tcPr>
          <w:p>
            <w:pPr>
              <w:ind w:left="20"/>
              <w:spacing w:after="0"/>
              <w:rPr>
                <w:sz w:val="20"/>
                <w:szCs w:val="20"/>
                <w:color w:val="auto"/>
              </w:rPr>
            </w:pPr>
            <w:r>
              <w:rPr>
                <w:rFonts w:ascii="Arial" w:cs="Arial" w:eastAsia="Arial" w:hAnsi="Arial"/>
                <w:sz w:val="18"/>
                <w:szCs w:val="18"/>
                <w:color w:val="auto"/>
              </w:rPr>
              <w:t>holders</w:t>
            </w:r>
          </w:p>
        </w:tc>
        <w:tc>
          <w:tcPr>
            <w:tcW w:w="120" w:type="dxa"/>
            <w:vAlign w:val="bottom"/>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2,034,090</w:t>
            </w:r>
          </w:p>
        </w:tc>
        <w:tc>
          <w:tcPr>
            <w:tcW w:w="222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89.04</w:t>
            </w:r>
          </w:p>
        </w:tc>
        <w:tc>
          <w:tcPr>
            <w:tcW w:w="184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auto"/>
            </w:tcBorders>
            <w:shd w:val="clear" w:color="auto" w:fill="CFF0FC"/>
          </w:tcPr>
          <w:p>
            <w:pPr>
              <w:spacing w:after="0"/>
              <w:rPr>
                <w:sz w:val="19"/>
                <w:szCs w:val="19"/>
                <w:color w:val="auto"/>
              </w:rPr>
            </w:pPr>
          </w:p>
        </w:tc>
        <w:tc>
          <w:tcPr>
            <w:tcW w:w="2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3,896,515</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340" w:firstLine="1"/>
        <w:spacing w:after="0" w:line="291"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the number of shares remaining available for future issuance under the following plans: 2011 Equity Incentive Plan - 3,326,258 shares; and Savings Related Share Option Scheme – 570,257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5, 2023, under the caption “Board Independence and Related Party Transactions” and “Meetings and Committees of the Board,” which information is hereby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5, 2023, under the captions “Fees Billed by Deloitte &amp; Touche” and “Independent Auditor Services Policy” in the Audit Committee Report, which information is hereby incorporated herein by reference.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PART IV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Page Number</w:t>
            </w:r>
          </w:p>
        </w:tc>
        <w:tc>
          <w:tcPr>
            <w:tcW w:w="0" w:type="dxa"/>
            <w:vAlign w:val="bottom"/>
          </w:tcPr>
          <w:p>
            <w:pPr>
              <w:spacing w:after="0"/>
              <w:rPr>
                <w:sz w:val="1"/>
                <w:szCs w:val="1"/>
                <w:color w:val="auto"/>
              </w:rPr>
            </w:pPr>
          </w:p>
        </w:tc>
      </w:tr>
      <w:tr>
        <w:trPr>
          <w:trHeight w:val="24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Consolidated Financial Statements:</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4520" w:type="dxa"/>
            <w:vAlign w:val="bottom"/>
            <w:gridSpan w:val="6"/>
          </w:tcPr>
          <w:p>
            <w:pPr>
              <w:spacing w:after="0" w:line="189" w:lineRule="exact"/>
              <w:rPr>
                <w:sz w:val="20"/>
                <w:szCs w:val="20"/>
                <w:color w:val="auto"/>
              </w:rPr>
            </w:pPr>
            <w:r>
              <w:rPr>
                <w:rFonts w:ascii="Arial" w:cs="Arial" w:eastAsia="Arial" w:hAnsi="Arial"/>
                <w:sz w:val="18"/>
                <w:szCs w:val="18"/>
                <w:color w:val="0000FF"/>
                <w:w w:val="97"/>
              </w:rPr>
              <w:t>Report of Independent Registered Public Accounting Firm</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214"/>
              <w:spacing w:after="0" w:line="189"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3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60" w:type="dxa"/>
            <w:vAlign w:val="bottom"/>
            <w:shd w:val="clear" w:color="auto" w:fill="CFF0FC"/>
          </w:tcPr>
          <w:p>
            <w:pPr>
              <w:spacing w:after="0"/>
              <w:rPr>
                <w:sz w:val="16"/>
                <w:szCs w:val="16"/>
                <w:color w:val="auto"/>
              </w:rPr>
            </w:pPr>
          </w:p>
        </w:tc>
        <w:tc>
          <w:tcPr>
            <w:tcW w:w="7020" w:type="dxa"/>
            <w:vAlign w:val="bottom"/>
            <w:gridSpan w:val="14"/>
            <w:shd w:val="clear" w:color="auto" w:fill="CFF0FC"/>
          </w:tcPr>
          <w:p>
            <w:pPr>
              <w:spacing w:after="0" w:line="189" w:lineRule="exact"/>
              <w:rPr>
                <w:sz w:val="20"/>
                <w:szCs w:val="20"/>
                <w:color w:val="auto"/>
              </w:rPr>
            </w:pPr>
            <w:r>
              <w:rPr>
                <w:rFonts w:ascii="Arial" w:cs="Arial" w:eastAsia="Arial" w:hAnsi="Arial"/>
                <w:sz w:val="18"/>
                <w:szCs w:val="18"/>
                <w:color w:val="0000FF"/>
                <w:w w:val="91"/>
              </w:rPr>
              <w:t>Consolidated Statements of Operations for the years ended December 31, 2022, 2021 and 2020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center"/>
              <w:ind w:right="214"/>
              <w:spacing w:after="0" w:line="189"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34"/>
        </w:trPr>
        <w:tc>
          <w:tcPr>
            <w:tcW w:w="460" w:type="dxa"/>
            <w:vAlign w:val="bottom"/>
            <w:tcBorders>
              <w:top w:val="single" w:sz="8" w:color="CFF0FC"/>
            </w:tcBorders>
            <w:shd w:val="clear" w:color="auto" w:fill="CFF0FC"/>
          </w:tcPr>
          <w:p>
            <w:pPr>
              <w:spacing w:after="0"/>
              <w:rPr>
                <w:sz w:val="2"/>
                <w:szCs w:val="2"/>
                <w:color w:val="auto"/>
              </w:rPr>
            </w:pPr>
          </w:p>
        </w:tc>
        <w:tc>
          <w:tcPr>
            <w:tcW w:w="31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80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60" w:type="dxa"/>
            <w:vAlign w:val="bottom"/>
          </w:tcPr>
          <w:p>
            <w:pPr>
              <w:spacing w:after="0"/>
              <w:rPr>
                <w:sz w:val="16"/>
                <w:szCs w:val="16"/>
                <w:color w:val="auto"/>
              </w:rPr>
            </w:pPr>
          </w:p>
        </w:tc>
        <w:tc>
          <w:tcPr>
            <w:tcW w:w="8280" w:type="dxa"/>
            <w:vAlign w:val="bottom"/>
            <w:gridSpan w:val="19"/>
          </w:tcPr>
          <w:p>
            <w:pPr>
              <w:spacing w:after="0" w:line="189" w:lineRule="exact"/>
              <w:rPr>
                <w:sz w:val="20"/>
                <w:szCs w:val="20"/>
                <w:color w:val="auto"/>
              </w:rPr>
            </w:pPr>
            <w:r>
              <w:rPr>
                <w:rFonts w:ascii="Arial" w:cs="Arial" w:eastAsia="Arial" w:hAnsi="Arial"/>
                <w:sz w:val="18"/>
                <w:szCs w:val="18"/>
                <w:color w:val="0000FF"/>
                <w:w w:val="94"/>
              </w:rPr>
              <w:t>Consolidated Statements of Comprehensive Income for the years ended December 31, 2022, 2021 and 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214"/>
              <w:spacing w:after="0" w:line="189"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3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Borders>
              <w:bottom w:val="single" w:sz="8" w:color="CFF0FC"/>
            </w:tcBorders>
            <w:shd w:val="clear" w:color="auto" w:fill="CFF0FC"/>
          </w:tcPr>
          <w:p>
            <w:pPr>
              <w:spacing w:after="0"/>
              <w:rPr>
                <w:sz w:val="19"/>
                <w:szCs w:val="19"/>
                <w:color w:val="auto"/>
              </w:rPr>
            </w:pPr>
          </w:p>
        </w:tc>
        <w:tc>
          <w:tcPr>
            <w:tcW w:w="4640" w:type="dxa"/>
            <w:vAlign w:val="bottom"/>
            <w:tcBorders>
              <w:bottom w:val="single" w:sz="8" w:color="0000FF"/>
            </w:tcBorders>
            <w:gridSpan w:val="7"/>
            <w:shd w:val="clear" w:color="auto" w:fill="CFF0FC"/>
          </w:tcPr>
          <w:p>
            <w:pPr>
              <w:spacing w:after="0" w:line="189" w:lineRule="exact"/>
              <w:rPr>
                <w:sz w:val="20"/>
                <w:szCs w:val="20"/>
                <w:color w:val="auto"/>
              </w:rPr>
            </w:pPr>
            <w:r>
              <w:rPr>
                <w:rFonts w:ascii="Arial" w:cs="Arial" w:eastAsia="Arial" w:hAnsi="Arial"/>
                <w:sz w:val="18"/>
                <w:szCs w:val="18"/>
                <w:color w:val="0000FF"/>
                <w:w w:val="88"/>
              </w:rPr>
              <w:t>Consolidated Balance Sheets as of December 31, 2022 and 2021</w:t>
            </w:r>
          </w:p>
        </w:tc>
        <w:tc>
          <w:tcPr>
            <w:tcW w:w="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center"/>
              <w:ind w:right="214"/>
              <w:spacing w:after="0" w:line="189" w:lineRule="exact"/>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7020" w:type="dxa"/>
            <w:vAlign w:val="bottom"/>
            <w:gridSpan w:val="14"/>
          </w:tcPr>
          <w:p>
            <w:pPr>
              <w:spacing w:after="0" w:line="189" w:lineRule="exact"/>
              <w:rPr>
                <w:sz w:val="20"/>
                <w:szCs w:val="20"/>
                <w:color w:val="auto"/>
              </w:rPr>
            </w:pPr>
            <w:r>
              <w:rPr>
                <w:rFonts w:ascii="Arial" w:cs="Arial" w:eastAsia="Arial" w:hAnsi="Arial"/>
                <w:sz w:val="18"/>
                <w:szCs w:val="18"/>
                <w:color w:val="0000FF"/>
                <w:w w:val="90"/>
              </w:rPr>
              <w:t>Consolidated Statements of Cash Flows for the years ended December 31, 2022, 2021 and 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214"/>
              <w:spacing w:after="0" w:line="189"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3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shd w:val="clear" w:color="auto" w:fill="CFF0FC"/>
          </w:tcPr>
          <w:p>
            <w:pPr>
              <w:spacing w:after="0"/>
              <w:rPr>
                <w:sz w:val="19"/>
                <w:szCs w:val="19"/>
                <w:color w:val="auto"/>
              </w:rPr>
            </w:pPr>
          </w:p>
        </w:tc>
        <w:tc>
          <w:tcPr>
            <w:tcW w:w="8280" w:type="dxa"/>
            <w:vAlign w:val="bottom"/>
            <w:gridSpan w:val="19"/>
            <w:shd w:val="clear" w:color="auto" w:fill="CFF0FC"/>
          </w:tcPr>
          <w:p>
            <w:pPr>
              <w:spacing w:after="0" w:line="189" w:lineRule="exact"/>
              <w:rPr>
                <w:sz w:val="20"/>
                <w:szCs w:val="20"/>
                <w:color w:val="auto"/>
              </w:rPr>
            </w:pPr>
            <w:r>
              <w:rPr>
                <w:rFonts w:ascii="Arial" w:cs="Arial" w:eastAsia="Arial" w:hAnsi="Arial"/>
                <w:sz w:val="18"/>
                <w:szCs w:val="18"/>
                <w:color w:val="0000FF"/>
                <w:w w:val="97"/>
              </w:rPr>
              <w:t>Consolidated Statements of Shareholders’ Equity for the years ended December 31, 2022, 2021 and 2020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right="214"/>
              <w:spacing w:after="0" w:line="189"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188"/>
        </w:trPr>
        <w:tc>
          <w:tcPr>
            <w:tcW w:w="460" w:type="dxa"/>
            <w:vAlign w:val="bottom"/>
            <w:tcBorders>
              <w:top w:val="single" w:sz="8" w:color="CFF0FC"/>
            </w:tcBorders>
          </w:tcPr>
          <w:p>
            <w:pPr>
              <w:spacing w:after="0"/>
              <w:rPr>
                <w:sz w:val="16"/>
                <w:szCs w:val="16"/>
                <w:color w:val="auto"/>
              </w:rPr>
            </w:pPr>
          </w:p>
        </w:tc>
        <w:tc>
          <w:tcPr>
            <w:tcW w:w="3220" w:type="dxa"/>
            <w:vAlign w:val="bottom"/>
            <w:tcBorders>
              <w:top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91"/>
              </w:rPr>
              <w:t>Notes to Consolidated Financial Statements</w:t>
            </w:r>
          </w:p>
        </w:tc>
        <w:tc>
          <w:tcPr>
            <w:tcW w:w="18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8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5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9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vMerge w:val="restart"/>
          </w:tcPr>
          <w:p>
            <w:pPr>
              <w:jc w:val="center"/>
              <w:ind w:right="214"/>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31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top w:val="single" w:sz="8" w:color="CFF0F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80" w:type="dxa"/>
            <w:vAlign w:val="bottom"/>
            <w:gridSpan w:val="3"/>
          </w:tcPr>
          <w:p>
            <w:pPr>
              <w:spacing w:after="0"/>
              <w:rPr>
                <w:sz w:val="20"/>
                <w:szCs w:val="20"/>
                <w:color w:val="auto"/>
              </w:rPr>
            </w:pPr>
            <w:r>
              <w:rPr>
                <w:rFonts w:ascii="Arial" w:cs="Arial" w:eastAsia="Arial" w:hAnsi="Arial"/>
                <w:sz w:val="18"/>
                <w:szCs w:val="18"/>
                <w:color w:val="auto"/>
              </w:rPr>
              <w:t>(a)(2) Financial Statement Schedule.</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860" w:type="dxa"/>
            <w:vAlign w:val="bottom"/>
            <w:gridSpan w:val="4"/>
          </w:tcPr>
          <w:p>
            <w:pPr>
              <w:spacing w:after="0"/>
              <w:rPr>
                <w:sz w:val="20"/>
                <w:szCs w:val="20"/>
                <w:color w:val="auto"/>
              </w:rPr>
            </w:pPr>
            <w:r>
              <w:rPr>
                <w:rFonts w:ascii="Arial" w:cs="Arial" w:eastAsia="Arial" w:hAnsi="Arial"/>
                <w:sz w:val="18"/>
                <w:szCs w:val="18"/>
                <w:color w:val="auto"/>
                <w:w w:val="94"/>
              </w:rPr>
              <w:t>SCHEDULE II—Valuation and Qualifying Accounts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80" w:type="dxa"/>
            <w:vAlign w:val="bottom"/>
            <w:gridSpan w:val="7"/>
          </w:tcPr>
          <w:p>
            <w:pPr>
              <w:spacing w:after="0"/>
              <w:rPr>
                <w:sz w:val="20"/>
                <w:szCs w:val="20"/>
                <w:color w:val="auto"/>
              </w:rPr>
            </w:pPr>
            <w:r>
              <w:rPr>
                <w:rFonts w:ascii="Arial" w:cs="Arial" w:eastAsia="Arial" w:hAnsi="Arial"/>
                <w:sz w:val="18"/>
                <w:szCs w:val="18"/>
                <w:color w:val="auto"/>
                <w:w w:val="90"/>
              </w:rPr>
              <w:t>For the years ended December 31, 2022, 2021 and 2020, in millions: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368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Provisions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24"/>
                <w:szCs w:val="24"/>
                <w:color w:val="auto"/>
              </w:rPr>
            </w:pPr>
          </w:p>
        </w:tc>
        <w:tc>
          <w:tcPr>
            <w:tcW w:w="11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0"/>
              </w:rPr>
              <w:t>Reclassification</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420"/>
              <w:spacing w:after="0" w:line="148"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jc w:val="center"/>
              <w:ind w:right="179"/>
              <w:spacing w:after="0" w:line="148" w:lineRule="exact"/>
              <w:rPr>
                <w:sz w:val="20"/>
                <w:szCs w:val="20"/>
                <w:color w:val="auto"/>
              </w:rPr>
            </w:pPr>
            <w:r>
              <w:rPr>
                <w:rFonts w:ascii="Arial" w:cs="Arial" w:eastAsia="Arial" w:hAnsi="Arial"/>
                <w:sz w:val="14"/>
                <w:szCs w:val="14"/>
                <w:b w:val="1"/>
                <w:bCs w:val="1"/>
                <w:color w:val="auto"/>
                <w:w w:val="91"/>
              </w:rPr>
              <w:t>Charged to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Write-Offs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58"/>
              <w:spacing w:after="0" w:line="148" w:lineRule="exact"/>
              <w:rPr>
                <w:sz w:val="20"/>
                <w:szCs w:val="20"/>
                <w:color w:val="auto"/>
              </w:rPr>
            </w:pPr>
            <w:r>
              <w:rPr>
                <w:rFonts w:ascii="Arial" w:cs="Arial" w:eastAsia="Arial" w:hAnsi="Arial"/>
                <w:sz w:val="14"/>
                <w:szCs w:val="14"/>
                <w:b w:val="1"/>
                <w:bCs w:val="1"/>
                <w:color w:val="auto"/>
                <w:w w:val="76"/>
              </w:rPr>
              <w: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214"/>
              <w:spacing w:after="0" w:line="148"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84"/>
        </w:trPr>
        <w:tc>
          <w:tcPr>
            <w:tcW w:w="4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of Year</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Adjustments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178"/>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94"/>
              <w:spacing w:after="0"/>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236"/>
        </w:trPr>
        <w:tc>
          <w:tcPr>
            <w:tcW w:w="3600" w:type="dxa"/>
            <w:vAlign w:val="bottom"/>
            <w:gridSpan w:val="2"/>
            <w:shd w:val="clear" w:color="auto" w:fill="CFF0FC"/>
          </w:tcPr>
          <w:p>
            <w:pPr>
              <w:ind w:left="1600"/>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(12.4 )</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30"/>
        </w:trPr>
        <w:tc>
          <w:tcPr>
            <w:tcW w:w="3600" w:type="dxa"/>
            <w:vAlign w:val="bottom"/>
            <w:gridSpan w:val="2"/>
          </w:tcPr>
          <w:p>
            <w:pPr>
              <w:ind w:left="160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(17.7 )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55"/>
        </w:trPr>
        <w:tc>
          <w:tcPr>
            <w:tcW w:w="3600" w:type="dxa"/>
            <w:vAlign w:val="bottom"/>
            <w:gridSpan w:val="2"/>
            <w:shd w:val="clear" w:color="auto" w:fill="CFF0FC"/>
          </w:tcPr>
          <w:p>
            <w:pPr>
              <w:ind w:left="1600"/>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(17.8 )</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(c) below.</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(c) Exhibits.</w:t>
      </w:r>
    </w:p>
    <w:p>
      <w:pPr>
        <w:spacing w:after="0" w:line="237" w:lineRule="exact"/>
        <w:rPr>
          <w:sz w:val="20"/>
          <w:szCs w:val="20"/>
          <w:color w:val="auto"/>
        </w:rPr>
      </w:pPr>
    </w:p>
    <w:p>
      <w:pPr>
        <w:ind w:left="920" w:right="220" w:hanging="900"/>
        <w:spacing w:after="0" w:line="25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182">
        <w:r>
          <w:rPr>
            <w:rFonts w:ascii="Arial" w:cs="Arial" w:eastAsia="Arial" w:hAnsi="Arial"/>
            <w:sz w:val="18"/>
            <w:szCs w:val="18"/>
            <w:u w:val="single" w:color="auto"/>
            <w:color w:val="0000FF"/>
          </w:rPr>
          <w:t>Equity Purchase and Merger Agreement, dated as of August 23,2021, by and among AMCP Staffing Holdings, LP, AMCP II Staffing Corp</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Holdings Holdco, LLC, solely in its capacity as the representative of the seller entities, AMCP Staffing Holdings GP, LLC, ManpowerGroup</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Global Inc., Longhorn 2021 LP and solely for the purposes of section 10.20 thereof, ManpowerGroup Inc., incorporated by reference to the</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Company’s Current Report on Form 8-K dated August 24,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585470</wp:posOffset>
            </wp:positionH>
            <wp:positionV relativeFrom="paragraph">
              <wp:posOffset>-444500</wp:posOffset>
            </wp:positionV>
            <wp:extent cx="63684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6368415"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-307975</wp:posOffset>
            </wp:positionV>
            <wp:extent cx="64452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644525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-170815</wp:posOffset>
            </wp:positionV>
            <wp:extent cx="63830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638302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-34290</wp:posOffset>
            </wp:positionV>
            <wp:extent cx="29438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2943860" cy="8255"/>
                    </a:xfrm>
                    <a:prstGeom prst="rect">
                      <a:avLst/>
                    </a:prstGeom>
                    <a:noFill/>
                  </pic:spPr>
                </pic:pic>
              </a:graphicData>
            </a:graphic>
          </wp:anchor>
        </w:drawing>
      </w:r>
    </w:p>
    <w:p>
      <w:pPr>
        <w:spacing w:after="0" w:line="202"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Arial" w:cs="Arial" w:eastAsia="Arial" w:hAnsi="Arial"/>
                <w:sz w:val="18"/>
                <w:szCs w:val="18"/>
                <w:color w:val="auto"/>
              </w:rPr>
              <w:t>3.1</w:t>
            </w:r>
          </w:p>
        </w:tc>
        <w:tc>
          <w:tcPr>
            <w:tcW w:w="10320" w:type="dxa"/>
            <w:vAlign w:val="bottom"/>
            <w:tcBorders>
              <w:bottom w:val="single" w:sz="8" w:color="0000FF"/>
            </w:tcBorders>
            <w:gridSpan w:val="36"/>
          </w:tcPr>
          <w:p>
            <w:pPr>
              <w:spacing w:after="0"/>
              <w:rPr>
                <w:rFonts w:ascii="Arial" w:cs="Arial" w:eastAsia="Arial" w:hAnsi="Arial"/>
                <w:sz w:val="18"/>
                <w:szCs w:val="18"/>
                <w:color w:val="0000FF"/>
                <w:w w:val="91"/>
              </w:rPr>
            </w:pPr>
            <w:hyperlink r:id="rId187">
              <w:r>
                <w:rPr>
                  <w:rFonts w:ascii="Arial" w:cs="Arial" w:eastAsia="Arial" w:hAnsi="Arial"/>
                  <w:sz w:val="18"/>
                  <w:szCs w:val="18"/>
                  <w:color w:val="0000FF"/>
                  <w:w w:val="91"/>
                </w:rPr>
                <w:t>Amended and Restated Articles of Incorporation of ManpowerGroup Inc., incorporated by reference to the Quarterly Report on Form 10-Q for</w:t>
              </w:r>
            </w:hyperlink>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2340" w:type="dxa"/>
            <w:vAlign w:val="bottom"/>
            <w:tcBorders>
              <w:bottom w:val="single" w:sz="8" w:color="0000FF"/>
            </w:tcBorders>
            <w:gridSpan w:val="4"/>
          </w:tcPr>
          <w:p>
            <w:pPr>
              <w:spacing w:after="0" w:line="195" w:lineRule="exact"/>
              <w:rPr>
                <w:rFonts w:ascii="Arial" w:cs="Arial" w:eastAsia="Arial" w:hAnsi="Arial"/>
                <w:sz w:val="18"/>
                <w:szCs w:val="18"/>
                <w:color w:val="0000FF"/>
                <w:w w:val="87"/>
              </w:rPr>
            </w:pPr>
            <w:hyperlink r:id="rId187">
              <w:r>
                <w:rPr>
                  <w:rFonts w:ascii="Arial" w:cs="Arial" w:eastAsia="Arial" w:hAnsi="Arial"/>
                  <w:sz w:val="18"/>
                  <w:szCs w:val="18"/>
                  <w:color w:val="0000FF"/>
                  <w:w w:val="87"/>
                </w:rPr>
                <w:t>the quarter ended June 30, 2013.</w:t>
              </w:r>
            </w:hyperlink>
          </w:p>
        </w:tc>
        <w:tc>
          <w:tcPr>
            <w:tcW w:w="7980" w:type="dxa"/>
            <w:vAlign w:val="bottom"/>
            <w:gridSpan w:val="32"/>
          </w:tcPr>
          <w:p>
            <w:pPr>
              <w:spacing w:after="0"/>
              <w:rPr>
                <w:sz w:val="16"/>
                <w:szCs w:val="16"/>
                <w:color w:val="auto"/>
              </w:rPr>
            </w:pPr>
          </w:p>
        </w:tc>
        <w:tc>
          <w:tcPr>
            <w:tcW w:w="0" w:type="dxa"/>
            <w:vAlign w:val="bottom"/>
          </w:tcPr>
          <w:p>
            <w:pPr>
              <w:spacing w:after="0"/>
              <w:rPr>
                <w:sz w:val="1"/>
                <w:szCs w:val="1"/>
                <w:color w:val="auto"/>
              </w:rPr>
            </w:pPr>
          </w:p>
        </w:tc>
      </w:tr>
      <w:tr>
        <w:trPr>
          <w:trHeight w:val="464"/>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9900" w:type="dxa"/>
            <w:vAlign w:val="bottom"/>
            <w:tcBorders>
              <w:bottom w:val="single" w:sz="8" w:color="0000FF"/>
            </w:tcBorders>
            <w:gridSpan w:val="27"/>
          </w:tcPr>
          <w:p>
            <w:pPr>
              <w:spacing w:after="0"/>
              <w:rPr>
                <w:rFonts w:ascii="Arial" w:cs="Arial" w:eastAsia="Arial" w:hAnsi="Arial"/>
                <w:sz w:val="18"/>
                <w:szCs w:val="18"/>
                <w:color w:val="0000FF"/>
                <w:w w:val="90"/>
              </w:rPr>
            </w:pPr>
            <w:hyperlink r:id="rId188">
              <w:r>
                <w:rPr>
                  <w:rFonts w:ascii="Arial" w:cs="Arial" w:eastAsia="Arial" w:hAnsi="Arial"/>
                  <w:sz w:val="18"/>
                  <w:szCs w:val="18"/>
                  <w:color w:val="0000FF"/>
                  <w:w w:val="90"/>
                </w:rPr>
                <w:t>Amended and Restated By-laws of ManpowerGroup Inc., incorporated by reference to the Company's Current Report on Form 8-K dated</w:t>
              </w:r>
            </w:hyperlink>
          </w:p>
        </w:tc>
        <w:tc>
          <w:tcPr>
            <w:tcW w:w="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320" w:type="dxa"/>
            <w:vAlign w:val="bottom"/>
            <w:gridSpan w:val="36"/>
          </w:tcPr>
          <w:p>
            <w:pPr>
              <w:spacing w:after="0" w:line="195" w:lineRule="exact"/>
              <w:rPr>
                <w:rFonts w:ascii="Arial" w:cs="Arial" w:eastAsia="Arial" w:hAnsi="Arial"/>
                <w:sz w:val="18"/>
                <w:szCs w:val="18"/>
                <w:color w:val="0000FF"/>
              </w:rPr>
            </w:pPr>
            <w:hyperlink r:id="rId188">
              <w:r>
                <w:rPr>
                  <w:rFonts w:ascii="Arial" w:cs="Arial" w:eastAsia="Arial" w:hAnsi="Arial"/>
                  <w:sz w:val="18"/>
                  <w:szCs w:val="18"/>
                  <w:color w:val="0000FF"/>
                </w:rPr>
                <w:t>August 5,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920" w:type="dxa"/>
            <w:vAlign w:val="bottom"/>
          </w:tcPr>
          <w:p>
            <w:pPr>
              <w:ind w:left="20"/>
              <w:spacing w:after="0"/>
              <w:rPr>
                <w:sz w:val="20"/>
                <w:szCs w:val="20"/>
                <w:color w:val="auto"/>
              </w:rPr>
            </w:pPr>
            <w:r>
              <w:rPr>
                <w:rFonts w:ascii="Arial" w:cs="Arial" w:eastAsia="Arial" w:hAnsi="Arial"/>
                <w:sz w:val="18"/>
                <w:szCs w:val="18"/>
                <w:color w:val="auto"/>
              </w:rPr>
              <w:t>4.1</w:t>
            </w:r>
          </w:p>
        </w:tc>
        <w:tc>
          <w:tcPr>
            <w:tcW w:w="10260" w:type="dxa"/>
            <w:vAlign w:val="bottom"/>
            <w:tcBorders>
              <w:bottom w:val="single" w:sz="8" w:color="0000FF"/>
            </w:tcBorders>
            <w:gridSpan w:val="33"/>
          </w:tcPr>
          <w:p>
            <w:pPr>
              <w:spacing w:after="0"/>
              <w:rPr>
                <w:rFonts w:ascii="Arial" w:cs="Arial" w:eastAsia="Arial" w:hAnsi="Arial"/>
                <w:sz w:val="18"/>
                <w:szCs w:val="18"/>
                <w:color w:val="0000FF"/>
                <w:w w:val="91"/>
              </w:rPr>
            </w:pPr>
            <w:hyperlink r:id="rId189">
              <w:r>
                <w:rPr>
                  <w:rFonts w:ascii="Arial" w:cs="Arial" w:eastAsia="Arial" w:hAnsi="Arial"/>
                  <w:sz w:val="18"/>
                  <w:szCs w:val="18"/>
                  <w:color w:val="0000FF"/>
                  <w:w w:val="91"/>
                </w:rPr>
                <w:t>Fiscal and Paying Agency Agreement between the Company and Citibank, N.A., London Branch as Fiscal Agent, Principal Paying Agent and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260" w:type="dxa"/>
            <w:vAlign w:val="bottom"/>
            <w:tcBorders>
              <w:bottom w:val="single" w:sz="8" w:color="0000FF"/>
            </w:tcBorders>
            <w:gridSpan w:val="33"/>
          </w:tcPr>
          <w:p>
            <w:pPr>
              <w:spacing w:after="0" w:line="195" w:lineRule="exact"/>
              <w:rPr>
                <w:rFonts w:ascii="Arial" w:cs="Arial" w:eastAsia="Arial" w:hAnsi="Arial"/>
                <w:sz w:val="18"/>
                <w:szCs w:val="18"/>
                <w:color w:val="0000FF"/>
                <w:w w:val="90"/>
              </w:rPr>
            </w:pPr>
            <w:hyperlink r:id="rId189">
              <w:r>
                <w:rPr>
                  <w:rFonts w:ascii="Arial" w:cs="Arial" w:eastAsia="Arial" w:hAnsi="Arial"/>
                  <w:sz w:val="18"/>
                  <w:szCs w:val="18"/>
                  <w:color w:val="0000FF"/>
                  <w:w w:val="90"/>
                </w:rPr>
                <w:t>Registrar and Transfer Agent, dated as of June 22, 2018 (including the form of Note attached thereto as Schedule I), incorporated by reference</w:t>
              </w:r>
            </w:hyperlink>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4900" w:type="dxa"/>
            <w:vAlign w:val="bottom"/>
            <w:tcBorders>
              <w:bottom w:val="single" w:sz="8" w:color="0000FF"/>
            </w:tcBorders>
            <w:gridSpan w:val="11"/>
          </w:tcPr>
          <w:p>
            <w:pPr>
              <w:spacing w:after="0" w:line="195" w:lineRule="exact"/>
              <w:rPr>
                <w:rFonts w:ascii="Arial" w:cs="Arial" w:eastAsia="Arial" w:hAnsi="Arial"/>
                <w:sz w:val="18"/>
                <w:szCs w:val="18"/>
                <w:color w:val="0000FF"/>
                <w:w w:val="89"/>
              </w:rPr>
            </w:pPr>
            <w:hyperlink r:id="rId189">
              <w:r>
                <w:rPr>
                  <w:rFonts w:ascii="Arial" w:cs="Arial" w:eastAsia="Arial" w:hAnsi="Arial"/>
                  <w:sz w:val="18"/>
                  <w:szCs w:val="18"/>
                  <w:color w:val="0000FF"/>
                  <w:w w:val="89"/>
                </w:rPr>
                <w:t>to the Company’s Current Report on Form 8-K dated June 22, 2018.</w:t>
              </w:r>
            </w:hyperlink>
          </w:p>
        </w:tc>
        <w:tc>
          <w:tcPr>
            <w:tcW w:w="20" w:type="dxa"/>
            <w:vAlign w:val="bottom"/>
            <w:tcBorders>
              <w:bottom w:val="single" w:sz="8" w:color="0000EE"/>
            </w:tcBorders>
          </w:tcPr>
          <w:p>
            <w:pPr>
              <w:spacing w:after="0"/>
              <w:rPr>
                <w:sz w:val="16"/>
                <w:szCs w:val="16"/>
                <w:color w:val="auto"/>
              </w:rPr>
            </w:pPr>
          </w:p>
        </w:tc>
        <w:tc>
          <w:tcPr>
            <w:tcW w:w="540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464"/>
        </w:trPr>
        <w:tc>
          <w:tcPr>
            <w:tcW w:w="920" w:type="dxa"/>
            <w:vAlign w:val="bottom"/>
          </w:tcPr>
          <w:p>
            <w:pPr>
              <w:ind w:left="20"/>
              <w:spacing w:after="0"/>
              <w:rPr>
                <w:sz w:val="20"/>
                <w:szCs w:val="20"/>
                <w:color w:val="auto"/>
              </w:rPr>
            </w:pPr>
            <w:r>
              <w:rPr>
                <w:rFonts w:ascii="Arial" w:cs="Arial" w:eastAsia="Arial" w:hAnsi="Arial"/>
                <w:sz w:val="18"/>
                <w:szCs w:val="18"/>
                <w:color w:val="auto"/>
              </w:rPr>
              <w:t>4.2</w:t>
            </w:r>
          </w:p>
        </w:tc>
        <w:tc>
          <w:tcPr>
            <w:tcW w:w="10100" w:type="dxa"/>
            <w:vAlign w:val="bottom"/>
            <w:tcBorders>
              <w:bottom w:val="single" w:sz="8" w:color="0000FF"/>
            </w:tcBorders>
            <w:gridSpan w:val="30"/>
          </w:tcPr>
          <w:p>
            <w:pPr>
              <w:spacing w:after="0"/>
              <w:rPr>
                <w:rFonts w:ascii="Arial" w:cs="Arial" w:eastAsia="Arial" w:hAnsi="Arial"/>
                <w:sz w:val="18"/>
                <w:szCs w:val="18"/>
                <w:color w:val="0000FF"/>
                <w:w w:val="91"/>
              </w:rPr>
            </w:pPr>
            <w:hyperlink r:id="rId190">
              <w:r>
                <w:rPr>
                  <w:rFonts w:ascii="Arial" w:cs="Arial" w:eastAsia="Arial" w:hAnsi="Arial"/>
                  <w:sz w:val="18"/>
                  <w:szCs w:val="18"/>
                  <w:color w:val="0000FF"/>
                  <w:w w:val="91"/>
                </w:rPr>
                <w:t>Fiscal and Paying Agency Agreement between the Company and Citibank, N.A., as Fiscal Agent, Principal Paying Agent and Registrar and</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9700" w:type="dxa"/>
            <w:vAlign w:val="bottom"/>
            <w:tcBorders>
              <w:bottom w:val="single" w:sz="8" w:color="0000FF"/>
            </w:tcBorders>
            <w:gridSpan w:val="22"/>
          </w:tcPr>
          <w:p>
            <w:pPr>
              <w:spacing w:after="0" w:line="195" w:lineRule="exact"/>
              <w:rPr>
                <w:rFonts w:ascii="Arial" w:cs="Arial" w:eastAsia="Arial" w:hAnsi="Arial"/>
                <w:sz w:val="18"/>
                <w:szCs w:val="18"/>
                <w:color w:val="0000FF"/>
                <w:w w:val="90"/>
              </w:rPr>
            </w:pPr>
            <w:hyperlink r:id="rId190">
              <w:r>
                <w:rPr>
                  <w:rFonts w:ascii="Arial" w:cs="Arial" w:eastAsia="Arial" w:hAnsi="Arial"/>
                  <w:sz w:val="18"/>
                  <w:szCs w:val="18"/>
                  <w:color w:val="0000FF"/>
                  <w:w w:val="90"/>
                </w:rPr>
                <w:t>Transfer Agent, dated as of June 30, 2022 (including the form of Note attached thereto as Schedule I), incorporated by reference to the</w:t>
              </w:r>
            </w:hyperlink>
          </w:p>
        </w:tc>
        <w:tc>
          <w:tcPr>
            <w:tcW w:w="62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320" w:type="dxa"/>
            <w:vAlign w:val="bottom"/>
            <w:gridSpan w:val="36"/>
          </w:tcPr>
          <w:p>
            <w:pPr>
              <w:spacing w:after="0" w:line="195" w:lineRule="exact"/>
              <w:rPr>
                <w:rFonts w:ascii="Arial" w:cs="Arial" w:eastAsia="Arial" w:hAnsi="Arial"/>
                <w:sz w:val="18"/>
                <w:szCs w:val="18"/>
                <w:color w:val="0000FF"/>
              </w:rPr>
            </w:pPr>
            <w:hyperlink r:id="rId190">
              <w:r>
                <w:rPr>
                  <w:rFonts w:ascii="Arial" w:cs="Arial" w:eastAsia="Arial" w:hAnsi="Arial"/>
                  <w:sz w:val="18"/>
                  <w:szCs w:val="18"/>
                  <w:color w:val="0000FF"/>
                </w:rPr>
                <w:t>Company’s Current Report on Form 8-K dated June 30,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9500" w:type="dxa"/>
            <w:vAlign w:val="bottom"/>
            <w:tcBorders>
              <w:bottom w:val="single" w:sz="8" w:color="0000FF"/>
            </w:tcBorders>
            <w:gridSpan w:val="20"/>
          </w:tcPr>
          <w:p>
            <w:pPr>
              <w:spacing w:after="0"/>
              <w:rPr>
                <w:rFonts w:ascii="Arial" w:cs="Arial" w:eastAsia="Arial" w:hAnsi="Arial"/>
                <w:sz w:val="18"/>
                <w:szCs w:val="18"/>
                <w:color w:val="0000FF"/>
                <w:w w:val="90"/>
              </w:rPr>
            </w:pPr>
            <w:hyperlink r:id="rId191">
              <w:r>
                <w:rPr>
                  <w:rFonts w:ascii="Arial" w:cs="Arial" w:eastAsia="Arial" w:hAnsi="Arial"/>
                  <w:sz w:val="18"/>
                  <w:szCs w:val="18"/>
                  <w:color w:val="0000FF"/>
                  <w:w w:val="90"/>
                </w:rPr>
                <w:t>Description of Securities Registered Pursuant to Section 12 of the Securities Exchange Act of 1934 incorporated by reference to the</w:t>
              </w:r>
            </w:hyperlink>
          </w:p>
        </w:tc>
        <w:tc>
          <w:tcPr>
            <w:tcW w:w="8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5840" w:type="dxa"/>
            <w:vAlign w:val="bottom"/>
            <w:gridSpan w:val="13"/>
            <w:vMerge w:val="restart"/>
          </w:tcPr>
          <w:p>
            <w:pPr>
              <w:spacing w:after="0" w:line="195" w:lineRule="exact"/>
              <w:rPr>
                <w:rFonts w:ascii="Arial" w:cs="Arial" w:eastAsia="Arial" w:hAnsi="Arial"/>
                <w:sz w:val="18"/>
                <w:szCs w:val="18"/>
                <w:color w:val="0000FF"/>
                <w:w w:val="90"/>
              </w:rPr>
            </w:pPr>
            <w:hyperlink r:id="rId191">
              <w:r>
                <w:rPr>
                  <w:rFonts w:ascii="Arial" w:cs="Arial" w:eastAsia="Arial" w:hAnsi="Arial"/>
                  <w:sz w:val="18"/>
                  <w:szCs w:val="18"/>
                  <w:color w:val="0000FF"/>
                  <w:w w:val="90"/>
                </w:rPr>
                <w:t>Company’s Annual Report on Form 10-K for the year ended December 31, 2020.</w:t>
              </w:r>
            </w:hyperlink>
          </w:p>
        </w:tc>
        <w:tc>
          <w:tcPr>
            <w:tcW w:w="20" w:type="dxa"/>
            <w:vAlign w:val="bottom"/>
            <w:vMerge w:val="restart"/>
          </w:tcPr>
          <w:p>
            <w:pPr>
              <w:spacing w:after="0"/>
              <w:rPr>
                <w:sz w:val="11"/>
                <w:szCs w:val="11"/>
                <w:color w:val="auto"/>
              </w:rPr>
            </w:pPr>
          </w:p>
        </w:tc>
        <w:tc>
          <w:tcPr>
            <w:tcW w:w="4460" w:type="dxa"/>
            <w:vAlign w:val="bottom"/>
            <w:gridSpan w:val="2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920" w:type="dxa"/>
            <w:vAlign w:val="bottom"/>
          </w:tcPr>
          <w:p>
            <w:pPr>
              <w:spacing w:after="0"/>
              <w:rPr>
                <w:sz w:val="5"/>
                <w:szCs w:val="5"/>
                <w:color w:val="auto"/>
              </w:rPr>
            </w:pPr>
          </w:p>
        </w:tc>
        <w:tc>
          <w:tcPr>
            <w:tcW w:w="5840" w:type="dxa"/>
            <w:vAlign w:val="bottom"/>
            <w:tcBorders>
              <w:bottom w:val="single" w:sz="8" w:color="0000FF"/>
            </w:tcBorders>
            <w:gridSpan w:val="13"/>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4460" w:type="dxa"/>
            <w:vAlign w:val="bottom"/>
            <w:gridSpan w:val="2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4"/>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160" w:type="dxa"/>
            <w:vAlign w:val="bottom"/>
            <w:tcBorders>
              <w:bottom w:val="single" w:sz="8" w:color="0000FF"/>
            </w:tcBorders>
            <w:gridSpan w:val="31"/>
          </w:tcPr>
          <w:p>
            <w:pPr>
              <w:spacing w:after="0"/>
              <w:rPr>
                <w:rFonts w:ascii="Arial" w:cs="Arial" w:eastAsia="Arial" w:hAnsi="Arial"/>
                <w:sz w:val="18"/>
                <w:szCs w:val="18"/>
                <w:color w:val="0000FF"/>
                <w:w w:val="90"/>
              </w:rPr>
            </w:pPr>
            <w:hyperlink r:id="rId192">
              <w:r>
                <w:rPr>
                  <w:rFonts w:ascii="Arial" w:cs="Arial" w:eastAsia="Arial" w:hAnsi="Arial"/>
                  <w:sz w:val="18"/>
                  <w:szCs w:val="18"/>
                  <w:color w:val="0000FF"/>
                  <w:w w:val="90"/>
                </w:rPr>
                <w:t>Credit Agreement dated as of May 27, 2022 among the Company, a syndicate of lenders and JPMorgan Chase Bank, N.A., as Administrative</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7320" w:type="dxa"/>
            <w:vAlign w:val="bottom"/>
            <w:tcBorders>
              <w:bottom w:val="single" w:sz="8" w:color="0000FF"/>
            </w:tcBorders>
            <w:gridSpan w:val="18"/>
          </w:tcPr>
          <w:p>
            <w:pPr>
              <w:spacing w:after="0" w:line="195" w:lineRule="exact"/>
              <w:rPr>
                <w:rFonts w:ascii="Arial" w:cs="Arial" w:eastAsia="Arial" w:hAnsi="Arial"/>
                <w:sz w:val="18"/>
                <w:szCs w:val="18"/>
                <w:color w:val="0000FF"/>
                <w:w w:val="90"/>
              </w:rPr>
            </w:pPr>
            <w:hyperlink r:id="rId192">
              <w:r>
                <w:rPr>
                  <w:rFonts w:ascii="Arial" w:cs="Arial" w:eastAsia="Arial" w:hAnsi="Arial"/>
                  <w:sz w:val="18"/>
                  <w:szCs w:val="18"/>
                  <w:color w:val="0000FF"/>
                  <w:w w:val="90"/>
                </w:rPr>
                <w:t>Agent, incorporated by reference to the Company’s Current Report on Form 8-K dated May 27, 2022.</w:t>
              </w:r>
            </w:hyperlink>
          </w:p>
        </w:tc>
        <w:tc>
          <w:tcPr>
            <w:tcW w:w="20" w:type="dxa"/>
            <w:vAlign w:val="bottom"/>
            <w:tcBorders>
              <w:bottom w:val="single" w:sz="8" w:color="0000EE"/>
            </w:tcBorders>
          </w:tcPr>
          <w:p>
            <w:pPr>
              <w:spacing w:after="0"/>
              <w:rPr>
                <w:sz w:val="16"/>
                <w:szCs w:val="16"/>
                <w:color w:val="auto"/>
              </w:rPr>
            </w:pPr>
          </w:p>
        </w:tc>
        <w:tc>
          <w:tcPr>
            <w:tcW w:w="298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464"/>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9880" w:type="dxa"/>
            <w:vAlign w:val="bottom"/>
            <w:tcBorders>
              <w:bottom w:val="single" w:sz="8" w:color="0000FF"/>
            </w:tcBorders>
            <w:gridSpan w:val="26"/>
          </w:tcPr>
          <w:p>
            <w:pPr>
              <w:spacing w:after="0"/>
              <w:rPr>
                <w:rFonts w:ascii="Arial" w:cs="Arial" w:eastAsia="Arial" w:hAnsi="Arial"/>
                <w:sz w:val="18"/>
                <w:szCs w:val="18"/>
                <w:color w:val="0000FF"/>
                <w:w w:val="90"/>
              </w:rPr>
            </w:pPr>
            <w:hyperlink r:id="rId193">
              <w:r>
                <w:rPr>
                  <w:rFonts w:ascii="Arial" w:cs="Arial" w:eastAsia="Arial" w:hAnsi="Arial"/>
                  <w:sz w:val="18"/>
                  <w:szCs w:val="18"/>
                  <w:color w:val="0000FF"/>
                  <w:w w:val="90"/>
                </w:rPr>
                <w:t>Manpower Savings Related Share Option Scheme incorporated by reference to the Company’s Annual Report on Form 10-K for the year</w:t>
              </w:r>
            </w:hyperlink>
          </w:p>
        </w:tc>
        <w:tc>
          <w:tcPr>
            <w:tcW w:w="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2160" w:type="dxa"/>
            <w:vAlign w:val="bottom"/>
            <w:tcBorders>
              <w:bottom w:val="single" w:sz="8" w:color="0000FF"/>
            </w:tcBorders>
            <w:gridSpan w:val="2"/>
          </w:tcPr>
          <w:p>
            <w:pPr>
              <w:spacing w:after="0" w:line="195" w:lineRule="exact"/>
              <w:rPr>
                <w:rFonts w:ascii="Arial" w:cs="Arial" w:eastAsia="Arial" w:hAnsi="Arial"/>
                <w:sz w:val="18"/>
                <w:szCs w:val="18"/>
                <w:color w:val="0000FF"/>
                <w:w w:val="90"/>
              </w:rPr>
            </w:pPr>
            <w:hyperlink r:id="rId193">
              <w:r>
                <w:rPr>
                  <w:rFonts w:ascii="Arial" w:cs="Arial" w:eastAsia="Arial" w:hAnsi="Arial"/>
                  <w:sz w:val="18"/>
                  <w:szCs w:val="18"/>
                  <w:color w:val="0000FF"/>
                  <w:w w:val="90"/>
                </w:rPr>
                <w:t>ended December 31, 2010. **</w:t>
              </w:r>
            </w:hyperlink>
          </w:p>
        </w:tc>
        <w:tc>
          <w:tcPr>
            <w:tcW w:w="20" w:type="dxa"/>
            <w:vAlign w:val="bottom"/>
            <w:tcBorders>
              <w:bottom w:val="single" w:sz="8" w:color="0000EE"/>
            </w:tcBorders>
          </w:tcPr>
          <w:p>
            <w:pPr>
              <w:spacing w:after="0"/>
              <w:rPr>
                <w:sz w:val="16"/>
                <w:szCs w:val="16"/>
                <w:color w:val="auto"/>
              </w:rPr>
            </w:pPr>
          </w:p>
        </w:tc>
        <w:tc>
          <w:tcPr>
            <w:tcW w:w="8140" w:type="dxa"/>
            <w:vAlign w:val="bottom"/>
            <w:gridSpan w:val="33"/>
          </w:tcPr>
          <w:p>
            <w:pPr>
              <w:spacing w:after="0"/>
              <w:rPr>
                <w:sz w:val="16"/>
                <w:szCs w:val="16"/>
                <w:color w:val="auto"/>
              </w:rPr>
            </w:pPr>
          </w:p>
        </w:tc>
        <w:tc>
          <w:tcPr>
            <w:tcW w:w="0" w:type="dxa"/>
            <w:vAlign w:val="bottom"/>
          </w:tcPr>
          <w:p>
            <w:pPr>
              <w:spacing w:after="0"/>
              <w:rPr>
                <w:sz w:val="1"/>
                <w:szCs w:val="1"/>
                <w:color w:val="auto"/>
              </w:rPr>
            </w:pPr>
          </w:p>
        </w:tc>
      </w:tr>
      <w:tr>
        <w:trPr>
          <w:trHeight w:val="464"/>
        </w:trPr>
        <w:tc>
          <w:tcPr>
            <w:tcW w:w="920" w:type="dxa"/>
            <w:vAlign w:val="bottom"/>
          </w:tcPr>
          <w:p>
            <w:pPr>
              <w:ind w:left="20"/>
              <w:spacing w:after="0"/>
              <w:rPr>
                <w:sz w:val="20"/>
                <w:szCs w:val="20"/>
                <w:color w:val="auto"/>
              </w:rPr>
            </w:pPr>
            <w:r>
              <w:rPr>
                <w:rFonts w:ascii="Arial" w:cs="Arial" w:eastAsia="Arial" w:hAnsi="Arial"/>
                <w:sz w:val="18"/>
                <w:szCs w:val="18"/>
                <w:color w:val="auto"/>
              </w:rPr>
              <w:t>10.3</w:t>
            </w:r>
          </w:p>
        </w:tc>
        <w:tc>
          <w:tcPr>
            <w:tcW w:w="10320" w:type="dxa"/>
            <w:vAlign w:val="bottom"/>
            <w:tcBorders>
              <w:bottom w:val="single" w:sz="8" w:color="0000FF"/>
            </w:tcBorders>
            <w:gridSpan w:val="36"/>
          </w:tcPr>
          <w:p>
            <w:pPr>
              <w:spacing w:after="0"/>
              <w:rPr>
                <w:rFonts w:ascii="Arial" w:cs="Arial" w:eastAsia="Arial" w:hAnsi="Arial"/>
                <w:sz w:val="18"/>
                <w:szCs w:val="18"/>
                <w:color w:val="0000FF"/>
                <w:w w:val="90"/>
              </w:rPr>
            </w:pPr>
            <w:hyperlink r:id="rId194">
              <w:r>
                <w:rPr>
                  <w:rFonts w:ascii="Arial" w:cs="Arial" w:eastAsia="Arial" w:hAnsi="Arial"/>
                  <w:sz w:val="18"/>
                  <w:szCs w:val="18"/>
                  <w:color w:val="0000FF"/>
                  <w:w w:val="90"/>
                </w:rPr>
                <w:t>Manpower 1990 Employee Stock Purchase Plan (Amended and Restated effective April 26, 2005), incorporated by reference to the Company’s</w:t>
              </w:r>
            </w:hyperlink>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320" w:type="dxa"/>
            <w:vAlign w:val="bottom"/>
            <w:gridSpan w:val="36"/>
          </w:tcPr>
          <w:p>
            <w:pPr>
              <w:spacing w:after="0" w:line="195" w:lineRule="exact"/>
              <w:rPr>
                <w:rFonts w:ascii="Arial" w:cs="Arial" w:eastAsia="Arial" w:hAnsi="Arial"/>
                <w:sz w:val="18"/>
                <w:szCs w:val="18"/>
                <w:color w:val="0000FF"/>
              </w:rPr>
            </w:pPr>
            <w:hyperlink r:id="rId194">
              <w:r>
                <w:rPr>
                  <w:rFonts w:ascii="Arial" w:cs="Arial" w:eastAsia="Arial" w:hAnsi="Arial"/>
                  <w:sz w:val="18"/>
                  <w:szCs w:val="18"/>
                  <w:color w:val="0000FF"/>
                </w:rPr>
                <w:t>Proxy Statement for the 2005 Annual Meeting of Shareholders.**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80" w:type="dxa"/>
            <w:vAlign w:val="bottom"/>
            <w:tcBorders>
              <w:right w:val="single" w:sz="8" w:color="0000FF"/>
            </w:tcBorders>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920" w:type="dxa"/>
            <w:vAlign w:val="bottom"/>
          </w:tcPr>
          <w:p>
            <w:pPr>
              <w:ind w:left="20"/>
              <w:spacing w:after="0"/>
              <w:rPr>
                <w:sz w:val="20"/>
                <w:szCs w:val="20"/>
                <w:color w:val="auto"/>
              </w:rPr>
            </w:pPr>
            <w:r>
              <w:rPr>
                <w:rFonts w:ascii="Arial" w:cs="Arial" w:eastAsia="Arial" w:hAnsi="Arial"/>
                <w:sz w:val="18"/>
                <w:szCs w:val="18"/>
                <w:color w:val="auto"/>
              </w:rPr>
              <w:t>10.6(a)</w:t>
            </w:r>
          </w:p>
        </w:tc>
        <w:tc>
          <w:tcPr>
            <w:tcW w:w="9820" w:type="dxa"/>
            <w:vAlign w:val="bottom"/>
            <w:tcBorders>
              <w:bottom w:val="single" w:sz="8" w:color="0000FF"/>
            </w:tcBorders>
            <w:gridSpan w:val="25"/>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Terms and Conditions Regarding the Grant of Awards to Non-Employee Directors Under the 2011 Equity Incentive Plan (Amended and</w:t>
              </w:r>
            </w:hyperlink>
          </w:p>
        </w:tc>
        <w:tc>
          <w:tcPr>
            <w:tcW w:w="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320" w:type="dxa"/>
            <w:vAlign w:val="bottom"/>
            <w:gridSpan w:val="36"/>
          </w:tcPr>
          <w:p>
            <w:pPr>
              <w:spacing w:after="0" w:line="195" w:lineRule="exact"/>
              <w:rPr>
                <w:rFonts w:ascii="Arial" w:cs="Arial" w:eastAsia="Arial" w:hAnsi="Arial"/>
                <w:sz w:val="18"/>
                <w:szCs w:val="18"/>
                <w:color w:val="0000FF"/>
                <w:w w:val="90"/>
              </w:rPr>
            </w:pPr>
            <w:hyperlink r:id="rId195">
              <w:r>
                <w:rPr>
                  <w:rFonts w:ascii="Arial" w:cs="Arial" w:eastAsia="Arial" w:hAnsi="Arial"/>
                  <w:sz w:val="18"/>
                  <w:szCs w:val="18"/>
                  <w:color w:val="0000FF"/>
                  <w:w w:val="90"/>
                </w:rPr>
                <w:t>Restated January 1, 2020), incorporated by reference to the Company's Annual Report on Form 10-K for the year ended December 31, 2019 **</w:t>
              </w:r>
            </w:hyperlink>
          </w:p>
        </w:tc>
        <w:tc>
          <w:tcPr>
            <w:tcW w:w="0" w:type="dxa"/>
            <w:vAlign w:val="bottom"/>
          </w:tcPr>
          <w:p>
            <w:pPr>
              <w:spacing w:after="0"/>
              <w:rPr>
                <w:sz w:val="1"/>
                <w:szCs w:val="1"/>
                <w:color w:val="auto"/>
              </w:rPr>
            </w:pPr>
          </w:p>
        </w:tc>
      </w:tr>
      <w:tr>
        <w:trPr>
          <w:trHeight w:val="464"/>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10.6(b)</w:t>
            </w:r>
          </w:p>
        </w:tc>
        <w:tc>
          <w:tcPr>
            <w:tcW w:w="9660" w:type="dxa"/>
            <w:vAlign w:val="bottom"/>
            <w:tcBorders>
              <w:top w:val="single" w:sz="8" w:color="0000FF"/>
              <w:bottom w:val="single" w:sz="8" w:color="0000FF"/>
            </w:tcBorders>
            <w:gridSpan w:val="21"/>
          </w:tcPr>
          <w:p>
            <w:pPr>
              <w:spacing w:after="0"/>
              <w:rPr>
                <w:rFonts w:ascii="Arial" w:cs="Arial" w:eastAsia="Arial" w:hAnsi="Arial"/>
                <w:sz w:val="18"/>
                <w:szCs w:val="18"/>
                <w:color w:val="0000FF"/>
                <w:w w:val="91"/>
              </w:rPr>
            </w:pPr>
            <w:hyperlink r:id="rId196">
              <w:r>
                <w:rPr>
                  <w:rFonts w:ascii="Arial" w:cs="Arial" w:eastAsia="Arial" w:hAnsi="Arial"/>
                  <w:sz w:val="18"/>
                  <w:szCs w:val="18"/>
                  <w:color w:val="0000FF"/>
                  <w:w w:val="91"/>
                </w:rPr>
                <w:t>ManpowerGroup Inc. Compensation for Non-Employee Directors (Amended and Restated Effective January 1, 2022. incorporated by</w:t>
              </w:r>
            </w:hyperlink>
          </w:p>
        </w:tc>
        <w:tc>
          <w:tcPr>
            <w:tcW w:w="620" w:type="dxa"/>
            <w:vAlign w:val="bottom"/>
            <w:tcBorders>
              <w:top w:val="single" w:sz="8" w:color="0000FF"/>
            </w:tcBorders>
            <w:gridSpan w:val="13"/>
          </w:tcPr>
          <w:p>
            <w:pPr>
              <w:spacing w:after="0"/>
              <w:rPr>
                <w:sz w:val="24"/>
                <w:szCs w:val="24"/>
                <w:color w:val="auto"/>
              </w:rPr>
            </w:pP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10320" w:type="dxa"/>
            <w:vAlign w:val="bottom"/>
            <w:gridSpan w:val="36"/>
            <w:vMerge w:val="restart"/>
          </w:tcPr>
          <w:p>
            <w:pPr>
              <w:spacing w:after="0" w:line="195" w:lineRule="exact"/>
              <w:rPr>
                <w:rFonts w:ascii="Arial" w:cs="Arial" w:eastAsia="Arial" w:hAnsi="Arial"/>
                <w:sz w:val="18"/>
                <w:szCs w:val="18"/>
                <w:color w:val="0000FF"/>
              </w:rPr>
            </w:pPr>
            <w:hyperlink r:id="rId196">
              <w:r>
                <w:rPr>
                  <w:rFonts w:ascii="Arial" w:cs="Arial" w:eastAsia="Arial" w:hAnsi="Arial"/>
                  <w:sz w:val="18"/>
                  <w:szCs w:val="18"/>
                  <w:color w:val="0000FF"/>
                </w:rPr>
                <w:t>reference to the Company's Annual Report on Form 10-K for the year ended December 31, 2021. **</w:t>
              </w:r>
            </w:hyperlink>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10320" w:type="dxa"/>
            <w:vAlign w:val="bottom"/>
            <w:gridSpan w:val="3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4"/>
        </w:trPr>
        <w:tc>
          <w:tcPr>
            <w:tcW w:w="920" w:type="dxa"/>
            <w:vAlign w:val="bottom"/>
          </w:tcPr>
          <w:p>
            <w:pPr>
              <w:ind w:left="20"/>
              <w:spacing w:after="0"/>
              <w:rPr>
                <w:sz w:val="20"/>
                <w:szCs w:val="20"/>
                <w:color w:val="auto"/>
              </w:rPr>
            </w:pPr>
            <w:r>
              <w:rPr>
                <w:rFonts w:ascii="Arial" w:cs="Arial" w:eastAsia="Arial" w:hAnsi="Arial"/>
                <w:sz w:val="18"/>
                <w:szCs w:val="18"/>
                <w:color w:val="auto"/>
              </w:rPr>
              <w:t>10.6(c)</w:t>
            </w:r>
          </w:p>
        </w:tc>
        <w:tc>
          <w:tcPr>
            <w:tcW w:w="666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0"/>
              </w:rPr>
              <w:t>Letter Agreement between Jonas Prising and the Company dated as of February 17, 2023 **</w:t>
            </w:r>
          </w:p>
        </w:tc>
        <w:tc>
          <w:tcPr>
            <w:tcW w:w="540" w:type="dxa"/>
            <w:vAlign w:val="bottom"/>
            <w:tcBorders>
              <w:top w:val="single" w:sz="8" w:color="0000FF"/>
            </w:tcBorders>
          </w:tcPr>
          <w:p>
            <w:pPr>
              <w:spacing w:after="0"/>
              <w:rPr>
                <w:sz w:val="24"/>
                <w:szCs w:val="24"/>
                <w:color w:val="auto"/>
              </w:rPr>
            </w:pPr>
          </w:p>
        </w:tc>
        <w:tc>
          <w:tcPr>
            <w:tcW w:w="31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920" w:type="dxa"/>
            <w:vAlign w:val="bottom"/>
          </w:tcPr>
          <w:p>
            <w:pPr>
              <w:ind w:left="20"/>
              <w:spacing w:after="0"/>
              <w:rPr>
                <w:sz w:val="20"/>
                <w:szCs w:val="20"/>
                <w:color w:val="auto"/>
              </w:rPr>
            </w:pPr>
            <w:r>
              <w:rPr>
                <w:rFonts w:ascii="Arial" w:cs="Arial" w:eastAsia="Arial" w:hAnsi="Arial"/>
                <w:sz w:val="18"/>
                <w:szCs w:val="18"/>
                <w:color w:val="auto"/>
              </w:rPr>
              <w:t>10.6(d)</w:t>
            </w:r>
          </w:p>
        </w:tc>
        <w:tc>
          <w:tcPr>
            <w:tcW w:w="10320" w:type="dxa"/>
            <w:vAlign w:val="bottom"/>
            <w:gridSpan w:val="36"/>
          </w:tcPr>
          <w:p>
            <w:pPr>
              <w:spacing w:after="0"/>
              <w:rPr>
                <w:sz w:val="20"/>
                <w:szCs w:val="20"/>
                <w:color w:val="auto"/>
              </w:rPr>
            </w:pPr>
            <w:r>
              <w:rPr>
                <w:rFonts w:ascii="Arial" w:cs="Arial" w:eastAsia="Arial" w:hAnsi="Arial"/>
                <w:sz w:val="18"/>
                <w:szCs w:val="18"/>
                <w:color w:val="0000FF"/>
              </w:rPr>
              <w:t>Letter Agreement between Richard Buchband and the Company as of February 17, 2023. **</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80" w:type="dxa"/>
            <w:vAlign w:val="bottom"/>
            <w:tcBorders>
              <w:right w:val="single" w:sz="8" w:color="0000FF"/>
            </w:tcBorders>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tcBorders>
              <w:right w:val="single" w:sz="8" w:color="0000EE"/>
            </w:tcBorders>
            <w:gridSpan w:val="7"/>
            <w:shd w:val="clear" w:color="auto" w:fill="0000FF"/>
          </w:tcPr>
          <w:p>
            <w:pPr>
              <w:spacing w:after="0" w:line="20" w:lineRule="exact"/>
              <w:rPr>
                <w:sz w:val="1"/>
                <w:szCs w:val="1"/>
                <w:color w:val="auto"/>
              </w:rPr>
            </w:pPr>
          </w:p>
        </w:tc>
        <w:tc>
          <w:tcPr>
            <w:tcW w:w="31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920" w:type="dxa"/>
            <w:vAlign w:val="bottom"/>
          </w:tcPr>
          <w:p>
            <w:pPr>
              <w:ind w:left="20"/>
              <w:spacing w:after="0"/>
              <w:rPr>
                <w:sz w:val="20"/>
                <w:szCs w:val="20"/>
                <w:color w:val="auto"/>
              </w:rPr>
            </w:pPr>
            <w:r>
              <w:rPr>
                <w:rFonts w:ascii="Arial" w:cs="Arial" w:eastAsia="Arial" w:hAnsi="Arial"/>
                <w:sz w:val="18"/>
                <w:szCs w:val="18"/>
                <w:color w:val="auto"/>
              </w:rPr>
              <w:t>10.6(e)</w:t>
            </w:r>
          </w:p>
        </w:tc>
        <w:tc>
          <w:tcPr>
            <w:tcW w:w="10060" w:type="dxa"/>
            <w:vAlign w:val="bottom"/>
            <w:tcBorders>
              <w:bottom w:val="single" w:sz="8" w:color="0000FF"/>
            </w:tcBorders>
            <w:gridSpan w:val="28"/>
          </w:tcPr>
          <w:p>
            <w:pPr>
              <w:spacing w:after="0"/>
              <w:rPr>
                <w:rFonts w:ascii="Arial" w:cs="Arial" w:eastAsia="Arial" w:hAnsi="Arial"/>
                <w:sz w:val="18"/>
                <w:szCs w:val="18"/>
                <w:color w:val="0000FF"/>
                <w:w w:val="91"/>
              </w:rPr>
            </w:pPr>
            <w:hyperlink r:id="rId197">
              <w:r>
                <w:rPr>
                  <w:rFonts w:ascii="Arial" w:cs="Arial" w:eastAsia="Arial" w:hAnsi="Arial"/>
                  <w:sz w:val="18"/>
                  <w:szCs w:val="18"/>
                  <w:color w:val="0000FF"/>
                  <w:w w:val="91"/>
                </w:rPr>
                <w:t>2011 Equity Incentive Plan of Manpower Inc. (Amended and Restated Effective May 8, 2020), incorporated by reference to the Company’s</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4340" w:type="dxa"/>
            <w:vAlign w:val="bottom"/>
            <w:tcBorders>
              <w:bottom w:val="single" w:sz="8" w:color="0000FF"/>
            </w:tcBorders>
            <w:gridSpan w:val="7"/>
          </w:tcPr>
          <w:p>
            <w:pPr>
              <w:spacing w:after="0" w:line="195" w:lineRule="exact"/>
              <w:rPr>
                <w:rFonts w:ascii="Arial" w:cs="Arial" w:eastAsia="Arial" w:hAnsi="Arial"/>
                <w:sz w:val="18"/>
                <w:szCs w:val="18"/>
                <w:color w:val="0000FF"/>
                <w:w w:val="90"/>
              </w:rPr>
            </w:pPr>
            <w:hyperlink r:id="rId197">
              <w:r>
                <w:rPr>
                  <w:rFonts w:ascii="Arial" w:cs="Arial" w:eastAsia="Arial" w:hAnsi="Arial"/>
                  <w:sz w:val="18"/>
                  <w:szCs w:val="18"/>
                  <w:color w:val="0000FF"/>
                  <w:w w:val="90"/>
                </w:rPr>
                <w:t>Registration Statement on Form S-8 dated May 29, 2020. **</w:t>
              </w:r>
            </w:hyperlink>
          </w:p>
        </w:tc>
        <w:tc>
          <w:tcPr>
            <w:tcW w:w="20" w:type="dxa"/>
            <w:vAlign w:val="bottom"/>
            <w:tcBorders>
              <w:bottom w:val="single" w:sz="8" w:color="0000EE"/>
            </w:tcBorders>
          </w:tcPr>
          <w:p>
            <w:pPr>
              <w:spacing w:after="0"/>
              <w:rPr>
                <w:sz w:val="16"/>
                <w:szCs w:val="16"/>
                <w:color w:val="auto"/>
              </w:rPr>
            </w:pPr>
          </w:p>
        </w:tc>
        <w:tc>
          <w:tcPr>
            <w:tcW w:w="5960" w:type="dxa"/>
            <w:vAlign w:val="bottom"/>
            <w:gridSpan w:val="28"/>
          </w:tcPr>
          <w:p>
            <w:pPr>
              <w:spacing w:after="0"/>
              <w:rPr>
                <w:sz w:val="16"/>
                <w:szCs w:val="16"/>
                <w:color w:val="auto"/>
              </w:rPr>
            </w:pPr>
          </w:p>
        </w:tc>
        <w:tc>
          <w:tcPr>
            <w:tcW w:w="0" w:type="dxa"/>
            <w:vAlign w:val="bottom"/>
          </w:tcPr>
          <w:p>
            <w:pPr>
              <w:spacing w:after="0"/>
              <w:rPr>
                <w:sz w:val="1"/>
                <w:szCs w:val="1"/>
                <w:color w:val="auto"/>
              </w:rPr>
            </w:pPr>
          </w:p>
        </w:tc>
      </w:tr>
      <w:tr>
        <w:trPr>
          <w:trHeight w:val="464"/>
        </w:trPr>
        <w:tc>
          <w:tcPr>
            <w:tcW w:w="920" w:type="dxa"/>
            <w:vAlign w:val="bottom"/>
          </w:tcPr>
          <w:p>
            <w:pPr>
              <w:ind w:left="20"/>
              <w:spacing w:after="0"/>
              <w:rPr>
                <w:sz w:val="20"/>
                <w:szCs w:val="20"/>
                <w:color w:val="auto"/>
              </w:rPr>
            </w:pPr>
            <w:r>
              <w:rPr>
                <w:rFonts w:ascii="Arial" w:cs="Arial" w:eastAsia="Arial" w:hAnsi="Arial"/>
                <w:sz w:val="18"/>
                <w:szCs w:val="18"/>
                <w:color w:val="auto"/>
              </w:rPr>
              <w:t>10.6(f)</w:t>
            </w:r>
          </w:p>
        </w:tc>
        <w:tc>
          <w:tcPr>
            <w:tcW w:w="9740" w:type="dxa"/>
            <w:vAlign w:val="bottom"/>
            <w:tcBorders>
              <w:bottom w:val="single" w:sz="8" w:color="0000FF"/>
            </w:tcBorders>
            <w:gridSpan w:val="23"/>
          </w:tcPr>
          <w:p>
            <w:pPr>
              <w:spacing w:after="0"/>
              <w:rPr>
                <w:rFonts w:ascii="Arial" w:cs="Arial" w:eastAsia="Arial" w:hAnsi="Arial"/>
                <w:sz w:val="18"/>
                <w:szCs w:val="18"/>
                <w:color w:val="0000FF"/>
                <w:w w:val="90"/>
              </w:rPr>
            </w:pPr>
            <w:hyperlink r:id="rId198">
              <w:r>
                <w:rPr>
                  <w:rFonts w:ascii="Arial" w:cs="Arial" w:eastAsia="Arial" w:hAnsi="Arial"/>
                  <w:sz w:val="18"/>
                  <w:szCs w:val="18"/>
                  <w:color w:val="0000FF"/>
                  <w:w w:val="90"/>
                </w:rPr>
                <w:t>Form of Indemnification Agreement, incorporated by reference to the Company’s Current Report on Form 8-K dated October 31, 2006.</w:t>
              </w:r>
            </w:hyperlink>
          </w:p>
        </w:tc>
        <w:tc>
          <w:tcPr>
            <w:tcW w:w="20" w:type="dxa"/>
            <w:vAlign w:val="bottom"/>
            <w:tcBorders>
              <w:bottom w:val="single" w:sz="8" w:color="0000EE"/>
            </w:tcBorders>
          </w:tcPr>
          <w:p>
            <w:pPr>
              <w:spacing w:after="0"/>
              <w:rPr>
                <w:sz w:val="24"/>
                <w:szCs w:val="24"/>
                <w:color w:val="auto"/>
              </w:rPr>
            </w:pPr>
          </w:p>
        </w:tc>
        <w:tc>
          <w:tcPr>
            <w:tcW w:w="5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680"/>
        </w:trPr>
        <w:tc>
          <w:tcPr>
            <w:tcW w:w="920" w:type="dxa"/>
            <w:vAlign w:val="bottom"/>
          </w:tcPr>
          <w:p>
            <w:pPr>
              <w:ind w:left="20"/>
              <w:spacing w:after="0"/>
              <w:rPr>
                <w:sz w:val="20"/>
                <w:szCs w:val="20"/>
                <w:color w:val="auto"/>
              </w:rPr>
            </w:pPr>
            <w:r>
              <w:rPr>
                <w:rFonts w:ascii="Arial" w:cs="Arial" w:eastAsia="Arial" w:hAnsi="Arial"/>
                <w:sz w:val="18"/>
                <w:szCs w:val="18"/>
                <w:color w:val="auto"/>
              </w:rPr>
              <w:t>10.7(a)</w:t>
            </w:r>
          </w:p>
        </w:tc>
        <w:tc>
          <w:tcPr>
            <w:tcW w:w="10080" w:type="dxa"/>
            <w:vAlign w:val="bottom"/>
            <w:tcBorders>
              <w:bottom w:val="single" w:sz="8" w:color="0000FF"/>
            </w:tcBorders>
            <w:gridSpan w:val="29"/>
          </w:tcPr>
          <w:p>
            <w:pPr>
              <w:spacing w:after="0"/>
              <w:rPr>
                <w:rFonts w:ascii="Arial" w:cs="Arial" w:eastAsia="Arial" w:hAnsi="Arial"/>
                <w:sz w:val="18"/>
                <w:szCs w:val="18"/>
                <w:color w:val="0000FF"/>
                <w:w w:val="91"/>
              </w:rPr>
            </w:pPr>
            <w:hyperlink r:id="rId199">
              <w:r>
                <w:rPr>
                  <w:rFonts w:ascii="Arial" w:cs="Arial" w:eastAsia="Arial" w:hAnsi="Arial"/>
                  <w:sz w:val="18"/>
                  <w:szCs w:val="18"/>
                  <w:color w:val="0000FF"/>
                  <w:w w:val="91"/>
                </w:rPr>
                <w:t>Form of Stock Option Agreement under 2011 Equity Incentive Plan, incorporated by reference to the Company’s Quarterly Report on Form</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320" w:type="dxa"/>
            <w:vAlign w:val="bottom"/>
            <w:gridSpan w:val="36"/>
          </w:tcPr>
          <w:p>
            <w:pPr>
              <w:spacing w:after="0" w:line="195" w:lineRule="exact"/>
              <w:rPr>
                <w:rFonts w:ascii="Arial" w:cs="Arial" w:eastAsia="Arial" w:hAnsi="Arial"/>
                <w:sz w:val="18"/>
                <w:szCs w:val="18"/>
                <w:color w:val="0000FF"/>
              </w:rPr>
            </w:pPr>
            <w:hyperlink r:id="rId199">
              <w:r>
                <w:rPr>
                  <w:rFonts w:ascii="Arial" w:cs="Arial" w:eastAsia="Arial" w:hAnsi="Arial"/>
                  <w:sz w:val="18"/>
                  <w:szCs w:val="18"/>
                  <w:color w:val="0000FF"/>
                </w:rPr>
                <w:t>10-Q for the quarter ended March 31, 2019. **</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80" w:type="dxa"/>
            <w:vAlign w:val="bottom"/>
            <w:tcBorders>
              <w:right w:val="single" w:sz="8" w:color="0000EE"/>
            </w:tcBorders>
            <w:gridSpan w:val="5"/>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40" w:type="dxa"/>
            <w:vAlign w:val="bottom"/>
            <w:gridSpan w:val="2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920" w:type="dxa"/>
            <w:vAlign w:val="bottom"/>
          </w:tcPr>
          <w:p>
            <w:pPr>
              <w:ind w:left="20"/>
              <w:spacing w:after="0"/>
              <w:rPr>
                <w:sz w:val="20"/>
                <w:szCs w:val="20"/>
                <w:color w:val="auto"/>
              </w:rPr>
            </w:pPr>
            <w:r>
              <w:rPr>
                <w:rFonts w:ascii="Arial" w:cs="Arial" w:eastAsia="Arial" w:hAnsi="Arial"/>
                <w:sz w:val="18"/>
                <w:szCs w:val="18"/>
                <w:color w:val="auto"/>
              </w:rPr>
              <w:t>10.7(b)</w:t>
            </w:r>
          </w:p>
        </w:tc>
        <w:tc>
          <w:tcPr>
            <w:tcW w:w="10240" w:type="dxa"/>
            <w:vAlign w:val="bottom"/>
            <w:tcBorders>
              <w:bottom w:val="single" w:sz="8" w:color="0000FF"/>
            </w:tcBorders>
            <w:gridSpan w:val="32"/>
          </w:tcPr>
          <w:p>
            <w:pPr>
              <w:spacing w:after="0"/>
              <w:rPr>
                <w:rFonts w:ascii="Arial" w:cs="Arial" w:eastAsia="Arial" w:hAnsi="Arial"/>
                <w:sz w:val="18"/>
                <w:szCs w:val="18"/>
                <w:color w:val="0000FF"/>
                <w:w w:val="91"/>
              </w:rPr>
            </w:pPr>
            <w:hyperlink r:id="rId200">
              <w:r>
                <w:rPr>
                  <w:rFonts w:ascii="Arial" w:cs="Arial" w:eastAsia="Arial" w:hAnsi="Arial"/>
                  <w:sz w:val="18"/>
                  <w:szCs w:val="18"/>
                  <w:color w:val="0000FF"/>
                  <w:w w:val="91"/>
                </w:rPr>
                <w:t>Form of Restricted Stock Unit Agreement under 2011 Equity Incentive Plan, incorporated by reference to the Company’s Quarterly Report on</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320" w:type="dxa"/>
            <w:vAlign w:val="bottom"/>
            <w:gridSpan w:val="36"/>
          </w:tcPr>
          <w:p>
            <w:pPr>
              <w:spacing w:after="0" w:line="195" w:lineRule="exact"/>
              <w:rPr>
                <w:rFonts w:ascii="Arial" w:cs="Arial" w:eastAsia="Arial" w:hAnsi="Arial"/>
                <w:sz w:val="18"/>
                <w:szCs w:val="18"/>
                <w:color w:val="0000FF"/>
              </w:rPr>
            </w:pPr>
            <w:hyperlink r:id="rId200">
              <w:r>
                <w:rPr>
                  <w:rFonts w:ascii="Arial" w:cs="Arial" w:eastAsia="Arial" w:hAnsi="Arial"/>
                  <w:sz w:val="18"/>
                  <w:szCs w:val="18"/>
                  <w:color w:val="0000FF"/>
                </w:rPr>
                <w:t>Form 10-Q for the quarter ended March 31, 2012. **</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00" w:type="dxa"/>
            <w:vAlign w:val="bottom"/>
            <w:gridSpan w:val="6"/>
            <w:shd w:val="clear" w:color="auto" w:fill="0000FF"/>
          </w:tcPr>
          <w:p>
            <w:pPr>
              <w:spacing w:after="0" w:line="20" w:lineRule="exact"/>
              <w:rPr>
                <w:sz w:val="1"/>
                <w:szCs w:val="1"/>
                <w:color w:val="auto"/>
              </w:rPr>
            </w:pPr>
          </w:p>
        </w:tc>
        <w:tc>
          <w:tcPr>
            <w:tcW w:w="6500" w:type="dxa"/>
            <w:vAlign w:val="bottom"/>
            <w:gridSpan w:val="2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920" w:type="dxa"/>
            <w:vAlign w:val="bottom"/>
          </w:tcPr>
          <w:p>
            <w:pPr>
              <w:ind w:left="20"/>
              <w:spacing w:after="0"/>
              <w:rPr>
                <w:sz w:val="20"/>
                <w:szCs w:val="20"/>
                <w:color w:val="auto"/>
              </w:rPr>
            </w:pPr>
            <w:r>
              <w:rPr>
                <w:rFonts w:ascii="Arial" w:cs="Arial" w:eastAsia="Arial" w:hAnsi="Arial"/>
                <w:sz w:val="18"/>
                <w:szCs w:val="18"/>
                <w:color w:val="auto"/>
              </w:rPr>
              <w:t>10.7(c)</w:t>
            </w:r>
          </w:p>
        </w:tc>
        <w:tc>
          <w:tcPr>
            <w:tcW w:w="10300" w:type="dxa"/>
            <w:vAlign w:val="bottom"/>
            <w:tcBorders>
              <w:bottom w:val="single" w:sz="8" w:color="0000FF"/>
            </w:tcBorders>
            <w:gridSpan w:val="35"/>
          </w:tcPr>
          <w:p>
            <w:pPr>
              <w:spacing w:after="0"/>
              <w:rPr>
                <w:rFonts w:ascii="Arial" w:cs="Arial" w:eastAsia="Arial" w:hAnsi="Arial"/>
                <w:sz w:val="18"/>
                <w:szCs w:val="18"/>
                <w:color w:val="0000FF"/>
                <w:w w:val="90"/>
              </w:rPr>
            </w:pPr>
            <w:hyperlink r:id="rId201">
              <w:r>
                <w:rPr>
                  <w:rFonts w:ascii="Arial" w:cs="Arial" w:eastAsia="Arial" w:hAnsi="Arial"/>
                  <w:sz w:val="18"/>
                  <w:szCs w:val="18"/>
                  <w:color w:val="0000FF"/>
                  <w:w w:val="90"/>
                </w:rPr>
                <w:t>Form of 2014 Career Share Agreement under the 2011 Equity Incentive Plan, incorporated by reference to the Company’s Quarterly Report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320" w:type="dxa"/>
            <w:vAlign w:val="bottom"/>
            <w:gridSpan w:val="36"/>
          </w:tcPr>
          <w:p>
            <w:pPr>
              <w:spacing w:after="0" w:line="195" w:lineRule="exact"/>
              <w:rPr>
                <w:rFonts w:ascii="Arial" w:cs="Arial" w:eastAsia="Arial" w:hAnsi="Arial"/>
                <w:sz w:val="18"/>
                <w:szCs w:val="18"/>
                <w:color w:val="0000FF"/>
              </w:rPr>
            </w:pPr>
            <w:hyperlink r:id="rId201">
              <w:r>
                <w:rPr>
                  <w:rFonts w:ascii="Arial" w:cs="Arial" w:eastAsia="Arial" w:hAnsi="Arial"/>
                  <w:sz w:val="18"/>
                  <w:szCs w:val="18"/>
                  <w:color w:val="0000FF"/>
                </w:rPr>
                <w:t>Form 10-Q for the quarter ended March 31, 2014. **</w:t>
              </w:r>
            </w:hyperlink>
          </w:p>
        </w:tc>
        <w:tc>
          <w:tcPr>
            <w:tcW w:w="0" w:type="dxa"/>
            <w:vAlign w:val="bottom"/>
          </w:tcPr>
          <w:p>
            <w:pPr>
              <w:spacing w:after="0"/>
              <w:rPr>
                <w:sz w:val="1"/>
                <w:szCs w:val="1"/>
                <w:color w:val="auto"/>
              </w:rPr>
            </w:pPr>
          </w:p>
        </w:tc>
      </w:tr>
      <w:tr>
        <w:trPr>
          <w:trHeight w:val="707"/>
        </w:trPr>
        <w:tc>
          <w:tcPr>
            <w:tcW w:w="920" w:type="dxa"/>
            <w:vAlign w:val="bottom"/>
          </w:tcPr>
          <w:p>
            <w:pPr>
              <w:spacing w:after="0"/>
              <w:rPr>
                <w:sz w:val="24"/>
                <w:szCs w:val="24"/>
                <w:color w:val="auto"/>
              </w:rPr>
            </w:pPr>
          </w:p>
        </w:tc>
        <w:tc>
          <w:tcPr>
            <w:tcW w:w="3800" w:type="dxa"/>
            <w:vAlign w:val="bottom"/>
            <w:tcBorders>
              <w:top w:val="single" w:sz="8" w:color="0000FF"/>
            </w:tcBorders>
            <w:gridSpan w:val="6"/>
          </w:tcPr>
          <w:p>
            <w:pPr>
              <w:spacing w:after="0"/>
              <w:rPr>
                <w:sz w:val="24"/>
                <w:szCs w:val="24"/>
                <w:color w:val="auto"/>
              </w:rPr>
            </w:pPr>
          </w:p>
        </w:tc>
        <w:tc>
          <w:tcPr>
            <w:tcW w:w="1100" w:type="dxa"/>
            <w:vAlign w:val="bottom"/>
            <w:gridSpan w:val="5"/>
          </w:tcPr>
          <w:p>
            <w:pPr>
              <w:jc w:val="right"/>
              <w:ind w:right="6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03" w:name="page104"/>
    <w:bookmarkEnd w:id="103"/>
    <w:p>
      <w:pPr>
        <w:ind w:left="900" w:right="80" w:hanging="900"/>
        <w:spacing w:after="0" w:line="27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10.7 (d)</w:t>
      </w:r>
      <w:r>
        <w:rPr>
          <w:sz w:val="20"/>
          <w:szCs w:val="20"/>
          <w:color w:val="auto"/>
        </w:rPr>
        <w:tab/>
      </w:r>
      <w:hyperlink r:id="rId204">
        <w:r>
          <w:rPr>
            <w:rFonts w:ascii="Arial" w:cs="Arial" w:eastAsia="Arial" w:hAnsi="Arial"/>
            <w:sz w:val="18"/>
            <w:szCs w:val="18"/>
            <w:u w:val="single" w:color="auto"/>
            <w:color w:val="0000FF"/>
          </w:rPr>
          <w:t>Form of 2019 Performance Share Unit Agreement under 2011 Equity Incentive Plan of ManpowerGroup Inc., incorporated by reference to the</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Company’s Quarterly Report on Form 10-Q for the Quarter ended March 31, 2019.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-180340</wp:posOffset>
            </wp:positionV>
            <wp:extent cx="65208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652081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-43815</wp:posOffset>
            </wp:positionV>
            <wp:extent cx="39300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3930015" cy="8255"/>
                    </a:xfrm>
                    <a:prstGeom prst="rect">
                      <a:avLst/>
                    </a:prstGeom>
                    <a:noFill/>
                  </pic:spPr>
                </pic:pic>
              </a:graphicData>
            </a:graphic>
          </wp:anchor>
        </w:drawing>
      </w:r>
    </w:p>
    <w:p>
      <w:pPr>
        <w:spacing w:after="0" w:line="205" w:lineRule="exact"/>
        <w:rPr>
          <w:sz w:val="20"/>
          <w:szCs w:val="20"/>
          <w:color w:val="auto"/>
        </w:rPr>
      </w:pPr>
    </w:p>
    <w:p>
      <w:pPr>
        <w:ind w:left="900" w:right="220" w:hanging="900"/>
        <w:spacing w:after="0" w:line="262"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10.7(e)</w:t>
      </w:r>
      <w:r>
        <w:rPr>
          <w:sz w:val="20"/>
          <w:szCs w:val="20"/>
          <w:color w:val="auto"/>
        </w:rPr>
        <w:tab/>
      </w:r>
      <w:hyperlink r:id="rId207">
        <w:r>
          <w:rPr>
            <w:rFonts w:ascii="Arial" w:cs="Arial" w:eastAsia="Arial" w:hAnsi="Arial"/>
            <w:sz w:val="18"/>
            <w:szCs w:val="18"/>
            <w:u w:val="single" w:color="auto"/>
            <w:color w:val="0000FF"/>
          </w:rPr>
          <w:t>2019 Restricted Stock Unit Agreement, under the 2011 Equity Incentive Plan of ManpowerGroup Inc., dated as of August 14, 2019 between</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Michelle S. Nettles and the Company and incorporated by reference to the Company’s Annual Report on Form 10-K for the year ended</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December 31, 2020. **</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572770</wp:posOffset>
            </wp:positionH>
            <wp:positionV relativeFrom="paragraph">
              <wp:posOffset>-309880</wp:posOffset>
            </wp:positionV>
            <wp:extent cx="64300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6430010" cy="8255"/>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-172720</wp:posOffset>
            </wp:positionV>
            <wp:extent cx="61937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6193790" cy="8255"/>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-36195</wp:posOffset>
            </wp:positionV>
            <wp:extent cx="10655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1065530" cy="8255"/>
                    </a:xfrm>
                    <a:prstGeom prst="rect">
                      <a:avLst/>
                    </a:prstGeom>
                    <a:noFill/>
                  </pic:spPr>
                </pic:pic>
              </a:graphicData>
            </a:graphic>
          </wp:anchor>
        </w:drawing>
      </w:r>
    </w:p>
    <w:p>
      <w:pPr>
        <w:spacing w:after="0" w:line="217" w:lineRule="exact"/>
        <w:rPr>
          <w:rFonts w:ascii="Arial" w:cs="Arial" w:eastAsia="Arial" w:hAnsi="Arial"/>
          <w:sz w:val="18"/>
          <w:szCs w:val="18"/>
          <w:u w:val="single" w:color="auto"/>
          <w:color w:val="0000FF"/>
        </w:rPr>
      </w:pPr>
    </w:p>
    <w:p>
      <w:pPr>
        <w:ind w:left="900" w:right="40" w:hanging="900"/>
        <w:spacing w:after="0" w:line="27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10.7(f)</w:t>
      </w:r>
      <w:r>
        <w:rPr>
          <w:sz w:val="20"/>
          <w:szCs w:val="20"/>
          <w:color w:val="auto"/>
        </w:rPr>
        <w:tab/>
      </w:r>
      <w:hyperlink r:id="rId211">
        <w:r>
          <w:rPr>
            <w:rFonts w:ascii="Arial" w:cs="Arial" w:eastAsia="Arial" w:hAnsi="Arial"/>
            <w:sz w:val="18"/>
            <w:szCs w:val="18"/>
            <w:u w:val="single" w:color="auto"/>
            <w:color w:val="0000FF"/>
          </w:rPr>
          <w:t>Form of 2021 Performance Share Unit Agreement Under the 2011 Equity Incentive Plan of ManpowerGroup Inc., incorporated by reference to</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the Company’s Quarterly Report on Form 10-Q for the Quarter ended March 31,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-180340</wp:posOffset>
            </wp:positionV>
            <wp:extent cx="65436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654367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-43815</wp:posOffset>
            </wp:positionV>
            <wp:extent cx="39839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3983990" cy="8255"/>
                    </a:xfrm>
                    <a:prstGeom prst="rect">
                      <a:avLst/>
                    </a:prstGeom>
                    <a:noFill/>
                  </pic:spPr>
                </pic:pic>
              </a:graphicData>
            </a:graphic>
          </wp:anchor>
        </w:drawing>
      </w:r>
    </w:p>
    <w:p>
      <w:pPr>
        <w:spacing w:after="0" w:line="205" w:lineRule="exact"/>
        <w:rPr>
          <w:sz w:val="20"/>
          <w:szCs w:val="20"/>
          <w:color w:val="auto"/>
        </w:rPr>
      </w:pPr>
    </w:p>
    <w:p>
      <w:pPr>
        <w:ind w:left="900" w:right="360" w:hanging="900"/>
        <w:spacing w:after="0" w:line="27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10.7(g)</w:t>
      </w:r>
      <w:r>
        <w:rPr>
          <w:sz w:val="20"/>
          <w:szCs w:val="20"/>
          <w:color w:val="auto"/>
        </w:rPr>
        <w:tab/>
      </w:r>
      <w:hyperlink r:id="rId214">
        <w:r>
          <w:rPr>
            <w:rFonts w:ascii="Arial" w:cs="Arial" w:eastAsia="Arial" w:hAnsi="Arial"/>
            <w:sz w:val="18"/>
            <w:szCs w:val="18"/>
            <w:u w:val="single" w:color="auto"/>
            <w:color w:val="0000FF"/>
          </w:rPr>
          <w:t>Form of 2021 Special Performance Share Unit Agreement Under the 2011 Equity Incentive Plan of ManpowerGroup Inc., incorporated by</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reference to the Company’s Quarterly Report on Form 10-Q for the Quarter ended March 31,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-180340</wp:posOffset>
            </wp:positionV>
            <wp:extent cx="63411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6341110" cy="8255"/>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-43815</wp:posOffset>
            </wp:positionV>
            <wp:extent cx="45529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4552950" cy="8255"/>
                    </a:xfrm>
                    <a:prstGeom prst="rect">
                      <a:avLst/>
                    </a:prstGeom>
                    <a:noFill/>
                  </pic:spPr>
                </pic:pic>
              </a:graphicData>
            </a:graphic>
          </wp:anchor>
        </w:drawing>
      </w:r>
    </w:p>
    <w:p>
      <w:pPr>
        <w:spacing w:after="0" w:line="205" w:lineRule="exact"/>
        <w:rPr>
          <w:sz w:val="20"/>
          <w:szCs w:val="20"/>
          <w:color w:val="auto"/>
        </w:rPr>
      </w:pPr>
    </w:p>
    <w:p>
      <w:pPr>
        <w:ind w:left="900" w:right="20" w:hanging="900"/>
        <w:spacing w:after="0" w:line="27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10.7(h)</w:t>
      </w:r>
      <w:r>
        <w:rPr>
          <w:sz w:val="20"/>
          <w:szCs w:val="20"/>
          <w:color w:val="auto"/>
        </w:rPr>
        <w:tab/>
      </w:r>
      <w:hyperlink r:id="rId217">
        <w:r>
          <w:rPr>
            <w:rFonts w:ascii="Arial" w:cs="Arial" w:eastAsia="Arial" w:hAnsi="Arial"/>
            <w:sz w:val="18"/>
            <w:szCs w:val="18"/>
            <w:u w:val="single" w:color="auto"/>
            <w:color w:val="0000FF"/>
          </w:rPr>
          <w:t>Form of 2022 Performance Share Unit Agreement Under the 2011 Equity Inventive Plan of ManpowerGroup Inc., incorporated by reference to</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the Company's Quarterly Report on Form 10-Q for the Quarter ended March 31,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-180340</wp:posOffset>
            </wp:positionV>
            <wp:extent cx="65436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654367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-43815</wp:posOffset>
            </wp:positionV>
            <wp:extent cx="39439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3943985" cy="8255"/>
                    </a:xfrm>
                    <a:prstGeom prst="rect">
                      <a:avLst/>
                    </a:prstGeom>
                    <a:noFill/>
                  </pic:spPr>
                </pic:pic>
              </a:graphicData>
            </a:graphic>
          </wp:anchor>
        </w:drawing>
      </w:r>
    </w:p>
    <w:p>
      <w:pPr>
        <w:spacing w:after="0" w:line="20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10.8(a)</w:t>
      </w:r>
      <w:r>
        <w:rPr>
          <w:sz w:val="20"/>
          <w:szCs w:val="20"/>
          <w:color w:val="auto"/>
        </w:rPr>
        <w:tab/>
      </w:r>
      <w:r>
        <w:rPr>
          <w:rFonts w:ascii="Arial" w:cs="Arial" w:eastAsia="Arial" w:hAnsi="Arial"/>
          <w:sz w:val="16"/>
          <w:szCs w:val="16"/>
          <w:u w:val="single" w:color="auto"/>
          <w:color w:val="0000FF"/>
        </w:rPr>
        <w:t>Letter Agreement between Michelle S. Nettles and the Company dated as of February 17, 2023.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-10795</wp:posOffset>
            </wp:positionV>
            <wp:extent cx="4508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4508500" cy="8255"/>
                    </a:xfrm>
                    <a:prstGeom prst="rect">
                      <a:avLst/>
                    </a:prstGeom>
                    <a:noFill/>
                  </pic:spPr>
                </pic:pic>
              </a:graphicData>
            </a:graphic>
          </wp:anchor>
        </w:drawing>
      </w:r>
    </w:p>
    <w:p>
      <w:pPr>
        <w:spacing w:after="0" w:line="25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10.8(b)</w:t>
      </w:r>
      <w:r>
        <w:rPr>
          <w:sz w:val="20"/>
          <w:szCs w:val="20"/>
          <w:color w:val="auto"/>
        </w:rPr>
        <w:tab/>
      </w:r>
      <w:r>
        <w:rPr>
          <w:rFonts w:ascii="Arial" w:cs="Arial" w:eastAsia="Arial" w:hAnsi="Arial"/>
          <w:sz w:val="16"/>
          <w:szCs w:val="16"/>
          <w:u w:val="single" w:color="auto"/>
          <w:color w:val="0000FF"/>
        </w:rPr>
        <w:t>Letter Agreement between John T. McGinnis and the Company dated February 17, 2023.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-10795</wp:posOffset>
            </wp:positionV>
            <wp:extent cx="42030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4203065" cy="8255"/>
                    </a:xfrm>
                    <a:prstGeom prst="rect">
                      <a:avLst/>
                    </a:prstGeom>
                    <a:noFill/>
                  </pic:spPr>
                </pic:pic>
              </a:graphicData>
            </a:graphic>
          </wp:anchor>
        </w:drawing>
      </w:r>
    </w:p>
    <w:p>
      <w:pPr>
        <w:spacing w:after="0" w:line="257" w:lineRule="exact"/>
        <w:rPr>
          <w:sz w:val="20"/>
          <w:szCs w:val="20"/>
          <w:color w:val="auto"/>
        </w:rPr>
      </w:pPr>
    </w:p>
    <w:p>
      <w:pPr>
        <w:ind w:left="900" w:right="780" w:hanging="900"/>
        <w:spacing w:after="0" w:line="27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10.8(c)</w:t>
      </w:r>
      <w:r>
        <w:rPr>
          <w:sz w:val="20"/>
          <w:szCs w:val="20"/>
          <w:color w:val="auto"/>
        </w:rPr>
        <w:tab/>
      </w:r>
      <w:hyperlink r:id="rId222">
        <w:r>
          <w:rPr>
            <w:rFonts w:ascii="Arial" w:cs="Arial" w:eastAsia="Arial" w:hAnsi="Arial"/>
            <w:sz w:val="18"/>
            <w:szCs w:val="18"/>
            <w:u w:val="single" w:color="auto"/>
            <w:color w:val="0000FF"/>
          </w:rPr>
          <w:t>Employee Agreement between John T. McGinnis and the Company dated as of November 17, 2015, incorporated by reference to the</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Company's Current Report on Form 8-K dated January 28, 2016.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-180340</wp:posOffset>
            </wp:positionV>
            <wp:extent cx="60775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-43815</wp:posOffset>
            </wp:positionV>
            <wp:extent cx="31000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3100070" cy="8255"/>
                    </a:xfrm>
                    <a:prstGeom prst="rect">
                      <a:avLst/>
                    </a:prstGeom>
                    <a:noFill/>
                  </pic:spPr>
                </pic:pic>
              </a:graphicData>
            </a:graphic>
          </wp:anchor>
        </w:drawing>
      </w:r>
    </w:p>
    <w:p>
      <w:pPr>
        <w:spacing w:after="0" w:line="205"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10.9</w:t>
      </w:r>
      <w:r>
        <w:rPr>
          <w:sz w:val="20"/>
          <w:szCs w:val="20"/>
          <w:color w:val="auto"/>
        </w:rPr>
        <w:tab/>
      </w:r>
      <w:hyperlink r:id="rId225">
        <w:r>
          <w:rPr>
            <w:rFonts w:ascii="Arial" w:cs="Arial" w:eastAsia="Arial" w:hAnsi="Arial"/>
            <w:sz w:val="16"/>
            <w:szCs w:val="16"/>
            <w:u w:val="single" w:color="auto"/>
            <w:color w:val="0000FF"/>
          </w:rPr>
          <w:t>ManpowerGroup Inc. Annual Incentive Plan, incorporated by reference to the Company's Current Report on Form 8-K dated February 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-10795</wp:posOffset>
            </wp:positionV>
            <wp:extent cx="63309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6330950" cy="8255"/>
                    </a:xfrm>
                    <a:prstGeom prst="rect">
                      <a:avLst/>
                    </a:prstGeom>
                    <a:noFill/>
                  </pic:spPr>
                </pic:pic>
              </a:graphicData>
            </a:graphic>
          </wp:anchor>
        </w:drawing>
      </w:r>
    </w:p>
    <w:p>
      <w:pPr>
        <w:spacing w:after="0" w:line="3" w:lineRule="exact"/>
        <w:rPr>
          <w:sz w:val="20"/>
          <w:szCs w:val="20"/>
          <w:color w:val="auto"/>
        </w:rPr>
      </w:pPr>
    </w:p>
    <w:p>
      <w:pPr>
        <w:ind w:left="900"/>
        <w:spacing w:after="0"/>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-19685</wp:posOffset>
            </wp:positionV>
            <wp:extent cx="3981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398145" cy="8255"/>
                    </a:xfrm>
                    <a:prstGeom prst="rect">
                      <a:avLst/>
                    </a:prstGeom>
                    <a:noFill/>
                  </pic:spPr>
                </pic:pic>
              </a:graphicData>
            </a:graphic>
          </wp:anchor>
        </w:drawing>
      </w:r>
    </w:p>
    <w:p>
      <w:pPr>
        <w:spacing w:after="0" w:line="243" w:lineRule="exact"/>
        <w:rPr>
          <w:sz w:val="20"/>
          <w:szCs w:val="20"/>
          <w:color w:val="auto"/>
        </w:rPr>
      </w:pPr>
    </w:p>
    <w:p>
      <w:pPr>
        <w:ind w:left="900" w:hanging="89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0000FF"/>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-10795</wp:posOffset>
            </wp:positionV>
            <wp:extent cx="13398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25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FF"/>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-10795</wp:posOffset>
            </wp:positionV>
            <wp:extent cx="16173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1617345" cy="8255"/>
                    </a:xfrm>
                    <a:prstGeom prst="rect">
                      <a:avLst/>
                    </a:prstGeom>
                    <a:noFill/>
                  </pic:spPr>
                </pic:pic>
              </a:graphicData>
            </a:graphic>
          </wp:anchor>
        </w:drawing>
      </w:r>
    </w:p>
    <w:p>
      <w:pPr>
        <w:spacing w:after="0" w:line="257" w:lineRule="exact"/>
        <w:rPr>
          <w:sz w:val="20"/>
          <w:szCs w:val="20"/>
          <w:color w:val="auto"/>
        </w:rPr>
      </w:pPr>
    </w:p>
    <w:p>
      <w:pPr>
        <w:ind w:left="900" w:hanging="89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-10795</wp:posOffset>
            </wp:positionV>
            <wp:extent cx="8686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gridSpan w:val="8"/>
          </w:tcPr>
          <w:p>
            <w:pPr>
              <w:spacing w:after="0"/>
              <w:rPr>
                <w:sz w:val="20"/>
                <w:szCs w:val="20"/>
                <w:color w:val="auto"/>
              </w:rPr>
            </w:pPr>
            <w:r>
              <w:rPr>
                <w:rFonts w:ascii="Arial" w:cs="Arial" w:eastAsia="Arial" w:hAnsi="Arial"/>
                <w:sz w:val="18"/>
                <w:szCs w:val="18"/>
                <w:color w:val="0000FF"/>
              </w:rPr>
              <w:t>Certification of Jonas Prising, Chief Executive Officer, pursuant to Section 13a-14(a) of the Securities Exchange Act of 1934.</w:t>
            </w:r>
          </w:p>
        </w:tc>
      </w:tr>
      <w:tr>
        <w:trPr>
          <w:trHeight w:val="20"/>
        </w:trPr>
        <w:tc>
          <w:tcPr>
            <w:tcW w:w="90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64"/>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98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Certification of John T. McGinnis, Executive Vice President and Chief Financial Officer, pursuant to Section 13a-14(a) of the Securities</w:t>
            </w:r>
          </w:p>
        </w:tc>
        <w:tc>
          <w:tcPr>
            <w:tcW w:w="200" w:type="dxa"/>
            <w:vAlign w:val="bottom"/>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166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0"/>
              </w:rPr>
              <w:t>Exchange Act of 1934.</w:t>
            </w:r>
          </w:p>
        </w:tc>
        <w:tc>
          <w:tcPr>
            <w:tcW w:w="20" w:type="dxa"/>
            <w:vAlign w:val="bottom"/>
            <w:tcBorders>
              <w:bottom w:val="single" w:sz="8" w:color="0000EE"/>
            </w:tcBorders>
          </w:tcPr>
          <w:p>
            <w:pPr>
              <w:spacing w:after="0"/>
              <w:rPr>
                <w:sz w:val="16"/>
                <w:szCs w:val="16"/>
                <w:color w:val="auto"/>
              </w:rPr>
            </w:pPr>
          </w:p>
        </w:tc>
        <w:tc>
          <w:tcPr>
            <w:tcW w:w="8320" w:type="dxa"/>
            <w:vAlign w:val="bottom"/>
            <w:gridSpan w:val="6"/>
          </w:tcPr>
          <w:p>
            <w:pPr>
              <w:spacing w:after="0"/>
              <w:rPr>
                <w:sz w:val="16"/>
                <w:szCs w:val="16"/>
                <w:color w:val="auto"/>
              </w:rPr>
            </w:pPr>
          </w:p>
        </w:tc>
      </w:tr>
      <w:tr>
        <w:trPr>
          <w:trHeight w:val="464"/>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60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Statement of Jonas Prising, Chief Executive Officer, pursuant to 18 U.S.C. ss. 1350.</w:t>
            </w:r>
          </w:p>
        </w:tc>
        <w:tc>
          <w:tcPr>
            <w:tcW w:w="20" w:type="dxa"/>
            <w:vAlign w:val="bottom"/>
            <w:tcBorders>
              <w:bottom w:val="single" w:sz="8" w:color="0000EE"/>
            </w:tcBorders>
          </w:tcPr>
          <w:p>
            <w:pPr>
              <w:spacing w:after="0"/>
              <w:rPr>
                <w:sz w:val="24"/>
                <w:szCs w:val="24"/>
                <w:color w:val="auto"/>
              </w:rPr>
            </w:pPr>
          </w:p>
        </w:tc>
        <w:tc>
          <w:tcPr>
            <w:tcW w:w="3940" w:type="dxa"/>
            <w:vAlign w:val="bottom"/>
            <w:gridSpan w:val="4"/>
          </w:tcPr>
          <w:p>
            <w:pPr>
              <w:spacing w:after="0"/>
              <w:rPr>
                <w:sz w:val="24"/>
                <w:szCs w:val="24"/>
                <w:color w:val="auto"/>
              </w:rPr>
            </w:pPr>
          </w:p>
        </w:tc>
      </w:tr>
      <w:tr>
        <w:trPr>
          <w:trHeight w:val="464"/>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000" w:type="dxa"/>
            <w:vAlign w:val="bottom"/>
            <w:gridSpan w:val="8"/>
          </w:tcPr>
          <w:p>
            <w:pPr>
              <w:spacing w:after="0"/>
              <w:rPr>
                <w:sz w:val="20"/>
                <w:szCs w:val="20"/>
                <w:color w:val="auto"/>
              </w:rPr>
            </w:pPr>
            <w:r>
              <w:rPr>
                <w:rFonts w:ascii="Arial" w:cs="Arial" w:eastAsia="Arial" w:hAnsi="Arial"/>
                <w:sz w:val="18"/>
                <w:szCs w:val="18"/>
                <w:color w:val="0000FF"/>
              </w:rPr>
              <w:t>Statement of John T. McGinnis, Executive Vice President and Chief Financial Officer, pursuant to 18 U.S.C. ss. 1350.</w:t>
            </w:r>
          </w:p>
        </w:tc>
      </w:tr>
      <w:tr>
        <w:trPr>
          <w:trHeight w:val="20"/>
        </w:trPr>
        <w:tc>
          <w:tcPr>
            <w:tcW w:w="900" w:type="dxa"/>
            <w:vAlign w:val="bottom"/>
          </w:tcPr>
          <w:p>
            <w:pPr>
              <w:spacing w:after="0" w:line="20" w:lineRule="exact"/>
              <w:rPr>
                <w:sz w:val="1"/>
                <w:szCs w:val="1"/>
                <w:color w:val="auto"/>
              </w:rPr>
            </w:pPr>
          </w:p>
        </w:tc>
        <w:tc>
          <w:tcPr>
            <w:tcW w:w="8480" w:type="dxa"/>
            <w:vAlign w:val="bottom"/>
            <w:tcBorders>
              <w:right w:val="single" w:sz="8" w:color="0000EE"/>
            </w:tcBorders>
            <w:gridSpan w:val="5"/>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49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000" w:type="dxa"/>
            <w:vAlign w:val="bottom"/>
            <w:gridSpan w:val="8"/>
          </w:tcPr>
          <w:p>
            <w:pPr>
              <w:spacing w:after="0"/>
              <w:rPr>
                <w:sz w:val="20"/>
                <w:szCs w:val="20"/>
                <w:color w:val="auto"/>
              </w:rPr>
            </w:pPr>
            <w:r>
              <w:rPr>
                <w:rFonts w:ascii="Arial" w:cs="Arial" w:eastAsia="Arial" w:hAnsi="Arial"/>
                <w:sz w:val="18"/>
                <w:szCs w:val="18"/>
                <w:color w:val="212529"/>
                <w:w w:val="89"/>
              </w:rPr>
              <w:t xml:space="preserve">Inline XBRL Instance Document </w:t>
            </w:r>
            <w:r>
              <w:rPr>
                <w:rFonts w:ascii="Arial" w:cs="Arial" w:eastAsia="Arial" w:hAnsi="Arial"/>
                <w:sz w:val="18"/>
                <w:szCs w:val="18"/>
                <w:color w:val="000000"/>
                <w:w w:val="89"/>
              </w:rPr>
              <w:t>- the instance document does not appear in the Interactive Data File because its XBRL tags are embedded</w:t>
            </w:r>
          </w:p>
        </w:tc>
      </w:tr>
      <w:tr>
        <w:trPr>
          <w:trHeight w:val="230"/>
        </w:trPr>
        <w:tc>
          <w:tcPr>
            <w:tcW w:w="90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r>
      <w:tr>
        <w:trPr>
          <w:trHeight w:val="484"/>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84"/>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8"/>
          </w:tcPr>
          <w:p>
            <w:pPr>
              <w:spacing w:after="0"/>
              <w:rPr>
                <w:sz w:val="20"/>
                <w:szCs w:val="20"/>
                <w:color w:val="auto"/>
              </w:rPr>
            </w:pPr>
            <w:r>
              <w:rPr>
                <w:rFonts w:ascii="Arial" w:cs="Arial" w:eastAsia="Arial" w:hAnsi="Arial"/>
                <w:sz w:val="18"/>
                <w:szCs w:val="18"/>
                <w:color w:val="212529"/>
              </w:rPr>
              <w:t>Inline XBRL Taxonomy Extension Calculation Linkbase Document</w:t>
            </w:r>
          </w:p>
        </w:tc>
      </w:tr>
      <w:tr>
        <w:trPr>
          <w:trHeight w:val="484"/>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8"/>
          </w:tcPr>
          <w:p>
            <w:pPr>
              <w:spacing w:after="0"/>
              <w:rPr>
                <w:sz w:val="20"/>
                <w:szCs w:val="20"/>
                <w:color w:val="auto"/>
              </w:rPr>
            </w:pPr>
            <w:r>
              <w:rPr>
                <w:rFonts w:ascii="Arial" w:cs="Arial" w:eastAsia="Arial" w:hAnsi="Arial"/>
                <w:sz w:val="18"/>
                <w:szCs w:val="18"/>
                <w:color w:val="212529"/>
              </w:rPr>
              <w:t>Inline XBRL Taxonomy Extension Definition Linkbase Document</w:t>
            </w:r>
          </w:p>
        </w:tc>
      </w:tr>
      <w:tr>
        <w:trPr>
          <w:trHeight w:val="700"/>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8"/>
          </w:tcPr>
          <w:p>
            <w:pPr>
              <w:spacing w:after="0"/>
              <w:rPr>
                <w:sz w:val="20"/>
                <w:szCs w:val="20"/>
                <w:color w:val="auto"/>
              </w:rPr>
            </w:pPr>
            <w:r>
              <w:rPr>
                <w:rFonts w:ascii="Arial" w:cs="Arial" w:eastAsia="Arial" w:hAnsi="Arial"/>
                <w:sz w:val="18"/>
                <w:szCs w:val="18"/>
                <w:color w:val="212529"/>
              </w:rPr>
              <w:t>Inline XBRL Taxonomy Extension Label Linkbase Document</w:t>
            </w:r>
          </w:p>
        </w:tc>
      </w:tr>
      <w:tr>
        <w:trPr>
          <w:trHeight w:val="484"/>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8"/>
          </w:tcPr>
          <w:p>
            <w:pPr>
              <w:spacing w:after="0"/>
              <w:rPr>
                <w:sz w:val="20"/>
                <w:szCs w:val="20"/>
                <w:color w:val="auto"/>
              </w:rPr>
            </w:pPr>
            <w:r>
              <w:rPr>
                <w:rFonts w:ascii="Arial" w:cs="Arial" w:eastAsia="Arial" w:hAnsi="Arial"/>
                <w:sz w:val="18"/>
                <w:szCs w:val="18"/>
                <w:color w:val="212529"/>
              </w:rPr>
              <w:t>Inline XBRL Taxonomy Extension Presentation Linkbase Document</w:t>
            </w:r>
          </w:p>
        </w:tc>
      </w:tr>
    </w:tbl>
    <w:p>
      <w:pPr>
        <w:spacing w:after="0" w:line="255" w:lineRule="exact"/>
        <w:rPr>
          <w:sz w:val="20"/>
          <w:szCs w:val="20"/>
          <w:color w:val="auto"/>
        </w:rPr>
      </w:pPr>
    </w:p>
    <w:p>
      <w:pPr>
        <w:ind w:left="900" w:hanging="899"/>
        <w:spacing w:after="0" w:line="275"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cover page from the Company’s Annual Report on Form 10-K for the fiscal year ended December 31, 2022 has been formatted in Inline</w:t>
      </w:r>
      <w:r>
        <w:rPr>
          <w:rFonts w:ascii="Arial" w:cs="Arial" w:eastAsia="Arial" w:hAnsi="Arial"/>
          <w:sz w:val="18"/>
          <w:szCs w:val="18"/>
          <w:color w:val="212529"/>
        </w:rPr>
        <w:t xml:space="preserve"> </w:t>
      </w:r>
      <w:r>
        <w:rPr>
          <w:rFonts w:ascii="Arial" w:cs="Arial" w:eastAsia="Arial" w:hAnsi="Arial"/>
          <w:sz w:val="18"/>
          <w:szCs w:val="18"/>
          <w:color w:val="000000"/>
        </w:rPr>
        <w:t>XBRL (Inline Extensible Business Reporting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83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40" w:top="354" w:right="359" w:bottom="1440" w:gutter="0" w:footer="0" w:header="0"/>
        </w:sectPr>
      </w:pPr>
    </w:p>
    <w:bookmarkStart w:id="104" w:name="page105"/>
    <w:bookmarkEnd w:id="104"/>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381"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SIGNATURES</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MANPOWERGROUP INC.</w:t>
      </w:r>
    </w:p>
    <w:p>
      <w:pPr>
        <w:spacing w:after="0" w:line="304" w:lineRule="exact"/>
        <w:rPr>
          <w:sz w:val="20"/>
          <w:szCs w:val="20"/>
          <w:color w:val="auto"/>
        </w:rPr>
      </w:pPr>
    </w:p>
    <w:p>
      <w:pPr>
        <w:ind w:left="702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Jonas Prising</w:t>
      </w:r>
    </w:p>
    <w:p>
      <w:pPr>
        <w:spacing w:after="0" w:line="3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Chairman and Chief Executive Officer</w:t>
      </w:r>
    </w:p>
    <w:p>
      <w:pPr>
        <w:spacing w:after="0" w:line="290"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Date:  February 17, 2023</w:t>
      </w:r>
    </w:p>
    <w:p>
      <w:pPr>
        <w:spacing w:after="0" w:line="23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ind w:left="112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2"/>
                <w:szCs w:val="22"/>
                <w:color w:val="auto"/>
              </w:rPr>
            </w:pPr>
          </w:p>
        </w:tc>
        <w:tc>
          <w:tcPr>
            <w:tcW w:w="560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2"/>
                <w:szCs w:val="22"/>
                <w:color w:val="auto"/>
              </w:rPr>
            </w:pPr>
          </w:p>
        </w:tc>
        <w:tc>
          <w:tcPr>
            <w:tcW w:w="270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Date</w:t>
            </w:r>
          </w:p>
        </w:tc>
      </w:tr>
      <w:tr>
        <w:trPr>
          <w:trHeight w:val="444"/>
        </w:trPr>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8"/>
                <w:szCs w:val="18"/>
                <w:color w:val="auto"/>
              </w:rPr>
              <w:t>/s/ Jonas Prising</w:t>
            </w: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Chairman, Chief Executive Officer and a Director</w:t>
            </w:r>
          </w:p>
        </w:tc>
        <w:tc>
          <w:tcPr>
            <w:tcW w:w="10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February 17, 2023</w:t>
            </w:r>
          </w:p>
        </w:tc>
      </w:tr>
      <w:tr>
        <w:trPr>
          <w:trHeight w:val="236"/>
        </w:trPr>
        <w:tc>
          <w:tcPr>
            <w:tcW w:w="2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Jonas Prising</w:t>
            </w:r>
          </w:p>
        </w:tc>
        <w:tc>
          <w:tcPr>
            <w:tcW w:w="154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524"/>
        </w:trPr>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8"/>
                <w:szCs w:val="18"/>
                <w:color w:val="auto"/>
              </w:rPr>
              <w:t>/s/ John T. McGinnis</w:t>
            </w: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0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February 17, 2023</w:t>
            </w:r>
          </w:p>
        </w:tc>
      </w:tr>
      <w:tr>
        <w:trPr>
          <w:trHeight w:val="236"/>
        </w:trPr>
        <w:tc>
          <w:tcPr>
            <w:tcW w:w="20" w:type="dxa"/>
            <w:vAlign w:val="bottom"/>
          </w:tcPr>
          <w:p>
            <w:pPr>
              <w:spacing w:after="0"/>
              <w:rPr>
                <w:sz w:val="20"/>
                <w:szCs w:val="20"/>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John T. McGinnis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84"/>
        </w:trPr>
        <w:tc>
          <w:tcPr>
            <w:tcW w:w="20" w:type="dxa"/>
            <w:vAlign w:val="bottom"/>
          </w:tcPr>
          <w:p>
            <w:pPr>
              <w:spacing w:after="0"/>
              <w:rPr>
                <w:sz w:val="24"/>
                <w:szCs w:val="24"/>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/s/ Donald Mondano</w:t>
            </w:r>
          </w:p>
        </w:tc>
        <w:tc>
          <w:tcPr>
            <w:tcW w:w="12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Global Controller and Treasurer</w:t>
            </w:r>
          </w:p>
        </w:tc>
        <w:tc>
          <w:tcPr>
            <w:tcW w:w="10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February 17, 2023</w:t>
            </w:r>
          </w:p>
        </w:tc>
      </w:tr>
      <w:tr>
        <w:trPr>
          <w:trHeight w:val="236"/>
        </w:trPr>
        <w:tc>
          <w:tcPr>
            <w:tcW w:w="20" w:type="dxa"/>
            <w:vAlign w:val="bottom"/>
          </w:tcPr>
          <w:p>
            <w:pPr>
              <w:spacing w:after="0"/>
              <w:rPr>
                <w:sz w:val="20"/>
                <w:szCs w:val="20"/>
                <w:color w:val="auto"/>
              </w:rPr>
            </w:pPr>
          </w:p>
        </w:tc>
        <w:tc>
          <w:tcPr>
            <w:tcW w:w="2700" w:type="dxa"/>
            <w:vAlign w:val="bottom"/>
            <w:gridSpan w:val="4"/>
          </w:tcPr>
          <w:p>
            <w:pPr>
              <w:spacing w:after="0"/>
              <w:rPr>
                <w:sz w:val="20"/>
                <w:szCs w:val="20"/>
                <w:color w:val="auto"/>
              </w:rPr>
            </w:pPr>
            <w:r>
              <w:rPr>
                <w:rFonts w:ascii="Arial" w:cs="Arial" w:eastAsia="Arial" w:hAnsi="Arial"/>
                <w:sz w:val="18"/>
                <w:szCs w:val="18"/>
                <w:color w:val="auto"/>
              </w:rPr>
              <w:t>Donald Mondano</w:t>
            </w:r>
          </w:p>
        </w:tc>
        <w:tc>
          <w:tcPr>
            <w:tcW w:w="1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24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Directors: Jean-Philippe Courtois, William Downe, John F. Ferraro, William P. Gipson, Patricia A. Hemingway Hall, Julie M. Howard, Muriel Pénicaud, Ulice Payne, Jr., Paul Read, Elizabeth P. Sartain, and Michael J. Van Handel</w:t>
      </w:r>
    </w:p>
    <w:p>
      <w:pPr>
        <w:spacing w:after="0" w:line="198"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Richard Buchband</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Richard Buchband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Attorney-In-Fact*</w:t>
      </w:r>
    </w:p>
    <w:p>
      <w:pPr>
        <w:spacing w:after="0" w:line="276"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17, 2023</w:t>
      </w:r>
    </w:p>
    <w:p>
      <w:pPr>
        <w:spacing w:after="0" w:line="237" w:lineRule="exact"/>
        <w:rPr>
          <w:sz w:val="20"/>
          <w:szCs w:val="20"/>
          <w:color w:val="auto"/>
        </w:rPr>
      </w:pPr>
    </w:p>
    <w:p>
      <w:pPr>
        <w:ind w:left="5480" w:right="4840" w:hanging="5472"/>
        <w:spacing w:after="0" w:line="621" w:lineRule="auto"/>
        <w:tabs>
          <w:tab w:leader="none" w:pos="133" w:val="left"/>
        </w:tabs>
        <w:numPr>
          <w:ilvl w:val="0"/>
          <w:numId w:val="52"/>
        </w:numPr>
        <w:rPr>
          <w:rFonts w:ascii="Arial" w:cs="Arial" w:eastAsia="Arial" w:hAnsi="Arial"/>
          <w:sz w:val="16"/>
          <w:szCs w:val="16"/>
          <w:color w:val="auto"/>
        </w:rPr>
      </w:pPr>
      <w:r>
        <w:rPr>
          <w:rFonts w:ascii="Arial" w:cs="Arial" w:eastAsia="Arial" w:hAnsi="Arial"/>
          <w:sz w:val="16"/>
          <w:szCs w:val="16"/>
          <w:color w:val="auto"/>
        </w:rPr>
        <w:t>Pursuant to authority granted by powers of attorney, copies of which are filed herewith.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83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06" w:name="page107"/>
    <w:bookmarkEnd w:id="106"/>
    <w:p>
      <w:pPr>
        <w:ind w:left="9600"/>
        <w:spacing w:after="0"/>
        <w:rPr>
          <w:sz w:val="20"/>
          <w:szCs w:val="20"/>
          <w:color w:val="auto"/>
        </w:rPr>
      </w:pPr>
      <w:r>
        <w:rPr>
          <w:rFonts w:ascii="Arial" w:cs="Arial" w:eastAsia="Arial" w:hAnsi="Arial"/>
          <w:sz w:val="22"/>
          <w:szCs w:val="22"/>
          <w:b w:val="1"/>
          <w:bCs w:val="1"/>
          <w:color w:val="auto"/>
        </w:rPr>
        <w:t>EXHIBIT 10.6(c)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ManpowerGroup Inc.</w:t>
      </w:r>
    </w:p>
    <w:p>
      <w:pPr>
        <w:jc w:val="center"/>
        <w:spacing w:after="0" w:line="236"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Milwaukee, Wisconsin 53212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17, 2023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Jonas Prising</w:t>
      </w:r>
    </w:p>
    <w:p>
      <w:pPr>
        <w:spacing w:after="0" w:line="236" w:lineRule="auto"/>
        <w:rPr>
          <w:sz w:val="20"/>
          <w:szCs w:val="20"/>
          <w:color w:val="auto"/>
        </w:rPr>
      </w:pPr>
      <w:r>
        <w:rPr>
          <w:rFonts w:ascii="Arial" w:cs="Arial" w:eastAsia="Arial" w:hAnsi="Arial"/>
          <w:sz w:val="22"/>
          <w:szCs w:val="22"/>
          <w:color w:val="auto"/>
        </w:rPr>
        <w:t>Chief Executive Officer</w:t>
      </w:r>
    </w:p>
    <w:p>
      <w:pPr>
        <w:spacing w:after="0" w:line="230" w:lineRule="auto"/>
        <w:rPr>
          <w:sz w:val="20"/>
          <w:szCs w:val="20"/>
          <w:color w:val="auto"/>
        </w:rPr>
      </w:pPr>
      <w:r>
        <w:rPr>
          <w:rFonts w:ascii="Arial" w:cs="Arial" w:eastAsia="Arial" w:hAnsi="Arial"/>
          <w:sz w:val="22"/>
          <w:szCs w:val="22"/>
          <w:color w:val="auto"/>
        </w:rPr>
        <w:t>ManpowerGroup Inc.</w:t>
      </w:r>
    </w:p>
    <w:p>
      <w:pPr>
        <w:spacing w:after="0" w:line="230" w:lineRule="auto"/>
        <w:rPr>
          <w:sz w:val="20"/>
          <w:szCs w:val="20"/>
          <w:color w:val="auto"/>
        </w:rPr>
      </w:pPr>
      <w:r>
        <w:rPr>
          <w:rFonts w:ascii="Arial" w:cs="Arial" w:eastAsia="Arial" w:hAnsi="Arial"/>
          <w:sz w:val="22"/>
          <w:szCs w:val="22"/>
          <w:color w:val="auto"/>
        </w:rPr>
        <w:t>100 Manpower Place</w:t>
      </w:r>
    </w:p>
    <w:p>
      <w:pPr>
        <w:spacing w:after="0"/>
        <w:rPr>
          <w:sz w:val="20"/>
          <w:szCs w:val="20"/>
          <w:color w:val="auto"/>
        </w:rPr>
      </w:pPr>
      <w:r>
        <w:rPr>
          <w:rFonts w:ascii="Arial" w:cs="Arial" w:eastAsia="Arial" w:hAnsi="Arial"/>
          <w:sz w:val="22"/>
          <w:szCs w:val="22"/>
          <w:color w:val="auto"/>
        </w:rPr>
        <w:t>Milwaukee, Wisconsin 53212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Dear Jonas:</w:t>
      </w:r>
    </w:p>
    <w:p>
      <w:pPr>
        <w:spacing w:after="0" w:line="231" w:lineRule="exact"/>
        <w:rPr>
          <w:sz w:val="20"/>
          <w:szCs w:val="20"/>
          <w:color w:val="auto"/>
        </w:rPr>
      </w:pPr>
    </w:p>
    <w:p>
      <w:pPr>
        <w:ind w:right="720"/>
        <w:spacing w:after="0" w:line="267" w:lineRule="auto"/>
        <w:rPr>
          <w:sz w:val="20"/>
          <w:szCs w:val="20"/>
          <w:color w:val="auto"/>
        </w:rPr>
      </w:pPr>
      <w:r>
        <w:rPr>
          <w:rFonts w:ascii="Arial" w:cs="Arial" w:eastAsia="Arial" w:hAnsi="Arial"/>
          <w:sz w:val="20"/>
          <w:szCs w:val="20"/>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295" w:lineRule="exact"/>
        <w:rPr>
          <w:sz w:val="20"/>
          <w:szCs w:val="20"/>
          <w:color w:val="auto"/>
        </w:rPr>
      </w:pPr>
    </w:p>
    <w:p>
      <w:pPr>
        <w:ind w:left="1020" w:hanging="504"/>
        <w:spacing w:after="0"/>
        <w:tabs>
          <w:tab w:leader="none" w:pos="1020" w:val="left"/>
        </w:tabs>
        <w:numPr>
          <w:ilvl w:val="0"/>
          <w:numId w:val="5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 agreement:</w:t>
      </w:r>
    </w:p>
    <w:p>
      <w:pPr>
        <w:spacing w:after="0" w:line="338" w:lineRule="exact"/>
        <w:rPr>
          <w:rFonts w:ascii="Arial" w:cs="Arial" w:eastAsia="Arial" w:hAnsi="Arial"/>
          <w:sz w:val="22"/>
          <w:szCs w:val="22"/>
          <w:u w:val="single" w:color="auto"/>
          <w:color w:val="auto"/>
        </w:rPr>
      </w:pPr>
    </w:p>
    <w:p>
      <w:pPr>
        <w:ind w:left="1540" w:right="180" w:hanging="514"/>
        <w:spacing w:after="0" w:line="249" w:lineRule="auto"/>
        <w:tabs>
          <w:tab w:leader="none" w:pos="1540" w:val="left"/>
        </w:tabs>
        <w:numPr>
          <w:ilvl w:val="1"/>
          <w:numId w:val="5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Benefit Plans</w:t>
      </w:r>
      <w:r>
        <w:rPr>
          <w:rFonts w:ascii="Arial" w:cs="Arial" w:eastAsia="Arial" w:hAnsi="Arial"/>
          <w:sz w:val="22"/>
          <w:szCs w:val="22"/>
          <w:color w:val="auto"/>
        </w:rPr>
        <w:t>. “Benefit Plans” means all benefits of employment generally made available to executives of the Corporation from time to time.</w:t>
      </w:r>
    </w:p>
    <w:p>
      <w:pPr>
        <w:spacing w:after="0" w:line="309" w:lineRule="exact"/>
        <w:rPr>
          <w:rFonts w:ascii="Arial" w:cs="Arial" w:eastAsia="Arial" w:hAnsi="Arial"/>
          <w:sz w:val="22"/>
          <w:szCs w:val="22"/>
          <w:u w:val="single" w:color="auto"/>
          <w:color w:val="auto"/>
        </w:rPr>
      </w:pPr>
    </w:p>
    <w:p>
      <w:pPr>
        <w:ind w:left="1540" w:right="60" w:hanging="514"/>
        <w:spacing w:after="0" w:line="254" w:lineRule="auto"/>
        <w:tabs>
          <w:tab w:leader="none" w:pos="1540" w:val="left"/>
        </w:tabs>
        <w:numPr>
          <w:ilvl w:val="1"/>
          <w:numId w:val="5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Cause</w:t>
      </w:r>
      <w:r>
        <w:rPr>
          <w:rFonts w:ascii="Arial" w:cs="Arial" w:eastAsia="Arial" w:hAnsi="Arial"/>
          <w:sz w:val="20"/>
          <w:szCs w:val="20"/>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Executive Compensation and Human Resources Committee of the Board of Directors, (ii) failure or refusal to follow the reasonable instructions or direction of the Board of Directors, which failure or refusal remains uncured, if subject to cure, to the reasonable satisfaction of the Board of Directors for five (5) business days after receiving notice thereof from the Executive Compensation and Human Resources Committee, or repeated failure or refusal to follow the reasonable instructions or directions of the Board of Directors, (iii) any act by you of fraud, material dishonesty or material disloyalty involving the Consolidated ManpowerGroup, (iv) any violation by you of a Consolidated ManpowerGroup policy of material import (including, but not limited to, the Code of Business Conduct and Ethics, the Insider Trading Policy,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83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7" w:name="page108"/>
    <w:bookmarkEnd w:id="107"/>
    <w:p>
      <w:pPr>
        <w:ind w:left="520" w:right="340"/>
        <w:spacing w:after="0" w:line="239" w:lineRule="auto"/>
        <w:rPr>
          <w:sz w:val="20"/>
          <w:szCs w:val="20"/>
          <w:color w:val="auto"/>
        </w:rPr>
      </w:pPr>
      <w:r>
        <w:rPr>
          <w:rFonts w:ascii="Arial" w:cs="Arial" w:eastAsia="Arial" w:hAnsi="Arial"/>
          <w:sz w:val="22"/>
          <w:szCs w:val="22"/>
          <w:color w:val="auto"/>
        </w:rPr>
        <w:t>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320" w:lineRule="exact"/>
        <w:rPr>
          <w:sz w:val="20"/>
          <w:szCs w:val="20"/>
          <w:color w:val="auto"/>
        </w:rPr>
      </w:pPr>
    </w:p>
    <w:p>
      <w:pPr>
        <w:ind w:left="520" w:hanging="514"/>
        <w:spacing w:after="0"/>
        <w:tabs>
          <w:tab w:leader="none" w:pos="520" w:val="left"/>
        </w:tabs>
        <w:numPr>
          <w:ilvl w:val="0"/>
          <w:numId w:val="5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338" w:lineRule="exact"/>
        <w:rPr>
          <w:rFonts w:ascii="Arial" w:cs="Arial" w:eastAsia="Arial" w:hAnsi="Arial"/>
          <w:sz w:val="22"/>
          <w:szCs w:val="22"/>
          <w:u w:val="single" w:color="auto"/>
          <w:color w:val="auto"/>
        </w:rPr>
      </w:pPr>
    </w:p>
    <w:p>
      <w:pPr>
        <w:ind w:left="1020" w:right="20" w:hanging="506"/>
        <w:spacing w:after="0" w:line="268" w:lineRule="auto"/>
        <w:tabs>
          <w:tab w:leader="none" w:pos="1020" w:val="left"/>
        </w:tabs>
        <w:numPr>
          <w:ilvl w:val="1"/>
          <w:numId w:val="54"/>
        </w:numPr>
        <w:rPr>
          <w:rFonts w:ascii="Arial" w:cs="Arial" w:eastAsia="Arial" w:hAnsi="Arial"/>
          <w:sz w:val="19"/>
          <w:szCs w:val="19"/>
          <w:color w:val="auto"/>
        </w:rPr>
      </w:pPr>
      <w:r>
        <w:rPr>
          <w:rFonts w:ascii="Arial" w:cs="Arial" w:eastAsia="Arial" w:hAnsi="Arial"/>
          <w:sz w:val="19"/>
          <w:szCs w:val="19"/>
          <w:color w:val="auto"/>
        </w:rPr>
        <w:t xml:space="preserve">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no Change of Control shall be deemed to have occurred as a result of an acquisition of shares of common stock or voting securities of the Corporation</w:t>
      </w:r>
    </w:p>
    <w:p>
      <w:pPr>
        <w:spacing w:after="0" w:line="5" w:lineRule="exact"/>
        <w:rPr>
          <w:rFonts w:ascii="Arial" w:cs="Arial" w:eastAsia="Arial" w:hAnsi="Arial"/>
          <w:sz w:val="19"/>
          <w:szCs w:val="19"/>
          <w:color w:val="auto"/>
        </w:rPr>
      </w:pPr>
    </w:p>
    <w:p>
      <w:pPr>
        <w:ind w:left="1020"/>
        <w:spacing w:after="0" w:line="256" w:lineRule="auto"/>
        <w:rPr>
          <w:rFonts w:ascii="Arial" w:cs="Arial" w:eastAsia="Arial" w:hAnsi="Arial"/>
          <w:sz w:val="19"/>
          <w:szCs w:val="19"/>
          <w:color w:val="auto"/>
        </w:rPr>
      </w:pPr>
      <w:r>
        <w:rPr>
          <w:rFonts w:ascii="Arial" w:cs="Arial" w:eastAsia="Arial" w:hAnsi="Arial"/>
          <w:sz w:val="20"/>
          <w:szCs w:val="20"/>
          <w:color w:val="auto"/>
        </w:rPr>
        <w:t>(A)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303" w:lineRule="exact"/>
        <w:rPr>
          <w:rFonts w:ascii="Arial" w:cs="Arial" w:eastAsia="Arial" w:hAnsi="Arial"/>
          <w:sz w:val="19"/>
          <w:szCs w:val="19"/>
          <w:color w:val="auto"/>
        </w:rPr>
      </w:pPr>
    </w:p>
    <w:p>
      <w:pPr>
        <w:ind w:left="1020" w:hanging="506"/>
        <w:spacing w:after="0" w:line="274" w:lineRule="auto"/>
        <w:tabs>
          <w:tab w:leader="none" w:pos="1020"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91" w:lineRule="exact"/>
        <w:rPr>
          <w:rFonts w:ascii="Arial" w:cs="Arial" w:eastAsia="Arial" w:hAnsi="Arial"/>
          <w:sz w:val="19"/>
          <w:szCs w:val="19"/>
          <w:color w:val="auto"/>
        </w:rPr>
      </w:pPr>
    </w:p>
    <w:p>
      <w:pPr>
        <w:ind w:left="1020" w:right="160" w:hanging="506"/>
        <w:spacing w:after="0" w:line="249" w:lineRule="auto"/>
        <w:tabs>
          <w:tab w:leader="none" w:pos="102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309" w:lineRule="exact"/>
        <w:rPr>
          <w:rFonts w:ascii="Arial" w:cs="Arial" w:eastAsia="Arial" w:hAnsi="Arial"/>
          <w:sz w:val="22"/>
          <w:szCs w:val="22"/>
          <w:color w:val="auto"/>
        </w:rPr>
      </w:pPr>
    </w:p>
    <w:p>
      <w:pPr>
        <w:ind w:left="1020" w:hanging="506"/>
        <w:spacing w:after="0" w:line="232" w:lineRule="auto"/>
        <w:tabs>
          <w:tab w:leader="none" w:pos="1020" w:val="left"/>
        </w:tabs>
        <w:numPr>
          <w:ilvl w:val="1"/>
          <w:numId w:val="54"/>
        </w:numPr>
        <w:rPr>
          <w:rFonts w:ascii="Arial" w:cs="Arial" w:eastAsia="Arial" w:hAnsi="Arial"/>
          <w:sz w:val="22"/>
          <w:szCs w:val="22"/>
          <w:color w:val="auto"/>
        </w:rPr>
      </w:pPr>
      <w:r>
        <w:rPr>
          <w:rFonts w:ascii="Arial" w:cs="Arial" w:eastAsia="Arial" w:hAnsi="Arial"/>
          <w:sz w:val="22"/>
          <w:szCs w:val="22"/>
          <w:color w:val="auto"/>
        </w:rPr>
        <w:t xml:space="preserve">individuals who, as of the date of this letter agreement, constitute the Board of Directors of the Corporation (as of such date, the “Incumbent Board”) cease for any reason to constitute at least a majority of such Board;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59690</wp:posOffset>
            </wp:positionV>
            <wp:extent cx="71583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220"/>
          </w:cols>
          <w:pgMar w:left="1340" w:top="226" w:right="339" w:bottom="1440" w:gutter="0" w:footer="0" w:header="0"/>
        </w:sectPr>
      </w:pPr>
    </w:p>
    <w:bookmarkStart w:id="108" w:name="page109"/>
    <w:bookmarkEnd w:id="108"/>
    <w:p>
      <w:pPr>
        <w:ind w:left="2040" w:right="860"/>
        <w:spacing w:after="0" w:line="249" w:lineRule="auto"/>
        <w:rPr>
          <w:sz w:val="20"/>
          <w:szCs w:val="20"/>
          <w:color w:val="auto"/>
        </w:rPr>
      </w:pPr>
      <w:r>
        <w:rPr>
          <w:rFonts w:ascii="Arial" w:cs="Arial" w:eastAsia="Arial" w:hAnsi="Arial"/>
          <w:sz w:val="22"/>
          <w:szCs w:val="22"/>
          <w:color w:val="auto"/>
        </w:rPr>
        <w:t>an actual or threatened election contest which was (or, if threatened, would have been) subject to Exchange Act Rule 14a-12(c); or</w:t>
      </w:r>
    </w:p>
    <w:p>
      <w:pPr>
        <w:spacing w:after="0" w:line="309" w:lineRule="exact"/>
        <w:rPr>
          <w:sz w:val="20"/>
          <w:szCs w:val="20"/>
          <w:color w:val="auto"/>
        </w:rPr>
      </w:pPr>
    </w:p>
    <w:p>
      <w:pPr>
        <w:ind w:left="2040" w:right="120" w:hanging="506"/>
        <w:spacing w:after="0" w:line="267" w:lineRule="auto"/>
        <w:tabs>
          <w:tab w:leader="none" w:pos="20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87"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w:t>
      </w:r>
    </w:p>
    <w:p>
      <w:pPr>
        <w:spacing w:after="0" w:line="295" w:lineRule="exact"/>
        <w:rPr>
          <w:sz w:val="20"/>
          <w:szCs w:val="20"/>
          <w:color w:val="auto"/>
        </w:rPr>
      </w:pPr>
    </w:p>
    <w:p>
      <w:pPr>
        <w:ind w:left="1540" w:right="640" w:hanging="514"/>
        <w:spacing w:after="0" w:line="249" w:lineRule="auto"/>
        <w:tabs>
          <w:tab w:leader="none" w:pos="1540" w:val="left"/>
        </w:tabs>
        <w:numPr>
          <w:ilvl w:val="1"/>
          <w:numId w:val="5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201" w:lineRule="exact"/>
        <w:rPr>
          <w:rFonts w:ascii="Arial" w:cs="Arial" w:eastAsia="Arial" w:hAnsi="Arial"/>
          <w:sz w:val="22"/>
          <w:szCs w:val="22"/>
          <w:u w:val="single" w:color="auto"/>
          <w:color w:val="auto"/>
        </w:rPr>
      </w:pPr>
    </w:p>
    <w:p>
      <w:pPr>
        <w:ind w:right="280" w:firstLine="8"/>
        <w:spacing w:after="0" w:line="249" w:lineRule="auto"/>
        <w:tabs>
          <w:tab w:leader="none" w:pos="687"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material breach of any material obligation of any member of the Consolidated ManpowerGroup for the payment or provision of compensation or other benefits to you;</w:t>
      </w:r>
    </w:p>
    <w:p>
      <w:pPr>
        <w:spacing w:after="0" w:line="201" w:lineRule="exact"/>
        <w:rPr>
          <w:rFonts w:ascii="Arial" w:cs="Arial" w:eastAsia="Arial" w:hAnsi="Arial"/>
          <w:sz w:val="22"/>
          <w:szCs w:val="22"/>
          <w:color w:val="auto"/>
        </w:rPr>
      </w:pPr>
    </w:p>
    <w:p>
      <w:pPr>
        <w:ind w:left="700" w:hanging="692"/>
        <w:spacing w:after="0"/>
        <w:tabs>
          <w:tab w:leader="none" w:pos="7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material diminution in your base salary;</w:t>
      </w:r>
    </w:p>
    <w:p>
      <w:pPr>
        <w:spacing w:after="0" w:line="231" w:lineRule="exact"/>
        <w:rPr>
          <w:rFonts w:ascii="Arial" w:cs="Arial" w:eastAsia="Arial" w:hAnsi="Arial"/>
          <w:sz w:val="22"/>
          <w:szCs w:val="22"/>
          <w:color w:val="auto"/>
        </w:rPr>
      </w:pPr>
    </w:p>
    <w:p>
      <w:pPr>
        <w:jc w:val="both"/>
        <w:ind w:right="480" w:firstLine="8"/>
        <w:spacing w:after="0" w:line="239" w:lineRule="auto"/>
        <w:tabs>
          <w:tab w:leader="none" w:pos="7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212" w:lineRule="exact"/>
        <w:rPr>
          <w:rFonts w:ascii="Arial" w:cs="Arial" w:eastAsia="Arial" w:hAnsi="Arial"/>
          <w:sz w:val="22"/>
          <w:szCs w:val="22"/>
          <w:color w:val="auto"/>
        </w:rPr>
      </w:pPr>
    </w:p>
    <w:p>
      <w:pPr>
        <w:ind w:right="440" w:firstLine="8"/>
        <w:spacing w:after="0" w:line="298" w:lineRule="auto"/>
        <w:tabs>
          <w:tab w:leader="none" w:pos="687" w:val="left"/>
        </w:tabs>
        <w:numPr>
          <w:ilvl w:val="0"/>
          <w:numId w:val="57"/>
        </w:numPr>
        <w:rPr>
          <w:rFonts w:ascii="Arial" w:cs="Arial" w:eastAsia="Arial" w:hAnsi="Arial"/>
          <w:sz w:val="20"/>
          <w:szCs w:val="20"/>
          <w:color w:val="auto"/>
        </w:rPr>
      </w:pPr>
      <w:r>
        <w:rPr>
          <w:rFonts w:ascii="Arial" w:cs="Arial" w:eastAsia="Arial" w:hAnsi="Arial"/>
          <w:sz w:val="20"/>
          <w:szCs w:val="20"/>
          <w:color w:val="auto"/>
        </w:rPr>
        <w:t>a material diminution in your authority, duties or responsibilities which is not accompanied by a material reduction in your target bonus opportunity but which diminution occurs within two years after the occurrence of a Change of Control;</w:t>
      </w:r>
    </w:p>
    <w:p>
      <w:pPr>
        <w:spacing w:after="0" w:line="155" w:lineRule="exact"/>
        <w:rPr>
          <w:rFonts w:ascii="Arial" w:cs="Arial" w:eastAsia="Arial" w:hAnsi="Arial"/>
          <w:sz w:val="20"/>
          <w:szCs w:val="20"/>
          <w:color w:val="auto"/>
        </w:rPr>
      </w:pPr>
    </w:p>
    <w:p>
      <w:pPr>
        <w:ind w:right="60" w:firstLine="8"/>
        <w:spacing w:after="0" w:line="239" w:lineRule="auto"/>
        <w:tabs>
          <w:tab w:leader="none" w:pos="681"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212" w:lineRule="exact"/>
        <w:rPr>
          <w:rFonts w:ascii="Arial" w:cs="Arial" w:eastAsia="Arial" w:hAnsi="Arial"/>
          <w:sz w:val="22"/>
          <w:szCs w:val="22"/>
          <w:color w:val="auto"/>
        </w:rPr>
      </w:pPr>
    </w:p>
    <w:p>
      <w:pPr>
        <w:ind w:right="560" w:firstLine="8"/>
        <w:spacing w:after="0" w:line="298" w:lineRule="auto"/>
        <w:tabs>
          <w:tab w:leader="none" w:pos="634" w:val="left"/>
        </w:tabs>
        <w:numPr>
          <w:ilvl w:val="0"/>
          <w:numId w:val="57"/>
        </w:numPr>
        <w:rPr>
          <w:rFonts w:ascii="Arial" w:cs="Arial" w:eastAsia="Arial" w:hAnsi="Arial"/>
          <w:sz w:val="20"/>
          <w:szCs w:val="20"/>
          <w:color w:val="auto"/>
        </w:rPr>
      </w:pPr>
      <w:r>
        <w:rPr>
          <w:rFonts w:ascii="Arial" w:cs="Arial" w:eastAsia="Arial" w:hAnsi="Arial"/>
          <w:sz w:val="20"/>
          <w:szCs w:val="20"/>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155"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w:t>
      </w:r>
    </w:p>
    <w:p>
      <w:pPr>
        <w:spacing w:after="0" w:line="322" w:lineRule="exact"/>
        <w:rPr>
          <w:sz w:val="20"/>
          <w:szCs w:val="20"/>
          <w:color w:val="auto"/>
        </w:rPr>
      </w:pPr>
    </w:p>
    <w:p>
      <w:pPr>
        <w:ind w:left="1540" w:right="180" w:hanging="514"/>
        <w:spacing w:after="0" w:line="234" w:lineRule="auto"/>
        <w:tabs>
          <w:tab w:leader="none" w:pos="1540" w:val="left"/>
        </w:tabs>
        <w:numPr>
          <w:ilvl w:val="0"/>
          <w:numId w:val="5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83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9" w:name="page110"/>
    <w:bookmarkEnd w:id="109"/>
    <w:p>
      <w:pPr>
        <w:ind w:left="1024" w:right="800"/>
        <w:spacing w:after="0" w:line="249" w:lineRule="auto"/>
        <w:rPr>
          <w:sz w:val="20"/>
          <w:szCs w:val="20"/>
          <w:color w:val="auto"/>
        </w:rPr>
      </w:pPr>
      <w:r>
        <w:rPr>
          <w:rFonts w:ascii="Arial" w:cs="Arial" w:eastAsia="Arial" w:hAnsi="Arial"/>
          <w:sz w:val="22"/>
          <w:szCs w:val="22"/>
          <w:color w:val="auto"/>
        </w:rPr>
        <w:t>forth in reasonable detail the facts and circumstances claimed to provide a basis for termination of your employment under the provision so indicated.</w:t>
      </w:r>
    </w:p>
    <w:p>
      <w:pPr>
        <w:spacing w:after="0" w:line="309" w:lineRule="exact"/>
        <w:rPr>
          <w:sz w:val="20"/>
          <w:szCs w:val="20"/>
          <w:color w:val="auto"/>
        </w:rPr>
      </w:pPr>
    </w:p>
    <w:p>
      <w:pPr>
        <w:jc w:val="both"/>
        <w:ind w:left="1024" w:right="280" w:hanging="514"/>
        <w:spacing w:after="0" w:line="275" w:lineRule="auto"/>
        <w:tabs>
          <w:tab w:leader="none" w:pos="1024" w:val="left"/>
        </w:tabs>
        <w:numPr>
          <w:ilvl w:val="1"/>
          <w:numId w:val="5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Date of Termination</w:t>
      </w:r>
      <w:r>
        <w:rPr>
          <w:rFonts w:ascii="Arial" w:cs="Arial" w:eastAsia="Arial" w:hAnsi="Arial"/>
          <w:sz w:val="20"/>
          <w:szCs w:val="20"/>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285" w:lineRule="exact"/>
        <w:rPr>
          <w:rFonts w:ascii="Arial" w:cs="Arial" w:eastAsia="Arial" w:hAnsi="Arial"/>
          <w:sz w:val="20"/>
          <w:szCs w:val="20"/>
          <w:u w:val="single" w:color="auto"/>
          <w:color w:val="auto"/>
        </w:rPr>
      </w:pPr>
    </w:p>
    <w:p>
      <w:pPr>
        <w:ind w:left="1024" w:right="940" w:hanging="514"/>
        <w:spacing w:after="0" w:line="249" w:lineRule="auto"/>
        <w:tabs>
          <w:tab w:leader="none" w:pos="1024" w:val="left"/>
        </w:tabs>
        <w:numPr>
          <w:ilvl w:val="1"/>
          <w:numId w:val="5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Protected Period</w:t>
      </w:r>
      <w:r>
        <w:rPr>
          <w:rFonts w:ascii="Arial" w:cs="Arial" w:eastAsia="Arial" w:hAnsi="Arial"/>
          <w:sz w:val="22"/>
          <w:szCs w:val="22"/>
          <w:color w:val="auto"/>
        </w:rPr>
        <w:t>. The “Protected Period” shall be a period of time determined in accordance with the following:</w:t>
      </w:r>
    </w:p>
    <w:p>
      <w:pPr>
        <w:spacing w:after="0" w:line="67" w:lineRule="exact"/>
        <w:rPr>
          <w:rFonts w:ascii="Arial" w:cs="Arial" w:eastAsia="Arial" w:hAnsi="Arial"/>
          <w:sz w:val="22"/>
          <w:szCs w:val="22"/>
          <w:u w:val="single" w:color="auto"/>
          <w:color w:val="auto"/>
        </w:rPr>
      </w:pPr>
    </w:p>
    <w:p>
      <w:pPr>
        <w:ind w:left="1524" w:right="200" w:hanging="506"/>
        <w:spacing w:after="0" w:line="286" w:lineRule="auto"/>
        <w:tabs>
          <w:tab w:leader="none" w:pos="1524" w:val="left"/>
        </w:tabs>
        <w:numPr>
          <w:ilvl w:val="2"/>
          <w:numId w:val="59"/>
        </w:numPr>
        <w:rPr>
          <w:rFonts w:ascii="Arial" w:cs="Arial" w:eastAsia="Arial" w:hAnsi="Arial"/>
          <w:sz w:val="19"/>
          <w:szCs w:val="19"/>
          <w:color w:val="auto"/>
        </w:rPr>
      </w:pPr>
      <w:r>
        <w:rPr>
          <w:rFonts w:ascii="Arial" w:cs="Arial" w:eastAsia="Arial" w:hAnsi="Arial"/>
          <w:sz w:val="19"/>
          <w:szCs w:val="19"/>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34" w:lineRule="exact"/>
        <w:rPr>
          <w:rFonts w:ascii="Arial" w:cs="Arial" w:eastAsia="Arial" w:hAnsi="Arial"/>
          <w:sz w:val="19"/>
          <w:szCs w:val="19"/>
          <w:color w:val="auto"/>
        </w:rPr>
      </w:pPr>
    </w:p>
    <w:p>
      <w:pPr>
        <w:ind w:left="1524" w:right="100" w:hanging="506"/>
        <w:spacing w:after="0" w:line="264" w:lineRule="auto"/>
        <w:tabs>
          <w:tab w:leader="none" w:pos="1524" w:val="left"/>
        </w:tabs>
        <w:numPr>
          <w:ilvl w:val="2"/>
          <w:numId w:val="59"/>
        </w:numPr>
        <w:rPr>
          <w:rFonts w:ascii="Arial" w:cs="Arial" w:eastAsia="Arial" w:hAnsi="Arial"/>
          <w:sz w:val="20"/>
          <w:szCs w:val="20"/>
          <w:color w:val="auto"/>
        </w:rPr>
      </w:pPr>
      <w:r>
        <w:rPr>
          <w:rFonts w:ascii="Arial" w:cs="Arial" w:eastAsia="Arial" w:hAnsi="Arial"/>
          <w:sz w:val="20"/>
          <w:szCs w:val="20"/>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53" w:lineRule="exact"/>
        <w:rPr>
          <w:rFonts w:ascii="Arial" w:cs="Arial" w:eastAsia="Arial" w:hAnsi="Arial"/>
          <w:sz w:val="20"/>
          <w:szCs w:val="20"/>
          <w:color w:val="auto"/>
        </w:rPr>
      </w:pPr>
    </w:p>
    <w:p>
      <w:pPr>
        <w:ind w:left="1524" w:right="340" w:hanging="506"/>
        <w:spacing w:after="0" w:line="239" w:lineRule="auto"/>
        <w:tabs>
          <w:tab w:leader="none" w:pos="1524" w:val="left"/>
        </w:tabs>
        <w:numPr>
          <w:ilvl w:val="2"/>
          <w:numId w:val="59"/>
        </w:numPr>
        <w:rPr>
          <w:rFonts w:ascii="Arial" w:cs="Arial" w:eastAsia="Arial" w:hAnsi="Arial"/>
          <w:sz w:val="22"/>
          <w:szCs w:val="22"/>
          <w:color w:val="auto"/>
        </w:rPr>
      </w:pPr>
      <w:r>
        <w:rPr>
          <w:rFonts w:ascii="Arial" w:cs="Arial" w:eastAsia="Arial" w:hAnsi="Arial"/>
          <w:sz w:val="22"/>
          <w:szCs w:val="22"/>
          <w:color w:val="auto"/>
        </w:rPr>
        <w:t xml:space="preserve">in the case of any Change of Control not described in Subsections 1(g)(i) or (ii), </w:t>
      </w:r>
      <w:r>
        <w:rPr>
          <w:rFonts w:ascii="Arial" w:cs="Arial" w:eastAsia="Arial" w:hAnsi="Arial"/>
          <w:sz w:val="22"/>
          <w:szCs w:val="22"/>
          <w:u w:val="single" w:color="auto"/>
          <w:color w:val="auto"/>
        </w:rPr>
        <w:t>above</w:t>
      </w:r>
      <w:r>
        <w:rPr>
          <w:rFonts w:ascii="Arial" w:cs="Arial" w:eastAsia="Arial" w:hAnsi="Arial"/>
          <w:sz w:val="22"/>
          <w:szCs w:val="22"/>
          <w:color w:val="auto"/>
        </w:rPr>
        <w:t>, the Protected Period shall commence on the date that is six months prior to the Change of Control and shall continue through and including the date of the Change of Control.</w:t>
      </w:r>
    </w:p>
    <w:p>
      <w:pPr>
        <w:spacing w:after="0" w:line="78" w:lineRule="exact"/>
        <w:rPr>
          <w:rFonts w:ascii="Arial" w:cs="Arial" w:eastAsia="Arial" w:hAnsi="Arial"/>
          <w:sz w:val="22"/>
          <w:szCs w:val="22"/>
          <w:color w:val="auto"/>
        </w:rPr>
      </w:pPr>
    </w:p>
    <w:p>
      <w:pPr>
        <w:ind w:left="1024" w:right="20" w:hanging="514"/>
        <w:spacing w:after="0" w:line="267" w:lineRule="auto"/>
        <w:tabs>
          <w:tab w:leader="none" w:pos="1024" w:val="left"/>
        </w:tabs>
        <w:numPr>
          <w:ilvl w:val="1"/>
          <w:numId w:val="5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The “Term” will be a period beginning on the date of this letter agreement indicated above and ending on the first to occur of the following: (a) the date which is the two year anniversary of the occurrence of a Change of Control; (b) February 28, 2026 if no Change of Control occurs between the date of this letter agreement indicated above and February 28, 2026; or (c) the Date of Termination.</w:t>
      </w:r>
    </w:p>
    <w:p>
      <w:pPr>
        <w:spacing w:after="0" w:line="52" w:lineRule="exact"/>
        <w:rPr>
          <w:rFonts w:ascii="Arial" w:cs="Arial" w:eastAsia="Arial" w:hAnsi="Arial"/>
          <w:sz w:val="20"/>
          <w:szCs w:val="20"/>
          <w:u w:val="single" w:color="auto"/>
          <w:color w:val="auto"/>
        </w:rPr>
      </w:pPr>
    </w:p>
    <w:p>
      <w:pPr>
        <w:ind w:left="504" w:hanging="504"/>
        <w:spacing w:after="0"/>
        <w:tabs>
          <w:tab w:leader="none" w:pos="504" w:val="left"/>
        </w:tabs>
        <w:numPr>
          <w:ilvl w:val="0"/>
          <w:numId w:val="6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338" w:lineRule="exact"/>
        <w:rPr>
          <w:rFonts w:ascii="Arial" w:cs="Arial" w:eastAsia="Arial" w:hAnsi="Arial"/>
          <w:sz w:val="22"/>
          <w:szCs w:val="22"/>
          <w:u w:val="single" w:color="auto"/>
          <w:color w:val="auto"/>
        </w:rPr>
      </w:pPr>
    </w:p>
    <w:p>
      <w:pPr>
        <w:ind w:left="1024" w:right="140" w:hanging="514"/>
        <w:spacing w:after="0" w:line="260" w:lineRule="auto"/>
        <w:tabs>
          <w:tab w:leader="none" w:pos="1024" w:val="left"/>
        </w:tabs>
        <w:numPr>
          <w:ilvl w:val="1"/>
          <w:numId w:val="6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Termination by the Corporation for Cause or by You Other Than for Good Reason</w:t>
      </w:r>
      <w:r>
        <w:rPr>
          <w:rFonts w:ascii="Arial" w:cs="Arial" w:eastAsia="Arial" w:hAnsi="Arial"/>
          <w:sz w:val="20"/>
          <w:szCs w:val="20"/>
          <w:color w:val="auto"/>
        </w:rPr>
        <w:t>.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300" w:lineRule="exact"/>
        <w:rPr>
          <w:rFonts w:ascii="Arial" w:cs="Arial" w:eastAsia="Arial" w:hAnsi="Arial"/>
          <w:sz w:val="20"/>
          <w:szCs w:val="20"/>
          <w:u w:val="single" w:color="auto"/>
          <w:color w:val="auto"/>
        </w:rPr>
      </w:pPr>
    </w:p>
    <w:p>
      <w:pPr>
        <w:ind w:left="1024" w:right="220" w:hanging="514"/>
        <w:spacing w:after="0" w:line="275" w:lineRule="auto"/>
        <w:tabs>
          <w:tab w:leader="none" w:pos="1024" w:val="left"/>
        </w:tabs>
        <w:numPr>
          <w:ilvl w:val="1"/>
          <w:numId w:val="6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Consolidated ManpowerGroup terminates during the Term by reason of your disability or death, the Corporation will pay or provide you with</w:t>
      </w:r>
    </w:p>
    <w:p>
      <w:pPr>
        <w:spacing w:after="0" w:line="1" w:lineRule="exact"/>
        <w:rPr>
          <w:rFonts w:ascii="Arial" w:cs="Arial" w:eastAsia="Arial" w:hAnsi="Arial"/>
          <w:sz w:val="19"/>
          <w:szCs w:val="19"/>
          <w:u w:val="single" w:color="auto"/>
          <w:color w:val="auto"/>
        </w:rPr>
      </w:pPr>
    </w:p>
    <w:p>
      <w:pPr>
        <w:ind w:left="1024" w:right="360"/>
        <w:spacing w:after="0" w:line="267" w:lineRule="auto"/>
        <w:rPr>
          <w:rFonts w:ascii="Arial" w:cs="Arial" w:eastAsia="Arial" w:hAnsi="Arial"/>
          <w:sz w:val="19"/>
          <w:szCs w:val="19"/>
          <w:u w:val="single" w:color="auto"/>
          <w:color w:val="auto"/>
        </w:rPr>
      </w:pPr>
      <w:r>
        <w:rPr>
          <w:rFonts w:ascii="Arial" w:cs="Arial" w:eastAsia="Arial" w:hAnsi="Arial"/>
          <w:sz w:val="19"/>
          <w:szCs w:val="19"/>
          <w:color w:val="auto"/>
        </w:rPr>
        <w:t>(i) 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-3373755</wp:posOffset>
            </wp:positionV>
            <wp:extent cx="342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59690</wp:posOffset>
            </wp:positionV>
            <wp:extent cx="71583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4"/>
          </w:cols>
          <w:pgMar w:left="836" w:top="226" w:right="339" w:bottom="1440" w:gutter="0" w:footer="0" w:header="0"/>
        </w:sectPr>
      </w:pPr>
    </w:p>
    <w:bookmarkStart w:id="110" w:name="page111"/>
    <w:bookmarkEnd w:id="110"/>
    <w:p>
      <w:pPr>
        <w:ind w:left="1540"/>
        <w:spacing w:after="0" w:line="260" w:lineRule="auto"/>
        <w:rPr>
          <w:sz w:val="20"/>
          <w:szCs w:val="20"/>
          <w:color w:val="auto"/>
        </w:rPr>
      </w:pPr>
      <w:r>
        <w:rPr>
          <w:rFonts w:ascii="Arial" w:cs="Arial" w:eastAsia="Arial" w:hAnsi="Arial"/>
          <w:sz w:val="20"/>
          <w:szCs w:val="20"/>
          <w:color w:val="auto"/>
        </w:rPr>
        <w:t>after the Date of Termination, and (iii) all benefits to which you are entitled under any Benefit Plans in accordance with the terms of such plans. For purposes of this letter agreement,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301" w:lineRule="exact"/>
        <w:rPr>
          <w:sz w:val="20"/>
          <w:szCs w:val="20"/>
          <w:color w:val="auto"/>
        </w:rPr>
      </w:pPr>
    </w:p>
    <w:p>
      <w:pPr>
        <w:ind w:left="1540" w:right="40" w:hanging="514"/>
        <w:spacing w:after="0" w:line="296" w:lineRule="auto"/>
        <w:tabs>
          <w:tab w:leader="none" w:pos="1540" w:val="left"/>
        </w:tabs>
        <w:numPr>
          <w:ilvl w:val="1"/>
          <w:numId w:val="6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Termination for Any Other Reason - Other than in a Change of Control</w:t>
      </w:r>
      <w:r>
        <w:rPr>
          <w:rFonts w:ascii="Arial" w:cs="Arial" w:eastAsia="Arial" w:hAnsi="Arial"/>
          <w:sz w:val="19"/>
          <w:szCs w:val="19"/>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60" w:lineRule="exact"/>
        <w:rPr>
          <w:rFonts w:ascii="Arial" w:cs="Arial" w:eastAsia="Arial" w:hAnsi="Arial"/>
          <w:sz w:val="19"/>
          <w:szCs w:val="19"/>
          <w:u w:val="single" w:color="auto"/>
          <w:color w:val="auto"/>
        </w:rPr>
      </w:pPr>
    </w:p>
    <w:p>
      <w:pPr>
        <w:ind w:right="560" w:firstLine="8"/>
        <w:spacing w:after="0" w:line="238" w:lineRule="auto"/>
        <w:tabs>
          <w:tab w:leader="none" w:pos="687"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Consolidated ManpowerGroup ended before the Date of Termination;</w:t>
      </w:r>
    </w:p>
    <w:p>
      <w:pPr>
        <w:ind w:right="120" w:firstLine="8"/>
        <w:spacing w:after="0" w:line="252" w:lineRule="auto"/>
        <w:tabs>
          <w:tab w:leader="none" w:pos="694"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3" w:lineRule="exact"/>
        <w:rPr>
          <w:rFonts w:ascii="Arial" w:cs="Arial" w:eastAsia="Arial" w:hAnsi="Arial"/>
          <w:sz w:val="20"/>
          <w:szCs w:val="20"/>
          <w:color w:val="auto"/>
        </w:rPr>
      </w:pPr>
    </w:p>
    <w:p>
      <w:pPr>
        <w:ind w:right="80" w:firstLine="8"/>
        <w:spacing w:after="0" w:line="232" w:lineRule="auto"/>
        <w:tabs>
          <w:tab w:leader="none" w:pos="7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provided, however, that such payment will not exceed two and one-half times the amount of your base salary as then in effect; and</w:t>
      </w:r>
    </w:p>
    <w:p>
      <w:pPr>
        <w:spacing w:after="0" w:line="214" w:lineRule="exact"/>
        <w:rPr>
          <w:rFonts w:ascii="Arial" w:cs="Arial" w:eastAsia="Arial" w:hAnsi="Arial"/>
          <w:sz w:val="22"/>
          <w:szCs w:val="22"/>
          <w:color w:val="auto"/>
        </w:rPr>
      </w:pPr>
    </w:p>
    <w:p>
      <w:pPr>
        <w:ind w:right="200" w:firstLine="8"/>
        <w:spacing w:after="0" w:line="246" w:lineRule="exact"/>
        <w:tabs>
          <w:tab w:leader="none" w:pos="687" w:val="left"/>
        </w:tabs>
        <w:numPr>
          <w:ilvl w:val="0"/>
          <w:numId w:val="62"/>
        </w:numPr>
        <w:rPr>
          <w:rFonts w:ascii="Arial" w:cs="Arial" w:eastAsia="Arial" w:hAnsi="Arial"/>
          <w:sz w:val="19"/>
          <w:szCs w:val="19"/>
          <w:color w:val="auto"/>
        </w:rPr>
      </w:pPr>
      <w:r>
        <w:rPr>
          <w:rFonts w:ascii="Arial" w:cs="Arial" w:eastAsia="Arial" w:hAnsi="Arial"/>
          <w:sz w:val="19"/>
          <w:szCs w:val="19"/>
          <w:color w:val="auto"/>
        </w:rPr>
        <w:t>for up to a twelve</w:t>
      </w:r>
      <w:r>
        <w:rPr>
          <w:rFonts w:ascii="MS PGothic" w:cs="MS PGothic" w:eastAsia="MS PGothic" w:hAnsi="MS PGothic"/>
          <w:sz w:val="19"/>
          <w:szCs w:val="19"/>
          <w:color w:val="auto"/>
        </w:rPr>
        <w:t>‑</w:t>
      </w:r>
      <w:r>
        <w:rPr>
          <w:rFonts w:ascii="Arial" w:cs="Arial" w:eastAsia="Arial" w:hAnsi="Arial"/>
          <w:sz w:val="19"/>
          <w:szCs w:val="19"/>
          <w:color w:val="auto"/>
        </w:rPr>
        <w:t>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w:t>
      </w:r>
      <w:r>
        <w:rPr>
          <w:rFonts w:ascii="MS PGothic" w:cs="MS PGothic" w:eastAsia="MS PGothic" w:hAnsi="MS PGothic"/>
          <w:sz w:val="19"/>
          <w:szCs w:val="19"/>
          <w:color w:val="auto"/>
        </w:rPr>
        <w:t>‑</w:t>
      </w:r>
      <w:r>
        <w:rPr>
          <w:rFonts w:ascii="Arial" w:cs="Arial" w:eastAsia="Arial" w:hAnsi="Arial"/>
          <w:sz w:val="19"/>
          <w:szCs w:val="19"/>
          <w:color w:val="auto"/>
        </w:rPr>
        <w:t>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17"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83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1" w:name="page112"/>
    <w:bookmarkEnd w:id="111"/>
    <w:p>
      <w:pPr>
        <w:ind w:right="60"/>
        <w:spacing w:after="0" w:line="237" w:lineRule="auto"/>
        <w:rPr>
          <w:sz w:val="20"/>
          <w:szCs w:val="20"/>
          <w:color w:val="auto"/>
        </w:rPr>
      </w:pPr>
      <w:r>
        <w:rPr>
          <w:rFonts w:ascii="Arial" w:cs="Arial" w:eastAsia="Arial" w:hAnsi="Arial"/>
          <w:sz w:val="22"/>
          <w:szCs w:val="22"/>
          <w:color w:val="auto"/>
        </w:rPr>
        <w:t>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w:t>
      </w:r>
    </w:p>
    <w:p>
      <w:pPr>
        <w:spacing w:after="0" w:line="320" w:lineRule="exact"/>
        <w:rPr>
          <w:sz w:val="20"/>
          <w:szCs w:val="20"/>
          <w:color w:val="auto"/>
        </w:rPr>
      </w:pPr>
    </w:p>
    <w:p>
      <w:pPr>
        <w:ind w:left="1540" w:right="40" w:hanging="514"/>
        <w:spacing w:after="0" w:line="237" w:lineRule="auto"/>
        <w:tabs>
          <w:tab w:leader="none" w:pos="1540" w:val="left"/>
        </w:tabs>
        <w:numPr>
          <w:ilvl w:val="1"/>
          <w:numId w:val="6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 for Any Other Reason – Change of Control</w:t>
      </w:r>
      <w:r>
        <w:rPr>
          <w:rFonts w:ascii="Arial" w:cs="Arial" w:eastAsia="Arial" w:hAnsi="Arial"/>
          <w:sz w:val="22"/>
          <w:szCs w:val="22"/>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211" w:lineRule="exact"/>
        <w:rPr>
          <w:rFonts w:ascii="Arial" w:cs="Arial" w:eastAsia="Arial" w:hAnsi="Arial"/>
          <w:sz w:val="22"/>
          <w:szCs w:val="22"/>
          <w:u w:val="single" w:color="auto"/>
          <w:color w:val="auto"/>
        </w:rPr>
      </w:pPr>
    </w:p>
    <w:p>
      <w:pPr>
        <w:ind w:right="560" w:firstLine="8"/>
        <w:spacing w:after="0" w:line="238" w:lineRule="auto"/>
        <w:tabs>
          <w:tab w:leader="none" w:pos="687"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Consolidated ManpowerGroup ended before the Date of Termination;</w:t>
      </w:r>
    </w:p>
    <w:p>
      <w:pPr>
        <w:ind w:right="120" w:firstLine="8"/>
        <w:spacing w:after="0" w:line="229" w:lineRule="auto"/>
        <w:tabs>
          <w:tab w:leader="none" w:pos="694"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3" w:lineRule="exact"/>
        <w:rPr>
          <w:rFonts w:ascii="Arial" w:cs="Arial" w:eastAsia="Arial" w:hAnsi="Arial"/>
          <w:sz w:val="22"/>
          <w:szCs w:val="22"/>
          <w:color w:val="auto"/>
        </w:rPr>
      </w:pPr>
    </w:p>
    <w:p>
      <w:pPr>
        <w:ind w:right="280" w:firstLine="8"/>
        <w:spacing w:after="0" w:line="229" w:lineRule="auto"/>
        <w:tabs>
          <w:tab w:leader="none" w:pos="7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Corporation will pay, as a severance benefit to you, a lump-sum payment equal to three times the sum of (1) your annual base salary at the highest rate in effect during the Term and (2) your target annual bonus for the fiscal year in which the Change of Control occurs; and</w:t>
      </w:r>
    </w:p>
    <w:p>
      <w:pPr>
        <w:spacing w:after="0" w:line="2" w:lineRule="exact"/>
        <w:rPr>
          <w:rFonts w:ascii="Arial" w:cs="Arial" w:eastAsia="Arial" w:hAnsi="Arial"/>
          <w:sz w:val="22"/>
          <w:szCs w:val="22"/>
          <w:color w:val="auto"/>
        </w:rPr>
      </w:pPr>
    </w:p>
    <w:p>
      <w:pPr>
        <w:ind w:right="120" w:firstLine="8"/>
        <w:spacing w:after="0" w:line="265" w:lineRule="auto"/>
        <w:tabs>
          <w:tab w:leader="none" w:pos="687" w:val="left"/>
        </w:tabs>
        <w:numPr>
          <w:ilvl w:val="0"/>
          <w:numId w:val="64"/>
        </w:numPr>
        <w:rPr>
          <w:rFonts w:ascii="Arial" w:cs="Arial" w:eastAsia="Arial" w:hAnsi="Arial"/>
          <w:sz w:val="19"/>
          <w:szCs w:val="19"/>
          <w:color w:val="auto"/>
        </w:rPr>
      </w:pPr>
      <w:r>
        <w:rPr>
          <w:rFonts w:ascii="Arial" w:cs="Arial" w:eastAsia="Arial" w:hAnsi="Arial"/>
          <w:sz w:val="19"/>
          <w:szCs w:val="19"/>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7" w:lineRule="exact"/>
        <w:rPr>
          <w:rFonts w:ascii="Arial" w:cs="Arial" w:eastAsia="Arial" w:hAnsi="Arial"/>
          <w:sz w:val="19"/>
          <w:szCs w:val="19"/>
          <w:color w:val="auto"/>
        </w:rPr>
      </w:pPr>
    </w:p>
    <w:p>
      <w:pPr>
        <w:spacing w:after="0" w:line="254" w:lineRule="auto"/>
        <w:rPr>
          <w:rFonts w:ascii="Arial" w:cs="Arial" w:eastAsia="Arial" w:hAnsi="Arial"/>
          <w:sz w:val="19"/>
          <w:szCs w:val="19"/>
          <w:color w:val="auto"/>
        </w:rPr>
      </w:pPr>
      <w:r>
        <w:rPr>
          <w:rFonts w:ascii="Arial" w:cs="Arial" w:eastAsia="Arial" w:hAnsi="Arial"/>
          <w:sz w:val="20"/>
          <w:szCs w:val="20"/>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w:t>
      </w:r>
    </w:p>
    <w:p>
      <w:pPr>
        <w:spacing w:after="0" w:line="69" w:lineRule="exact"/>
        <w:rPr>
          <w:rFonts w:ascii="Arial" w:cs="Arial" w:eastAsia="Arial" w:hAnsi="Arial"/>
          <w:sz w:val="19"/>
          <w:szCs w:val="19"/>
          <w:color w:val="auto"/>
        </w:rPr>
      </w:pPr>
    </w:p>
    <w:p>
      <w:pPr>
        <w:ind w:left="1540" w:right="100" w:hanging="514"/>
        <w:spacing w:after="0" w:line="237" w:lineRule="auto"/>
        <w:tabs>
          <w:tab w:leader="none" w:pos="1540" w:val="left"/>
        </w:tabs>
        <w:numPr>
          <w:ilvl w:val="1"/>
          <w:numId w:val="6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Limitation on Benefits</w:t>
      </w:r>
      <w:r>
        <w:rPr>
          <w:rFonts w:ascii="Arial" w:cs="Arial" w:eastAsia="Arial" w:hAnsi="Arial"/>
          <w:sz w:val="22"/>
          <w:szCs w:val="22"/>
          <w:color w:val="auto"/>
        </w:rPr>
        <w:t>. The amounts paid to you pursuant to Subsection 2(c)(iii) or 2(d)(iii), above, will not be included as compensation for purposes of any qualified or nonqualified pension or welfare benefit plan of the Consolidated ManpowerGroup. Notwithstanding anything</w:t>
      </w: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83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ind w:left="520"/>
        <w:spacing w:after="0" w:line="267" w:lineRule="auto"/>
        <w:rPr>
          <w:sz w:val="20"/>
          <w:szCs w:val="20"/>
          <w:color w:val="auto"/>
        </w:rPr>
      </w:pPr>
      <w:r>
        <w:rPr>
          <w:rFonts w:ascii="Arial" w:cs="Arial" w:eastAsia="Arial" w:hAnsi="Arial"/>
          <w:sz w:val="19"/>
          <w:szCs w:val="19"/>
          <w:color w:val="auto"/>
        </w:rPr>
        <w:t>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w:t>
      </w:r>
    </w:p>
    <w:p>
      <w:pPr>
        <w:spacing w:after="0" w:line="6" w:lineRule="exact"/>
        <w:rPr>
          <w:sz w:val="20"/>
          <w:szCs w:val="20"/>
          <w:color w:val="auto"/>
        </w:rPr>
      </w:pPr>
    </w:p>
    <w:p>
      <w:pPr>
        <w:ind w:left="520" w:right="20"/>
        <w:spacing w:after="0" w:line="236" w:lineRule="auto"/>
        <w:rPr>
          <w:sz w:val="20"/>
          <w:szCs w:val="20"/>
          <w:color w:val="auto"/>
        </w:rPr>
      </w:pPr>
      <w:r>
        <w:rPr>
          <w:rFonts w:ascii="Arial" w:cs="Arial" w:eastAsia="Arial" w:hAnsi="Arial"/>
          <w:sz w:val="22"/>
          <w:szCs w:val="22"/>
          <w:color w:val="auto"/>
        </w:rPr>
        <w:t>(iii) would result in a greater after-tax amount to you, the amount payable to you pursuant to Subsection 2(d)(iii) shall not be reduced.</w:t>
      </w:r>
    </w:p>
    <w:p>
      <w:pPr>
        <w:spacing w:after="0" w:line="76" w:lineRule="exact"/>
        <w:rPr>
          <w:sz w:val="20"/>
          <w:szCs w:val="20"/>
          <w:color w:val="auto"/>
        </w:rPr>
      </w:pPr>
    </w:p>
    <w:p>
      <w:pPr>
        <w:ind w:left="520" w:right="100" w:hanging="514"/>
        <w:spacing w:after="0" w:line="255" w:lineRule="auto"/>
        <w:tabs>
          <w:tab w:leader="none" w:pos="520" w:val="left"/>
        </w:tabs>
        <w:numPr>
          <w:ilvl w:val="0"/>
          <w:numId w:val="6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Timing of Payments</w:t>
      </w:r>
      <w:r>
        <w:rPr>
          <w:rFonts w:ascii="Arial" w:cs="Arial" w:eastAsia="Arial" w:hAnsi="Arial"/>
          <w:sz w:val="20"/>
          <w:szCs w:val="20"/>
          <w:color w:val="auto"/>
        </w:rPr>
        <w:t xml:space="preserve">.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(30th)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20"/>
          <w:szCs w:val="20"/>
          <w:i w:val="1"/>
          <w:iCs w:val="1"/>
          <w:color w:val="auto"/>
        </w:rPr>
        <w:t>The Wall</w:t>
      </w:r>
      <w:r>
        <w:rPr>
          <w:rFonts w:ascii="Arial" w:cs="Arial" w:eastAsia="Arial" w:hAnsi="Arial"/>
          <w:sz w:val="20"/>
          <w:szCs w:val="20"/>
          <w:color w:val="auto"/>
        </w:rPr>
        <w:t xml:space="preserve"> </w:t>
      </w:r>
      <w:r>
        <w:rPr>
          <w:rFonts w:ascii="Arial" w:cs="Arial" w:eastAsia="Arial" w:hAnsi="Arial"/>
          <w:sz w:val="20"/>
          <w:szCs w:val="20"/>
          <w:i w:val="1"/>
          <w:iCs w:val="1"/>
          <w:color w:val="auto"/>
        </w:rPr>
        <w:t>Street Journal</w:t>
      </w:r>
      <w:r>
        <w:rPr>
          <w:rFonts w:ascii="Arial" w:cs="Arial" w:eastAsia="Arial" w:hAnsi="Arial"/>
          <w:sz w:val="20"/>
          <w:szCs w:val="20"/>
          <w:color w:val="auto"/>
        </w:rPr>
        <w:t>, Midwest edition (or, if not so reported, as reported in such other similar source(s) as the</w:t>
      </w:r>
      <w:r>
        <w:rPr>
          <w:rFonts w:ascii="Arial" w:cs="Arial" w:eastAsia="Arial" w:hAnsi="Arial"/>
          <w:sz w:val="20"/>
          <w:szCs w:val="20"/>
          <w:i w:val="1"/>
          <w:iCs w:val="1"/>
          <w:color w:val="auto"/>
        </w:rPr>
        <w:t xml:space="preserve"> </w:t>
      </w:r>
      <w:r>
        <w:rPr>
          <w:rFonts w:ascii="Arial" w:cs="Arial" w:eastAsia="Arial" w:hAnsi="Arial"/>
          <w:sz w:val="20"/>
          <w:szCs w:val="20"/>
          <w:color w:val="auto"/>
        </w:rPr>
        <w:t>Corporation shall select).</w:t>
      </w:r>
    </w:p>
    <w:p>
      <w:pPr>
        <w:spacing w:after="0" w:line="310" w:lineRule="exact"/>
        <w:rPr>
          <w:rFonts w:ascii="Arial" w:cs="Arial" w:eastAsia="Arial" w:hAnsi="Arial"/>
          <w:sz w:val="20"/>
          <w:szCs w:val="20"/>
          <w:u w:val="single" w:color="auto"/>
          <w:color w:val="auto"/>
        </w:rPr>
      </w:pPr>
    </w:p>
    <w:p>
      <w:pPr>
        <w:ind w:left="520" w:right="40" w:hanging="514"/>
        <w:spacing w:after="0" w:line="254" w:lineRule="auto"/>
        <w:tabs>
          <w:tab w:leader="none" w:pos="520" w:val="left"/>
        </w:tabs>
        <w:numPr>
          <w:ilvl w:val="0"/>
          <w:numId w:val="6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Release of Claims</w:t>
      </w:r>
      <w:r>
        <w:rPr>
          <w:rFonts w:ascii="Arial" w:cs="Arial" w:eastAsia="Arial" w:hAnsi="Arial"/>
          <w:sz w:val="20"/>
          <w:szCs w:val="20"/>
          <w:color w:val="auto"/>
        </w:rPr>
        <w:t>. Notwithstanding the foregoing, you will have no right to receive any payment or benefit described in Subsections 2(c)(ii)-(v) or 2(d)(ii) -(v),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59690</wp:posOffset>
            </wp:positionV>
            <wp:extent cx="71583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220"/>
          </w:cols>
          <w:pgMar w:left="1340" w:top="226" w:right="339" w:bottom="1440" w:gutter="0" w:footer="0" w:header="0"/>
        </w:sectPr>
      </w:pPr>
    </w:p>
    <w:bookmarkStart w:id="113" w:name="page114"/>
    <w:bookmarkEnd w:id="113"/>
    <w:p>
      <w:pPr>
        <w:ind w:left="1024" w:right="180"/>
        <w:spacing w:after="0" w:line="249" w:lineRule="auto"/>
        <w:rPr>
          <w:sz w:val="20"/>
          <w:szCs w:val="20"/>
          <w:color w:val="auto"/>
        </w:rPr>
      </w:pPr>
      <w:r>
        <w:rPr>
          <w:rFonts w:ascii="Arial" w:cs="Arial" w:eastAsia="Arial" w:hAnsi="Arial"/>
          <w:sz w:val="22"/>
          <w:szCs w:val="22"/>
          <w:color w:val="auto"/>
        </w:rPr>
        <w:t>by you of the release and the statutory period for revocation must be completed prior to the thirtieth (30th) day after the Date of Termination.</w:t>
      </w:r>
    </w:p>
    <w:p>
      <w:pPr>
        <w:spacing w:after="0" w:line="309" w:lineRule="exact"/>
        <w:rPr>
          <w:sz w:val="20"/>
          <w:szCs w:val="20"/>
          <w:color w:val="auto"/>
        </w:rPr>
      </w:pPr>
    </w:p>
    <w:p>
      <w:pPr>
        <w:ind w:left="1024" w:right="40" w:hanging="514"/>
        <w:spacing w:after="0" w:line="264" w:lineRule="auto"/>
        <w:tabs>
          <w:tab w:leader="none" w:pos="1024" w:val="left"/>
        </w:tabs>
        <w:numPr>
          <w:ilvl w:val="1"/>
          <w:numId w:val="66"/>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Forfeiture</w:t>
      </w:r>
      <w:r>
        <w:rPr>
          <w:rFonts w:ascii="Arial" w:cs="Arial" w:eastAsia="Arial" w:hAnsi="Arial"/>
          <w:sz w:val="20"/>
          <w:szCs w:val="20"/>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295" w:lineRule="exact"/>
        <w:rPr>
          <w:rFonts w:ascii="Arial" w:cs="Arial" w:eastAsia="Arial" w:hAnsi="Arial"/>
          <w:sz w:val="20"/>
          <w:szCs w:val="20"/>
          <w:u w:val="single" w:color="auto"/>
          <w:color w:val="auto"/>
        </w:rPr>
      </w:pPr>
    </w:p>
    <w:p>
      <w:pPr>
        <w:ind w:left="504" w:hanging="504"/>
        <w:spacing w:after="0"/>
        <w:tabs>
          <w:tab w:leader="none" w:pos="504" w:val="left"/>
        </w:tabs>
        <w:numPr>
          <w:ilvl w:val="0"/>
          <w:numId w:val="6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w:t>
      </w:r>
    </w:p>
    <w:p>
      <w:pPr>
        <w:spacing w:after="0" w:line="96" w:lineRule="exact"/>
        <w:rPr>
          <w:rFonts w:ascii="Arial" w:cs="Arial" w:eastAsia="Arial" w:hAnsi="Arial"/>
          <w:sz w:val="22"/>
          <w:szCs w:val="22"/>
          <w:u w:val="single" w:color="auto"/>
          <w:color w:val="auto"/>
        </w:rPr>
      </w:pPr>
    </w:p>
    <w:p>
      <w:pPr>
        <w:ind w:left="1024" w:right="20" w:hanging="514"/>
        <w:spacing w:after="0" w:line="270" w:lineRule="auto"/>
        <w:tabs>
          <w:tab w:leader="none" w:pos="1024" w:val="left"/>
        </w:tabs>
        <w:numPr>
          <w:ilvl w:val="1"/>
          <w:numId w:val="67"/>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49" w:lineRule="exact"/>
        <w:rPr>
          <w:rFonts w:ascii="Arial" w:cs="Arial" w:eastAsia="Arial" w:hAnsi="Arial"/>
          <w:sz w:val="19"/>
          <w:szCs w:val="19"/>
          <w:color w:val="auto"/>
        </w:rPr>
      </w:pPr>
    </w:p>
    <w:p>
      <w:pPr>
        <w:ind w:left="1024" w:right="20" w:hanging="514"/>
        <w:spacing w:after="0" w:line="254" w:lineRule="auto"/>
        <w:tabs>
          <w:tab w:leader="none" w:pos="1024" w:val="left"/>
        </w:tabs>
        <w:numPr>
          <w:ilvl w:val="1"/>
          <w:numId w:val="67"/>
        </w:numPr>
        <w:rPr>
          <w:rFonts w:ascii="Arial" w:cs="Arial" w:eastAsia="Arial" w:hAnsi="Arial"/>
          <w:sz w:val="20"/>
          <w:szCs w:val="20"/>
          <w:color w:val="auto"/>
        </w:rPr>
      </w:pPr>
      <w:r>
        <w:rPr>
          <w:rFonts w:ascii="Arial" w:cs="Arial" w:eastAsia="Arial" w:hAnsi="Arial"/>
          <w:sz w:val="20"/>
          <w:szCs w:val="20"/>
          <w:color w:val="auto"/>
        </w:rPr>
        <w:t>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59690</wp:posOffset>
            </wp:positionV>
            <wp:extent cx="71583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4"/>
          </w:cols>
          <w:pgMar w:left="836" w:top="226" w:right="339" w:bottom="1440" w:gutter="0" w:footer="0" w:header="0"/>
        </w:sectPr>
      </w:pPr>
    </w:p>
    <w:bookmarkStart w:id="114" w:name="page115"/>
    <w:bookmarkEnd w:id="114"/>
    <w:p>
      <w:pPr>
        <w:ind w:left="1024" w:hanging="514"/>
        <w:spacing w:after="0" w:line="264" w:lineRule="auto"/>
        <w:tabs>
          <w:tab w:leader="none" w:pos="1024" w:val="left"/>
        </w:tabs>
        <w:numPr>
          <w:ilvl w:val="1"/>
          <w:numId w:val="68"/>
        </w:numPr>
        <w:rPr>
          <w:rFonts w:ascii="Arial" w:cs="Arial" w:eastAsia="Arial" w:hAnsi="Arial"/>
          <w:sz w:val="20"/>
          <w:szCs w:val="20"/>
          <w:color w:val="auto"/>
        </w:rPr>
      </w:pPr>
      <w:r>
        <w:rPr>
          <w:rFonts w:ascii="Arial" w:cs="Arial" w:eastAsia="Arial" w:hAnsi="Arial"/>
          <w:sz w:val="20"/>
          <w:szCs w:val="20"/>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53" w:lineRule="exact"/>
        <w:rPr>
          <w:rFonts w:ascii="Arial" w:cs="Arial" w:eastAsia="Arial" w:hAnsi="Arial"/>
          <w:sz w:val="20"/>
          <w:szCs w:val="20"/>
          <w:color w:val="auto"/>
        </w:rPr>
      </w:pPr>
    </w:p>
    <w:p>
      <w:pPr>
        <w:ind w:left="504" w:right="140" w:hanging="504"/>
        <w:spacing w:after="0" w:line="272" w:lineRule="auto"/>
        <w:tabs>
          <w:tab w:leader="none" w:pos="504" w:val="left"/>
        </w:tabs>
        <w:numPr>
          <w:ilvl w:val="0"/>
          <w:numId w:val="6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You agree that you will not, at any time during the term of your employment with the Consolidated ManpowerGroup or during the one-year period following your termination, for whatever reason, of employment with the Consolidated ManpowerGroup, directly or indirectly solicit any Restricted Person to provide services to or on behalf of a person or entity in a manner reasonably likely to pose a competitive threat to the Consolidated ManpowerGroup. Restricted Person shall mean an individual who, at the time of the solicitation, is an employee of the Consolidated ManpowerGroup and (i) who is a top-level employee of the Consolidated ManpowerGroup, has special skills or knowledge important to the Consolidated ManpowerGroup, or has skills that are difficult for the Consolidated ManpowerGroup to replace and (ii) with whom you had a working relationship or about whom you acquired or possessed specialized knowledge, in each case, in connection with your employment with the Consolidated ManpowerGroup during the two-year period preceding the Date of Termination.</w:t>
      </w:r>
    </w:p>
    <w:p>
      <w:pPr>
        <w:spacing w:after="0" w:line="295" w:lineRule="exact"/>
        <w:rPr>
          <w:rFonts w:ascii="Arial" w:cs="Arial" w:eastAsia="Arial" w:hAnsi="Arial"/>
          <w:sz w:val="19"/>
          <w:szCs w:val="19"/>
          <w:u w:val="single" w:color="auto"/>
          <w:color w:val="auto"/>
        </w:rPr>
      </w:pPr>
    </w:p>
    <w:p>
      <w:pPr>
        <w:ind w:left="504" w:right="100" w:hanging="504"/>
        <w:spacing w:after="0" w:line="237" w:lineRule="auto"/>
        <w:tabs>
          <w:tab w:leader="none" w:pos="504" w:val="left"/>
        </w:tabs>
        <w:numPr>
          <w:ilvl w:val="0"/>
          <w:numId w:val="6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Restrictions During Employment</w:t>
      </w:r>
      <w:r>
        <w:rPr>
          <w:rFonts w:ascii="Arial" w:cs="Arial" w:eastAsia="Arial" w:hAnsi="Arial"/>
          <w:sz w:val="22"/>
          <w:szCs w:val="22"/>
          <w:color w:val="auto"/>
        </w:rPr>
        <w:t>.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w:t>
      </w:r>
    </w:p>
    <w:p>
      <w:pPr>
        <w:spacing w:after="0" w:line="319" w:lineRule="exact"/>
        <w:rPr>
          <w:rFonts w:ascii="Arial" w:cs="Arial" w:eastAsia="Arial" w:hAnsi="Arial"/>
          <w:sz w:val="22"/>
          <w:szCs w:val="22"/>
          <w:u w:val="single" w:color="auto"/>
          <w:color w:val="auto"/>
        </w:rPr>
      </w:pPr>
    </w:p>
    <w:p>
      <w:pPr>
        <w:ind w:left="504" w:right="340" w:hanging="504"/>
        <w:spacing w:after="0" w:line="249" w:lineRule="auto"/>
        <w:tabs>
          <w:tab w:leader="none" w:pos="504" w:val="left"/>
        </w:tabs>
        <w:numPr>
          <w:ilvl w:val="0"/>
          <w:numId w:val="6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Noncompetition Agreement</w:t>
      </w:r>
      <w:r>
        <w:rPr>
          <w:rFonts w:ascii="Arial" w:cs="Arial" w:eastAsia="Arial" w:hAnsi="Arial"/>
          <w:sz w:val="22"/>
          <w:szCs w:val="22"/>
          <w:color w:val="auto"/>
        </w:rPr>
        <w:t>. During the one-year period which immediately follows the termination, for whatever reason, of your employment with the Consolidated ManpowerGroup:</w:t>
      </w:r>
    </w:p>
    <w:p>
      <w:pPr>
        <w:spacing w:after="0" w:line="309" w:lineRule="exact"/>
        <w:rPr>
          <w:sz w:val="20"/>
          <w:szCs w:val="20"/>
          <w:color w:val="auto"/>
        </w:rPr>
      </w:pPr>
    </w:p>
    <w:p>
      <w:pPr>
        <w:ind w:left="504" w:right="20" w:hanging="504"/>
        <w:spacing w:after="0" w:line="248" w:lineRule="exact"/>
        <w:tabs>
          <w:tab w:leader="none" w:pos="504" w:val="left"/>
        </w:tabs>
        <w:numPr>
          <w:ilvl w:val="0"/>
          <w:numId w:val="70"/>
        </w:numPr>
        <w:rPr>
          <w:rFonts w:ascii="Arial" w:cs="Arial" w:eastAsia="Arial" w:hAnsi="Arial"/>
          <w:sz w:val="20"/>
          <w:szCs w:val="20"/>
          <w:color w:val="auto"/>
        </w:rPr>
      </w:pPr>
      <w:r>
        <w:rPr>
          <w:rFonts w:ascii="Arial" w:cs="Arial" w:eastAsia="Arial" w:hAnsi="Arial"/>
          <w:sz w:val="20"/>
          <w:szCs w:val="20"/>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20"/>
          <w:szCs w:val="20"/>
          <w:color w:val="auto"/>
        </w:rPr>
        <w:t>‑</w:t>
      </w:r>
      <w:r>
        <w:rPr>
          <w:rFonts w:ascii="Arial" w:cs="Arial" w:eastAsia="Arial" w:hAnsi="Arial"/>
          <w:sz w:val="20"/>
          <w:szCs w:val="20"/>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20"/>
          <w:szCs w:val="20"/>
          <w:color w:val="auto"/>
        </w:rPr>
        <w:t>‑</w:t>
      </w:r>
      <w:r>
        <w:rPr>
          <w:rFonts w:ascii="Arial" w:cs="Arial" w:eastAsia="Arial" w:hAnsi="Arial"/>
          <w:sz w:val="20"/>
          <w:szCs w:val="20"/>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319" w:lineRule="exact"/>
        <w:rPr>
          <w:rFonts w:ascii="Arial" w:cs="Arial" w:eastAsia="Arial" w:hAnsi="Arial"/>
          <w:sz w:val="20"/>
          <w:szCs w:val="20"/>
          <w:color w:val="auto"/>
        </w:rPr>
      </w:pPr>
    </w:p>
    <w:p>
      <w:pPr>
        <w:ind w:left="504" w:right="120" w:hanging="504"/>
        <w:spacing w:after="0" w:line="244" w:lineRule="exact"/>
        <w:tabs>
          <w:tab w:leader="none" w:pos="504" w:val="left"/>
        </w:tabs>
        <w:numPr>
          <w:ilvl w:val="0"/>
          <w:numId w:val="70"/>
        </w:numPr>
        <w:rPr>
          <w:rFonts w:ascii="Arial" w:cs="Arial" w:eastAsia="Arial" w:hAnsi="Arial"/>
          <w:sz w:val="19"/>
          <w:szCs w:val="19"/>
          <w:color w:val="auto"/>
        </w:rPr>
      </w:pPr>
      <w:r>
        <w:rPr>
          <w:rFonts w:ascii="Arial" w:cs="Arial" w:eastAsia="Arial" w:hAnsi="Arial"/>
          <w:sz w:val="19"/>
          <w:szCs w:val="19"/>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19"/>
          <w:szCs w:val="19"/>
          <w:color w:val="auto"/>
        </w:rPr>
        <w:t>‑</w:t>
      </w:r>
      <w:r>
        <w:rPr>
          <w:rFonts w:ascii="Arial" w:cs="Arial" w:eastAsia="Arial" w:hAnsi="Arial"/>
          <w:sz w:val="19"/>
          <w:szCs w:val="19"/>
          <w:color w:val="auto"/>
        </w:rPr>
        <w:t>year period would permit you to use unfairly your close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59690</wp:posOffset>
            </wp:positionV>
            <wp:extent cx="71583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4"/>
          </w:cols>
          <w:pgMar w:left="836" w:top="226" w:right="339" w:bottom="1440" w:gutter="0" w:footer="0" w:header="0"/>
        </w:sectPr>
      </w:pPr>
    </w:p>
    <w:bookmarkStart w:id="115" w:name="page116"/>
    <w:bookmarkEnd w:id="115"/>
    <w:p>
      <w:pPr>
        <w:jc w:val="both"/>
        <w:ind w:left="504" w:right="220"/>
        <w:spacing w:after="0" w:line="239" w:lineRule="auto"/>
        <w:rPr>
          <w:sz w:val="20"/>
          <w:szCs w:val="20"/>
          <w:color w:val="auto"/>
        </w:rPr>
      </w:pPr>
      <w:r>
        <w:rPr>
          <w:rFonts w:ascii="Arial" w:cs="Arial" w:eastAsia="Arial" w:hAnsi="Arial"/>
          <w:sz w:val="22"/>
          <w:szCs w:val="22"/>
          <w:color w:val="auto"/>
        </w:rPr>
        <w:t>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320" w:lineRule="exact"/>
        <w:rPr>
          <w:sz w:val="20"/>
          <w:szCs w:val="20"/>
          <w:color w:val="auto"/>
        </w:rPr>
      </w:pPr>
    </w:p>
    <w:p>
      <w:pPr>
        <w:ind w:left="504" w:hanging="504"/>
        <w:spacing w:after="0"/>
        <w:tabs>
          <w:tab w:leader="none" w:pos="504" w:val="left"/>
        </w:tabs>
        <w:numPr>
          <w:ilvl w:val="0"/>
          <w:numId w:val="7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96" w:lineRule="exact"/>
        <w:rPr>
          <w:rFonts w:ascii="Arial" w:cs="Arial" w:eastAsia="Arial" w:hAnsi="Arial"/>
          <w:sz w:val="22"/>
          <w:szCs w:val="22"/>
          <w:u w:val="single" w:color="auto"/>
          <w:color w:val="auto"/>
        </w:rPr>
      </w:pPr>
    </w:p>
    <w:p>
      <w:pPr>
        <w:ind w:left="1024" w:right="60" w:hanging="514"/>
        <w:spacing w:after="0" w:line="258" w:lineRule="auto"/>
        <w:tabs>
          <w:tab w:leader="none" w:pos="1024" w:val="left"/>
        </w:tabs>
        <w:numPr>
          <w:ilvl w:val="1"/>
          <w:numId w:val="71"/>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Injunction</w:t>
      </w:r>
      <w:r>
        <w:rPr>
          <w:rFonts w:ascii="Arial" w:cs="Arial" w:eastAsia="Arial" w:hAnsi="Arial"/>
          <w:sz w:val="20"/>
          <w:szCs w:val="20"/>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61" w:lineRule="exact"/>
        <w:rPr>
          <w:rFonts w:ascii="Arial" w:cs="Arial" w:eastAsia="Arial" w:hAnsi="Arial"/>
          <w:sz w:val="20"/>
          <w:szCs w:val="20"/>
          <w:u w:val="single" w:color="auto"/>
          <w:color w:val="auto"/>
        </w:rPr>
      </w:pPr>
    </w:p>
    <w:p>
      <w:pPr>
        <w:ind w:left="1024" w:right="300" w:hanging="514"/>
        <w:spacing w:after="0" w:line="275" w:lineRule="auto"/>
        <w:tabs>
          <w:tab w:leader="none" w:pos="1024" w:val="left"/>
        </w:tabs>
        <w:numPr>
          <w:ilvl w:val="1"/>
          <w:numId w:val="71"/>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Nonapplication</w:t>
      </w:r>
      <w:r>
        <w:rPr>
          <w:rFonts w:ascii="Arial" w:cs="Arial" w:eastAsia="Arial" w:hAnsi="Arial"/>
          <w:sz w:val="20"/>
          <w:szCs w:val="20"/>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285" w:lineRule="exact"/>
        <w:rPr>
          <w:rFonts w:ascii="Arial" w:cs="Arial" w:eastAsia="Arial" w:hAnsi="Arial"/>
          <w:sz w:val="20"/>
          <w:szCs w:val="20"/>
          <w:u w:val="single" w:color="auto"/>
          <w:color w:val="auto"/>
        </w:rPr>
      </w:pPr>
    </w:p>
    <w:p>
      <w:pPr>
        <w:ind w:left="504" w:right="60" w:hanging="504"/>
        <w:spacing w:after="0" w:line="249" w:lineRule="exact"/>
        <w:tabs>
          <w:tab w:leader="none" w:pos="504" w:val="left"/>
        </w:tabs>
        <w:numPr>
          <w:ilvl w:val="0"/>
          <w:numId w:val="71"/>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Unemployment Compensation</w:t>
      </w:r>
      <w:r>
        <w:rPr>
          <w:rFonts w:ascii="Arial" w:cs="Arial" w:eastAsia="Arial" w:hAnsi="Arial"/>
          <w:sz w:val="20"/>
          <w:szCs w:val="20"/>
          <w:color w:val="auto"/>
        </w:rPr>
        <w:t>. To the extent allowed by applicable law, the severance benefits provided for in Subsection 2(c)(iii) will be assigned for unemployment compensation benefit purposes to the one</w:t>
      </w:r>
      <w:r>
        <w:rPr>
          <w:rFonts w:ascii="MS PGothic" w:cs="MS PGothic" w:eastAsia="MS PGothic" w:hAnsi="MS PGothic"/>
          <w:sz w:val="20"/>
          <w:szCs w:val="20"/>
          <w:color w:val="auto"/>
        </w:rPr>
        <w:t>‑</w:t>
      </w:r>
      <w:r>
        <w:rPr>
          <w:rFonts w:ascii="Arial" w:cs="Arial" w:eastAsia="Arial" w:hAnsi="Arial"/>
          <w:sz w:val="20"/>
          <w:szCs w:val="20"/>
          <w:color w:val="auto"/>
        </w:rPr>
        <w:t>year period following the Date of Termination, and the severance benefits provided for in Subsection 2(d)(iii) will be assigned for unemployment compensation purposes to the three</w:t>
      </w:r>
      <w:r>
        <w:rPr>
          <w:rFonts w:ascii="MS PGothic" w:cs="MS PGothic" w:eastAsia="MS PGothic" w:hAnsi="MS PGothic"/>
          <w:sz w:val="20"/>
          <w:szCs w:val="20"/>
          <w:color w:val="auto"/>
        </w:rPr>
        <w:t>‑</w:t>
      </w:r>
      <w:r>
        <w:rPr>
          <w:rFonts w:ascii="Arial" w:cs="Arial" w:eastAsia="Arial" w:hAnsi="Arial"/>
          <w:sz w:val="20"/>
          <w:szCs w:val="20"/>
          <w:color w:val="auto"/>
        </w:rPr>
        <w:t>year period following the Date of Termination, and you will be ineligible to receive, and you agree not to apply for, unemployment compensation during such periods.</w:t>
      </w:r>
    </w:p>
    <w:p>
      <w:pPr>
        <w:spacing w:after="0" w:line="77" w:lineRule="exact"/>
        <w:rPr>
          <w:rFonts w:ascii="Arial" w:cs="Arial" w:eastAsia="Arial" w:hAnsi="Arial"/>
          <w:sz w:val="20"/>
          <w:szCs w:val="20"/>
          <w:u w:val="single" w:color="auto"/>
          <w:color w:val="auto"/>
        </w:rPr>
      </w:pPr>
    </w:p>
    <w:p>
      <w:pPr>
        <w:ind w:left="504" w:right="140" w:hanging="504"/>
        <w:spacing w:after="0" w:line="257" w:lineRule="auto"/>
        <w:tabs>
          <w:tab w:leader="none" w:pos="504" w:val="left"/>
        </w:tabs>
        <w:numPr>
          <w:ilvl w:val="0"/>
          <w:numId w:val="71"/>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62" w:lineRule="exact"/>
        <w:rPr>
          <w:rFonts w:ascii="Arial" w:cs="Arial" w:eastAsia="Arial" w:hAnsi="Arial"/>
          <w:sz w:val="20"/>
          <w:szCs w:val="20"/>
          <w:u w:val="single" w:color="auto"/>
          <w:color w:val="auto"/>
        </w:rPr>
      </w:pPr>
    </w:p>
    <w:p>
      <w:pPr>
        <w:ind w:left="504" w:right="80" w:hanging="504"/>
        <w:spacing w:after="0" w:line="298" w:lineRule="auto"/>
        <w:tabs>
          <w:tab w:leader="none" w:pos="504" w:val="left"/>
        </w:tabs>
        <w:numPr>
          <w:ilvl w:val="0"/>
          <w:numId w:val="71"/>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Successors; Binding Agreement</w:t>
      </w:r>
      <w:r>
        <w:rPr>
          <w:rFonts w:ascii="Arial" w:cs="Arial" w:eastAsia="Arial" w:hAnsi="Arial"/>
          <w:sz w:val="20"/>
          <w:szCs w:val="20"/>
          <w:color w:val="auto"/>
        </w:rPr>
        <w:t>. This letter agreement will be binding on the Corporation and its successors and will inure to the benefit of and be enforceable by your personal or legal representatives, heirs and successors.</w:t>
      </w:r>
    </w:p>
    <w:p>
      <w:pPr>
        <w:spacing w:after="0" w:line="262" w:lineRule="exact"/>
        <w:rPr>
          <w:rFonts w:ascii="Arial" w:cs="Arial" w:eastAsia="Arial" w:hAnsi="Arial"/>
          <w:sz w:val="20"/>
          <w:szCs w:val="20"/>
          <w:u w:val="single" w:color="auto"/>
          <w:color w:val="auto"/>
        </w:rPr>
      </w:pPr>
    </w:p>
    <w:p>
      <w:pPr>
        <w:ind w:left="504" w:right="40" w:hanging="504"/>
        <w:spacing w:after="0" w:line="274" w:lineRule="auto"/>
        <w:tabs>
          <w:tab w:leader="none" w:pos="504" w:val="left"/>
        </w:tabs>
        <w:numPr>
          <w:ilvl w:val="0"/>
          <w:numId w:val="7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59690</wp:posOffset>
            </wp:positionV>
            <wp:extent cx="71583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4"/>
          </w:cols>
          <w:pgMar w:left="836" w:top="226" w:right="339" w:bottom="1440" w:gutter="0" w:footer="0" w:header="0"/>
        </w:sectPr>
      </w:pPr>
    </w:p>
    <w:bookmarkStart w:id="116" w:name="page117"/>
    <w:bookmarkEnd w:id="116"/>
    <w:p>
      <w:pPr>
        <w:ind w:left="1020" w:right="160" w:hanging="504"/>
        <w:spacing w:after="0" w:line="235" w:lineRule="auto"/>
        <w:tabs>
          <w:tab w:leader="none" w:pos="1020" w:val="left"/>
        </w:tabs>
        <w:numPr>
          <w:ilvl w:val="1"/>
          <w:numId w:val="7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 Right to Remain Employed</w:t>
      </w:r>
      <w:r>
        <w:rPr>
          <w:rFonts w:ascii="Arial" w:cs="Arial" w:eastAsia="Arial" w:hAnsi="Arial"/>
          <w:sz w:val="22"/>
          <w:szCs w:val="22"/>
          <w:color w:val="auto"/>
        </w:rPr>
        <w:t>. Nothing contained in this letter agreement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322" w:lineRule="exact"/>
        <w:rPr>
          <w:rFonts w:ascii="Arial" w:cs="Arial" w:eastAsia="Arial" w:hAnsi="Arial"/>
          <w:sz w:val="22"/>
          <w:szCs w:val="22"/>
          <w:u w:val="single" w:color="auto"/>
          <w:color w:val="auto"/>
        </w:rPr>
      </w:pPr>
    </w:p>
    <w:p>
      <w:pPr>
        <w:ind w:left="1020" w:right="620" w:hanging="504"/>
        <w:spacing w:after="0" w:line="249" w:lineRule="auto"/>
        <w:tabs>
          <w:tab w:leader="none" w:pos="1020" w:val="left"/>
        </w:tabs>
        <w:numPr>
          <w:ilvl w:val="1"/>
          <w:numId w:val="7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agreement may be modified, waived or discharged unless such waiver, modification or discharge is agreed to in writing by you and the Corporation.</w:t>
      </w:r>
    </w:p>
    <w:p>
      <w:pPr>
        <w:spacing w:after="0" w:line="309" w:lineRule="exact"/>
        <w:rPr>
          <w:rFonts w:ascii="Arial" w:cs="Arial" w:eastAsia="Arial" w:hAnsi="Arial"/>
          <w:sz w:val="22"/>
          <w:szCs w:val="22"/>
          <w:u w:val="single" w:color="auto"/>
          <w:color w:val="auto"/>
        </w:rPr>
      </w:pPr>
    </w:p>
    <w:p>
      <w:pPr>
        <w:ind w:left="1020" w:right="400" w:hanging="504"/>
        <w:spacing w:after="0" w:line="239" w:lineRule="auto"/>
        <w:tabs>
          <w:tab w:leader="none" w:pos="1020" w:val="left"/>
        </w:tabs>
        <w:numPr>
          <w:ilvl w:val="1"/>
          <w:numId w:val="7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212" w:lineRule="exact"/>
        <w:rPr>
          <w:rFonts w:ascii="Arial" w:cs="Arial" w:eastAsia="Arial" w:hAnsi="Arial"/>
          <w:sz w:val="22"/>
          <w:szCs w:val="22"/>
          <w:u w:val="single" w:color="auto"/>
          <w:color w:val="auto"/>
        </w:rPr>
      </w:pPr>
    </w:p>
    <w:p>
      <w:pPr>
        <w:ind w:right="320" w:firstLine="8"/>
        <w:spacing w:after="0" w:line="249" w:lineRule="auto"/>
        <w:tabs>
          <w:tab w:leader="none" w:pos="646"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letter agreement shall be governed by and interpreted in accordance with the laws of the State of New York, United States of America, without regard to its conflict of law provisions.</w:t>
      </w:r>
    </w:p>
    <w:p>
      <w:pPr>
        <w:spacing w:after="0" w:line="201" w:lineRule="exact"/>
        <w:rPr>
          <w:rFonts w:ascii="Arial" w:cs="Arial" w:eastAsia="Arial" w:hAnsi="Arial"/>
          <w:sz w:val="22"/>
          <w:szCs w:val="22"/>
          <w:color w:val="auto"/>
        </w:rPr>
      </w:pPr>
    </w:p>
    <w:p>
      <w:pPr>
        <w:ind w:right="120" w:firstLine="8"/>
        <w:spacing w:after="0" w:line="261" w:lineRule="auto"/>
        <w:tabs>
          <w:tab w:leader="none" w:pos="646"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Reduction of Amounts Due Under Law</w:t>
      </w:r>
      <w:r>
        <w:rPr>
          <w:rFonts w:ascii="Arial" w:cs="Arial" w:eastAsia="Arial" w:hAnsi="Arial"/>
          <w:sz w:val="20"/>
          <w:szCs w:val="20"/>
          <w:color w:val="auto"/>
        </w:rPr>
        <w:t>. You agree that any severance payment (</w:t>
      </w:r>
      <w:r>
        <w:rPr>
          <w:rFonts w:ascii="Arial" w:cs="Arial" w:eastAsia="Arial" w:hAnsi="Arial"/>
          <w:sz w:val="20"/>
          <w:szCs w:val="20"/>
          <w:i w:val="1"/>
          <w:iCs w:val="1"/>
          <w:color w:val="auto"/>
        </w:rPr>
        <w:t>i.e</w:t>
      </w:r>
      <w:r>
        <w:rPr>
          <w:rFonts w:ascii="Arial" w:cs="Arial" w:eastAsia="Arial" w:hAnsi="Arial"/>
          <w:sz w:val="20"/>
          <w:szCs w:val="20"/>
          <w:color w:val="auto"/>
        </w:rPr>
        <w:t>, any payment other than a payment for salary through your Date of Termination or for a bonus earned in the prior fiscal year but not yet paid) to you pursuant to this letter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4" w:lineRule="exact"/>
        <w:rPr>
          <w:rFonts w:ascii="Arial" w:cs="Arial" w:eastAsia="Arial" w:hAnsi="Arial"/>
          <w:sz w:val="20"/>
          <w:szCs w:val="20"/>
          <w:color w:val="auto"/>
        </w:rPr>
      </w:pPr>
    </w:p>
    <w:p>
      <w:pPr>
        <w:ind w:firstLine="8"/>
        <w:spacing w:after="0" w:line="275" w:lineRule="auto"/>
        <w:tabs>
          <w:tab w:leader="none" w:pos="646"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Previous Agreement</w:t>
      </w:r>
      <w:r>
        <w:rPr>
          <w:rFonts w:ascii="Arial" w:cs="Arial" w:eastAsia="Arial" w:hAnsi="Arial"/>
          <w:sz w:val="20"/>
          <w:szCs w:val="20"/>
          <w:color w:val="auto"/>
        </w:rPr>
        <w:t>. This letter agreement, upon acceptance by you, expressly supersedes that certain letter agreement between you and the Corporation dated February 14, 2020, which primarily concerns rights and obligations upon your termination of employment, and such agreement shall, as of the date of your acceptance, have no further force or effect.</w:t>
      </w:r>
    </w:p>
    <w:p>
      <w:pPr>
        <w:spacing w:after="0" w:line="178" w:lineRule="exact"/>
        <w:rPr>
          <w:rFonts w:ascii="Arial" w:cs="Arial" w:eastAsia="Arial" w:hAnsi="Arial"/>
          <w:sz w:val="20"/>
          <w:szCs w:val="20"/>
          <w:color w:val="auto"/>
        </w:rPr>
      </w:pPr>
    </w:p>
    <w:p>
      <w:pPr>
        <w:ind w:firstLine="8"/>
        <w:spacing w:after="0" w:line="264" w:lineRule="auto"/>
        <w:tabs>
          <w:tab w:leader="none" w:pos="646"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Dispute Resolution</w:t>
      </w:r>
      <w:r>
        <w:rPr>
          <w:rFonts w:ascii="Arial" w:cs="Arial" w:eastAsia="Arial" w:hAnsi="Arial"/>
          <w:sz w:val="20"/>
          <w:szCs w:val="20"/>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188" w:lineRule="exact"/>
        <w:rPr>
          <w:sz w:val="20"/>
          <w:szCs w:val="20"/>
          <w:color w:val="auto"/>
        </w:rPr>
      </w:pPr>
    </w:p>
    <w:p>
      <w:pPr>
        <w:ind w:right="20" w:firstLine="8"/>
        <w:spacing w:after="0" w:line="268" w:lineRule="auto"/>
        <w:tabs>
          <w:tab w:leader="none" w:pos="669" w:val="left"/>
        </w:tabs>
        <w:numPr>
          <w:ilvl w:val="0"/>
          <w:numId w:val="74"/>
        </w:numPr>
        <w:rPr>
          <w:rFonts w:ascii="Arial" w:cs="Arial" w:eastAsia="Arial" w:hAnsi="Arial"/>
          <w:sz w:val="19"/>
          <w:szCs w:val="19"/>
          <w:color w:val="auto"/>
        </w:rPr>
      </w:pPr>
      <w:r>
        <w:rPr>
          <w:rFonts w:ascii="Arial" w:cs="Arial" w:eastAsia="Arial" w:hAnsi="Arial"/>
          <w:sz w:val="19"/>
          <w:szCs w:val="19"/>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83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17" w:name="page118"/>
    <w:bookmarkEnd w:id="117"/>
    <w:p>
      <w:pPr>
        <w:ind w:right="300"/>
        <w:spacing w:after="0" w:line="298" w:lineRule="auto"/>
        <w:rPr>
          <w:sz w:val="20"/>
          <w:szCs w:val="20"/>
          <w:color w:val="auto"/>
        </w:rPr>
      </w:pPr>
      <w:r>
        <w:rPr>
          <w:rFonts w:ascii="Arial" w:cs="Arial" w:eastAsia="Arial" w:hAnsi="Arial"/>
          <w:sz w:val="20"/>
          <w:szCs w:val="20"/>
          <w:color w:val="auto"/>
        </w:rPr>
        <w:t>of America, to whose jurisdiction they agree to submit, or to any other court that otherwise has jurisdiction over the parties, for provisional or interim measures including, but not limited to, temporary or permanent injunctive relief.</w:t>
      </w:r>
    </w:p>
    <w:p>
      <w:pPr>
        <w:spacing w:after="0" w:line="263" w:lineRule="exact"/>
        <w:rPr>
          <w:sz w:val="20"/>
          <w:szCs w:val="20"/>
          <w:color w:val="auto"/>
        </w:rPr>
      </w:pPr>
    </w:p>
    <w:p>
      <w:pPr>
        <w:ind w:left="1020" w:right="40" w:hanging="504"/>
        <w:spacing w:after="0" w:line="256" w:lineRule="auto"/>
        <w:tabs>
          <w:tab w:leader="none" w:pos="1020"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20"/>
          <w:szCs w:val="20"/>
          <w:i w:val="1"/>
          <w:iCs w:val="1"/>
          <w:color w:val="auto"/>
        </w:rPr>
        <w:t>et seq</w:t>
      </w:r>
      <w:r>
        <w:rPr>
          <w:rFonts w:ascii="Arial" w:cs="Arial" w:eastAsia="Arial" w:hAnsi="Arial"/>
          <w:sz w:val="20"/>
          <w:szCs w:val="20"/>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7" w:lineRule="exact"/>
        <w:rPr>
          <w:rFonts w:ascii="Arial" w:cs="Arial" w:eastAsia="Arial" w:hAnsi="Arial"/>
          <w:sz w:val="20"/>
          <w:szCs w:val="20"/>
          <w:color w:val="auto"/>
        </w:rPr>
      </w:pPr>
    </w:p>
    <w:p>
      <w:pPr>
        <w:ind w:right="140" w:firstLine="8"/>
        <w:spacing w:after="0" w:line="326" w:lineRule="auto"/>
        <w:tabs>
          <w:tab w:leader="none" w:pos="64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obligations imposed by Paragraphs 3-6, above, of this agreement are severable and should be construed independently of each other. The invalidity of one such provision shall not affect the validity of any other such provision.</w:t>
      </w:r>
    </w:p>
    <w:p>
      <w:pPr>
        <w:spacing w:after="0" w:line="132" w:lineRule="exact"/>
        <w:rPr>
          <w:rFonts w:ascii="Arial" w:cs="Arial" w:eastAsia="Arial" w:hAnsi="Arial"/>
          <w:sz w:val="19"/>
          <w:szCs w:val="19"/>
          <w:color w:val="auto"/>
        </w:rPr>
      </w:pPr>
    </w:p>
    <w:p>
      <w:pPr>
        <w:ind w:right="60" w:firstLine="8"/>
        <w:spacing w:after="0" w:line="271" w:lineRule="auto"/>
        <w:tabs>
          <w:tab w:leader="none" w:pos="64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Consistency with Applicable Law</w:t>
      </w:r>
      <w:r>
        <w:rPr>
          <w:rFonts w:ascii="Arial" w:cs="Arial" w:eastAsia="Arial" w:hAnsi="Arial"/>
          <w:sz w:val="19"/>
          <w:szCs w:val="19"/>
          <w:color w:val="auto"/>
        </w:rPr>
        <w:t>.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ManpowerGroup or any of its agents that you have made such reports or disclosures; however, we encourage you to do so. Nothing in this letter agreement shall have the purpose or effect of limiting your rights to reveal factual information related to any future claim of discrimination to law enforcement, the Equal Employment Opportunity Commission, the state division of human rights, a local commission on human rights, or an attorney retained by you. Further, nothing in this letter agreement shall have the purpose or effect of limiting your right to reveal factual information related to claims of sexual assault or sexual harassment. Finally, your good faith report or disclosure shall not trigger the forfeiture rights under Subsection 2(h) of this Agreement or otherwise limit your right to receive an award for information provided to any government agency.</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ind w:right="200" w:firstLine="646"/>
        <w:spacing w:after="0" w:line="249" w:lineRule="auto"/>
        <w:rPr>
          <w:sz w:val="20"/>
          <w:szCs w:val="20"/>
          <w:color w:val="auto"/>
        </w:rPr>
      </w:pPr>
      <w:r>
        <w:rPr>
          <w:rFonts w:ascii="Arial" w:cs="Arial" w:eastAsia="Arial" w:hAnsi="Arial"/>
          <w:sz w:val="22"/>
          <w:szCs w:val="22"/>
          <w:color w:val="auto"/>
        </w:rPr>
        <w:t>If you are in agreement with the foregoing, please sign and return one copy of this letter agreement which will constitute our agreement with respect to the subject matter of this letter agreement.</w:t>
      </w:r>
    </w:p>
    <w:p>
      <w:pPr>
        <w:spacing w:after="0" w:line="20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Sincerely,</w:t>
      </w:r>
    </w:p>
    <w:p>
      <w:pPr>
        <w:spacing w:after="0" w:line="23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MANPOWERGROUP INC.</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Richard Buchband</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Richard Buchband, SVP, General Counsel and Secretary</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17</w:t>
      </w:r>
      <w:r>
        <w:rPr>
          <w:rFonts w:ascii="Arial" w:cs="Arial" w:eastAsia="Arial" w:hAnsi="Arial"/>
          <w:sz w:val="28"/>
          <w:szCs w:val="28"/>
          <w:color w:val="auto"/>
          <w:vertAlign w:val="superscript"/>
        </w:rPr>
        <w:t>th</w:t>
      </w:r>
      <w:r>
        <w:rPr>
          <w:rFonts w:ascii="Arial" w:cs="Arial" w:eastAsia="Arial" w:hAnsi="Arial"/>
          <w:sz w:val="22"/>
          <w:szCs w:val="22"/>
          <w:color w:val="auto"/>
        </w:rPr>
        <w:t>day of February, 2023.</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Jonas Prising</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Jonas Prising</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10.6(d)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ManpowerGroup Inc.</w:t>
      </w:r>
    </w:p>
    <w:p>
      <w:pPr>
        <w:jc w:val="center"/>
        <w:spacing w:after="0" w:line="229"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Milwaukee, Wisconsin 53212</w:t>
      </w: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February 17, 2023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Richard Buchband</w:t>
      </w:r>
    </w:p>
    <w:p>
      <w:pPr>
        <w:spacing w:after="0" w:line="236" w:lineRule="auto"/>
        <w:rPr>
          <w:sz w:val="20"/>
          <w:szCs w:val="20"/>
          <w:color w:val="auto"/>
        </w:rPr>
      </w:pPr>
      <w:r>
        <w:rPr>
          <w:rFonts w:ascii="Arial" w:cs="Arial" w:eastAsia="Arial" w:hAnsi="Arial"/>
          <w:sz w:val="22"/>
          <w:szCs w:val="22"/>
          <w:color w:val="auto"/>
        </w:rPr>
        <w:t>Senior Vice President,</w:t>
      </w:r>
    </w:p>
    <w:p>
      <w:pPr>
        <w:spacing w:after="0" w:line="230" w:lineRule="auto"/>
        <w:rPr>
          <w:sz w:val="20"/>
          <w:szCs w:val="20"/>
          <w:color w:val="auto"/>
        </w:rPr>
      </w:pPr>
      <w:r>
        <w:rPr>
          <w:rFonts w:ascii="Arial" w:cs="Arial" w:eastAsia="Arial" w:hAnsi="Arial"/>
          <w:sz w:val="22"/>
          <w:szCs w:val="22"/>
          <w:color w:val="auto"/>
        </w:rPr>
        <w:t>General Counsel and Secretary</w:t>
      </w:r>
    </w:p>
    <w:p>
      <w:pPr>
        <w:spacing w:after="0" w:line="230" w:lineRule="auto"/>
        <w:rPr>
          <w:sz w:val="20"/>
          <w:szCs w:val="20"/>
          <w:color w:val="auto"/>
        </w:rPr>
      </w:pPr>
      <w:r>
        <w:rPr>
          <w:rFonts w:ascii="Arial" w:cs="Arial" w:eastAsia="Arial" w:hAnsi="Arial"/>
          <w:sz w:val="22"/>
          <w:szCs w:val="22"/>
          <w:color w:val="auto"/>
        </w:rPr>
        <w:t>ManpowerGroup Inc.</w:t>
      </w:r>
    </w:p>
    <w:p>
      <w:pPr>
        <w:spacing w:after="0" w:line="229"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Milwaukee, WI 53212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Dear Richard:</w:t>
      </w:r>
    </w:p>
    <w:p>
      <w:pPr>
        <w:spacing w:after="0" w:line="231" w:lineRule="exact"/>
        <w:rPr>
          <w:sz w:val="20"/>
          <w:szCs w:val="20"/>
          <w:color w:val="auto"/>
        </w:rPr>
      </w:pPr>
    </w:p>
    <w:p>
      <w:pPr>
        <w:ind w:right="100" w:firstLine="749"/>
        <w:spacing w:after="0" w:line="267" w:lineRule="auto"/>
        <w:rPr>
          <w:sz w:val="20"/>
          <w:szCs w:val="20"/>
          <w:color w:val="auto"/>
        </w:rPr>
      </w:pPr>
      <w:r>
        <w:rPr>
          <w:rFonts w:ascii="Arial" w:cs="Arial" w:eastAsia="Arial" w:hAnsi="Arial"/>
          <w:sz w:val="20"/>
          <w:szCs w:val="20"/>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87" w:lineRule="exact"/>
        <w:rPr>
          <w:sz w:val="20"/>
          <w:szCs w:val="20"/>
          <w:color w:val="auto"/>
        </w:rPr>
      </w:pPr>
    </w:p>
    <w:p>
      <w:pPr>
        <w:ind w:left="760" w:hanging="752"/>
        <w:spacing w:after="0"/>
        <w:tabs>
          <w:tab w:leader="none" w:pos="76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 agreement:</w:t>
      </w:r>
    </w:p>
    <w:p>
      <w:pPr>
        <w:spacing w:after="0" w:line="231" w:lineRule="exact"/>
        <w:rPr>
          <w:rFonts w:ascii="Arial" w:cs="Arial" w:eastAsia="Arial" w:hAnsi="Arial"/>
          <w:sz w:val="22"/>
          <w:szCs w:val="22"/>
          <w:color w:val="auto"/>
        </w:rPr>
      </w:pPr>
    </w:p>
    <w:p>
      <w:pPr>
        <w:ind w:left="1500" w:right="160" w:hanging="744"/>
        <w:spacing w:after="0" w:line="249" w:lineRule="auto"/>
        <w:tabs>
          <w:tab w:leader="none" w:pos="1500"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Benefit Plans</w:t>
      </w:r>
      <w:r>
        <w:rPr>
          <w:rFonts w:ascii="Arial" w:cs="Arial" w:eastAsia="Arial" w:hAnsi="Arial"/>
          <w:sz w:val="22"/>
          <w:szCs w:val="22"/>
          <w:color w:val="auto"/>
        </w:rPr>
        <w:t>. “Benefit Plans” means all benefits of employment generally made available to executives of the Corporation from time to time.</w:t>
      </w:r>
    </w:p>
    <w:p>
      <w:pPr>
        <w:spacing w:after="0" w:line="201" w:lineRule="exact"/>
        <w:rPr>
          <w:rFonts w:ascii="Arial" w:cs="Arial" w:eastAsia="Arial" w:hAnsi="Arial"/>
          <w:sz w:val="22"/>
          <w:szCs w:val="22"/>
          <w:color w:val="auto"/>
        </w:rPr>
      </w:pPr>
    </w:p>
    <w:p>
      <w:pPr>
        <w:ind w:left="1500" w:hanging="744"/>
        <w:spacing w:after="0" w:line="267" w:lineRule="auto"/>
        <w:tabs>
          <w:tab w:leader="none" w:pos="1500"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Insider Trading Policy, the Anti-Corruption Policy, Policy on Gifts, Entertainment and Sponsorships and policies included in the Employee Handbook), (v) any act by you of moral</w:t>
      </w:r>
    </w:p>
    <w:p>
      <w:pPr>
        <w:spacing w:after="0" w:line="7" w:lineRule="exact"/>
        <w:rPr>
          <w:sz w:val="20"/>
          <w:szCs w:val="20"/>
          <w:color w:val="auto"/>
        </w:rPr>
      </w:pPr>
    </w:p>
    <w:p>
      <w:pPr>
        <w:jc w:val="both"/>
        <w:ind w:left="1500" w:right="200"/>
        <w:spacing w:after="0" w:line="229" w:lineRule="auto"/>
        <w:rPr>
          <w:sz w:val="20"/>
          <w:szCs w:val="20"/>
          <w:color w:val="auto"/>
        </w:rPr>
      </w:pPr>
      <w:r>
        <w:rPr>
          <w:rFonts w:ascii="Arial" w:cs="Arial" w:eastAsia="Arial" w:hAnsi="Arial"/>
          <w:sz w:val="22"/>
          <w:szCs w:val="22"/>
          <w:color w:val="auto"/>
        </w:rPr>
        <w:t>turpitude which is likely to result in discredit to or loss of business, reputation or goodwill of the Consolidated ManpowerGroup, (vi) your chronic absence from work other than by reason of a serious health condition, (vii) your commission of a crime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83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0" w:name="page121"/>
    <w:bookmarkEnd w:id="120"/>
    <w:p>
      <w:pPr>
        <w:ind w:left="744" w:right="100"/>
        <w:spacing w:after="0" w:line="268" w:lineRule="auto"/>
        <w:rPr>
          <w:sz w:val="20"/>
          <w:szCs w:val="20"/>
          <w:color w:val="auto"/>
        </w:rPr>
      </w:pPr>
      <w:r>
        <w:rPr>
          <w:rFonts w:ascii="Arial" w:cs="Arial" w:eastAsia="Arial" w:hAnsi="Arial"/>
          <w:sz w:val="20"/>
          <w:szCs w:val="20"/>
          <w:color w:val="auto"/>
        </w:rPr>
        <w:t>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184" w:lineRule="exact"/>
        <w:rPr>
          <w:sz w:val="20"/>
          <w:szCs w:val="20"/>
          <w:color w:val="auto"/>
        </w:rPr>
      </w:pPr>
    </w:p>
    <w:p>
      <w:pPr>
        <w:ind w:left="744" w:hanging="744"/>
        <w:spacing w:after="0"/>
        <w:tabs>
          <w:tab w:leader="none" w:pos="74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231" w:lineRule="exact"/>
        <w:rPr>
          <w:rFonts w:ascii="Arial" w:cs="Arial" w:eastAsia="Arial" w:hAnsi="Arial"/>
          <w:sz w:val="22"/>
          <w:szCs w:val="22"/>
          <w:color w:val="auto"/>
        </w:rPr>
      </w:pPr>
    </w:p>
    <w:p>
      <w:pPr>
        <w:ind w:left="1504" w:right="40" w:hanging="755"/>
        <w:spacing w:after="0" w:line="255" w:lineRule="auto"/>
        <w:tabs>
          <w:tab w:leader="none" w:pos="1504"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4" w:lineRule="exact"/>
        <w:rPr>
          <w:rFonts w:ascii="Arial" w:cs="Arial" w:eastAsia="Arial" w:hAnsi="Arial"/>
          <w:sz w:val="20"/>
          <w:szCs w:val="20"/>
          <w:color w:val="auto"/>
        </w:rPr>
      </w:pPr>
    </w:p>
    <w:p>
      <w:pPr>
        <w:ind w:left="1504" w:hanging="755"/>
        <w:spacing w:after="0" w:line="268" w:lineRule="auto"/>
        <w:tabs>
          <w:tab w:leader="none" w:pos="1504"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w:t>
      </w:r>
    </w:p>
    <w:p>
      <w:pPr>
        <w:ind w:left="1504"/>
        <w:spacing w:after="0" w:line="232" w:lineRule="auto"/>
        <w:rPr>
          <w:sz w:val="20"/>
          <w:szCs w:val="20"/>
          <w:color w:val="auto"/>
        </w:rPr>
      </w:pPr>
      <w:r>
        <w:rPr>
          <w:rFonts w:ascii="Arial" w:cs="Arial" w:eastAsia="Arial" w:hAnsi="Arial"/>
          <w:sz w:val="22"/>
          <w:szCs w:val="22"/>
          <w:color w:val="auto"/>
        </w:rPr>
        <w:t>or</w:t>
      </w:r>
    </w:p>
    <w:p>
      <w:pPr>
        <w:spacing w:after="0" w:line="1"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50800</wp:posOffset>
            </wp:positionV>
            <wp:extent cx="71583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64"/>
          </w:cols>
          <w:pgMar w:left="1076" w:top="118" w:right="359" w:bottom="1440" w:gutter="0" w:footer="0" w:header="0"/>
        </w:sectPr>
      </w:pPr>
    </w:p>
    <w:bookmarkStart w:id="121" w:name="page122"/>
    <w:bookmarkEnd w:id="121"/>
    <w:p>
      <w:pPr>
        <w:ind w:left="2260" w:right="180" w:hanging="755"/>
        <w:spacing w:after="0" w:line="249" w:lineRule="auto"/>
        <w:tabs>
          <w:tab w:leader="none" w:pos="22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201" w:lineRule="exact"/>
        <w:rPr>
          <w:rFonts w:ascii="Arial" w:cs="Arial" w:eastAsia="Arial" w:hAnsi="Arial"/>
          <w:sz w:val="22"/>
          <w:szCs w:val="22"/>
          <w:color w:val="auto"/>
        </w:rPr>
      </w:pPr>
    </w:p>
    <w:p>
      <w:pPr>
        <w:ind w:left="2260" w:hanging="755"/>
        <w:spacing w:after="0" w:line="246" w:lineRule="exact"/>
        <w:tabs>
          <w:tab w:leader="none" w:pos="22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individuals who, as of the date of this letter agreement, constitute the Board of Directors of the Corporation (as of such date, the “Incumbent Board”) cease for any reason to constitute at least a majority of such Board; provided, however,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w:t>
      </w:r>
      <w:r>
        <w:rPr>
          <w:rFonts w:ascii="MS PGothic" w:cs="MS PGothic" w:eastAsia="MS PGothic" w:hAnsi="MS PGothic"/>
          <w:sz w:val="20"/>
          <w:szCs w:val="20"/>
          <w:color w:val="auto"/>
        </w:rPr>
        <w:t>‑</w:t>
      </w:r>
      <w:r>
        <w:rPr>
          <w:rFonts w:ascii="Arial" w:cs="Arial" w:eastAsia="Arial" w:hAnsi="Arial"/>
          <w:sz w:val="20"/>
          <w:szCs w:val="20"/>
          <w:color w:val="auto"/>
        </w:rPr>
        <w:t>12(c); or</w:t>
      </w:r>
    </w:p>
    <w:p>
      <w:pPr>
        <w:spacing w:after="0" w:line="213" w:lineRule="exact"/>
        <w:rPr>
          <w:rFonts w:ascii="Arial" w:cs="Arial" w:eastAsia="Arial" w:hAnsi="Arial"/>
          <w:sz w:val="20"/>
          <w:szCs w:val="20"/>
          <w:color w:val="auto"/>
        </w:rPr>
      </w:pPr>
    </w:p>
    <w:p>
      <w:pPr>
        <w:ind w:left="2260" w:right="40" w:hanging="755"/>
        <w:spacing w:after="0" w:line="286" w:lineRule="auto"/>
        <w:tabs>
          <w:tab w:leader="none" w:pos="2260" w:val="left"/>
        </w:tabs>
        <w:numPr>
          <w:ilvl w:val="0"/>
          <w:numId w:val="79"/>
        </w:numPr>
        <w:rPr>
          <w:rFonts w:ascii="Arial" w:cs="Arial" w:eastAsia="Arial" w:hAnsi="Arial"/>
          <w:sz w:val="19"/>
          <w:szCs w:val="19"/>
          <w:color w:val="auto"/>
        </w:rPr>
      </w:pPr>
      <w:r>
        <w:rPr>
          <w:rFonts w:ascii="Arial" w:cs="Arial" w:eastAsia="Arial" w:hAnsi="Arial"/>
          <w:sz w:val="19"/>
          <w:szCs w:val="19"/>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42" w:lineRule="exact"/>
        <w:rPr>
          <w:sz w:val="20"/>
          <w:szCs w:val="20"/>
          <w:color w:val="auto"/>
        </w:rPr>
      </w:pPr>
    </w:p>
    <w:p>
      <w:pPr>
        <w:ind w:right="20" w:firstLine="749"/>
        <w:spacing w:after="0" w:line="267" w:lineRule="auto"/>
        <w:rPr>
          <w:sz w:val="20"/>
          <w:szCs w:val="20"/>
          <w:color w:val="auto"/>
        </w:rPr>
      </w:pPr>
      <w:r>
        <w:rPr>
          <w:rFonts w:ascii="Arial" w:cs="Arial" w:eastAsia="Arial" w:hAnsi="Arial"/>
          <w:sz w:val="20"/>
          <w:szCs w:val="20"/>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w:t>
      </w:r>
    </w:p>
    <w:p>
      <w:pPr>
        <w:spacing w:after="0" w:line="160" w:lineRule="exact"/>
        <w:rPr>
          <w:sz w:val="20"/>
          <w:szCs w:val="20"/>
          <w:color w:val="auto"/>
        </w:rPr>
      </w:pPr>
    </w:p>
    <w:p>
      <w:pPr>
        <w:ind w:left="1500" w:right="580" w:hanging="744"/>
        <w:spacing w:after="0" w:line="249" w:lineRule="auto"/>
        <w:tabs>
          <w:tab w:leader="none" w:pos="150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201" w:lineRule="exact"/>
        <w:rPr>
          <w:rFonts w:ascii="Arial" w:cs="Arial" w:eastAsia="Arial" w:hAnsi="Arial"/>
          <w:sz w:val="22"/>
          <w:szCs w:val="22"/>
          <w:color w:val="auto"/>
        </w:rPr>
      </w:pPr>
    </w:p>
    <w:p>
      <w:pPr>
        <w:ind w:left="2260" w:right="40" w:hanging="755"/>
        <w:spacing w:after="0" w:line="238" w:lineRule="auto"/>
        <w:tabs>
          <w:tab w:leader="none" w:pos="1942" w:val="left"/>
        </w:tabs>
        <w:numPr>
          <w:ilvl w:val="1"/>
          <w:numId w:val="80"/>
        </w:numPr>
        <w:rPr>
          <w:rFonts w:ascii="Arial" w:cs="Arial" w:eastAsia="Arial" w:hAnsi="Arial"/>
          <w:sz w:val="22"/>
          <w:szCs w:val="22"/>
          <w:color w:val="auto"/>
        </w:rPr>
      </w:pPr>
      <w:r>
        <w:rPr>
          <w:rFonts w:ascii="Arial" w:cs="Arial" w:eastAsia="Arial" w:hAnsi="Arial"/>
          <w:sz w:val="22"/>
          <w:szCs w:val="22"/>
          <w:color w:val="auto"/>
        </w:rPr>
        <w:t>any material breach of any material obligation of any member of the Consolidated ManpowerGroup for the payment or provision of compensation or other benefits to you;</w:t>
      </w:r>
    </w:p>
    <w:p>
      <w:pPr>
        <w:ind w:left="1940" w:hanging="435"/>
        <w:spacing w:after="0" w:line="229" w:lineRule="auto"/>
        <w:tabs>
          <w:tab w:leader="none" w:pos="1940" w:val="left"/>
        </w:tabs>
        <w:numPr>
          <w:ilvl w:val="1"/>
          <w:numId w:val="80"/>
        </w:numPr>
        <w:rPr>
          <w:rFonts w:ascii="Arial" w:cs="Arial" w:eastAsia="Arial" w:hAnsi="Arial"/>
          <w:sz w:val="22"/>
          <w:szCs w:val="22"/>
          <w:color w:val="auto"/>
        </w:rPr>
      </w:pPr>
      <w:r>
        <w:rPr>
          <w:rFonts w:ascii="Arial" w:cs="Arial" w:eastAsia="Arial" w:hAnsi="Arial"/>
          <w:sz w:val="22"/>
          <w:szCs w:val="22"/>
          <w:color w:val="auto"/>
        </w:rPr>
        <w:t>a material diminution in your base salary;</w:t>
      </w:r>
    </w:p>
    <w:p>
      <w:pPr>
        <w:ind w:left="2260" w:hanging="755"/>
        <w:spacing w:after="0" w:line="265" w:lineRule="auto"/>
        <w:tabs>
          <w:tab w:leader="none" w:pos="1942" w:val="left"/>
        </w:tabs>
        <w:numPr>
          <w:ilvl w:val="1"/>
          <w:numId w:val="80"/>
        </w:numPr>
        <w:rPr>
          <w:rFonts w:ascii="Arial" w:cs="Arial" w:eastAsia="Arial" w:hAnsi="Arial"/>
          <w:sz w:val="19"/>
          <w:szCs w:val="19"/>
          <w:color w:val="auto"/>
        </w:rPr>
      </w:pPr>
      <w:r>
        <w:rPr>
          <w:rFonts w:ascii="Arial" w:cs="Arial" w:eastAsia="Arial" w:hAnsi="Arial"/>
          <w:sz w:val="19"/>
          <w:szCs w:val="19"/>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2" w:lineRule="exact"/>
        <w:rPr>
          <w:rFonts w:ascii="Arial" w:cs="Arial" w:eastAsia="Arial" w:hAnsi="Arial"/>
          <w:sz w:val="19"/>
          <w:szCs w:val="19"/>
          <w:color w:val="auto"/>
        </w:rPr>
      </w:pPr>
    </w:p>
    <w:p>
      <w:pPr>
        <w:ind w:left="1940" w:hanging="435"/>
        <w:spacing w:after="0"/>
        <w:tabs>
          <w:tab w:leader="none" w:pos="1940" w:val="left"/>
        </w:tabs>
        <w:numPr>
          <w:ilvl w:val="1"/>
          <w:numId w:val="80"/>
        </w:numPr>
        <w:rPr>
          <w:rFonts w:ascii="Arial" w:cs="Arial" w:eastAsia="Arial" w:hAnsi="Arial"/>
          <w:sz w:val="20"/>
          <w:szCs w:val="20"/>
          <w:color w:val="auto"/>
        </w:rPr>
      </w:pPr>
      <w:r>
        <w:rPr>
          <w:rFonts w:ascii="Arial" w:cs="Arial" w:eastAsia="Arial" w:hAnsi="Arial"/>
          <w:sz w:val="20"/>
          <w:szCs w:val="20"/>
          <w:color w:val="auto"/>
        </w:rPr>
        <w:t>a material diminution in your authority, duties or responsibilities which is not accompanied by a material</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reduction in your target bonus opportunity</w:t>
      </w:r>
    </w:p>
    <w:p>
      <w:pPr>
        <w:ind w:left="5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83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22" w:name="page123"/>
    <w:bookmarkEnd w:id="122"/>
    <w:p>
      <w:pPr>
        <w:ind w:left="2260"/>
        <w:spacing w:after="0"/>
        <w:rPr>
          <w:sz w:val="20"/>
          <w:szCs w:val="20"/>
          <w:color w:val="auto"/>
        </w:rPr>
      </w:pPr>
      <w:r>
        <w:rPr>
          <w:rFonts w:ascii="Arial" w:cs="Arial" w:eastAsia="Arial" w:hAnsi="Arial"/>
          <w:sz w:val="22"/>
          <w:szCs w:val="22"/>
          <w:color w:val="auto"/>
        </w:rPr>
        <w:t>but which diminution occurs within two years after the occurrence of a Change of Control;</w:t>
      </w:r>
    </w:p>
    <w:p>
      <w:pPr>
        <w:spacing w:after="0" w:line="8" w:lineRule="exact"/>
        <w:rPr>
          <w:sz w:val="20"/>
          <w:szCs w:val="20"/>
          <w:color w:val="auto"/>
        </w:rPr>
      </w:pPr>
    </w:p>
    <w:p>
      <w:pPr>
        <w:ind w:left="2260" w:right="420" w:hanging="755"/>
        <w:spacing w:after="0" w:line="229" w:lineRule="auto"/>
        <w:tabs>
          <w:tab w:leader="none" w:pos="1942"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3" w:lineRule="exact"/>
        <w:rPr>
          <w:rFonts w:ascii="Arial" w:cs="Arial" w:eastAsia="Arial" w:hAnsi="Arial"/>
          <w:sz w:val="22"/>
          <w:szCs w:val="22"/>
          <w:color w:val="auto"/>
        </w:rPr>
      </w:pPr>
    </w:p>
    <w:p>
      <w:pPr>
        <w:ind w:left="2260" w:right="100" w:hanging="755"/>
        <w:spacing w:after="0" w:line="234" w:lineRule="auto"/>
        <w:tabs>
          <w:tab w:leader="none" w:pos="1942" w:val="left"/>
        </w:tabs>
        <w:numPr>
          <w:ilvl w:val="0"/>
          <w:numId w:val="81"/>
        </w:numPr>
        <w:rPr>
          <w:rFonts w:ascii="Arial" w:cs="Arial" w:eastAsia="Arial" w:hAnsi="Arial"/>
          <w:sz w:val="22"/>
          <w:szCs w:val="22"/>
          <w:color w:val="auto"/>
        </w:rPr>
      </w:pPr>
      <w:r>
        <w:rPr>
          <w:rFonts w:ascii="Arial" w:cs="Arial" w:eastAsia="Arial" w:hAnsi="Arial"/>
          <w:sz w:val="22"/>
          <w:szCs w:val="22"/>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211" w:lineRule="exact"/>
        <w:rPr>
          <w:sz w:val="20"/>
          <w:szCs w:val="20"/>
          <w:color w:val="auto"/>
        </w:rPr>
      </w:pPr>
    </w:p>
    <w:p>
      <w:pPr>
        <w:ind w:right="40" w:firstLine="749"/>
        <w:spacing w:after="0" w:line="272" w:lineRule="auto"/>
        <w:rPr>
          <w:sz w:val="20"/>
          <w:szCs w:val="20"/>
          <w:color w:val="auto"/>
        </w:rPr>
      </w:pPr>
      <w:r>
        <w:rPr>
          <w:rFonts w:ascii="Arial" w:cs="Arial" w:eastAsia="Arial" w:hAnsi="Arial"/>
          <w:sz w:val="19"/>
          <w:szCs w:val="19"/>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w:t>
      </w:r>
    </w:p>
    <w:p>
      <w:pPr>
        <w:spacing w:after="0" w:line="2" w:lineRule="exact"/>
        <w:rPr>
          <w:sz w:val="20"/>
          <w:szCs w:val="20"/>
          <w:color w:val="auto"/>
        </w:rPr>
      </w:pPr>
    </w:p>
    <w:p>
      <w:pPr>
        <w:ind w:right="40" w:firstLine="8"/>
        <w:spacing w:after="0" w:line="231" w:lineRule="auto"/>
        <w:tabs>
          <w:tab w:leader="none" w:pos="377" w:val="left"/>
        </w:tabs>
        <w:numPr>
          <w:ilvl w:val="0"/>
          <w:numId w:val="82"/>
        </w:numPr>
        <w:rPr>
          <w:rFonts w:ascii="Arial" w:cs="Arial" w:eastAsia="Arial" w:hAnsi="Arial"/>
          <w:sz w:val="22"/>
          <w:szCs w:val="22"/>
          <w:color w:val="auto"/>
        </w:rPr>
      </w:pPr>
      <w:r>
        <w:rPr>
          <w:rFonts w:ascii="Arial" w:cs="Arial" w:eastAsia="Arial" w:hAnsi="Arial"/>
          <w:sz w:val="22"/>
          <w:szCs w:val="22"/>
          <w:color w:val="auto"/>
        </w:rPr>
        <w:t>your employment with the Consolidated ManpowerGroup is terminated by you within ninety (90) days after such diminution or breach occurs. Further, notwithstanding Subsections 1(d)(i)-(vi),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213" w:lineRule="exact"/>
        <w:rPr>
          <w:rFonts w:ascii="Arial" w:cs="Arial" w:eastAsia="Arial" w:hAnsi="Arial"/>
          <w:sz w:val="22"/>
          <w:szCs w:val="22"/>
          <w:color w:val="auto"/>
        </w:rPr>
      </w:pPr>
    </w:p>
    <w:p>
      <w:pPr>
        <w:ind w:left="1500" w:right="120" w:hanging="744"/>
        <w:spacing w:after="0" w:line="261" w:lineRule="auto"/>
        <w:tabs>
          <w:tab w:leader="none" w:pos="1500"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 forth in reasonable detail the facts and circumstances claimed to provide a basis for termination of your employment under the provision so indicated.</w:t>
      </w:r>
    </w:p>
    <w:p>
      <w:pPr>
        <w:spacing w:after="0" w:line="194" w:lineRule="exact"/>
        <w:rPr>
          <w:rFonts w:ascii="Arial" w:cs="Arial" w:eastAsia="Arial" w:hAnsi="Arial"/>
          <w:sz w:val="20"/>
          <w:szCs w:val="20"/>
          <w:color w:val="auto"/>
        </w:rPr>
      </w:pPr>
    </w:p>
    <w:p>
      <w:pPr>
        <w:jc w:val="both"/>
        <w:ind w:left="1500" w:right="280" w:hanging="744"/>
        <w:spacing w:after="0" w:line="275" w:lineRule="auto"/>
        <w:tabs>
          <w:tab w:leader="none" w:pos="1500"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Date of Termination</w:t>
      </w:r>
      <w:r>
        <w:rPr>
          <w:rFonts w:ascii="Arial" w:cs="Arial" w:eastAsia="Arial" w:hAnsi="Arial"/>
          <w:sz w:val="20"/>
          <w:szCs w:val="20"/>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178" w:lineRule="exact"/>
        <w:rPr>
          <w:rFonts w:ascii="Arial" w:cs="Arial" w:eastAsia="Arial" w:hAnsi="Arial"/>
          <w:sz w:val="20"/>
          <w:szCs w:val="20"/>
          <w:color w:val="auto"/>
        </w:rPr>
      </w:pPr>
    </w:p>
    <w:p>
      <w:pPr>
        <w:ind w:left="1500" w:hanging="744"/>
        <w:spacing w:after="0"/>
        <w:tabs>
          <w:tab w:leader="none" w:pos="1500"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Protected Period</w:t>
      </w:r>
      <w:r>
        <w:rPr>
          <w:rFonts w:ascii="Arial" w:cs="Arial" w:eastAsia="Arial" w:hAnsi="Arial"/>
          <w:sz w:val="19"/>
          <w:szCs w:val="19"/>
          <w:color w:val="auto"/>
        </w:rPr>
        <w:t>. The “Protected Period” shall be a period of time determined in accordance with the following:</w:t>
      </w:r>
    </w:p>
    <w:p>
      <w:pPr>
        <w:spacing w:after="0" w:line="266" w:lineRule="exact"/>
        <w:rPr>
          <w:sz w:val="20"/>
          <w:szCs w:val="20"/>
          <w:color w:val="auto"/>
        </w:rPr>
      </w:pPr>
    </w:p>
    <w:p>
      <w:pPr>
        <w:ind w:left="2260" w:right="340" w:hanging="755"/>
        <w:spacing w:after="0" w:line="272" w:lineRule="auto"/>
        <w:tabs>
          <w:tab w:leader="none" w:pos="22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83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3" w:name="page124"/>
    <w:bookmarkEnd w:id="123"/>
    <w:p>
      <w:pPr>
        <w:ind w:left="2260" w:right="120"/>
        <w:spacing w:after="0" w:line="250" w:lineRule="auto"/>
        <w:rPr>
          <w:sz w:val="20"/>
          <w:szCs w:val="20"/>
          <w:color w:val="auto"/>
        </w:rPr>
      </w:pPr>
      <w:r>
        <w:rPr>
          <w:rFonts w:ascii="Arial" w:cs="Arial" w:eastAsia="Arial" w:hAnsi="Arial"/>
          <w:sz w:val="22"/>
          <w:szCs w:val="22"/>
          <w:color w:val="auto"/>
        </w:rPr>
        <w:t>no case will the Protected Period commence earlier than the date that is six months prior to the Change of Control;</w:t>
      </w:r>
    </w:p>
    <w:p>
      <w:pPr>
        <w:spacing w:after="0" w:line="200" w:lineRule="exact"/>
        <w:rPr>
          <w:sz w:val="20"/>
          <w:szCs w:val="20"/>
          <w:color w:val="auto"/>
        </w:rPr>
      </w:pPr>
    </w:p>
    <w:p>
      <w:pPr>
        <w:ind w:left="2260" w:right="160" w:hanging="755"/>
        <w:spacing w:after="0" w:line="264" w:lineRule="auto"/>
        <w:tabs>
          <w:tab w:leader="none" w:pos="2260" w:val="left"/>
        </w:tabs>
        <w:numPr>
          <w:ilvl w:val="2"/>
          <w:numId w:val="84"/>
        </w:numPr>
        <w:rPr>
          <w:rFonts w:ascii="Arial" w:cs="Arial" w:eastAsia="Arial" w:hAnsi="Arial"/>
          <w:sz w:val="20"/>
          <w:szCs w:val="20"/>
          <w:color w:val="auto"/>
        </w:rPr>
      </w:pPr>
      <w:r>
        <w:rPr>
          <w:rFonts w:ascii="Arial" w:cs="Arial" w:eastAsia="Arial" w:hAnsi="Arial"/>
          <w:sz w:val="20"/>
          <w:szCs w:val="20"/>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87" w:lineRule="exact"/>
        <w:rPr>
          <w:rFonts w:ascii="Arial" w:cs="Arial" w:eastAsia="Arial" w:hAnsi="Arial"/>
          <w:sz w:val="20"/>
          <w:szCs w:val="20"/>
          <w:color w:val="auto"/>
        </w:rPr>
      </w:pPr>
    </w:p>
    <w:p>
      <w:pPr>
        <w:ind w:left="2260" w:right="120" w:hanging="755"/>
        <w:spacing w:after="0" w:line="239" w:lineRule="auto"/>
        <w:tabs>
          <w:tab w:leader="none" w:pos="2260" w:val="left"/>
        </w:tabs>
        <w:numPr>
          <w:ilvl w:val="2"/>
          <w:numId w:val="84"/>
        </w:numPr>
        <w:rPr>
          <w:rFonts w:ascii="Arial" w:cs="Arial" w:eastAsia="Arial" w:hAnsi="Arial"/>
          <w:sz w:val="22"/>
          <w:szCs w:val="22"/>
          <w:color w:val="auto"/>
        </w:rPr>
      </w:pPr>
      <w:r>
        <w:rPr>
          <w:rFonts w:ascii="Arial" w:cs="Arial" w:eastAsia="Arial" w:hAnsi="Arial"/>
          <w:sz w:val="22"/>
          <w:szCs w:val="22"/>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12" w:lineRule="exact"/>
        <w:rPr>
          <w:rFonts w:ascii="Arial" w:cs="Arial" w:eastAsia="Arial" w:hAnsi="Arial"/>
          <w:sz w:val="22"/>
          <w:szCs w:val="22"/>
          <w:color w:val="auto"/>
        </w:rPr>
      </w:pPr>
    </w:p>
    <w:p>
      <w:pPr>
        <w:ind w:left="1480" w:right="560" w:hanging="724"/>
        <w:spacing w:after="0" w:line="267" w:lineRule="auto"/>
        <w:tabs>
          <w:tab w:leader="none" w:pos="1480" w:val="left"/>
        </w:tabs>
        <w:numPr>
          <w:ilvl w:val="1"/>
          <w:numId w:val="85"/>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The “Term” will be a period beginning on the date of this letter agreement indicated above and ending on the first to occur of the following: (a) the date which is the two-year anniversary of the occurrence of a Change of Control; (b) February 28, 2026 if no Change of Control occurs between the date of this letter agreement indicated above and February 28, 2026; or (c) the Date of Termination.</w:t>
      </w:r>
    </w:p>
    <w:p>
      <w:pPr>
        <w:spacing w:after="0" w:line="187" w:lineRule="exact"/>
        <w:rPr>
          <w:rFonts w:ascii="Arial" w:cs="Arial" w:eastAsia="Arial" w:hAnsi="Arial"/>
          <w:sz w:val="20"/>
          <w:szCs w:val="20"/>
          <w:color w:val="auto"/>
        </w:rPr>
      </w:pPr>
    </w:p>
    <w:p>
      <w:pPr>
        <w:ind w:left="760" w:hanging="752"/>
        <w:spacing w:after="0"/>
        <w:tabs>
          <w:tab w:leader="none" w:pos="76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231" w:lineRule="exact"/>
        <w:rPr>
          <w:rFonts w:ascii="Arial" w:cs="Arial" w:eastAsia="Arial" w:hAnsi="Arial"/>
          <w:sz w:val="22"/>
          <w:szCs w:val="22"/>
          <w:color w:val="auto"/>
        </w:rPr>
      </w:pPr>
    </w:p>
    <w:p>
      <w:pPr>
        <w:ind w:left="1500" w:right="20" w:hanging="744"/>
        <w:spacing w:after="0" w:line="234" w:lineRule="auto"/>
        <w:tabs>
          <w:tab w:leader="none" w:pos="1500"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Termination by the Corporation for Cause or by You Other Than for Good Reason</w:t>
      </w:r>
      <w:r>
        <w:rPr>
          <w:rFonts w:ascii="Arial" w:cs="Arial" w:eastAsia="Arial" w:hAnsi="Arial"/>
          <w:sz w:val="22"/>
          <w:szCs w:val="22"/>
          <w:color w:val="auto"/>
        </w:rPr>
        <w:t>.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210" w:lineRule="exact"/>
        <w:rPr>
          <w:rFonts w:ascii="Arial" w:cs="Arial" w:eastAsia="Arial" w:hAnsi="Arial"/>
          <w:sz w:val="22"/>
          <w:szCs w:val="22"/>
          <w:color w:val="auto"/>
        </w:rPr>
      </w:pPr>
    </w:p>
    <w:p>
      <w:pPr>
        <w:ind w:left="1500" w:right="260" w:hanging="744"/>
        <w:spacing w:after="0" w:line="275" w:lineRule="auto"/>
        <w:tabs>
          <w:tab w:leader="none" w:pos="1500"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Consolidated ManpowerGroup terminates during the Term by reason of your disability or death, the Corporation will pay or provide you with</w:t>
      </w:r>
    </w:p>
    <w:p>
      <w:pPr>
        <w:spacing w:after="0" w:line="1" w:lineRule="exact"/>
        <w:rPr>
          <w:rFonts w:ascii="Arial" w:cs="Arial" w:eastAsia="Arial" w:hAnsi="Arial"/>
          <w:sz w:val="19"/>
          <w:szCs w:val="19"/>
          <w:color w:val="auto"/>
        </w:rPr>
      </w:pPr>
    </w:p>
    <w:p>
      <w:pPr>
        <w:jc w:val="both"/>
        <w:ind w:left="1500" w:firstLine="5"/>
        <w:spacing w:after="0" w:line="265" w:lineRule="auto"/>
        <w:tabs>
          <w:tab w:leader="none" w:pos="1757" w:val="left"/>
        </w:tabs>
        <w:numPr>
          <w:ilvl w:val="2"/>
          <w:numId w:val="86"/>
        </w:numPr>
        <w:rPr>
          <w:rFonts w:ascii="Arial" w:cs="Arial" w:eastAsia="Arial" w:hAnsi="Arial"/>
          <w:sz w:val="19"/>
          <w:szCs w:val="19"/>
          <w:color w:val="auto"/>
        </w:rPr>
      </w:pPr>
      <w:r>
        <w:rPr>
          <w:rFonts w:ascii="Arial" w:cs="Arial" w:eastAsia="Arial" w:hAnsi="Arial"/>
          <w:sz w:val="19"/>
          <w:szCs w:val="19"/>
          <w:color w:val="auto"/>
        </w:rPr>
        <w:t>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w:t>
      </w:r>
    </w:p>
    <w:p>
      <w:pPr>
        <w:spacing w:after="0" w:line="4" w:lineRule="exact"/>
        <w:rPr>
          <w:sz w:val="20"/>
          <w:szCs w:val="20"/>
          <w:color w:val="auto"/>
        </w:rPr>
      </w:pPr>
    </w:p>
    <w:p>
      <w:pPr>
        <w:jc w:val="both"/>
        <w:ind w:left="1500" w:right="120"/>
        <w:spacing w:after="0" w:line="229" w:lineRule="auto"/>
        <w:rPr>
          <w:sz w:val="20"/>
          <w:szCs w:val="20"/>
          <w:color w:val="auto"/>
        </w:rPr>
      </w:pPr>
      <w:r>
        <w:rPr>
          <w:rFonts w:ascii="Arial" w:cs="Arial" w:eastAsia="Arial" w:hAnsi="Arial"/>
          <w:sz w:val="22"/>
          <w:szCs w:val="22"/>
          <w:color w:val="auto"/>
        </w:rPr>
        <w:t>Date of Termination, and (iii) all benefits to which you are entitled under any Benefit Plans in accordance with the terms of such plans. For purposes of this letter agreement, “disability” means that you are, by reason of any medically determinable physical or mental impairment which can be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83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ind w:left="744" w:right="220"/>
        <w:spacing w:after="0" w:line="237" w:lineRule="auto"/>
        <w:rPr>
          <w:sz w:val="20"/>
          <w:szCs w:val="20"/>
          <w:color w:val="auto"/>
        </w:rPr>
      </w:pPr>
      <w:r>
        <w:rPr>
          <w:rFonts w:ascii="Arial" w:cs="Arial" w:eastAsia="Arial" w:hAnsi="Arial"/>
          <w:sz w:val="22"/>
          <w:szCs w:val="22"/>
          <w:color w:val="auto"/>
        </w:rPr>
        <w:t>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212" w:lineRule="exact"/>
        <w:rPr>
          <w:sz w:val="20"/>
          <w:szCs w:val="20"/>
          <w:color w:val="auto"/>
        </w:rPr>
      </w:pPr>
    </w:p>
    <w:p>
      <w:pPr>
        <w:ind w:left="744" w:hanging="744"/>
        <w:spacing w:after="0" w:line="296" w:lineRule="auto"/>
        <w:tabs>
          <w:tab w:leader="none" w:pos="744"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Termination for Any Other Reason - Other than in a Change of Control</w:t>
      </w:r>
      <w:r>
        <w:rPr>
          <w:rFonts w:ascii="Arial" w:cs="Arial" w:eastAsia="Arial" w:hAnsi="Arial"/>
          <w:sz w:val="19"/>
          <w:szCs w:val="19"/>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60" w:lineRule="exact"/>
        <w:rPr>
          <w:rFonts w:ascii="Arial" w:cs="Arial" w:eastAsia="Arial" w:hAnsi="Arial"/>
          <w:sz w:val="19"/>
          <w:szCs w:val="19"/>
          <w:color w:val="auto"/>
        </w:rPr>
      </w:pPr>
    </w:p>
    <w:p>
      <w:pPr>
        <w:ind w:left="2244" w:right="220" w:hanging="746"/>
        <w:spacing w:after="0" w:line="298" w:lineRule="auto"/>
        <w:tabs>
          <w:tab w:leader="none" w:pos="1925"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Corporation will pay you, your unpaid bonus, if any, attributable to any complete fiscal year of the Consolidated ManpowerGroup ended before the Date of Termination;</w:t>
      </w:r>
    </w:p>
    <w:p>
      <w:pPr>
        <w:spacing w:after="0" w:line="128" w:lineRule="exact"/>
        <w:rPr>
          <w:rFonts w:ascii="Arial" w:cs="Arial" w:eastAsia="Arial" w:hAnsi="Arial"/>
          <w:sz w:val="20"/>
          <w:szCs w:val="20"/>
          <w:color w:val="auto"/>
        </w:rPr>
      </w:pPr>
    </w:p>
    <w:p>
      <w:pPr>
        <w:ind w:left="2244" w:right="200" w:hanging="746"/>
        <w:spacing w:after="0" w:line="260" w:lineRule="auto"/>
        <w:tabs>
          <w:tab w:leader="none" w:pos="1925"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66" w:lineRule="exact"/>
        <w:rPr>
          <w:rFonts w:ascii="Arial" w:cs="Arial" w:eastAsia="Arial" w:hAnsi="Arial"/>
          <w:sz w:val="20"/>
          <w:szCs w:val="20"/>
          <w:color w:val="auto"/>
        </w:rPr>
      </w:pPr>
    </w:p>
    <w:p>
      <w:pPr>
        <w:ind w:left="2244" w:right="260" w:hanging="746"/>
        <w:spacing w:after="0" w:line="275" w:lineRule="auto"/>
        <w:tabs>
          <w:tab w:leader="none" w:pos="1925"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w:t>
      </w:r>
    </w:p>
    <w:p>
      <w:pPr>
        <w:spacing w:after="0" w:line="178" w:lineRule="exact"/>
        <w:rPr>
          <w:rFonts w:ascii="Arial" w:cs="Arial" w:eastAsia="Arial" w:hAnsi="Arial"/>
          <w:sz w:val="20"/>
          <w:szCs w:val="20"/>
          <w:color w:val="auto"/>
        </w:rPr>
      </w:pPr>
    </w:p>
    <w:p>
      <w:pPr>
        <w:ind w:left="2244" w:right="40" w:hanging="746"/>
        <w:spacing w:after="0" w:line="244" w:lineRule="exact"/>
        <w:tabs>
          <w:tab w:leader="none" w:pos="1925" w:val="left"/>
        </w:tabs>
        <w:numPr>
          <w:ilvl w:val="1"/>
          <w:numId w:val="87"/>
        </w:numPr>
        <w:rPr>
          <w:rFonts w:ascii="Arial" w:cs="Arial" w:eastAsia="Arial" w:hAnsi="Arial"/>
          <w:sz w:val="19"/>
          <w:szCs w:val="19"/>
          <w:color w:val="auto"/>
        </w:rPr>
      </w:pPr>
      <w:r>
        <w:rPr>
          <w:rFonts w:ascii="Arial" w:cs="Arial" w:eastAsia="Arial" w:hAnsi="Arial"/>
          <w:sz w:val="19"/>
          <w:szCs w:val="19"/>
          <w:color w:val="auto"/>
        </w:rPr>
        <w:t>for up to a twelve</w:t>
      </w:r>
      <w:r>
        <w:rPr>
          <w:rFonts w:ascii="MS PGothic" w:cs="MS PGothic" w:eastAsia="MS PGothic" w:hAnsi="MS PGothic"/>
          <w:sz w:val="19"/>
          <w:szCs w:val="19"/>
          <w:color w:val="auto"/>
        </w:rPr>
        <w:t>‑</w:t>
      </w:r>
      <w:r>
        <w:rPr>
          <w:rFonts w:ascii="Arial" w:cs="Arial" w:eastAsia="Arial" w:hAnsi="Arial"/>
          <w:sz w:val="19"/>
          <w:szCs w:val="19"/>
          <w:color w:val="auto"/>
        </w:rPr>
        <w:t>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w:t>
      </w:r>
      <w:r>
        <w:rPr>
          <w:rFonts w:ascii="MS PGothic" w:cs="MS PGothic" w:eastAsia="MS PGothic" w:hAnsi="MS PGothic"/>
          <w:sz w:val="19"/>
          <w:szCs w:val="19"/>
          <w:color w:val="auto"/>
        </w:rPr>
        <w:t>‑</w:t>
      </w:r>
      <w:r>
        <w:rPr>
          <w:rFonts w:ascii="Arial" w:cs="Arial" w:eastAsia="Arial" w:hAnsi="Arial"/>
          <w:sz w:val="19"/>
          <w:szCs w:val="19"/>
          <w:color w:val="auto"/>
        </w:rPr>
        <w:t>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w:t>
      </w:r>
    </w:p>
    <w:p>
      <w:pPr>
        <w:ind w:left="2244"/>
        <w:spacing w:after="0" w:line="231" w:lineRule="auto"/>
        <w:rPr>
          <w:sz w:val="20"/>
          <w:szCs w:val="20"/>
          <w:color w:val="auto"/>
        </w:rPr>
      </w:pPr>
      <w:r>
        <w:rPr>
          <w:rFonts w:ascii="Arial" w:cs="Arial" w:eastAsia="Arial" w:hAnsi="Arial"/>
          <w:sz w:val="22"/>
          <w:szCs w:val="22"/>
          <w:color w:val="auto"/>
        </w:rPr>
        <w:t>commence on the Date of Termination.</w:t>
      </w:r>
    </w:p>
    <w:p>
      <w:pPr>
        <w:ind w:left="4824"/>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50800</wp:posOffset>
            </wp:positionV>
            <wp:extent cx="71583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04"/>
          </w:cols>
          <w:pgMar w:left="1076" w:top="118" w:right="419" w:bottom="1440" w:gutter="0" w:footer="0" w:header="0"/>
        </w:sectPr>
      </w:pPr>
    </w:p>
    <w:bookmarkStart w:id="125" w:name="page126"/>
    <w:bookmarkEnd w:id="125"/>
    <w:p>
      <w:pPr>
        <w:ind w:left="1880"/>
        <w:spacing w:after="0" w:line="254" w:lineRule="auto"/>
        <w:rPr>
          <w:sz w:val="20"/>
          <w:szCs w:val="20"/>
          <w:color w:val="auto"/>
        </w:rPr>
      </w:pPr>
      <w:r>
        <w:rPr>
          <w:rFonts w:ascii="Arial" w:cs="Arial" w:eastAsia="Arial" w:hAnsi="Arial"/>
          <w:sz w:val="20"/>
          <w:szCs w:val="20"/>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w:t>
      </w:r>
    </w:p>
    <w:p>
      <w:pPr>
        <w:spacing w:after="0" w:line="215" w:lineRule="exact"/>
        <w:rPr>
          <w:sz w:val="20"/>
          <w:szCs w:val="20"/>
          <w:color w:val="auto"/>
        </w:rPr>
      </w:pPr>
    </w:p>
    <w:p>
      <w:pPr>
        <w:ind w:left="1880" w:hanging="746"/>
        <w:spacing w:after="0" w:line="258" w:lineRule="auto"/>
        <w:tabs>
          <w:tab w:leader="none" w:pos="1562"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w:t>
      </w:r>
    </w:p>
    <w:p>
      <w:pPr>
        <w:spacing w:after="0" w:line="16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83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00"/>
          </w:cols>
          <w:pgMar w:left="1440" w:top="360" w:right="359" w:bottom="1440" w:gutter="0" w:footer="0" w:header="0"/>
        </w:sectPr>
      </w:pPr>
    </w:p>
    <w:bookmarkStart w:id="126" w:name="page127"/>
    <w:bookmarkEnd w:id="126"/>
    <w:p>
      <w:pPr>
        <w:ind w:left="744" w:hanging="744"/>
        <w:spacing w:after="0" w:line="237" w:lineRule="auto"/>
        <w:tabs>
          <w:tab w:leader="none" w:pos="744"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 – Change of Control</w:t>
      </w:r>
      <w:r>
        <w:rPr>
          <w:rFonts w:ascii="Arial" w:cs="Arial" w:eastAsia="Arial" w:hAnsi="Arial"/>
          <w:sz w:val="22"/>
          <w:szCs w:val="22"/>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211" w:lineRule="exact"/>
        <w:rPr>
          <w:rFonts w:ascii="Arial" w:cs="Arial" w:eastAsia="Arial" w:hAnsi="Arial"/>
          <w:sz w:val="22"/>
          <w:szCs w:val="22"/>
          <w:color w:val="auto"/>
        </w:rPr>
      </w:pPr>
    </w:p>
    <w:p>
      <w:pPr>
        <w:ind w:left="2244" w:right="220" w:hanging="746"/>
        <w:spacing w:after="0" w:line="298" w:lineRule="auto"/>
        <w:tabs>
          <w:tab w:leader="none" w:pos="1925"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Corporation will pay you, your unpaid bonus, if any, attributable to any complete fiscal year of the Consolidated ManpowerGroup ended before the Date of Termination;</w:t>
      </w:r>
    </w:p>
    <w:p>
      <w:pPr>
        <w:spacing w:after="0" w:line="128" w:lineRule="exact"/>
        <w:rPr>
          <w:rFonts w:ascii="Arial" w:cs="Arial" w:eastAsia="Arial" w:hAnsi="Arial"/>
          <w:sz w:val="20"/>
          <w:szCs w:val="20"/>
          <w:color w:val="auto"/>
        </w:rPr>
      </w:pPr>
    </w:p>
    <w:p>
      <w:pPr>
        <w:ind w:left="2244" w:right="120" w:hanging="746"/>
        <w:spacing w:after="0" w:line="235" w:lineRule="auto"/>
        <w:tabs>
          <w:tab w:leader="none" w:pos="1925"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187" w:lineRule="exact"/>
        <w:rPr>
          <w:rFonts w:ascii="Arial" w:cs="Arial" w:eastAsia="Arial" w:hAnsi="Arial"/>
          <w:sz w:val="22"/>
          <w:szCs w:val="22"/>
          <w:color w:val="auto"/>
        </w:rPr>
      </w:pPr>
    </w:p>
    <w:p>
      <w:pPr>
        <w:ind w:left="2244" w:right="220" w:hanging="746"/>
        <w:spacing w:after="0" w:line="296" w:lineRule="auto"/>
        <w:tabs>
          <w:tab w:leader="none" w:pos="1925"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w:t>
      </w:r>
    </w:p>
    <w:p>
      <w:pPr>
        <w:spacing w:after="0" w:line="133" w:lineRule="exact"/>
        <w:rPr>
          <w:rFonts w:ascii="Arial" w:cs="Arial" w:eastAsia="Arial" w:hAnsi="Arial"/>
          <w:sz w:val="19"/>
          <w:szCs w:val="19"/>
          <w:color w:val="auto"/>
        </w:rPr>
      </w:pPr>
    </w:p>
    <w:p>
      <w:pPr>
        <w:ind w:left="2244" w:right="140" w:hanging="746"/>
        <w:spacing w:after="0" w:line="272" w:lineRule="auto"/>
        <w:tabs>
          <w:tab w:leader="none" w:pos="1925" w:val="left"/>
        </w:tabs>
        <w:numPr>
          <w:ilvl w:val="1"/>
          <w:numId w:val="89"/>
        </w:numPr>
        <w:rPr>
          <w:rFonts w:ascii="Arial" w:cs="Arial" w:eastAsia="Arial" w:hAnsi="Arial"/>
          <w:sz w:val="19"/>
          <w:szCs w:val="19"/>
          <w:color w:val="auto"/>
        </w:rPr>
      </w:pPr>
      <w:r>
        <w:rPr>
          <w:rFonts w:ascii="Arial" w:cs="Arial" w:eastAsia="Arial" w:hAnsi="Arial"/>
          <w:sz w:val="19"/>
          <w:szCs w:val="19"/>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55" w:lineRule="exact"/>
        <w:rPr>
          <w:sz w:val="20"/>
          <w:szCs w:val="20"/>
          <w:color w:val="auto"/>
        </w:rPr>
      </w:pPr>
    </w:p>
    <w:p>
      <w:pPr>
        <w:ind w:left="2244" w:right="120"/>
        <w:spacing w:after="0" w:line="286" w:lineRule="auto"/>
        <w:rPr>
          <w:sz w:val="20"/>
          <w:szCs w:val="20"/>
          <w:color w:val="auto"/>
        </w:rPr>
      </w:pPr>
      <w:r>
        <w:rPr>
          <w:rFonts w:ascii="Arial" w:cs="Arial" w:eastAsia="Arial" w:hAnsi="Arial"/>
          <w:sz w:val="19"/>
          <w:szCs w:val="19"/>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w:t>
      </w:r>
    </w:p>
    <w:p>
      <w:pPr>
        <w:spacing w:after="0" w:line="142"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62230</wp:posOffset>
            </wp:positionV>
            <wp:extent cx="71583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04"/>
          </w:cols>
          <w:pgMar w:left="1076" w:top="118" w:right="419" w:bottom="1440" w:gutter="0" w:footer="0" w:header="0"/>
        </w:sectPr>
      </w:pPr>
    </w:p>
    <w:bookmarkStart w:id="127" w:name="page128"/>
    <w:bookmarkEnd w:id="127"/>
    <w:p>
      <w:pPr>
        <w:ind w:left="2188"/>
        <w:spacing w:after="0" w:line="255" w:lineRule="auto"/>
        <w:rPr>
          <w:sz w:val="20"/>
          <w:szCs w:val="20"/>
          <w:color w:val="auto"/>
        </w:rPr>
      </w:pPr>
      <w:r>
        <w:rPr>
          <w:rFonts w:ascii="Arial" w:cs="Arial" w:eastAsia="Arial" w:hAnsi="Arial"/>
          <w:sz w:val="20"/>
          <w:szCs w:val="20"/>
          <w:color w:val="auto"/>
        </w:rPr>
        <w:t>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w:t>
      </w:r>
    </w:p>
    <w:p>
      <w:pPr>
        <w:spacing w:after="0" w:line="176" w:lineRule="exact"/>
        <w:rPr>
          <w:sz w:val="20"/>
          <w:szCs w:val="20"/>
          <w:color w:val="auto"/>
        </w:rPr>
      </w:pPr>
    </w:p>
    <w:p>
      <w:pPr>
        <w:ind w:left="2188" w:hanging="746"/>
        <w:spacing w:after="0" w:line="258" w:lineRule="auto"/>
        <w:tabs>
          <w:tab w:leader="none" w:pos="1870"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w:t>
      </w:r>
    </w:p>
    <w:p>
      <w:pPr>
        <w:spacing w:after="0" w:line="169" w:lineRule="exact"/>
        <w:rPr>
          <w:rFonts w:ascii="Arial" w:cs="Arial" w:eastAsia="Arial" w:hAnsi="Arial"/>
          <w:sz w:val="20"/>
          <w:szCs w:val="20"/>
          <w:color w:val="auto"/>
        </w:rPr>
      </w:pPr>
    </w:p>
    <w:p>
      <w:pPr>
        <w:ind w:left="688" w:right="260" w:hanging="688"/>
        <w:spacing w:after="0" w:line="281" w:lineRule="auto"/>
        <w:tabs>
          <w:tab w:leader="none" w:pos="425"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Limitation on Benefits</w:t>
      </w:r>
      <w:r>
        <w:rPr>
          <w:rFonts w:ascii="Arial" w:cs="Arial" w:eastAsia="Arial" w:hAnsi="Arial"/>
          <w:sz w:val="19"/>
          <w:szCs w:val="19"/>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w:t>
      </w:r>
    </w:p>
    <w:p>
      <w:pPr>
        <w:spacing w:after="0" w:line="147" w:lineRule="exact"/>
        <w:rPr>
          <w:sz w:val="20"/>
          <w:szCs w:val="20"/>
          <w:color w:val="auto"/>
        </w:rPr>
      </w:pPr>
    </w:p>
    <w:p>
      <w:pPr>
        <w:ind w:left="4768"/>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62230</wp:posOffset>
            </wp:positionV>
            <wp:extent cx="71583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88"/>
          </w:cols>
          <w:pgMar w:left="1132" w:top="118" w:right="579" w:bottom="1440" w:gutter="0" w:footer="0" w:header="0"/>
        </w:sectPr>
      </w:pPr>
    </w:p>
    <w:bookmarkStart w:id="128" w:name="page129"/>
    <w:bookmarkEnd w:id="128"/>
    <w:p>
      <w:pPr>
        <w:ind w:left="690" w:right="420"/>
        <w:spacing w:after="0" w:line="256" w:lineRule="auto"/>
        <w:rPr>
          <w:sz w:val="20"/>
          <w:szCs w:val="20"/>
          <w:color w:val="auto"/>
        </w:rPr>
      </w:pPr>
      <w:r>
        <w:rPr>
          <w:rFonts w:ascii="Arial" w:cs="Arial" w:eastAsia="Arial" w:hAnsi="Arial"/>
          <w:sz w:val="20"/>
          <w:szCs w:val="20"/>
          <w:color w:val="auto"/>
        </w:rPr>
        <w:t>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175" w:lineRule="exact"/>
        <w:rPr>
          <w:sz w:val="20"/>
          <w:szCs w:val="20"/>
          <w:color w:val="auto"/>
        </w:rPr>
      </w:pPr>
    </w:p>
    <w:p>
      <w:pPr>
        <w:ind w:left="690" w:hanging="690"/>
        <w:spacing w:after="0" w:line="251" w:lineRule="auto"/>
        <w:tabs>
          <w:tab w:leader="none" w:pos="425"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Timing of Payments</w:t>
      </w:r>
      <w:r>
        <w:rPr>
          <w:rFonts w:ascii="Arial" w:cs="Arial" w:eastAsia="Arial" w:hAnsi="Arial"/>
          <w:sz w:val="20"/>
          <w:szCs w:val="20"/>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Midwest edition (or, if not so reported, as reported in such other similar source(s) as the Corporation shall select).</w:t>
      </w:r>
    </w:p>
    <w:p>
      <w:pPr>
        <w:spacing w:after="0" w:line="212" w:lineRule="exact"/>
        <w:rPr>
          <w:rFonts w:ascii="Arial" w:cs="Arial" w:eastAsia="Arial" w:hAnsi="Arial"/>
          <w:sz w:val="20"/>
          <w:szCs w:val="20"/>
          <w:color w:val="auto"/>
        </w:rPr>
      </w:pPr>
    </w:p>
    <w:p>
      <w:pPr>
        <w:ind w:left="690" w:right="600" w:hanging="690"/>
        <w:spacing w:after="0" w:line="275" w:lineRule="auto"/>
        <w:tabs>
          <w:tab w:leader="none" w:pos="425"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Notwithstanding the foregoing, you will have no right to receive any payment or benefit described in Subsections 2(c)(ii)-(v) or 2(d)(ii)-(v), above, unless and until you execute, and there shall be</w:t>
      </w:r>
    </w:p>
    <w:p>
      <w:pPr>
        <w:ind w:left="690"/>
        <w:spacing w:after="0" w:line="231" w:lineRule="auto"/>
        <w:rPr>
          <w:sz w:val="20"/>
          <w:szCs w:val="20"/>
          <w:color w:val="auto"/>
        </w:rPr>
      </w:pPr>
      <w:r>
        <w:rPr>
          <w:rFonts w:ascii="Arial" w:cs="Arial" w:eastAsia="Arial" w:hAnsi="Arial"/>
          <w:sz w:val="22"/>
          <w:szCs w:val="22"/>
          <w:color w:val="auto"/>
        </w:rPr>
        <w:t>effective following any</w:t>
      </w:r>
    </w:p>
    <w:p>
      <w:pPr>
        <w:ind w:left="471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50800</wp:posOffset>
            </wp:positionV>
            <wp:extent cx="71583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30"/>
          </w:cols>
          <w:pgMar w:left="1130" w:top="118" w:right="339" w:bottom="1440" w:gutter="0" w:footer="0" w:header="0"/>
        </w:sectPr>
      </w:pPr>
    </w:p>
    <w:bookmarkStart w:id="129" w:name="page130"/>
    <w:bookmarkEnd w:id="129"/>
    <w:p>
      <w:pPr>
        <w:ind w:left="1492"/>
        <w:spacing w:after="0" w:line="262" w:lineRule="auto"/>
        <w:rPr>
          <w:sz w:val="20"/>
          <w:szCs w:val="20"/>
          <w:color w:val="auto"/>
        </w:rPr>
      </w:pPr>
      <w:r>
        <w:rPr>
          <w:rFonts w:ascii="Arial" w:cs="Arial" w:eastAsia="Arial" w:hAnsi="Arial"/>
          <w:sz w:val="20"/>
          <w:szCs w:val="20"/>
          <w:color w:val="auto"/>
        </w:rPr>
        <w:t>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day after the Date of Termination.</w:t>
      </w:r>
    </w:p>
    <w:p>
      <w:pPr>
        <w:spacing w:after="0" w:line="92" w:lineRule="exact"/>
        <w:rPr>
          <w:sz w:val="20"/>
          <w:szCs w:val="20"/>
          <w:color w:val="auto"/>
        </w:rPr>
      </w:pPr>
    </w:p>
    <w:p>
      <w:pPr>
        <w:ind w:left="1492" w:right="40" w:hanging="690"/>
        <w:spacing w:after="0" w:line="264" w:lineRule="auto"/>
        <w:tabs>
          <w:tab w:leader="none" w:pos="1228" w:val="left"/>
        </w:tabs>
        <w:numPr>
          <w:ilvl w:val="2"/>
          <w:numId w:val="93"/>
        </w:numPr>
        <w:rPr>
          <w:rFonts w:ascii="Arial" w:cs="Arial" w:eastAsia="Arial" w:hAnsi="Arial"/>
          <w:sz w:val="20"/>
          <w:szCs w:val="20"/>
          <w:color w:val="auto"/>
        </w:rPr>
      </w:pPr>
      <w:r>
        <w:rPr>
          <w:rFonts w:ascii="Arial" w:cs="Arial" w:eastAsia="Arial" w:hAnsi="Arial"/>
          <w:sz w:val="20"/>
          <w:szCs w:val="20"/>
          <w:u w:val="single" w:color="auto"/>
          <w:color w:val="auto"/>
        </w:rPr>
        <w:t>Forfeiture</w:t>
      </w:r>
      <w:r>
        <w:rPr>
          <w:rFonts w:ascii="Arial" w:cs="Arial" w:eastAsia="Arial" w:hAnsi="Arial"/>
          <w:sz w:val="20"/>
          <w:szCs w:val="20"/>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87" w:lineRule="exact"/>
        <w:rPr>
          <w:rFonts w:ascii="Arial" w:cs="Arial" w:eastAsia="Arial" w:hAnsi="Arial"/>
          <w:sz w:val="20"/>
          <w:szCs w:val="20"/>
          <w:color w:val="auto"/>
        </w:rPr>
      </w:pPr>
    </w:p>
    <w:p>
      <w:pPr>
        <w:ind w:left="752" w:hanging="752"/>
        <w:spacing w:after="0"/>
        <w:tabs>
          <w:tab w:leader="none" w:pos="752"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w:t>
      </w:r>
    </w:p>
    <w:p>
      <w:pPr>
        <w:spacing w:after="0" w:line="204" w:lineRule="exact"/>
        <w:rPr>
          <w:rFonts w:ascii="Arial" w:cs="Arial" w:eastAsia="Arial" w:hAnsi="Arial"/>
          <w:sz w:val="22"/>
          <w:szCs w:val="22"/>
          <w:color w:val="auto"/>
        </w:rPr>
      </w:pPr>
    </w:p>
    <w:p>
      <w:pPr>
        <w:ind w:left="1492" w:right="20" w:hanging="744"/>
        <w:spacing w:after="0" w:line="270" w:lineRule="auto"/>
        <w:tabs>
          <w:tab w:leader="none" w:pos="1492" w:val="left"/>
        </w:tabs>
        <w:numPr>
          <w:ilvl w:val="1"/>
          <w:numId w:val="94"/>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157"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83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92"/>
          </w:cols>
          <w:pgMar w:left="328" w:top="118" w:right="379" w:bottom="1440" w:gutter="0" w:footer="0" w:header="0"/>
        </w:sectPr>
      </w:pPr>
    </w:p>
    <w:bookmarkStart w:id="130" w:name="page131"/>
    <w:bookmarkEnd w:id="130"/>
    <w:p>
      <w:pPr>
        <w:ind w:left="1492" w:hanging="744"/>
        <w:spacing w:after="0" w:line="255" w:lineRule="auto"/>
        <w:tabs>
          <w:tab w:leader="none" w:pos="1492" w:val="left"/>
        </w:tabs>
        <w:numPr>
          <w:ilvl w:val="1"/>
          <w:numId w:val="95"/>
        </w:numPr>
        <w:rPr>
          <w:rFonts w:ascii="Arial" w:cs="Arial" w:eastAsia="Arial" w:hAnsi="Arial"/>
          <w:sz w:val="20"/>
          <w:szCs w:val="20"/>
          <w:color w:val="auto"/>
        </w:rPr>
      </w:pPr>
      <w:r>
        <w:rPr>
          <w:rFonts w:ascii="Arial" w:cs="Arial" w:eastAsia="Arial" w:hAnsi="Arial"/>
          <w:sz w:val="20"/>
          <w:szCs w:val="20"/>
          <w:color w:val="auto"/>
        </w:rPr>
        <w:t>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w:t>
      </w:r>
    </w:p>
    <w:p>
      <w:pPr>
        <w:spacing w:after="0" w:line="180" w:lineRule="exact"/>
        <w:rPr>
          <w:rFonts w:ascii="Arial" w:cs="Arial" w:eastAsia="Arial" w:hAnsi="Arial"/>
          <w:sz w:val="20"/>
          <w:szCs w:val="20"/>
          <w:color w:val="auto"/>
        </w:rPr>
      </w:pPr>
    </w:p>
    <w:p>
      <w:pPr>
        <w:ind w:left="1492" w:right="20" w:hanging="744"/>
        <w:spacing w:after="0" w:line="264" w:lineRule="auto"/>
        <w:tabs>
          <w:tab w:leader="none" w:pos="1492" w:val="left"/>
        </w:tabs>
        <w:numPr>
          <w:ilvl w:val="1"/>
          <w:numId w:val="95"/>
        </w:numPr>
        <w:rPr>
          <w:rFonts w:ascii="Arial" w:cs="Arial" w:eastAsia="Arial" w:hAnsi="Arial"/>
          <w:sz w:val="20"/>
          <w:szCs w:val="20"/>
          <w:color w:val="auto"/>
        </w:rPr>
      </w:pPr>
      <w:r>
        <w:rPr>
          <w:rFonts w:ascii="Arial" w:cs="Arial" w:eastAsia="Arial" w:hAnsi="Arial"/>
          <w:sz w:val="20"/>
          <w:szCs w:val="20"/>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752" w:right="220" w:hanging="752"/>
        <w:spacing w:after="0" w:line="268" w:lineRule="auto"/>
        <w:tabs>
          <w:tab w:leader="none" w:pos="752"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You agree that you will not, at any time during the term of your employment with the Consolidated ManpowerGroup or during the one-year period following your termination, for whatever reason, of employment with the Consolidated ManpowerGroup, directly or indirectly solicit any Restricted Person to provide services to or on behalf of a person or entity in a manner reasonably likely to pose a competitive threat to the Consolidated ManpowerGroup. Restricted Person shall mean an individual who, at the time of the solicitation, is an employee of the Consolidated ManpowerGroup and (i) who is a top-level employee of the Consolidated ManpowerGroup, has special skills or knowledge important to the Consolidated ManpowerGroup, or has skills that are difficult for the Consolidated ManpowerGroup to replace and (ii) with whom you had a working relationship or about whom you acquired or possessed specialized knowledge, in each case, in connection with your employment with the</w:t>
      </w:r>
    </w:p>
    <w:p>
      <w:pPr>
        <w:ind w:left="752"/>
        <w:spacing w:after="0" w:line="231" w:lineRule="auto"/>
        <w:rPr>
          <w:sz w:val="20"/>
          <w:szCs w:val="20"/>
          <w:color w:val="auto"/>
        </w:rPr>
      </w:pPr>
      <w:r>
        <w:rPr>
          <w:rFonts w:ascii="Arial" w:cs="Arial" w:eastAsia="Arial" w:hAnsi="Arial"/>
          <w:sz w:val="22"/>
          <w:szCs w:val="22"/>
          <w:color w:val="auto"/>
        </w:rPr>
        <w:t>Consolidated ManpowerGroup during the two-year period preceding the Date of Termination.</w:t>
      </w:r>
    </w:p>
    <w:p>
      <w:pPr>
        <w:ind w:left="5512"/>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1583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131" w:name="page132"/>
    <w:bookmarkEnd w:id="131"/>
    <w:p>
      <w:pPr>
        <w:ind w:left="752" w:right="340" w:hanging="752"/>
        <w:spacing w:after="0" w:line="237" w:lineRule="auto"/>
        <w:tabs>
          <w:tab w:leader="none" w:pos="752"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Restrictions During Employment</w:t>
      </w:r>
      <w:r>
        <w:rPr>
          <w:rFonts w:ascii="Arial" w:cs="Arial" w:eastAsia="Arial" w:hAnsi="Arial"/>
          <w:sz w:val="22"/>
          <w:szCs w:val="22"/>
          <w:color w:val="auto"/>
        </w:rPr>
        <w:t>.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w:t>
      </w:r>
    </w:p>
    <w:p>
      <w:pPr>
        <w:spacing w:after="0" w:line="211" w:lineRule="exact"/>
        <w:rPr>
          <w:rFonts w:ascii="Arial" w:cs="Arial" w:eastAsia="Arial" w:hAnsi="Arial"/>
          <w:sz w:val="22"/>
          <w:szCs w:val="22"/>
          <w:color w:val="auto"/>
        </w:rPr>
      </w:pPr>
    </w:p>
    <w:p>
      <w:pPr>
        <w:ind w:left="752" w:right="580" w:hanging="752"/>
        <w:spacing w:after="0" w:line="249" w:lineRule="auto"/>
        <w:tabs>
          <w:tab w:leader="none" w:pos="752"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Noncompetition Agreement</w:t>
      </w:r>
      <w:r>
        <w:rPr>
          <w:rFonts w:ascii="Arial" w:cs="Arial" w:eastAsia="Arial" w:hAnsi="Arial"/>
          <w:sz w:val="22"/>
          <w:szCs w:val="22"/>
          <w:color w:val="auto"/>
        </w:rPr>
        <w:t>. During the one-year period which immediately follows the termination, for whatever reason, of your employment with the Consolidated ManpowerGroup:</w:t>
      </w:r>
    </w:p>
    <w:p>
      <w:pPr>
        <w:spacing w:after="0" w:line="201" w:lineRule="exact"/>
        <w:rPr>
          <w:rFonts w:ascii="Arial" w:cs="Arial" w:eastAsia="Arial" w:hAnsi="Arial"/>
          <w:sz w:val="22"/>
          <w:szCs w:val="22"/>
          <w:color w:val="auto"/>
        </w:rPr>
      </w:pPr>
    </w:p>
    <w:p>
      <w:pPr>
        <w:ind w:left="1492" w:hanging="744"/>
        <w:spacing w:after="0" w:line="247" w:lineRule="exact"/>
        <w:tabs>
          <w:tab w:leader="none" w:pos="1492" w:val="left"/>
        </w:tabs>
        <w:numPr>
          <w:ilvl w:val="1"/>
          <w:numId w:val="97"/>
        </w:numPr>
        <w:rPr>
          <w:rFonts w:ascii="Arial" w:cs="Arial" w:eastAsia="Arial" w:hAnsi="Arial"/>
          <w:sz w:val="19"/>
          <w:szCs w:val="19"/>
          <w:color w:val="auto"/>
        </w:rPr>
      </w:pPr>
      <w:r>
        <w:rPr>
          <w:rFonts w:ascii="Arial" w:cs="Arial" w:eastAsia="Arial" w:hAnsi="Arial"/>
          <w:sz w:val="19"/>
          <w:szCs w:val="19"/>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19"/>
          <w:szCs w:val="19"/>
          <w:color w:val="auto"/>
        </w:rPr>
        <w:t>‑</w:t>
      </w:r>
      <w:r>
        <w:rPr>
          <w:rFonts w:ascii="Arial" w:cs="Arial" w:eastAsia="Arial" w:hAnsi="Arial"/>
          <w:sz w:val="19"/>
          <w:szCs w:val="19"/>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19"/>
          <w:szCs w:val="19"/>
          <w:color w:val="auto"/>
        </w:rPr>
        <w:t>‑</w:t>
      </w:r>
      <w:r>
        <w:rPr>
          <w:rFonts w:ascii="Arial" w:cs="Arial" w:eastAsia="Arial" w:hAnsi="Arial"/>
          <w:sz w:val="19"/>
          <w:szCs w:val="19"/>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214" w:lineRule="exact"/>
        <w:rPr>
          <w:rFonts w:ascii="Arial" w:cs="Arial" w:eastAsia="Arial" w:hAnsi="Arial"/>
          <w:sz w:val="19"/>
          <w:szCs w:val="19"/>
          <w:color w:val="auto"/>
        </w:rPr>
      </w:pPr>
    </w:p>
    <w:p>
      <w:pPr>
        <w:ind w:left="1492" w:hanging="744"/>
        <w:spacing w:after="0" w:line="244" w:lineRule="exact"/>
        <w:tabs>
          <w:tab w:leader="none" w:pos="1492" w:val="left"/>
        </w:tabs>
        <w:numPr>
          <w:ilvl w:val="1"/>
          <w:numId w:val="97"/>
        </w:numPr>
        <w:rPr>
          <w:rFonts w:ascii="Arial" w:cs="Arial" w:eastAsia="Arial" w:hAnsi="Arial"/>
          <w:sz w:val="20"/>
          <w:szCs w:val="20"/>
          <w:color w:val="auto"/>
        </w:rPr>
      </w:pPr>
      <w:r>
        <w:rPr>
          <w:rFonts w:ascii="Arial" w:cs="Arial" w:eastAsia="Arial" w:hAnsi="Arial"/>
          <w:sz w:val="20"/>
          <w:szCs w:val="20"/>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20"/>
          <w:szCs w:val="20"/>
          <w:color w:val="auto"/>
        </w:rPr>
        <w:t>‑</w:t>
      </w:r>
      <w:r>
        <w:rPr>
          <w:rFonts w:ascii="Arial" w:cs="Arial" w:eastAsia="Arial" w:hAnsi="Arial"/>
          <w:sz w:val="20"/>
          <w:szCs w:val="20"/>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23" w:lineRule="exact"/>
        <w:rPr>
          <w:rFonts w:ascii="Arial" w:cs="Arial" w:eastAsia="Arial" w:hAnsi="Arial"/>
          <w:sz w:val="20"/>
          <w:szCs w:val="20"/>
          <w:color w:val="auto"/>
        </w:rPr>
      </w:pPr>
    </w:p>
    <w:p>
      <w:pPr>
        <w:ind w:left="432" w:hanging="432"/>
        <w:spacing w:after="0"/>
        <w:tabs>
          <w:tab w:leader="none" w:pos="432"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204" w:lineRule="exact"/>
        <w:rPr>
          <w:sz w:val="20"/>
          <w:szCs w:val="20"/>
          <w:color w:val="auto"/>
        </w:rPr>
      </w:pPr>
    </w:p>
    <w:p>
      <w:pPr>
        <w:ind w:left="1492" w:right="120" w:hanging="690"/>
        <w:spacing w:after="0" w:line="239" w:lineRule="auto"/>
        <w:tabs>
          <w:tab w:leader="none" w:pos="1228"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Injunction</w:t>
      </w:r>
      <w:r>
        <w:rPr>
          <w:rFonts w:ascii="Arial" w:cs="Arial" w:eastAsia="Arial" w:hAnsi="Arial"/>
          <w:sz w:val="22"/>
          <w:szCs w:val="22"/>
          <w:color w:val="auto"/>
        </w:rPr>
        <w:t>. You recognize that irreparable and incalculable injury will result to the Consolidated ManpowerGroup and its businesses and properties in the event of your breach of any of the restrictions imposed by Sections 3-6, above. You</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83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12"/>
          </w:cols>
          <w:pgMar w:left="328" w:top="360" w:right="359" w:bottom="1440" w:gutter="0" w:footer="0" w:header="0"/>
        </w:sectPr>
      </w:pPr>
    </w:p>
    <w:bookmarkStart w:id="132" w:name="page133"/>
    <w:bookmarkEnd w:id="132"/>
    <w:p>
      <w:pPr>
        <w:ind w:left="1492" w:right="60"/>
        <w:spacing w:after="0" w:line="260" w:lineRule="auto"/>
        <w:rPr>
          <w:sz w:val="20"/>
          <w:szCs w:val="20"/>
          <w:color w:val="auto"/>
        </w:rPr>
      </w:pPr>
      <w:r>
        <w:rPr>
          <w:rFonts w:ascii="Arial" w:cs="Arial" w:eastAsia="Arial" w:hAnsi="Arial"/>
          <w:sz w:val="20"/>
          <w:szCs w:val="20"/>
          <w:color w:val="auto"/>
        </w:rPr>
        <w:t>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67" w:lineRule="exact"/>
        <w:rPr>
          <w:sz w:val="20"/>
          <w:szCs w:val="20"/>
          <w:color w:val="auto"/>
        </w:rPr>
      </w:pPr>
    </w:p>
    <w:p>
      <w:pPr>
        <w:ind w:left="1492" w:right="160" w:hanging="690"/>
        <w:spacing w:after="0" w:line="275" w:lineRule="auto"/>
        <w:tabs>
          <w:tab w:leader="none" w:pos="1228" w:val="left"/>
        </w:tabs>
        <w:numPr>
          <w:ilvl w:val="1"/>
          <w:numId w:val="99"/>
        </w:numPr>
        <w:rPr>
          <w:rFonts w:ascii="Arial" w:cs="Arial" w:eastAsia="Arial" w:hAnsi="Arial"/>
          <w:sz w:val="20"/>
          <w:szCs w:val="20"/>
          <w:color w:val="auto"/>
        </w:rPr>
      </w:pPr>
      <w:r>
        <w:rPr>
          <w:rFonts w:ascii="Arial" w:cs="Arial" w:eastAsia="Arial" w:hAnsi="Arial"/>
          <w:sz w:val="20"/>
          <w:szCs w:val="20"/>
          <w:u w:val="single" w:color="auto"/>
          <w:color w:val="auto"/>
        </w:rPr>
        <w:t>Nonapplication</w:t>
      </w:r>
      <w:r>
        <w:rPr>
          <w:rFonts w:ascii="Arial" w:cs="Arial" w:eastAsia="Arial" w:hAnsi="Arial"/>
          <w:sz w:val="20"/>
          <w:szCs w:val="20"/>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393" w:lineRule="exact"/>
        <w:rPr>
          <w:rFonts w:ascii="Arial" w:cs="Arial" w:eastAsia="Arial" w:hAnsi="Arial"/>
          <w:sz w:val="20"/>
          <w:szCs w:val="20"/>
          <w:color w:val="auto"/>
        </w:rPr>
      </w:pPr>
    </w:p>
    <w:p>
      <w:pPr>
        <w:ind w:left="752" w:right="100" w:hanging="752"/>
        <w:spacing w:after="0" w:line="249" w:lineRule="exact"/>
        <w:tabs>
          <w:tab w:leader="none" w:pos="434"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Unemployment Compensation</w:t>
      </w:r>
      <w:r>
        <w:rPr>
          <w:rFonts w:ascii="Arial" w:cs="Arial" w:eastAsia="Arial" w:hAnsi="Arial"/>
          <w:sz w:val="20"/>
          <w:szCs w:val="20"/>
          <w:color w:val="auto"/>
        </w:rPr>
        <w:t>. To the extent allowed by applicable law, the severance benefits provided for in Subsection 2(c)(iii) will be assigned for unemployment compensation benefit purposes to the one</w:t>
      </w:r>
      <w:r>
        <w:rPr>
          <w:rFonts w:ascii="MS PGothic" w:cs="MS PGothic" w:eastAsia="MS PGothic" w:hAnsi="MS PGothic"/>
          <w:sz w:val="20"/>
          <w:szCs w:val="20"/>
          <w:color w:val="auto"/>
        </w:rPr>
        <w:t>‑</w:t>
      </w:r>
      <w:r>
        <w:rPr>
          <w:rFonts w:ascii="Arial" w:cs="Arial" w:eastAsia="Arial" w:hAnsi="Arial"/>
          <w:sz w:val="20"/>
          <w:szCs w:val="20"/>
          <w:color w:val="auto"/>
        </w:rPr>
        <w:t>year period following the Date of Termination, and the severance benefits provided for in Subsection 2(d)(iii) will be assigned for unemployment compensation purposes to the two</w:t>
      </w:r>
      <w:r>
        <w:rPr>
          <w:rFonts w:ascii="MS PGothic" w:cs="MS PGothic" w:eastAsia="MS PGothic" w:hAnsi="MS PGothic"/>
          <w:sz w:val="20"/>
          <w:szCs w:val="20"/>
          <w:color w:val="auto"/>
        </w:rPr>
        <w:t>‑</w:t>
      </w:r>
      <w:r>
        <w:rPr>
          <w:rFonts w:ascii="Arial" w:cs="Arial" w:eastAsia="Arial" w:hAnsi="Arial"/>
          <w:sz w:val="20"/>
          <w:szCs w:val="20"/>
          <w:color w:val="auto"/>
        </w:rPr>
        <w:t>year period following the Date of Termination, and you will be ineligible to receive, and you agree not to apply for, unemployment compensation during such periods.</w:t>
      </w:r>
    </w:p>
    <w:p>
      <w:pPr>
        <w:spacing w:after="0" w:line="185" w:lineRule="exact"/>
        <w:rPr>
          <w:rFonts w:ascii="Arial" w:cs="Arial" w:eastAsia="Arial" w:hAnsi="Arial"/>
          <w:sz w:val="20"/>
          <w:szCs w:val="20"/>
          <w:color w:val="auto"/>
        </w:rPr>
      </w:pPr>
    </w:p>
    <w:p>
      <w:pPr>
        <w:ind w:left="752" w:hanging="752"/>
        <w:spacing w:after="0" w:line="272" w:lineRule="auto"/>
        <w:tabs>
          <w:tab w:leader="none" w:pos="434"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60" w:lineRule="exact"/>
        <w:rPr>
          <w:rFonts w:ascii="Arial" w:cs="Arial" w:eastAsia="Arial" w:hAnsi="Arial"/>
          <w:sz w:val="19"/>
          <w:szCs w:val="19"/>
          <w:color w:val="auto"/>
        </w:rPr>
      </w:pPr>
    </w:p>
    <w:p>
      <w:pPr>
        <w:ind w:left="752" w:right="120" w:hanging="752"/>
        <w:spacing w:after="0" w:line="298" w:lineRule="auto"/>
        <w:tabs>
          <w:tab w:leader="none" w:pos="434"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Successors; Binding Agreement</w:t>
      </w:r>
      <w:r>
        <w:rPr>
          <w:rFonts w:ascii="Arial" w:cs="Arial" w:eastAsia="Arial" w:hAnsi="Arial"/>
          <w:sz w:val="20"/>
          <w:szCs w:val="20"/>
          <w:color w:val="auto"/>
        </w:rPr>
        <w:t>. This letter agreement will be binding on the Corporation and its successors and will inure to the benefit of and be enforceable by your personal or legal representatives, heirs and successors.</w:t>
      </w:r>
    </w:p>
    <w:p>
      <w:pPr>
        <w:spacing w:after="0" w:line="155" w:lineRule="exact"/>
        <w:rPr>
          <w:rFonts w:ascii="Arial" w:cs="Arial" w:eastAsia="Arial" w:hAnsi="Arial"/>
          <w:sz w:val="20"/>
          <w:szCs w:val="20"/>
          <w:color w:val="auto"/>
        </w:rPr>
      </w:pPr>
    </w:p>
    <w:p>
      <w:pPr>
        <w:ind w:left="752" w:right="60" w:hanging="752"/>
        <w:spacing w:after="0" w:line="275" w:lineRule="auto"/>
        <w:tabs>
          <w:tab w:leader="none" w:pos="434"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51"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83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72"/>
          </w:cols>
          <w:pgMar w:left="328" w:top="118" w:right="399" w:bottom="1440" w:gutter="0" w:footer="0" w:header="0"/>
        </w:sectPr>
      </w:pPr>
    </w:p>
    <w:bookmarkStart w:id="133" w:name="page134"/>
    <w:bookmarkEnd w:id="133"/>
    <w:p>
      <w:pPr>
        <w:jc w:val="both"/>
        <w:ind w:left="752" w:right="140" w:hanging="752"/>
        <w:spacing w:after="0" w:line="268" w:lineRule="auto"/>
        <w:tabs>
          <w:tab w:leader="none" w:pos="434"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No Right to Remain Employed</w:t>
      </w:r>
      <w:r>
        <w:rPr>
          <w:rFonts w:ascii="Arial" w:cs="Arial" w:eastAsia="Arial" w:hAnsi="Arial"/>
          <w:sz w:val="20"/>
          <w:szCs w:val="20"/>
          <w:color w:val="auto"/>
        </w:rPr>
        <w:t>. Nothing contained in this letter agreement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184" w:lineRule="exact"/>
        <w:rPr>
          <w:rFonts w:ascii="Arial" w:cs="Arial" w:eastAsia="Arial" w:hAnsi="Arial"/>
          <w:sz w:val="20"/>
          <w:szCs w:val="20"/>
          <w:color w:val="auto"/>
        </w:rPr>
      </w:pPr>
    </w:p>
    <w:p>
      <w:pPr>
        <w:ind w:left="752" w:hanging="752"/>
        <w:spacing w:after="0" w:line="249" w:lineRule="auto"/>
        <w:tabs>
          <w:tab w:leader="none" w:pos="434"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agreement may be modified, waived or discharged unless such waiver, modification or discharge is agreed to in writing by you and the Corporation.</w:t>
      </w:r>
    </w:p>
    <w:p>
      <w:pPr>
        <w:spacing w:after="0" w:line="201" w:lineRule="exact"/>
        <w:rPr>
          <w:rFonts w:ascii="Arial" w:cs="Arial" w:eastAsia="Arial" w:hAnsi="Arial"/>
          <w:sz w:val="22"/>
          <w:szCs w:val="22"/>
          <w:color w:val="auto"/>
        </w:rPr>
      </w:pPr>
    </w:p>
    <w:p>
      <w:pPr>
        <w:ind w:left="752" w:right="200" w:hanging="752"/>
        <w:spacing w:after="0" w:line="326" w:lineRule="auto"/>
        <w:tabs>
          <w:tab w:leader="none" w:pos="434"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32" w:lineRule="exact"/>
        <w:rPr>
          <w:rFonts w:ascii="Arial" w:cs="Arial" w:eastAsia="Arial" w:hAnsi="Arial"/>
          <w:sz w:val="19"/>
          <w:szCs w:val="19"/>
          <w:color w:val="auto"/>
        </w:rPr>
      </w:pPr>
    </w:p>
    <w:p>
      <w:pPr>
        <w:ind w:left="752" w:right="60" w:hanging="752"/>
        <w:spacing w:after="0" w:line="249" w:lineRule="auto"/>
        <w:tabs>
          <w:tab w:leader="none" w:pos="434"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letter agreement shall be governed by and interpreted in accordance with the laws of the State of New York, United States of America, without regard to its conflict of law provisions.</w:t>
      </w:r>
    </w:p>
    <w:p>
      <w:pPr>
        <w:spacing w:after="0" w:line="201" w:lineRule="exact"/>
        <w:rPr>
          <w:rFonts w:ascii="Arial" w:cs="Arial" w:eastAsia="Arial" w:hAnsi="Arial"/>
          <w:sz w:val="22"/>
          <w:szCs w:val="22"/>
          <w:color w:val="auto"/>
        </w:rPr>
      </w:pPr>
    </w:p>
    <w:p>
      <w:pPr>
        <w:ind w:left="752" w:right="80" w:hanging="752"/>
        <w:spacing w:after="0" w:line="261" w:lineRule="auto"/>
        <w:tabs>
          <w:tab w:leader="none" w:pos="434"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Reduction of Amounts Due Under Law</w:t>
      </w:r>
      <w:r>
        <w:rPr>
          <w:rFonts w:ascii="Arial" w:cs="Arial" w:eastAsia="Arial" w:hAnsi="Arial"/>
          <w:sz w:val="20"/>
          <w:szCs w:val="20"/>
          <w:color w:val="auto"/>
        </w:rPr>
        <w:t>. You agree that any severance payment (</w:t>
      </w:r>
      <w:r>
        <w:rPr>
          <w:rFonts w:ascii="Arial" w:cs="Arial" w:eastAsia="Arial" w:hAnsi="Arial"/>
          <w:sz w:val="20"/>
          <w:szCs w:val="20"/>
          <w:i w:val="1"/>
          <w:iCs w:val="1"/>
          <w:color w:val="auto"/>
        </w:rPr>
        <w:t>i.e</w:t>
      </w:r>
      <w:r>
        <w:rPr>
          <w:rFonts w:ascii="Arial" w:cs="Arial" w:eastAsia="Arial" w:hAnsi="Arial"/>
          <w:sz w:val="20"/>
          <w:szCs w:val="20"/>
          <w:color w:val="auto"/>
        </w:rPr>
        <w:t>, any payment other than a payment for salary through your Date of Termination or for a bonus earned in the prior fiscal year but not yet paid) to you pursuant to this letter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4" w:lineRule="exact"/>
        <w:rPr>
          <w:rFonts w:ascii="Arial" w:cs="Arial" w:eastAsia="Arial" w:hAnsi="Arial"/>
          <w:sz w:val="20"/>
          <w:szCs w:val="20"/>
          <w:color w:val="auto"/>
        </w:rPr>
      </w:pPr>
    </w:p>
    <w:p>
      <w:pPr>
        <w:ind w:left="752" w:right="20" w:hanging="752"/>
        <w:spacing w:after="0" w:line="234" w:lineRule="auto"/>
        <w:tabs>
          <w:tab w:leader="none" w:pos="434"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Previous Agreements</w:t>
      </w:r>
      <w:r>
        <w:rPr>
          <w:rFonts w:ascii="Arial" w:cs="Arial" w:eastAsia="Arial" w:hAnsi="Arial"/>
          <w:sz w:val="22"/>
          <w:szCs w:val="22"/>
          <w:color w:val="auto"/>
        </w:rPr>
        <w:t>. This letter agreement, upon acceptance by you, expressly supersedes any and all previous agreements or understandings relating to your employment by the Corporation or the Consolidated ManpowerGroup, except for the letter from the Corporation to you dated January 3, 2013, regarding the terms of your employment (provided this letter agreement will supersede the sections of that prior letter concerning severance protection) or the termination of such employment, and any such agreements or understandings shall, as of the date of your acceptance, have no further force or effect.</w:t>
      </w:r>
    </w:p>
    <w:p>
      <w:pPr>
        <w:spacing w:after="0" w:line="215" w:lineRule="exact"/>
        <w:rPr>
          <w:rFonts w:ascii="Arial" w:cs="Arial" w:eastAsia="Arial" w:hAnsi="Arial"/>
          <w:sz w:val="22"/>
          <w:szCs w:val="22"/>
          <w:color w:val="auto"/>
        </w:rPr>
      </w:pPr>
    </w:p>
    <w:p>
      <w:pPr>
        <w:ind w:left="752" w:right="120" w:hanging="752"/>
        <w:spacing w:after="0" w:line="269" w:lineRule="auto"/>
        <w:tabs>
          <w:tab w:leader="none" w:pos="434"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w:t>
      </w:r>
    </w:p>
    <w:p>
      <w:pPr>
        <w:ind w:left="752"/>
        <w:spacing w:after="0" w:line="233" w:lineRule="auto"/>
        <w:rPr>
          <w:sz w:val="20"/>
          <w:szCs w:val="20"/>
          <w:color w:val="auto"/>
        </w:rPr>
      </w:pPr>
      <w:r>
        <w:rPr>
          <w:rFonts w:ascii="Arial" w:cs="Arial" w:eastAsia="Arial" w:hAnsi="Arial"/>
          <w:sz w:val="22"/>
          <w:szCs w:val="22"/>
          <w:color w:val="auto"/>
        </w:rPr>
        <w:t>the “Respondent.”</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1583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134" w:name="page135"/>
    <w:bookmarkEnd w:id="134"/>
    <w:p>
      <w:pPr>
        <w:ind w:left="744" w:hanging="690"/>
        <w:spacing w:after="0" w:line="270" w:lineRule="auto"/>
        <w:tabs>
          <w:tab w:leader="none" w:pos="479" w:val="left"/>
        </w:tabs>
        <w:numPr>
          <w:ilvl w:val="1"/>
          <w:numId w:val="102"/>
        </w:numPr>
        <w:rPr>
          <w:rFonts w:ascii="Arial" w:cs="Arial" w:eastAsia="Arial" w:hAnsi="Arial"/>
          <w:sz w:val="19"/>
          <w:szCs w:val="19"/>
          <w:color w:val="auto"/>
        </w:rPr>
      </w:pPr>
      <w:r>
        <w:rPr>
          <w:rFonts w:ascii="Arial" w:cs="Arial" w:eastAsia="Arial" w:hAnsi="Arial"/>
          <w:sz w:val="19"/>
          <w:szCs w:val="19"/>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7" w:lineRule="exact"/>
        <w:rPr>
          <w:rFonts w:ascii="Arial" w:cs="Arial" w:eastAsia="Arial" w:hAnsi="Arial"/>
          <w:sz w:val="19"/>
          <w:szCs w:val="19"/>
          <w:color w:val="auto"/>
        </w:rPr>
      </w:pPr>
    </w:p>
    <w:p>
      <w:pPr>
        <w:ind w:left="744" w:hanging="744"/>
        <w:spacing w:after="0" w:line="267" w:lineRule="auto"/>
        <w:tabs>
          <w:tab w:leader="none" w:pos="74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w:t>
      </w:r>
    </w:p>
    <w:p>
      <w:pPr>
        <w:ind w:left="744"/>
        <w:spacing w:after="0" w:line="234" w:lineRule="auto"/>
        <w:rPr>
          <w:sz w:val="20"/>
          <w:szCs w:val="20"/>
          <w:color w:val="auto"/>
        </w:rPr>
      </w:pPr>
      <w:r>
        <w:rPr>
          <w:rFonts w:ascii="Arial" w:cs="Arial" w:eastAsia="Arial" w:hAnsi="Arial"/>
          <w:sz w:val="22"/>
          <w:szCs w:val="22"/>
          <w:color w:val="auto"/>
        </w:rPr>
        <w:t>temporary or permanent injunctive relief.</w:t>
      </w:r>
    </w:p>
    <w:p>
      <w:pPr>
        <w:spacing w:after="0" w:line="1" w:lineRule="exact"/>
        <w:rPr>
          <w:sz w:val="20"/>
          <w:szCs w:val="20"/>
          <w:color w:val="auto"/>
        </w:rPr>
      </w:pPr>
    </w:p>
    <w:p>
      <w:pPr>
        <w:ind w:left="4764"/>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50800</wp:posOffset>
            </wp:positionV>
            <wp:extent cx="71583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0" w:right="339" w:bottom="1440" w:gutter="0" w:footer="0" w:header="0"/>
        </w:sectPr>
      </w:pPr>
    </w:p>
    <w:bookmarkStart w:id="135" w:name="page136"/>
    <w:bookmarkEnd w:id="135"/>
    <w:p>
      <w:pPr>
        <w:ind w:left="760" w:hanging="752"/>
        <w:spacing w:after="0" w:line="239" w:lineRule="auto"/>
        <w:tabs>
          <w:tab w:leader="none" w:pos="482"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obligations imposed by Paragraphs 3-6, above, of this letter agreement are severable and should be construed independently of each other. The invalidity of one such provision shall not affect the validity of any other such provision.</w:t>
      </w:r>
    </w:p>
    <w:p>
      <w:pPr>
        <w:spacing w:after="0" w:line="212" w:lineRule="exact"/>
        <w:rPr>
          <w:rFonts w:ascii="Arial" w:cs="Arial" w:eastAsia="Arial" w:hAnsi="Arial"/>
          <w:sz w:val="22"/>
          <w:szCs w:val="22"/>
          <w:color w:val="auto"/>
        </w:rPr>
      </w:pPr>
    </w:p>
    <w:p>
      <w:pPr>
        <w:ind w:left="760" w:hanging="752"/>
        <w:spacing w:after="0" w:line="256" w:lineRule="auto"/>
        <w:tabs>
          <w:tab w:leader="none" w:pos="522"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Consistency with Applicable Law</w:t>
      </w:r>
      <w:r>
        <w:rPr>
          <w:rFonts w:ascii="Arial" w:cs="Arial" w:eastAsia="Arial" w:hAnsi="Arial"/>
          <w:sz w:val="20"/>
          <w:szCs w:val="20"/>
          <w:color w:val="auto"/>
        </w:rPr>
        <w:t>.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ManpowerGroup or any of its agents that you have made such reports or disclosures; however, we encourage you to do so. Nothing in this letter agreement shall have the purpose or effect of limiting your rights to reveal factual information related to any future claim of discrimination to law enforcement, the Equal Employment Opportunity Commission, the state division of human rights, a local commission on human rights, or an attorney retained by you. Further, nothing in this letter agreement shall have the purpose or effect of limiting your right to reveal factual information related to claims of sexual assault or sexual harassment. Finally, your good faith report or disclosure shall not trigger the forfeiture rights under Subsection 2(h) of this Agreement or otherwise limit your right to receive an award for information provided to any government agency.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firstLine="749"/>
        <w:spacing w:after="0" w:line="249" w:lineRule="auto"/>
        <w:rPr>
          <w:sz w:val="20"/>
          <w:szCs w:val="20"/>
          <w:color w:val="auto"/>
        </w:rPr>
      </w:pPr>
      <w:r>
        <w:rPr>
          <w:rFonts w:ascii="Arial" w:cs="Arial" w:eastAsia="Arial" w:hAnsi="Arial"/>
          <w:sz w:val="22"/>
          <w:szCs w:val="22"/>
          <w:color w:val="auto"/>
        </w:rPr>
        <w:t>If you are in agreement with the foregoing, please sign and return one copy of this letter agreement which will constitute our agreement with respect to the subject matter of this letter agreement.</w:t>
      </w:r>
    </w:p>
    <w:p>
      <w:pPr>
        <w:spacing w:after="0" w:line="202"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Sincerely,</w:t>
      </w:r>
    </w:p>
    <w:p>
      <w:pPr>
        <w:spacing w:after="0" w:line="231" w:lineRule="exact"/>
        <w:rPr>
          <w:sz w:val="20"/>
          <w:szCs w:val="20"/>
          <w:color w:val="auto"/>
        </w:rPr>
      </w:pPr>
    </w:p>
    <w:p>
      <w:pPr>
        <w:jc w:val="center"/>
        <w:ind w:left="380"/>
        <w:spacing w:after="0"/>
        <w:rPr>
          <w:sz w:val="20"/>
          <w:szCs w:val="20"/>
          <w:color w:val="auto"/>
        </w:rPr>
      </w:pPr>
      <w:r>
        <w:rPr>
          <w:rFonts w:ascii="Arial" w:cs="Arial" w:eastAsia="Arial" w:hAnsi="Arial"/>
          <w:sz w:val="22"/>
          <w:szCs w:val="22"/>
          <w:color w:val="auto"/>
        </w:rPr>
        <w:t>MANPOWERGROUP INC.</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Jonas Prising</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Jonas Prising,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17th day of February, 2023.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3665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Richard Buchband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83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10.8(a)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ManpowerGroup Inc.</w:t>
      </w:r>
    </w:p>
    <w:p>
      <w:pPr>
        <w:jc w:val="center"/>
        <w:spacing w:after="0" w:line="229"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Milwaukee, Wisconsin 53212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17, 2023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Michelle Nettles</w:t>
      </w:r>
    </w:p>
    <w:p>
      <w:pPr>
        <w:spacing w:after="0" w:line="236" w:lineRule="auto"/>
        <w:rPr>
          <w:sz w:val="20"/>
          <w:szCs w:val="20"/>
          <w:color w:val="auto"/>
        </w:rPr>
      </w:pPr>
      <w:r>
        <w:rPr>
          <w:rFonts w:ascii="Arial" w:cs="Arial" w:eastAsia="Arial" w:hAnsi="Arial"/>
          <w:sz w:val="22"/>
          <w:szCs w:val="22"/>
          <w:color w:val="auto"/>
        </w:rPr>
        <w:t>Executive Vice President,</w:t>
      </w:r>
    </w:p>
    <w:p>
      <w:pPr>
        <w:spacing w:after="0" w:line="230" w:lineRule="auto"/>
        <w:rPr>
          <w:sz w:val="20"/>
          <w:szCs w:val="20"/>
          <w:color w:val="auto"/>
        </w:rPr>
      </w:pPr>
      <w:r>
        <w:rPr>
          <w:rFonts w:ascii="Arial" w:cs="Arial" w:eastAsia="Arial" w:hAnsi="Arial"/>
          <w:sz w:val="22"/>
          <w:szCs w:val="22"/>
          <w:color w:val="auto"/>
        </w:rPr>
        <w:t>Chief People &amp; Culture Officer</w:t>
      </w:r>
    </w:p>
    <w:p>
      <w:pPr>
        <w:spacing w:after="0" w:line="230" w:lineRule="auto"/>
        <w:rPr>
          <w:sz w:val="20"/>
          <w:szCs w:val="20"/>
          <w:color w:val="auto"/>
        </w:rPr>
      </w:pPr>
      <w:r>
        <w:rPr>
          <w:rFonts w:ascii="Arial" w:cs="Arial" w:eastAsia="Arial" w:hAnsi="Arial"/>
          <w:sz w:val="22"/>
          <w:szCs w:val="22"/>
          <w:color w:val="auto"/>
        </w:rPr>
        <w:t>ManpowerGroup Inc.</w:t>
      </w:r>
    </w:p>
    <w:p>
      <w:pPr>
        <w:spacing w:after="0" w:line="229"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Milwaukee, WI 53212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Dear Michelle:</w:t>
      </w:r>
    </w:p>
    <w:p>
      <w:pPr>
        <w:spacing w:after="0" w:line="231" w:lineRule="exact"/>
        <w:rPr>
          <w:sz w:val="20"/>
          <w:szCs w:val="20"/>
          <w:color w:val="auto"/>
        </w:rPr>
      </w:pPr>
    </w:p>
    <w:p>
      <w:pPr>
        <w:ind w:right="100" w:firstLine="749"/>
        <w:spacing w:after="0" w:line="267" w:lineRule="auto"/>
        <w:rPr>
          <w:sz w:val="20"/>
          <w:szCs w:val="20"/>
          <w:color w:val="auto"/>
        </w:rPr>
      </w:pPr>
      <w:r>
        <w:rPr>
          <w:rFonts w:ascii="Arial" w:cs="Arial" w:eastAsia="Arial" w:hAnsi="Arial"/>
          <w:sz w:val="20"/>
          <w:szCs w:val="20"/>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87" w:lineRule="exact"/>
        <w:rPr>
          <w:sz w:val="20"/>
          <w:szCs w:val="20"/>
          <w:color w:val="auto"/>
        </w:rPr>
      </w:pPr>
    </w:p>
    <w:p>
      <w:pPr>
        <w:ind w:left="760" w:hanging="752"/>
        <w:spacing w:after="0"/>
        <w:tabs>
          <w:tab w:leader="none" w:pos="76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 agreement:</w:t>
      </w:r>
    </w:p>
    <w:p>
      <w:pPr>
        <w:spacing w:after="0" w:line="231" w:lineRule="exact"/>
        <w:rPr>
          <w:rFonts w:ascii="Arial" w:cs="Arial" w:eastAsia="Arial" w:hAnsi="Arial"/>
          <w:sz w:val="22"/>
          <w:szCs w:val="22"/>
          <w:color w:val="auto"/>
        </w:rPr>
      </w:pPr>
    </w:p>
    <w:p>
      <w:pPr>
        <w:ind w:left="1500" w:right="160" w:hanging="744"/>
        <w:spacing w:after="0" w:line="249" w:lineRule="auto"/>
        <w:tabs>
          <w:tab w:leader="none" w:pos="1500"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Benefit Plans</w:t>
      </w:r>
      <w:r>
        <w:rPr>
          <w:rFonts w:ascii="Arial" w:cs="Arial" w:eastAsia="Arial" w:hAnsi="Arial"/>
          <w:sz w:val="22"/>
          <w:szCs w:val="22"/>
          <w:color w:val="auto"/>
        </w:rPr>
        <w:t>. “Benefit Plans” means all benefits of employment generally made available to executives of the Corporation from time to time.</w:t>
      </w:r>
    </w:p>
    <w:p>
      <w:pPr>
        <w:spacing w:after="0" w:line="201" w:lineRule="exact"/>
        <w:rPr>
          <w:rFonts w:ascii="Arial" w:cs="Arial" w:eastAsia="Arial" w:hAnsi="Arial"/>
          <w:sz w:val="22"/>
          <w:szCs w:val="22"/>
          <w:color w:val="auto"/>
        </w:rPr>
      </w:pPr>
    </w:p>
    <w:p>
      <w:pPr>
        <w:ind w:left="1500" w:hanging="744"/>
        <w:spacing w:after="0" w:line="267" w:lineRule="auto"/>
        <w:tabs>
          <w:tab w:leader="none" w:pos="1500"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Insider Trading Policy, the Anti-Corruption Policy, Policy on Gifts, Entertainment and Sponsorships and policies included in the Employee Handbook), (v) any act by you of moral turpitude which is likely to result in discredit to or loss of business, reputation or goodwill of the Consolidated</w:t>
      </w:r>
    </w:p>
    <w:p>
      <w:pPr>
        <w:spacing w:after="0" w:line="6" w:lineRule="exact"/>
        <w:rPr>
          <w:sz w:val="20"/>
          <w:szCs w:val="20"/>
          <w:color w:val="auto"/>
        </w:rPr>
      </w:pPr>
    </w:p>
    <w:p>
      <w:pPr>
        <w:ind w:left="1500" w:right="200"/>
        <w:spacing w:after="0" w:line="229" w:lineRule="auto"/>
        <w:rPr>
          <w:sz w:val="20"/>
          <w:szCs w:val="20"/>
          <w:color w:val="auto"/>
        </w:rPr>
      </w:pPr>
      <w:r>
        <w:rPr>
          <w:rFonts w:ascii="Arial" w:cs="Arial" w:eastAsia="Arial" w:hAnsi="Arial"/>
          <w:sz w:val="22"/>
          <w:szCs w:val="22"/>
          <w:color w:val="auto"/>
        </w:rPr>
        <w:t>ManpowerGroup, (vi) your chronic absence from work other than by reason of a serious health condition, (vii) your commission of a crime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83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7" w:name="page138"/>
    <w:bookmarkEnd w:id="137"/>
    <w:p>
      <w:pPr>
        <w:ind w:left="744" w:right="100"/>
        <w:spacing w:after="0" w:line="268" w:lineRule="auto"/>
        <w:rPr>
          <w:sz w:val="20"/>
          <w:szCs w:val="20"/>
          <w:color w:val="auto"/>
        </w:rPr>
      </w:pPr>
      <w:r>
        <w:rPr>
          <w:rFonts w:ascii="Arial" w:cs="Arial" w:eastAsia="Arial" w:hAnsi="Arial"/>
          <w:sz w:val="20"/>
          <w:szCs w:val="20"/>
          <w:color w:val="auto"/>
        </w:rPr>
        <w:t>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184" w:lineRule="exact"/>
        <w:rPr>
          <w:sz w:val="20"/>
          <w:szCs w:val="20"/>
          <w:color w:val="auto"/>
        </w:rPr>
      </w:pPr>
    </w:p>
    <w:p>
      <w:pPr>
        <w:ind w:left="744" w:hanging="744"/>
        <w:spacing w:after="0"/>
        <w:tabs>
          <w:tab w:leader="none" w:pos="744"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231" w:lineRule="exact"/>
        <w:rPr>
          <w:rFonts w:ascii="Arial" w:cs="Arial" w:eastAsia="Arial" w:hAnsi="Arial"/>
          <w:sz w:val="22"/>
          <w:szCs w:val="22"/>
          <w:color w:val="auto"/>
        </w:rPr>
      </w:pPr>
    </w:p>
    <w:p>
      <w:pPr>
        <w:ind w:left="1504" w:right="40" w:hanging="755"/>
        <w:spacing w:after="0" w:line="255" w:lineRule="auto"/>
        <w:tabs>
          <w:tab w:leader="none" w:pos="1504" w:val="left"/>
        </w:tabs>
        <w:numPr>
          <w:ilvl w:val="1"/>
          <w:numId w:val="106"/>
        </w:numPr>
        <w:rPr>
          <w:rFonts w:ascii="Arial" w:cs="Arial" w:eastAsia="Arial" w:hAnsi="Arial"/>
          <w:sz w:val="20"/>
          <w:szCs w:val="20"/>
          <w:color w:val="auto"/>
        </w:rPr>
      </w:pPr>
      <w:r>
        <w:rPr>
          <w:rFonts w:ascii="Arial" w:cs="Arial" w:eastAsia="Arial" w:hAnsi="Arial"/>
          <w:sz w:val="20"/>
          <w:szCs w:val="20"/>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4" w:lineRule="exact"/>
        <w:rPr>
          <w:rFonts w:ascii="Arial" w:cs="Arial" w:eastAsia="Arial" w:hAnsi="Arial"/>
          <w:sz w:val="20"/>
          <w:szCs w:val="20"/>
          <w:color w:val="auto"/>
        </w:rPr>
      </w:pPr>
    </w:p>
    <w:p>
      <w:pPr>
        <w:ind w:left="1504" w:hanging="755"/>
        <w:spacing w:after="0" w:line="269" w:lineRule="auto"/>
        <w:tabs>
          <w:tab w:leader="none" w:pos="1504"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w:t>
      </w:r>
    </w:p>
    <w:p>
      <w:pPr>
        <w:spacing w:after="0" w:line="2" w:lineRule="exact"/>
        <w:rPr>
          <w:sz w:val="20"/>
          <w:szCs w:val="20"/>
          <w:color w:val="auto"/>
        </w:rPr>
      </w:pPr>
    </w:p>
    <w:p>
      <w:pPr>
        <w:ind w:left="1504" w:right="20"/>
        <w:spacing w:after="0" w:line="229" w:lineRule="auto"/>
        <w:rPr>
          <w:sz w:val="20"/>
          <w:szCs w:val="20"/>
          <w:color w:val="auto"/>
        </w:rPr>
      </w:pPr>
      <w:r>
        <w:rPr>
          <w:rFonts w:ascii="Arial" w:cs="Arial" w:eastAsia="Arial" w:hAnsi="Arial"/>
          <w:sz w:val="22"/>
          <w:szCs w:val="22"/>
          <w:color w:val="auto"/>
        </w:rPr>
        <w:t>same proportions as their ownership, immediately prior to such merger or consolidation, of the Corporation’s then outstanding common stock or then outstanding voting securities, as the case may be; or</w:t>
      </w:r>
    </w:p>
    <w:p>
      <w:pPr>
        <w:spacing w:after="0" w:line="2"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50800</wp:posOffset>
            </wp:positionV>
            <wp:extent cx="71583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64"/>
          </w:cols>
          <w:pgMar w:left="1076" w:top="118" w:right="359" w:bottom="1440" w:gutter="0" w:footer="0" w:header="0"/>
        </w:sectPr>
      </w:pPr>
    </w:p>
    <w:bookmarkStart w:id="138" w:name="page139"/>
    <w:bookmarkEnd w:id="138"/>
    <w:p>
      <w:pPr>
        <w:ind w:left="2260" w:right="180" w:hanging="755"/>
        <w:spacing w:after="0" w:line="249" w:lineRule="auto"/>
        <w:tabs>
          <w:tab w:leader="none" w:pos="22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201" w:lineRule="exact"/>
        <w:rPr>
          <w:rFonts w:ascii="Arial" w:cs="Arial" w:eastAsia="Arial" w:hAnsi="Arial"/>
          <w:sz w:val="22"/>
          <w:szCs w:val="22"/>
          <w:color w:val="auto"/>
        </w:rPr>
      </w:pPr>
    </w:p>
    <w:p>
      <w:pPr>
        <w:ind w:left="2260" w:hanging="755"/>
        <w:spacing w:after="0" w:line="246" w:lineRule="exact"/>
        <w:tabs>
          <w:tab w:leader="none" w:pos="22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individuals who, as of the date of this letter agreement, constitute the Board of Directors of the Corporation (as of such date, the “Incumbent Board”) cease for any reason to constitute at least a majority of such Board; provided, however,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w:t>
      </w:r>
      <w:r>
        <w:rPr>
          <w:rFonts w:ascii="MS PGothic" w:cs="MS PGothic" w:eastAsia="MS PGothic" w:hAnsi="MS PGothic"/>
          <w:sz w:val="20"/>
          <w:szCs w:val="20"/>
          <w:color w:val="auto"/>
        </w:rPr>
        <w:t>‑</w:t>
      </w:r>
      <w:r>
        <w:rPr>
          <w:rFonts w:ascii="Arial" w:cs="Arial" w:eastAsia="Arial" w:hAnsi="Arial"/>
          <w:sz w:val="20"/>
          <w:szCs w:val="20"/>
          <w:color w:val="auto"/>
        </w:rPr>
        <w:t>12(c); or</w:t>
      </w:r>
    </w:p>
    <w:p>
      <w:pPr>
        <w:spacing w:after="0" w:line="213" w:lineRule="exact"/>
        <w:rPr>
          <w:rFonts w:ascii="Arial" w:cs="Arial" w:eastAsia="Arial" w:hAnsi="Arial"/>
          <w:sz w:val="20"/>
          <w:szCs w:val="20"/>
          <w:color w:val="auto"/>
        </w:rPr>
      </w:pPr>
    </w:p>
    <w:p>
      <w:pPr>
        <w:ind w:left="2260" w:right="40" w:hanging="755"/>
        <w:spacing w:after="0" w:line="286" w:lineRule="auto"/>
        <w:tabs>
          <w:tab w:leader="none" w:pos="22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42" w:lineRule="exact"/>
        <w:rPr>
          <w:sz w:val="20"/>
          <w:szCs w:val="20"/>
          <w:color w:val="auto"/>
        </w:rPr>
      </w:pPr>
    </w:p>
    <w:p>
      <w:pPr>
        <w:ind w:right="20" w:firstLine="749"/>
        <w:spacing w:after="0" w:line="267" w:lineRule="auto"/>
        <w:rPr>
          <w:sz w:val="20"/>
          <w:szCs w:val="20"/>
          <w:color w:val="auto"/>
        </w:rPr>
      </w:pPr>
      <w:r>
        <w:rPr>
          <w:rFonts w:ascii="Arial" w:cs="Arial" w:eastAsia="Arial" w:hAnsi="Arial"/>
          <w:sz w:val="20"/>
          <w:szCs w:val="20"/>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w:t>
      </w:r>
    </w:p>
    <w:p>
      <w:pPr>
        <w:spacing w:after="0" w:line="160" w:lineRule="exact"/>
        <w:rPr>
          <w:sz w:val="20"/>
          <w:szCs w:val="20"/>
          <w:color w:val="auto"/>
        </w:rPr>
      </w:pPr>
    </w:p>
    <w:p>
      <w:pPr>
        <w:ind w:left="1500" w:right="580" w:hanging="744"/>
        <w:spacing w:after="0" w:line="249" w:lineRule="auto"/>
        <w:tabs>
          <w:tab w:leader="none" w:pos="150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201" w:lineRule="exact"/>
        <w:rPr>
          <w:rFonts w:ascii="Arial" w:cs="Arial" w:eastAsia="Arial" w:hAnsi="Arial"/>
          <w:sz w:val="22"/>
          <w:szCs w:val="22"/>
          <w:color w:val="auto"/>
        </w:rPr>
      </w:pPr>
    </w:p>
    <w:p>
      <w:pPr>
        <w:ind w:left="2260" w:right="40" w:hanging="755"/>
        <w:spacing w:after="0" w:line="238" w:lineRule="auto"/>
        <w:tabs>
          <w:tab w:leader="none" w:pos="1942"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any material breach of any material obligation of any member of the Consolidated ManpowerGroup for the payment or provision of compensation or other benefits to you;</w:t>
      </w:r>
    </w:p>
    <w:p>
      <w:pPr>
        <w:ind w:left="1940" w:hanging="435"/>
        <w:spacing w:after="0" w:line="229" w:lineRule="auto"/>
        <w:tabs>
          <w:tab w:leader="none" w:pos="194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 material diminution in your base salary;</w:t>
      </w:r>
    </w:p>
    <w:p>
      <w:pPr>
        <w:ind w:left="2260" w:hanging="755"/>
        <w:spacing w:after="0" w:line="265" w:lineRule="auto"/>
        <w:tabs>
          <w:tab w:leader="none" w:pos="1942" w:val="left"/>
        </w:tabs>
        <w:numPr>
          <w:ilvl w:val="1"/>
          <w:numId w:val="108"/>
        </w:numPr>
        <w:rPr>
          <w:rFonts w:ascii="Arial" w:cs="Arial" w:eastAsia="Arial" w:hAnsi="Arial"/>
          <w:sz w:val="19"/>
          <w:szCs w:val="19"/>
          <w:color w:val="auto"/>
        </w:rPr>
      </w:pPr>
      <w:r>
        <w:rPr>
          <w:rFonts w:ascii="Arial" w:cs="Arial" w:eastAsia="Arial" w:hAnsi="Arial"/>
          <w:sz w:val="19"/>
          <w:szCs w:val="19"/>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2" w:lineRule="exact"/>
        <w:rPr>
          <w:rFonts w:ascii="Arial" w:cs="Arial" w:eastAsia="Arial" w:hAnsi="Arial"/>
          <w:sz w:val="19"/>
          <w:szCs w:val="19"/>
          <w:color w:val="auto"/>
        </w:rPr>
      </w:pPr>
    </w:p>
    <w:p>
      <w:pPr>
        <w:ind w:left="2260" w:right="260" w:hanging="755"/>
        <w:spacing w:after="0" w:line="229" w:lineRule="auto"/>
        <w:tabs>
          <w:tab w:leader="none" w:pos="1942"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 material diminution in your authority, duties or responsibilities which is not accompanied by a material reduction in your target bonus opportunity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83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39" w:name="page140"/>
    <w:bookmarkEnd w:id="139"/>
    <w:p>
      <w:pPr>
        <w:ind w:left="2260"/>
        <w:spacing w:after="0"/>
        <w:rPr>
          <w:sz w:val="20"/>
          <w:szCs w:val="20"/>
          <w:color w:val="auto"/>
        </w:rPr>
      </w:pPr>
      <w:r>
        <w:rPr>
          <w:rFonts w:ascii="Arial" w:cs="Arial" w:eastAsia="Arial" w:hAnsi="Arial"/>
          <w:sz w:val="22"/>
          <w:szCs w:val="22"/>
          <w:color w:val="auto"/>
        </w:rPr>
        <w:t>but which diminution occurs within two years after the occurrence of a Change of Control;</w:t>
      </w:r>
    </w:p>
    <w:p>
      <w:pPr>
        <w:spacing w:after="0" w:line="8" w:lineRule="exact"/>
        <w:rPr>
          <w:sz w:val="20"/>
          <w:szCs w:val="20"/>
          <w:color w:val="auto"/>
        </w:rPr>
      </w:pPr>
    </w:p>
    <w:p>
      <w:pPr>
        <w:ind w:left="2260" w:right="420" w:hanging="755"/>
        <w:spacing w:after="0" w:line="229" w:lineRule="auto"/>
        <w:tabs>
          <w:tab w:leader="none" w:pos="194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3" w:lineRule="exact"/>
        <w:rPr>
          <w:rFonts w:ascii="Arial" w:cs="Arial" w:eastAsia="Arial" w:hAnsi="Arial"/>
          <w:sz w:val="22"/>
          <w:szCs w:val="22"/>
          <w:color w:val="auto"/>
        </w:rPr>
      </w:pPr>
    </w:p>
    <w:p>
      <w:pPr>
        <w:ind w:left="2260" w:right="100" w:hanging="755"/>
        <w:spacing w:after="0" w:line="234" w:lineRule="auto"/>
        <w:tabs>
          <w:tab w:leader="none" w:pos="194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211" w:lineRule="exact"/>
        <w:rPr>
          <w:sz w:val="20"/>
          <w:szCs w:val="20"/>
          <w:color w:val="auto"/>
        </w:rPr>
      </w:pPr>
    </w:p>
    <w:p>
      <w:pPr>
        <w:ind w:right="40" w:firstLine="749"/>
        <w:spacing w:after="0" w:line="272" w:lineRule="auto"/>
        <w:rPr>
          <w:sz w:val="20"/>
          <w:szCs w:val="20"/>
          <w:color w:val="auto"/>
        </w:rPr>
      </w:pPr>
      <w:r>
        <w:rPr>
          <w:rFonts w:ascii="Arial" w:cs="Arial" w:eastAsia="Arial" w:hAnsi="Arial"/>
          <w:sz w:val="19"/>
          <w:szCs w:val="19"/>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w:t>
      </w:r>
    </w:p>
    <w:p>
      <w:pPr>
        <w:spacing w:after="0" w:line="2" w:lineRule="exact"/>
        <w:rPr>
          <w:sz w:val="20"/>
          <w:szCs w:val="20"/>
          <w:color w:val="auto"/>
        </w:rPr>
      </w:pPr>
    </w:p>
    <w:p>
      <w:pPr>
        <w:ind w:right="40" w:firstLine="8"/>
        <w:spacing w:after="0" w:line="231" w:lineRule="auto"/>
        <w:tabs>
          <w:tab w:leader="none" w:pos="37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your employment with the Consolidated ManpowerGroup is terminated by you within ninety (90) days after such diminution or breach occurs. Further, notwithstanding Subsections 1(d)(i)-(vi),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213" w:lineRule="exact"/>
        <w:rPr>
          <w:rFonts w:ascii="Arial" w:cs="Arial" w:eastAsia="Arial" w:hAnsi="Arial"/>
          <w:sz w:val="22"/>
          <w:szCs w:val="22"/>
          <w:color w:val="auto"/>
        </w:rPr>
      </w:pPr>
    </w:p>
    <w:p>
      <w:pPr>
        <w:ind w:left="1500" w:right="120" w:hanging="744"/>
        <w:spacing w:after="0" w:line="261" w:lineRule="auto"/>
        <w:tabs>
          <w:tab w:leader="none" w:pos="1500" w:val="left"/>
        </w:tabs>
        <w:numPr>
          <w:ilvl w:val="1"/>
          <w:numId w:val="110"/>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 forth in reasonable detail the facts and circumstances claimed to provide a basis for termination of your employment under the provision so indicated.</w:t>
      </w:r>
    </w:p>
    <w:p>
      <w:pPr>
        <w:spacing w:after="0" w:line="194" w:lineRule="exact"/>
        <w:rPr>
          <w:rFonts w:ascii="Arial" w:cs="Arial" w:eastAsia="Arial" w:hAnsi="Arial"/>
          <w:sz w:val="20"/>
          <w:szCs w:val="20"/>
          <w:color w:val="auto"/>
        </w:rPr>
      </w:pPr>
    </w:p>
    <w:p>
      <w:pPr>
        <w:jc w:val="both"/>
        <w:ind w:left="1500" w:right="280" w:hanging="744"/>
        <w:spacing w:after="0" w:line="275" w:lineRule="auto"/>
        <w:tabs>
          <w:tab w:leader="none" w:pos="1500" w:val="left"/>
        </w:tabs>
        <w:numPr>
          <w:ilvl w:val="1"/>
          <w:numId w:val="110"/>
        </w:numPr>
        <w:rPr>
          <w:rFonts w:ascii="Arial" w:cs="Arial" w:eastAsia="Arial" w:hAnsi="Arial"/>
          <w:sz w:val="20"/>
          <w:szCs w:val="20"/>
          <w:color w:val="auto"/>
        </w:rPr>
      </w:pPr>
      <w:r>
        <w:rPr>
          <w:rFonts w:ascii="Arial" w:cs="Arial" w:eastAsia="Arial" w:hAnsi="Arial"/>
          <w:sz w:val="20"/>
          <w:szCs w:val="20"/>
          <w:u w:val="single" w:color="auto"/>
          <w:color w:val="auto"/>
        </w:rPr>
        <w:t>Date of Termination</w:t>
      </w:r>
      <w:r>
        <w:rPr>
          <w:rFonts w:ascii="Arial" w:cs="Arial" w:eastAsia="Arial" w:hAnsi="Arial"/>
          <w:sz w:val="20"/>
          <w:szCs w:val="20"/>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178" w:lineRule="exact"/>
        <w:rPr>
          <w:rFonts w:ascii="Arial" w:cs="Arial" w:eastAsia="Arial" w:hAnsi="Arial"/>
          <w:sz w:val="20"/>
          <w:szCs w:val="20"/>
          <w:color w:val="auto"/>
        </w:rPr>
      </w:pPr>
    </w:p>
    <w:p>
      <w:pPr>
        <w:ind w:left="1500" w:hanging="744"/>
        <w:spacing w:after="0"/>
        <w:tabs>
          <w:tab w:leader="none" w:pos="1500" w:val="left"/>
        </w:tabs>
        <w:numPr>
          <w:ilvl w:val="1"/>
          <w:numId w:val="110"/>
        </w:numPr>
        <w:rPr>
          <w:rFonts w:ascii="Arial" w:cs="Arial" w:eastAsia="Arial" w:hAnsi="Arial"/>
          <w:sz w:val="19"/>
          <w:szCs w:val="19"/>
          <w:color w:val="auto"/>
        </w:rPr>
      </w:pPr>
      <w:r>
        <w:rPr>
          <w:rFonts w:ascii="Arial" w:cs="Arial" w:eastAsia="Arial" w:hAnsi="Arial"/>
          <w:sz w:val="19"/>
          <w:szCs w:val="19"/>
          <w:u w:val="single" w:color="auto"/>
          <w:color w:val="auto"/>
        </w:rPr>
        <w:t>Protected Period</w:t>
      </w:r>
      <w:r>
        <w:rPr>
          <w:rFonts w:ascii="Arial" w:cs="Arial" w:eastAsia="Arial" w:hAnsi="Arial"/>
          <w:sz w:val="19"/>
          <w:szCs w:val="19"/>
          <w:color w:val="auto"/>
        </w:rPr>
        <w:t>. The “Protected Period” shall be a period of time determined in accordance with the following:</w:t>
      </w:r>
    </w:p>
    <w:p>
      <w:pPr>
        <w:spacing w:after="0" w:line="265" w:lineRule="exact"/>
        <w:rPr>
          <w:rFonts w:ascii="Arial" w:cs="Arial" w:eastAsia="Arial" w:hAnsi="Arial"/>
          <w:sz w:val="19"/>
          <w:szCs w:val="19"/>
          <w:color w:val="auto"/>
        </w:rPr>
      </w:pPr>
    </w:p>
    <w:p>
      <w:pPr>
        <w:ind w:left="2260" w:right="340" w:hanging="755"/>
        <w:spacing w:after="0" w:line="275" w:lineRule="auto"/>
        <w:tabs>
          <w:tab w:leader="none" w:pos="2260" w:val="left"/>
        </w:tabs>
        <w:numPr>
          <w:ilvl w:val="2"/>
          <w:numId w:val="110"/>
        </w:numPr>
        <w:rPr>
          <w:rFonts w:ascii="Arial" w:cs="Arial" w:eastAsia="Arial" w:hAnsi="Arial"/>
          <w:sz w:val="19"/>
          <w:szCs w:val="19"/>
          <w:color w:val="auto"/>
        </w:rPr>
      </w:pPr>
      <w:r>
        <w:rPr>
          <w:rFonts w:ascii="Arial" w:cs="Arial" w:eastAsia="Arial" w:hAnsi="Arial"/>
          <w:sz w:val="19"/>
          <w:szCs w:val="19"/>
          <w:color w:val="auto"/>
        </w:rPr>
        <w:t>if a Change of Control is triggered by an acquisition of shares of common stock of the Corporation pursuant to a tender offer, the Protected Period shall commence on the date of the initial tender offer</w:t>
      </w:r>
    </w:p>
    <w:p>
      <w:pPr>
        <w:spacing w:after="0" w:line="2" w:lineRule="exact"/>
        <w:rPr>
          <w:sz w:val="20"/>
          <w:szCs w:val="20"/>
          <w:color w:val="auto"/>
        </w:rPr>
      </w:pPr>
    </w:p>
    <w:p>
      <w:pPr>
        <w:ind w:left="5580" w:right="1040" w:hanging="3315"/>
        <w:spacing w:after="0" w:line="236" w:lineRule="auto"/>
        <w:rPr>
          <w:sz w:val="20"/>
          <w:szCs w:val="20"/>
          <w:color w:val="auto"/>
        </w:rPr>
      </w:pPr>
      <w:r>
        <w:rPr>
          <w:rFonts w:ascii="Arial" w:cs="Arial" w:eastAsia="Arial" w:hAnsi="Arial"/>
          <w:sz w:val="22"/>
          <w:szCs w:val="22"/>
          <w:color w:val="auto"/>
        </w:rPr>
        <w:t>and shall continue through and including the date of the Change of Control, provided that in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83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0" w:name="page141"/>
    <w:bookmarkEnd w:id="140"/>
    <w:p>
      <w:pPr>
        <w:ind w:left="2252" w:right="120"/>
        <w:spacing w:after="0" w:line="249" w:lineRule="auto"/>
        <w:rPr>
          <w:sz w:val="20"/>
          <w:szCs w:val="20"/>
          <w:color w:val="auto"/>
        </w:rPr>
      </w:pPr>
      <w:r>
        <w:rPr>
          <w:rFonts w:ascii="Arial" w:cs="Arial" w:eastAsia="Arial" w:hAnsi="Arial"/>
          <w:sz w:val="22"/>
          <w:szCs w:val="22"/>
          <w:color w:val="auto"/>
        </w:rPr>
        <w:t>no case will the Protected Period commence earlier than the date that is six months prior to the Change of Control;</w:t>
      </w:r>
    </w:p>
    <w:p>
      <w:pPr>
        <w:spacing w:after="0" w:line="202" w:lineRule="exact"/>
        <w:rPr>
          <w:sz w:val="20"/>
          <w:szCs w:val="20"/>
          <w:color w:val="auto"/>
        </w:rPr>
      </w:pPr>
    </w:p>
    <w:p>
      <w:pPr>
        <w:ind w:left="2252" w:right="160" w:hanging="755"/>
        <w:spacing w:after="0" w:line="264" w:lineRule="auto"/>
        <w:tabs>
          <w:tab w:leader="none" w:pos="2252" w:val="left"/>
        </w:tabs>
        <w:numPr>
          <w:ilvl w:val="2"/>
          <w:numId w:val="111"/>
        </w:numPr>
        <w:rPr>
          <w:rFonts w:ascii="Arial" w:cs="Arial" w:eastAsia="Arial" w:hAnsi="Arial"/>
          <w:sz w:val="20"/>
          <w:szCs w:val="20"/>
          <w:color w:val="auto"/>
        </w:rPr>
      </w:pPr>
      <w:r>
        <w:rPr>
          <w:rFonts w:ascii="Arial" w:cs="Arial" w:eastAsia="Arial" w:hAnsi="Arial"/>
          <w:sz w:val="20"/>
          <w:szCs w:val="20"/>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87" w:lineRule="exact"/>
        <w:rPr>
          <w:rFonts w:ascii="Arial" w:cs="Arial" w:eastAsia="Arial" w:hAnsi="Arial"/>
          <w:sz w:val="20"/>
          <w:szCs w:val="20"/>
          <w:color w:val="auto"/>
        </w:rPr>
      </w:pPr>
    </w:p>
    <w:p>
      <w:pPr>
        <w:ind w:left="2252" w:right="120" w:hanging="755"/>
        <w:spacing w:after="0" w:line="239" w:lineRule="auto"/>
        <w:tabs>
          <w:tab w:leader="none" w:pos="2252" w:val="left"/>
        </w:tabs>
        <w:numPr>
          <w:ilvl w:val="2"/>
          <w:numId w:val="111"/>
        </w:numPr>
        <w:rPr>
          <w:rFonts w:ascii="Arial" w:cs="Arial" w:eastAsia="Arial" w:hAnsi="Arial"/>
          <w:sz w:val="22"/>
          <w:szCs w:val="22"/>
          <w:color w:val="auto"/>
        </w:rPr>
      </w:pPr>
      <w:r>
        <w:rPr>
          <w:rFonts w:ascii="Arial" w:cs="Arial" w:eastAsia="Arial" w:hAnsi="Arial"/>
          <w:sz w:val="22"/>
          <w:szCs w:val="22"/>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12" w:lineRule="exact"/>
        <w:rPr>
          <w:rFonts w:ascii="Arial" w:cs="Arial" w:eastAsia="Arial" w:hAnsi="Arial"/>
          <w:sz w:val="22"/>
          <w:szCs w:val="22"/>
          <w:color w:val="auto"/>
        </w:rPr>
      </w:pPr>
    </w:p>
    <w:p>
      <w:pPr>
        <w:ind w:left="1472" w:right="560" w:hanging="724"/>
        <w:spacing w:after="0" w:line="267" w:lineRule="auto"/>
        <w:tabs>
          <w:tab w:leader="none" w:pos="1472" w:val="left"/>
        </w:tabs>
        <w:numPr>
          <w:ilvl w:val="1"/>
          <w:numId w:val="112"/>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The “Term” will be a period beginning on the date of this letter agreement indicated above and ending on the first to occur of the following: (a) the date which is the two-year anniversary of the occurrence of a Change of Control; (b) February 28, 2026 if no Change of Control occurs between the date of this letter agreement indicated above and February 28, 2026; or (c) the Date of Termination.</w:t>
      </w:r>
    </w:p>
    <w:p>
      <w:pPr>
        <w:spacing w:after="0" w:line="187" w:lineRule="exact"/>
        <w:rPr>
          <w:rFonts w:ascii="Arial" w:cs="Arial" w:eastAsia="Arial" w:hAnsi="Arial"/>
          <w:sz w:val="20"/>
          <w:szCs w:val="20"/>
          <w:color w:val="auto"/>
        </w:rPr>
      </w:pPr>
    </w:p>
    <w:p>
      <w:pPr>
        <w:ind w:left="752" w:hanging="752"/>
        <w:spacing w:after="0"/>
        <w:tabs>
          <w:tab w:leader="none" w:pos="752"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231" w:lineRule="exact"/>
        <w:rPr>
          <w:rFonts w:ascii="Arial" w:cs="Arial" w:eastAsia="Arial" w:hAnsi="Arial"/>
          <w:sz w:val="22"/>
          <w:szCs w:val="22"/>
          <w:color w:val="auto"/>
        </w:rPr>
      </w:pPr>
    </w:p>
    <w:p>
      <w:pPr>
        <w:ind w:left="1492" w:right="20" w:hanging="744"/>
        <w:spacing w:after="0" w:line="234" w:lineRule="auto"/>
        <w:tabs>
          <w:tab w:leader="none" w:pos="1492"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Termination by the Corporation for Cause or by You Other Than for Good Reason</w:t>
      </w:r>
      <w:r>
        <w:rPr>
          <w:rFonts w:ascii="Arial" w:cs="Arial" w:eastAsia="Arial" w:hAnsi="Arial"/>
          <w:sz w:val="22"/>
          <w:szCs w:val="22"/>
          <w:color w:val="auto"/>
        </w:rPr>
        <w:t>.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210" w:lineRule="exact"/>
        <w:rPr>
          <w:rFonts w:ascii="Arial" w:cs="Arial" w:eastAsia="Arial" w:hAnsi="Arial"/>
          <w:sz w:val="22"/>
          <w:szCs w:val="22"/>
          <w:color w:val="auto"/>
        </w:rPr>
      </w:pPr>
    </w:p>
    <w:p>
      <w:pPr>
        <w:ind w:left="1492" w:right="260" w:hanging="744"/>
        <w:spacing w:after="0" w:line="275" w:lineRule="auto"/>
        <w:tabs>
          <w:tab w:leader="none" w:pos="1492"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Consolidated ManpowerGroup terminates during the Term by reason of your disability or death, the Corporation will pay or provide you with</w:t>
      </w:r>
    </w:p>
    <w:p>
      <w:pPr>
        <w:spacing w:after="0" w:line="1" w:lineRule="exact"/>
        <w:rPr>
          <w:rFonts w:ascii="Arial" w:cs="Arial" w:eastAsia="Arial" w:hAnsi="Arial"/>
          <w:sz w:val="19"/>
          <w:szCs w:val="19"/>
          <w:color w:val="auto"/>
        </w:rPr>
      </w:pPr>
    </w:p>
    <w:p>
      <w:pPr>
        <w:ind w:left="1492" w:firstLine="5"/>
        <w:spacing w:after="0" w:line="265" w:lineRule="auto"/>
        <w:tabs>
          <w:tab w:leader="none" w:pos="1749" w:val="left"/>
        </w:tabs>
        <w:numPr>
          <w:ilvl w:val="2"/>
          <w:numId w:val="113"/>
        </w:numPr>
        <w:rPr>
          <w:rFonts w:ascii="Arial" w:cs="Arial" w:eastAsia="Arial" w:hAnsi="Arial"/>
          <w:sz w:val="19"/>
          <w:szCs w:val="19"/>
          <w:color w:val="auto"/>
        </w:rPr>
      </w:pPr>
      <w:r>
        <w:rPr>
          <w:rFonts w:ascii="Arial" w:cs="Arial" w:eastAsia="Arial" w:hAnsi="Arial"/>
          <w:sz w:val="19"/>
          <w:szCs w:val="19"/>
          <w:color w:val="auto"/>
        </w:rPr>
        <w:t>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agreement, “disability” means that you are, by reason of any</w:t>
      </w:r>
    </w:p>
    <w:p>
      <w:pPr>
        <w:spacing w:after="0" w:line="5" w:lineRule="exact"/>
        <w:rPr>
          <w:sz w:val="20"/>
          <w:szCs w:val="20"/>
          <w:color w:val="auto"/>
        </w:rPr>
      </w:pPr>
    </w:p>
    <w:p>
      <w:pPr>
        <w:ind w:left="5572" w:right="3820" w:hanging="4064"/>
        <w:spacing w:after="0" w:line="236" w:lineRule="auto"/>
        <w:rPr>
          <w:sz w:val="20"/>
          <w:szCs w:val="20"/>
          <w:color w:val="auto"/>
        </w:rPr>
      </w:pPr>
      <w:r>
        <w:rPr>
          <w:rFonts w:ascii="Arial" w:cs="Arial" w:eastAsia="Arial" w:hAnsi="Arial"/>
          <w:sz w:val="22"/>
          <w:szCs w:val="22"/>
          <w:color w:val="auto"/>
        </w:rPr>
        <w:t>medically determinable physical or mental impairment which can be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583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141" w:name="page142"/>
    <w:bookmarkEnd w:id="141"/>
    <w:p>
      <w:pPr>
        <w:ind w:left="744" w:right="220"/>
        <w:spacing w:after="0" w:line="237" w:lineRule="auto"/>
        <w:rPr>
          <w:sz w:val="20"/>
          <w:szCs w:val="20"/>
          <w:color w:val="auto"/>
        </w:rPr>
      </w:pPr>
      <w:r>
        <w:rPr>
          <w:rFonts w:ascii="Arial" w:cs="Arial" w:eastAsia="Arial" w:hAnsi="Arial"/>
          <w:sz w:val="22"/>
          <w:szCs w:val="22"/>
          <w:color w:val="auto"/>
        </w:rPr>
        <w:t>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212" w:lineRule="exact"/>
        <w:rPr>
          <w:sz w:val="20"/>
          <w:szCs w:val="20"/>
          <w:color w:val="auto"/>
        </w:rPr>
      </w:pPr>
    </w:p>
    <w:p>
      <w:pPr>
        <w:ind w:left="744" w:hanging="744"/>
        <w:spacing w:after="0" w:line="296" w:lineRule="auto"/>
        <w:tabs>
          <w:tab w:leader="none" w:pos="744"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Termination for Any Other Reason - Other than in a Change of Control</w:t>
      </w:r>
      <w:r>
        <w:rPr>
          <w:rFonts w:ascii="Arial" w:cs="Arial" w:eastAsia="Arial" w:hAnsi="Arial"/>
          <w:sz w:val="19"/>
          <w:szCs w:val="19"/>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60" w:lineRule="exact"/>
        <w:rPr>
          <w:rFonts w:ascii="Arial" w:cs="Arial" w:eastAsia="Arial" w:hAnsi="Arial"/>
          <w:sz w:val="19"/>
          <w:szCs w:val="19"/>
          <w:color w:val="auto"/>
        </w:rPr>
      </w:pPr>
    </w:p>
    <w:p>
      <w:pPr>
        <w:ind w:left="2244" w:right="220" w:hanging="746"/>
        <w:spacing w:after="0" w:line="298" w:lineRule="auto"/>
        <w:tabs>
          <w:tab w:leader="none" w:pos="1925"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Corporation will pay you, your unpaid bonus, if any, attributable to any complete fiscal year of the Consolidated ManpowerGroup ended before the Date of Termination;</w:t>
      </w:r>
    </w:p>
    <w:p>
      <w:pPr>
        <w:spacing w:after="0" w:line="128" w:lineRule="exact"/>
        <w:rPr>
          <w:rFonts w:ascii="Arial" w:cs="Arial" w:eastAsia="Arial" w:hAnsi="Arial"/>
          <w:sz w:val="20"/>
          <w:szCs w:val="20"/>
          <w:color w:val="auto"/>
        </w:rPr>
      </w:pPr>
    </w:p>
    <w:p>
      <w:pPr>
        <w:ind w:left="2244" w:right="200" w:hanging="746"/>
        <w:spacing w:after="0" w:line="260" w:lineRule="auto"/>
        <w:tabs>
          <w:tab w:leader="none" w:pos="1925"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66" w:lineRule="exact"/>
        <w:rPr>
          <w:rFonts w:ascii="Arial" w:cs="Arial" w:eastAsia="Arial" w:hAnsi="Arial"/>
          <w:sz w:val="20"/>
          <w:szCs w:val="20"/>
          <w:color w:val="auto"/>
        </w:rPr>
      </w:pPr>
    </w:p>
    <w:p>
      <w:pPr>
        <w:ind w:left="2244" w:right="260" w:hanging="746"/>
        <w:spacing w:after="0" w:line="275" w:lineRule="auto"/>
        <w:tabs>
          <w:tab w:leader="none" w:pos="1925"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w:t>
      </w:r>
    </w:p>
    <w:p>
      <w:pPr>
        <w:spacing w:after="0" w:line="178" w:lineRule="exact"/>
        <w:rPr>
          <w:rFonts w:ascii="Arial" w:cs="Arial" w:eastAsia="Arial" w:hAnsi="Arial"/>
          <w:sz w:val="20"/>
          <w:szCs w:val="20"/>
          <w:color w:val="auto"/>
        </w:rPr>
      </w:pPr>
    </w:p>
    <w:p>
      <w:pPr>
        <w:ind w:left="2244" w:right="40" w:hanging="746"/>
        <w:spacing w:after="0" w:line="244" w:lineRule="exact"/>
        <w:tabs>
          <w:tab w:leader="none" w:pos="1925" w:val="left"/>
        </w:tabs>
        <w:numPr>
          <w:ilvl w:val="1"/>
          <w:numId w:val="114"/>
        </w:numPr>
        <w:rPr>
          <w:rFonts w:ascii="Arial" w:cs="Arial" w:eastAsia="Arial" w:hAnsi="Arial"/>
          <w:sz w:val="19"/>
          <w:szCs w:val="19"/>
          <w:color w:val="auto"/>
        </w:rPr>
      </w:pPr>
      <w:r>
        <w:rPr>
          <w:rFonts w:ascii="Arial" w:cs="Arial" w:eastAsia="Arial" w:hAnsi="Arial"/>
          <w:sz w:val="19"/>
          <w:szCs w:val="19"/>
          <w:color w:val="auto"/>
        </w:rPr>
        <w:t>for up to a twelve</w:t>
      </w:r>
      <w:r>
        <w:rPr>
          <w:rFonts w:ascii="MS PGothic" w:cs="MS PGothic" w:eastAsia="MS PGothic" w:hAnsi="MS PGothic"/>
          <w:sz w:val="19"/>
          <w:szCs w:val="19"/>
          <w:color w:val="auto"/>
        </w:rPr>
        <w:t>‑</w:t>
      </w:r>
      <w:r>
        <w:rPr>
          <w:rFonts w:ascii="Arial" w:cs="Arial" w:eastAsia="Arial" w:hAnsi="Arial"/>
          <w:sz w:val="19"/>
          <w:szCs w:val="19"/>
          <w:color w:val="auto"/>
        </w:rPr>
        <w:t>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w:t>
      </w:r>
      <w:r>
        <w:rPr>
          <w:rFonts w:ascii="MS PGothic" w:cs="MS PGothic" w:eastAsia="MS PGothic" w:hAnsi="MS PGothic"/>
          <w:sz w:val="19"/>
          <w:szCs w:val="19"/>
          <w:color w:val="auto"/>
        </w:rPr>
        <w:t>‑</w:t>
      </w:r>
      <w:r>
        <w:rPr>
          <w:rFonts w:ascii="Arial" w:cs="Arial" w:eastAsia="Arial" w:hAnsi="Arial"/>
          <w:sz w:val="19"/>
          <w:szCs w:val="19"/>
          <w:color w:val="auto"/>
        </w:rPr>
        <w:t>month period following your termination, and any such benefits actually received by you or your dependents will be reported to the Corporation; and provided, further that any insurance continuation coverage</w:t>
      </w:r>
    </w:p>
    <w:p>
      <w:pPr>
        <w:spacing w:after="0" w:line="3" w:lineRule="exact"/>
        <w:rPr>
          <w:sz w:val="20"/>
          <w:szCs w:val="20"/>
          <w:color w:val="auto"/>
        </w:rPr>
      </w:pPr>
    </w:p>
    <w:p>
      <w:pPr>
        <w:ind w:left="2244" w:right="760"/>
        <w:spacing w:after="0" w:line="229" w:lineRule="auto"/>
        <w:rPr>
          <w:sz w:val="20"/>
          <w:szCs w:val="20"/>
          <w:color w:val="auto"/>
        </w:rPr>
      </w:pPr>
      <w:r>
        <w:rPr>
          <w:rFonts w:ascii="Arial" w:cs="Arial" w:eastAsia="Arial" w:hAnsi="Arial"/>
          <w:sz w:val="22"/>
          <w:szCs w:val="22"/>
          <w:color w:val="auto"/>
        </w:rPr>
        <w:t>that you may be entitled to receive under COBRA or similar foreign or state laws will commence on the Date of Termination.</w:t>
      </w:r>
    </w:p>
    <w:p>
      <w:pPr>
        <w:spacing w:after="0" w:line="2"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50800</wp:posOffset>
            </wp:positionV>
            <wp:extent cx="71583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04"/>
          </w:cols>
          <w:pgMar w:left="1076" w:top="118" w:right="419" w:bottom="1440" w:gutter="0" w:footer="0" w:header="0"/>
        </w:sectPr>
      </w:pPr>
    </w:p>
    <w:bookmarkStart w:id="142" w:name="page143"/>
    <w:bookmarkEnd w:id="142"/>
    <w:p>
      <w:pPr>
        <w:ind w:left="1880"/>
        <w:spacing w:after="0" w:line="254" w:lineRule="auto"/>
        <w:rPr>
          <w:sz w:val="20"/>
          <w:szCs w:val="20"/>
          <w:color w:val="auto"/>
        </w:rPr>
      </w:pPr>
      <w:r>
        <w:rPr>
          <w:rFonts w:ascii="Arial" w:cs="Arial" w:eastAsia="Arial" w:hAnsi="Arial"/>
          <w:sz w:val="20"/>
          <w:szCs w:val="20"/>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w:t>
      </w:r>
    </w:p>
    <w:p>
      <w:pPr>
        <w:spacing w:after="0" w:line="215" w:lineRule="exact"/>
        <w:rPr>
          <w:sz w:val="20"/>
          <w:szCs w:val="20"/>
          <w:color w:val="auto"/>
        </w:rPr>
      </w:pPr>
    </w:p>
    <w:p>
      <w:pPr>
        <w:ind w:left="1880" w:hanging="746"/>
        <w:spacing w:after="0" w:line="258" w:lineRule="auto"/>
        <w:tabs>
          <w:tab w:leader="none" w:pos="1562"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w:t>
      </w:r>
    </w:p>
    <w:p>
      <w:pPr>
        <w:spacing w:after="0" w:line="16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83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00"/>
          </w:cols>
          <w:pgMar w:left="1440" w:top="360" w:right="359" w:bottom="1440" w:gutter="0" w:footer="0" w:header="0"/>
        </w:sectPr>
      </w:pPr>
    </w:p>
    <w:bookmarkStart w:id="143" w:name="page144"/>
    <w:bookmarkEnd w:id="143"/>
    <w:p>
      <w:pPr>
        <w:ind w:left="744" w:hanging="744"/>
        <w:spacing w:after="0" w:line="237" w:lineRule="auto"/>
        <w:tabs>
          <w:tab w:leader="none" w:pos="744"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 – Change of Control</w:t>
      </w:r>
      <w:r>
        <w:rPr>
          <w:rFonts w:ascii="Arial" w:cs="Arial" w:eastAsia="Arial" w:hAnsi="Arial"/>
          <w:sz w:val="22"/>
          <w:szCs w:val="22"/>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211" w:lineRule="exact"/>
        <w:rPr>
          <w:rFonts w:ascii="Arial" w:cs="Arial" w:eastAsia="Arial" w:hAnsi="Arial"/>
          <w:sz w:val="22"/>
          <w:szCs w:val="22"/>
          <w:color w:val="auto"/>
        </w:rPr>
      </w:pPr>
    </w:p>
    <w:p>
      <w:pPr>
        <w:ind w:left="2244" w:right="220" w:hanging="746"/>
        <w:spacing w:after="0" w:line="298" w:lineRule="auto"/>
        <w:tabs>
          <w:tab w:leader="none" w:pos="1925"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Corporation will pay you, your unpaid bonus, if any, attributable to any complete fiscal year of the Consolidated ManpowerGroup ended before the Date of Termination;</w:t>
      </w:r>
    </w:p>
    <w:p>
      <w:pPr>
        <w:spacing w:after="0" w:line="128" w:lineRule="exact"/>
        <w:rPr>
          <w:rFonts w:ascii="Arial" w:cs="Arial" w:eastAsia="Arial" w:hAnsi="Arial"/>
          <w:sz w:val="20"/>
          <w:szCs w:val="20"/>
          <w:color w:val="auto"/>
        </w:rPr>
      </w:pPr>
    </w:p>
    <w:p>
      <w:pPr>
        <w:ind w:left="2244" w:right="120" w:hanging="746"/>
        <w:spacing w:after="0" w:line="235" w:lineRule="auto"/>
        <w:tabs>
          <w:tab w:leader="none" w:pos="1925"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187" w:lineRule="exact"/>
        <w:rPr>
          <w:rFonts w:ascii="Arial" w:cs="Arial" w:eastAsia="Arial" w:hAnsi="Arial"/>
          <w:sz w:val="22"/>
          <w:szCs w:val="22"/>
          <w:color w:val="auto"/>
        </w:rPr>
      </w:pPr>
    </w:p>
    <w:p>
      <w:pPr>
        <w:ind w:left="2244" w:right="220" w:hanging="746"/>
        <w:spacing w:after="0" w:line="296" w:lineRule="auto"/>
        <w:tabs>
          <w:tab w:leader="none" w:pos="1925"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w:t>
      </w:r>
    </w:p>
    <w:p>
      <w:pPr>
        <w:spacing w:after="0" w:line="133" w:lineRule="exact"/>
        <w:rPr>
          <w:rFonts w:ascii="Arial" w:cs="Arial" w:eastAsia="Arial" w:hAnsi="Arial"/>
          <w:sz w:val="19"/>
          <w:szCs w:val="19"/>
          <w:color w:val="auto"/>
        </w:rPr>
      </w:pPr>
    </w:p>
    <w:p>
      <w:pPr>
        <w:ind w:left="2244" w:right="140" w:hanging="746"/>
        <w:spacing w:after="0" w:line="272" w:lineRule="auto"/>
        <w:tabs>
          <w:tab w:leader="none" w:pos="1925" w:val="left"/>
        </w:tabs>
        <w:numPr>
          <w:ilvl w:val="1"/>
          <w:numId w:val="116"/>
        </w:numPr>
        <w:rPr>
          <w:rFonts w:ascii="Arial" w:cs="Arial" w:eastAsia="Arial" w:hAnsi="Arial"/>
          <w:sz w:val="19"/>
          <w:szCs w:val="19"/>
          <w:color w:val="auto"/>
        </w:rPr>
      </w:pPr>
      <w:r>
        <w:rPr>
          <w:rFonts w:ascii="Arial" w:cs="Arial" w:eastAsia="Arial" w:hAnsi="Arial"/>
          <w:sz w:val="19"/>
          <w:szCs w:val="19"/>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55" w:lineRule="exact"/>
        <w:rPr>
          <w:sz w:val="20"/>
          <w:szCs w:val="20"/>
          <w:color w:val="auto"/>
        </w:rPr>
      </w:pPr>
    </w:p>
    <w:p>
      <w:pPr>
        <w:ind w:left="2244" w:right="120"/>
        <w:spacing w:after="0" w:line="286" w:lineRule="auto"/>
        <w:rPr>
          <w:sz w:val="20"/>
          <w:szCs w:val="20"/>
          <w:color w:val="auto"/>
        </w:rPr>
      </w:pPr>
      <w:r>
        <w:rPr>
          <w:rFonts w:ascii="Arial" w:cs="Arial" w:eastAsia="Arial" w:hAnsi="Arial"/>
          <w:sz w:val="19"/>
          <w:szCs w:val="19"/>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w:t>
      </w:r>
    </w:p>
    <w:p>
      <w:pPr>
        <w:spacing w:after="0" w:line="142"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62230</wp:posOffset>
            </wp:positionV>
            <wp:extent cx="71583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04"/>
          </w:cols>
          <w:pgMar w:left="1076" w:top="118" w:right="419" w:bottom="1440" w:gutter="0" w:footer="0" w:header="0"/>
        </w:sectPr>
      </w:pPr>
    </w:p>
    <w:bookmarkStart w:id="144" w:name="page145"/>
    <w:bookmarkEnd w:id="144"/>
    <w:p>
      <w:pPr>
        <w:ind w:left="2188"/>
        <w:spacing w:after="0" w:line="255" w:lineRule="auto"/>
        <w:rPr>
          <w:sz w:val="20"/>
          <w:szCs w:val="20"/>
          <w:color w:val="auto"/>
        </w:rPr>
      </w:pPr>
      <w:r>
        <w:rPr>
          <w:rFonts w:ascii="Arial" w:cs="Arial" w:eastAsia="Arial" w:hAnsi="Arial"/>
          <w:sz w:val="20"/>
          <w:szCs w:val="20"/>
          <w:color w:val="auto"/>
        </w:rPr>
        <w:t>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w:t>
      </w:r>
    </w:p>
    <w:p>
      <w:pPr>
        <w:spacing w:after="0" w:line="176" w:lineRule="exact"/>
        <w:rPr>
          <w:sz w:val="20"/>
          <w:szCs w:val="20"/>
          <w:color w:val="auto"/>
        </w:rPr>
      </w:pPr>
    </w:p>
    <w:p>
      <w:pPr>
        <w:ind w:left="2188" w:hanging="746"/>
        <w:spacing w:after="0" w:line="258" w:lineRule="auto"/>
        <w:tabs>
          <w:tab w:leader="none" w:pos="187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w:t>
      </w:r>
    </w:p>
    <w:p>
      <w:pPr>
        <w:spacing w:after="0" w:line="169" w:lineRule="exact"/>
        <w:rPr>
          <w:rFonts w:ascii="Arial" w:cs="Arial" w:eastAsia="Arial" w:hAnsi="Arial"/>
          <w:sz w:val="20"/>
          <w:szCs w:val="20"/>
          <w:color w:val="auto"/>
        </w:rPr>
      </w:pPr>
    </w:p>
    <w:p>
      <w:pPr>
        <w:ind w:left="688" w:right="260" w:hanging="688"/>
        <w:spacing w:after="0" w:line="281" w:lineRule="auto"/>
        <w:tabs>
          <w:tab w:leader="none" w:pos="425"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Limitation on Benefits</w:t>
      </w:r>
      <w:r>
        <w:rPr>
          <w:rFonts w:ascii="Arial" w:cs="Arial" w:eastAsia="Arial" w:hAnsi="Arial"/>
          <w:sz w:val="19"/>
          <w:szCs w:val="19"/>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w:t>
      </w:r>
    </w:p>
    <w:p>
      <w:pPr>
        <w:spacing w:after="0" w:line="147" w:lineRule="exact"/>
        <w:rPr>
          <w:sz w:val="20"/>
          <w:szCs w:val="20"/>
          <w:color w:val="auto"/>
        </w:rPr>
      </w:pPr>
    </w:p>
    <w:p>
      <w:pPr>
        <w:ind w:left="4768"/>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62230</wp:posOffset>
            </wp:positionV>
            <wp:extent cx="71583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88"/>
          </w:cols>
          <w:pgMar w:left="1132" w:top="118" w:right="579" w:bottom="1440" w:gutter="0" w:footer="0" w:header="0"/>
        </w:sectPr>
      </w:pPr>
    </w:p>
    <w:bookmarkStart w:id="145" w:name="page146"/>
    <w:bookmarkEnd w:id="145"/>
    <w:p>
      <w:pPr>
        <w:ind w:left="690" w:right="420"/>
        <w:spacing w:after="0" w:line="256" w:lineRule="auto"/>
        <w:rPr>
          <w:sz w:val="20"/>
          <w:szCs w:val="20"/>
          <w:color w:val="auto"/>
        </w:rPr>
      </w:pPr>
      <w:r>
        <w:rPr>
          <w:rFonts w:ascii="Arial" w:cs="Arial" w:eastAsia="Arial" w:hAnsi="Arial"/>
          <w:sz w:val="20"/>
          <w:szCs w:val="20"/>
          <w:color w:val="auto"/>
        </w:rPr>
        <w:t>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175" w:lineRule="exact"/>
        <w:rPr>
          <w:sz w:val="20"/>
          <w:szCs w:val="20"/>
          <w:color w:val="auto"/>
        </w:rPr>
      </w:pPr>
    </w:p>
    <w:p>
      <w:pPr>
        <w:ind w:left="690" w:hanging="690"/>
        <w:spacing w:after="0" w:line="251" w:lineRule="auto"/>
        <w:tabs>
          <w:tab w:leader="none" w:pos="425"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Timing of Payments</w:t>
      </w:r>
      <w:r>
        <w:rPr>
          <w:rFonts w:ascii="Arial" w:cs="Arial" w:eastAsia="Arial" w:hAnsi="Arial"/>
          <w:sz w:val="20"/>
          <w:szCs w:val="20"/>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Midwest edition (or, if not so reported, as reported in such other similar source(s) as the Corporation shall select).</w:t>
      </w:r>
    </w:p>
    <w:p>
      <w:pPr>
        <w:spacing w:after="0" w:line="212" w:lineRule="exact"/>
        <w:rPr>
          <w:rFonts w:ascii="Arial" w:cs="Arial" w:eastAsia="Arial" w:hAnsi="Arial"/>
          <w:sz w:val="20"/>
          <w:szCs w:val="20"/>
          <w:color w:val="auto"/>
        </w:rPr>
      </w:pPr>
    </w:p>
    <w:p>
      <w:pPr>
        <w:ind w:left="430" w:hanging="430"/>
        <w:spacing w:after="0"/>
        <w:tabs>
          <w:tab w:leader="none" w:pos="430"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Release of Claims</w:t>
      </w:r>
      <w:r>
        <w:rPr>
          <w:rFonts w:ascii="Arial" w:cs="Arial" w:eastAsia="Arial" w:hAnsi="Arial"/>
          <w:sz w:val="20"/>
          <w:szCs w:val="20"/>
          <w:color w:val="auto"/>
        </w:rPr>
        <w:t>. Notwithstanding the foregoing, you will have no right to receive any payment or benefit</w:t>
      </w:r>
    </w:p>
    <w:p>
      <w:pPr>
        <w:spacing w:after="0" w:line="30" w:lineRule="exact"/>
        <w:rPr>
          <w:sz w:val="20"/>
          <w:szCs w:val="20"/>
          <w:color w:val="auto"/>
        </w:rPr>
      </w:pPr>
    </w:p>
    <w:p>
      <w:pPr>
        <w:ind w:left="690" w:right="600"/>
        <w:spacing w:after="0" w:line="229" w:lineRule="auto"/>
        <w:rPr>
          <w:sz w:val="20"/>
          <w:szCs w:val="20"/>
          <w:color w:val="auto"/>
        </w:rPr>
      </w:pPr>
      <w:r>
        <w:rPr>
          <w:rFonts w:ascii="Arial" w:cs="Arial" w:eastAsia="Arial" w:hAnsi="Arial"/>
          <w:sz w:val="22"/>
          <w:szCs w:val="22"/>
          <w:color w:val="auto"/>
        </w:rPr>
        <w:t>described in Subsections 2(c)(ii)-(v) or 2(d)(ii)-(v), above, unless and until you execute, and there shall be effective following any</w:t>
      </w:r>
    </w:p>
    <w:p>
      <w:pPr>
        <w:spacing w:after="0" w:line="2" w:lineRule="exact"/>
        <w:rPr>
          <w:sz w:val="20"/>
          <w:szCs w:val="20"/>
          <w:color w:val="auto"/>
        </w:rPr>
      </w:pPr>
    </w:p>
    <w:p>
      <w:pPr>
        <w:ind w:left="471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50800</wp:posOffset>
            </wp:positionV>
            <wp:extent cx="71583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30"/>
          </w:cols>
          <w:pgMar w:left="1130" w:top="118" w:right="339" w:bottom="1440" w:gutter="0" w:footer="0" w:header="0"/>
        </w:sectPr>
      </w:pPr>
    </w:p>
    <w:bookmarkStart w:id="146" w:name="page147"/>
    <w:bookmarkEnd w:id="146"/>
    <w:p>
      <w:pPr>
        <w:ind w:left="1492"/>
        <w:spacing w:after="0" w:line="262" w:lineRule="auto"/>
        <w:rPr>
          <w:sz w:val="20"/>
          <w:szCs w:val="20"/>
          <w:color w:val="auto"/>
        </w:rPr>
      </w:pPr>
      <w:r>
        <w:rPr>
          <w:rFonts w:ascii="Arial" w:cs="Arial" w:eastAsia="Arial" w:hAnsi="Arial"/>
          <w:sz w:val="20"/>
          <w:szCs w:val="20"/>
          <w:color w:val="auto"/>
        </w:rPr>
        <w:t>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day after the Date of Termination.</w:t>
      </w:r>
    </w:p>
    <w:p>
      <w:pPr>
        <w:spacing w:after="0" w:line="92" w:lineRule="exact"/>
        <w:rPr>
          <w:sz w:val="20"/>
          <w:szCs w:val="20"/>
          <w:color w:val="auto"/>
        </w:rPr>
      </w:pPr>
    </w:p>
    <w:p>
      <w:pPr>
        <w:ind w:left="1492" w:right="40" w:hanging="690"/>
        <w:spacing w:after="0" w:line="264" w:lineRule="auto"/>
        <w:tabs>
          <w:tab w:leader="none" w:pos="1228" w:val="left"/>
        </w:tabs>
        <w:numPr>
          <w:ilvl w:val="2"/>
          <w:numId w:val="120"/>
        </w:numPr>
        <w:rPr>
          <w:rFonts w:ascii="Arial" w:cs="Arial" w:eastAsia="Arial" w:hAnsi="Arial"/>
          <w:sz w:val="20"/>
          <w:szCs w:val="20"/>
          <w:color w:val="auto"/>
        </w:rPr>
      </w:pPr>
      <w:r>
        <w:rPr>
          <w:rFonts w:ascii="Arial" w:cs="Arial" w:eastAsia="Arial" w:hAnsi="Arial"/>
          <w:sz w:val="20"/>
          <w:szCs w:val="20"/>
          <w:u w:val="single" w:color="auto"/>
          <w:color w:val="auto"/>
        </w:rPr>
        <w:t>Forfeiture</w:t>
      </w:r>
      <w:r>
        <w:rPr>
          <w:rFonts w:ascii="Arial" w:cs="Arial" w:eastAsia="Arial" w:hAnsi="Arial"/>
          <w:sz w:val="20"/>
          <w:szCs w:val="20"/>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87" w:lineRule="exact"/>
        <w:rPr>
          <w:rFonts w:ascii="Arial" w:cs="Arial" w:eastAsia="Arial" w:hAnsi="Arial"/>
          <w:sz w:val="20"/>
          <w:szCs w:val="20"/>
          <w:color w:val="auto"/>
        </w:rPr>
      </w:pPr>
    </w:p>
    <w:p>
      <w:pPr>
        <w:ind w:left="752" w:hanging="752"/>
        <w:spacing w:after="0"/>
        <w:tabs>
          <w:tab w:leader="none" w:pos="752"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w:t>
      </w:r>
    </w:p>
    <w:p>
      <w:pPr>
        <w:spacing w:after="0" w:line="204" w:lineRule="exact"/>
        <w:rPr>
          <w:rFonts w:ascii="Arial" w:cs="Arial" w:eastAsia="Arial" w:hAnsi="Arial"/>
          <w:sz w:val="22"/>
          <w:szCs w:val="22"/>
          <w:color w:val="auto"/>
        </w:rPr>
      </w:pPr>
    </w:p>
    <w:p>
      <w:pPr>
        <w:ind w:left="1492" w:right="20" w:hanging="744"/>
        <w:spacing w:after="0" w:line="270" w:lineRule="auto"/>
        <w:tabs>
          <w:tab w:leader="none" w:pos="1492" w:val="left"/>
        </w:tabs>
        <w:numPr>
          <w:ilvl w:val="1"/>
          <w:numId w:val="121"/>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157"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83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92"/>
          </w:cols>
          <w:pgMar w:left="328" w:top="118" w:right="379" w:bottom="1440" w:gutter="0" w:footer="0" w:header="0"/>
        </w:sectPr>
      </w:pPr>
    </w:p>
    <w:bookmarkStart w:id="147" w:name="page148"/>
    <w:bookmarkEnd w:id="147"/>
    <w:p>
      <w:pPr>
        <w:ind w:left="1492" w:hanging="744"/>
        <w:spacing w:after="0" w:line="255" w:lineRule="auto"/>
        <w:tabs>
          <w:tab w:leader="none" w:pos="1492" w:val="left"/>
        </w:tabs>
        <w:numPr>
          <w:ilvl w:val="1"/>
          <w:numId w:val="122"/>
        </w:numPr>
        <w:rPr>
          <w:rFonts w:ascii="Arial" w:cs="Arial" w:eastAsia="Arial" w:hAnsi="Arial"/>
          <w:sz w:val="20"/>
          <w:szCs w:val="20"/>
          <w:color w:val="auto"/>
        </w:rPr>
      </w:pPr>
      <w:r>
        <w:rPr>
          <w:rFonts w:ascii="Arial" w:cs="Arial" w:eastAsia="Arial" w:hAnsi="Arial"/>
          <w:sz w:val="20"/>
          <w:szCs w:val="20"/>
          <w:color w:val="auto"/>
        </w:rPr>
        <w:t>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w:t>
      </w:r>
    </w:p>
    <w:p>
      <w:pPr>
        <w:spacing w:after="0" w:line="180" w:lineRule="exact"/>
        <w:rPr>
          <w:rFonts w:ascii="Arial" w:cs="Arial" w:eastAsia="Arial" w:hAnsi="Arial"/>
          <w:sz w:val="20"/>
          <w:szCs w:val="20"/>
          <w:color w:val="auto"/>
        </w:rPr>
      </w:pPr>
    </w:p>
    <w:p>
      <w:pPr>
        <w:ind w:left="1492" w:right="20" w:hanging="744"/>
        <w:spacing w:after="0" w:line="264" w:lineRule="auto"/>
        <w:tabs>
          <w:tab w:leader="none" w:pos="1492" w:val="left"/>
        </w:tabs>
        <w:numPr>
          <w:ilvl w:val="1"/>
          <w:numId w:val="122"/>
        </w:numPr>
        <w:rPr>
          <w:rFonts w:ascii="Arial" w:cs="Arial" w:eastAsia="Arial" w:hAnsi="Arial"/>
          <w:sz w:val="20"/>
          <w:szCs w:val="20"/>
          <w:color w:val="auto"/>
        </w:rPr>
      </w:pPr>
      <w:r>
        <w:rPr>
          <w:rFonts w:ascii="Arial" w:cs="Arial" w:eastAsia="Arial" w:hAnsi="Arial"/>
          <w:sz w:val="20"/>
          <w:szCs w:val="20"/>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752" w:right="220" w:hanging="752"/>
        <w:spacing w:after="0" w:line="268" w:lineRule="auto"/>
        <w:tabs>
          <w:tab w:leader="none" w:pos="752"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You agree that you will not, at any time during the term of your employment with the Consolidated ManpowerGroup or during the one-year period following your termination, for whatever reason, of employment with the Consolidated ManpowerGroup, directly or indirectly solicit any Restricted Person to provide services to or on behalf of a person or entity in a manner reasonably likely to pose a competitive threat to the Consolidated ManpowerGroup. Restricted Person shall mean an individual who, at the time of the solicitation, is an employee of the Consolidated ManpowerGroup and (i) who is a top-level employee of the Consolidated ManpowerGroup, has special skills or knowledge important to the Consolidated ManpowerGroup, or has skills that are</w:t>
      </w:r>
    </w:p>
    <w:p>
      <w:pPr>
        <w:spacing w:after="0" w:line="5" w:lineRule="exact"/>
        <w:rPr>
          <w:sz w:val="20"/>
          <w:szCs w:val="20"/>
          <w:color w:val="auto"/>
        </w:rPr>
      </w:pPr>
    </w:p>
    <w:p>
      <w:pPr>
        <w:jc w:val="both"/>
        <w:ind w:left="752" w:right="320"/>
        <w:spacing w:after="0" w:line="252" w:lineRule="auto"/>
        <w:rPr>
          <w:sz w:val="20"/>
          <w:szCs w:val="20"/>
          <w:color w:val="auto"/>
        </w:rPr>
      </w:pPr>
      <w:r>
        <w:rPr>
          <w:rFonts w:ascii="Arial" w:cs="Arial" w:eastAsia="Arial" w:hAnsi="Arial"/>
          <w:sz w:val="20"/>
          <w:szCs w:val="20"/>
          <w:color w:val="auto"/>
        </w:rPr>
        <w:t>difficult for the Consolidated ManpowerGroup to replace and (ii) with whom you had a working relationship or about whom you acquired or possessed specialized knowledge, in each case, in connection with your employment with the Consolidated ManpowerGroup during the two-year period preceding the Date of Termination.</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1583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148" w:name="page149"/>
    <w:bookmarkEnd w:id="148"/>
    <w:p>
      <w:pPr>
        <w:ind w:left="752" w:right="340" w:hanging="752"/>
        <w:spacing w:after="0" w:line="237" w:lineRule="auto"/>
        <w:tabs>
          <w:tab w:leader="none" w:pos="752"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Restrictions During Employment</w:t>
      </w:r>
      <w:r>
        <w:rPr>
          <w:rFonts w:ascii="Arial" w:cs="Arial" w:eastAsia="Arial" w:hAnsi="Arial"/>
          <w:sz w:val="22"/>
          <w:szCs w:val="22"/>
          <w:color w:val="auto"/>
        </w:rPr>
        <w:t>.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w:t>
      </w:r>
    </w:p>
    <w:p>
      <w:pPr>
        <w:spacing w:after="0" w:line="211" w:lineRule="exact"/>
        <w:rPr>
          <w:rFonts w:ascii="Arial" w:cs="Arial" w:eastAsia="Arial" w:hAnsi="Arial"/>
          <w:sz w:val="22"/>
          <w:szCs w:val="22"/>
          <w:color w:val="auto"/>
        </w:rPr>
      </w:pPr>
    </w:p>
    <w:p>
      <w:pPr>
        <w:ind w:left="752" w:right="580" w:hanging="752"/>
        <w:spacing w:after="0" w:line="249" w:lineRule="auto"/>
        <w:tabs>
          <w:tab w:leader="none" w:pos="752"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Noncompetition Agreement</w:t>
      </w:r>
      <w:r>
        <w:rPr>
          <w:rFonts w:ascii="Arial" w:cs="Arial" w:eastAsia="Arial" w:hAnsi="Arial"/>
          <w:sz w:val="22"/>
          <w:szCs w:val="22"/>
          <w:color w:val="auto"/>
        </w:rPr>
        <w:t>. During the one-year period which immediately follows the termination, for whatever reason, of your employment with the Consolidated ManpowerGroup:</w:t>
      </w:r>
    </w:p>
    <w:p>
      <w:pPr>
        <w:spacing w:after="0" w:line="201" w:lineRule="exact"/>
        <w:rPr>
          <w:rFonts w:ascii="Arial" w:cs="Arial" w:eastAsia="Arial" w:hAnsi="Arial"/>
          <w:sz w:val="22"/>
          <w:szCs w:val="22"/>
          <w:color w:val="auto"/>
        </w:rPr>
      </w:pPr>
    </w:p>
    <w:p>
      <w:pPr>
        <w:ind w:left="1492" w:hanging="744"/>
        <w:spacing w:after="0" w:line="247" w:lineRule="exact"/>
        <w:tabs>
          <w:tab w:leader="none" w:pos="1492" w:val="left"/>
        </w:tabs>
        <w:numPr>
          <w:ilvl w:val="1"/>
          <w:numId w:val="124"/>
        </w:numPr>
        <w:rPr>
          <w:rFonts w:ascii="Arial" w:cs="Arial" w:eastAsia="Arial" w:hAnsi="Arial"/>
          <w:sz w:val="19"/>
          <w:szCs w:val="19"/>
          <w:color w:val="auto"/>
        </w:rPr>
      </w:pPr>
      <w:r>
        <w:rPr>
          <w:rFonts w:ascii="Arial" w:cs="Arial" w:eastAsia="Arial" w:hAnsi="Arial"/>
          <w:sz w:val="19"/>
          <w:szCs w:val="19"/>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19"/>
          <w:szCs w:val="19"/>
          <w:color w:val="auto"/>
        </w:rPr>
        <w:t>‑</w:t>
      </w:r>
      <w:r>
        <w:rPr>
          <w:rFonts w:ascii="Arial" w:cs="Arial" w:eastAsia="Arial" w:hAnsi="Arial"/>
          <w:sz w:val="19"/>
          <w:szCs w:val="19"/>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19"/>
          <w:szCs w:val="19"/>
          <w:color w:val="auto"/>
        </w:rPr>
        <w:t>‑</w:t>
      </w:r>
      <w:r>
        <w:rPr>
          <w:rFonts w:ascii="Arial" w:cs="Arial" w:eastAsia="Arial" w:hAnsi="Arial"/>
          <w:sz w:val="19"/>
          <w:szCs w:val="19"/>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214" w:lineRule="exact"/>
        <w:rPr>
          <w:rFonts w:ascii="Arial" w:cs="Arial" w:eastAsia="Arial" w:hAnsi="Arial"/>
          <w:sz w:val="19"/>
          <w:szCs w:val="19"/>
          <w:color w:val="auto"/>
        </w:rPr>
      </w:pPr>
    </w:p>
    <w:p>
      <w:pPr>
        <w:ind w:left="1492" w:hanging="744"/>
        <w:spacing w:after="0" w:line="244" w:lineRule="exact"/>
        <w:tabs>
          <w:tab w:leader="none" w:pos="1492" w:val="left"/>
        </w:tabs>
        <w:numPr>
          <w:ilvl w:val="1"/>
          <w:numId w:val="124"/>
        </w:numPr>
        <w:rPr>
          <w:rFonts w:ascii="Arial" w:cs="Arial" w:eastAsia="Arial" w:hAnsi="Arial"/>
          <w:sz w:val="20"/>
          <w:szCs w:val="20"/>
          <w:color w:val="auto"/>
        </w:rPr>
      </w:pPr>
      <w:r>
        <w:rPr>
          <w:rFonts w:ascii="Arial" w:cs="Arial" w:eastAsia="Arial" w:hAnsi="Arial"/>
          <w:sz w:val="20"/>
          <w:szCs w:val="20"/>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20"/>
          <w:szCs w:val="20"/>
          <w:color w:val="auto"/>
        </w:rPr>
        <w:t>‑</w:t>
      </w:r>
      <w:r>
        <w:rPr>
          <w:rFonts w:ascii="Arial" w:cs="Arial" w:eastAsia="Arial" w:hAnsi="Arial"/>
          <w:sz w:val="20"/>
          <w:szCs w:val="20"/>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23" w:lineRule="exact"/>
        <w:rPr>
          <w:rFonts w:ascii="Arial" w:cs="Arial" w:eastAsia="Arial" w:hAnsi="Arial"/>
          <w:sz w:val="20"/>
          <w:szCs w:val="20"/>
          <w:color w:val="auto"/>
        </w:rPr>
      </w:pPr>
    </w:p>
    <w:p>
      <w:pPr>
        <w:ind w:left="432" w:hanging="432"/>
        <w:spacing w:after="0"/>
        <w:tabs>
          <w:tab w:leader="none" w:pos="432"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204" w:lineRule="exact"/>
        <w:rPr>
          <w:sz w:val="20"/>
          <w:szCs w:val="20"/>
          <w:color w:val="auto"/>
        </w:rPr>
      </w:pPr>
    </w:p>
    <w:p>
      <w:pPr>
        <w:ind w:left="1492" w:right="120" w:hanging="690"/>
        <w:spacing w:after="0" w:line="239" w:lineRule="auto"/>
        <w:tabs>
          <w:tab w:leader="none" w:pos="122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Injunction</w:t>
      </w:r>
      <w:r>
        <w:rPr>
          <w:rFonts w:ascii="Arial" w:cs="Arial" w:eastAsia="Arial" w:hAnsi="Arial"/>
          <w:sz w:val="22"/>
          <w:szCs w:val="22"/>
          <w:color w:val="auto"/>
        </w:rPr>
        <w:t>. You recognize that irreparable and incalculable injury will result to the Consolidated ManpowerGroup and its businesses and properties in the event of your breach of any of the restrictions imposed by Sections 3-6, above. You</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83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12"/>
          </w:cols>
          <w:pgMar w:left="328" w:top="360" w:right="359" w:bottom="1440" w:gutter="0" w:footer="0" w:header="0"/>
        </w:sectPr>
      </w:pPr>
    </w:p>
    <w:bookmarkStart w:id="149" w:name="page150"/>
    <w:bookmarkEnd w:id="149"/>
    <w:p>
      <w:pPr>
        <w:ind w:left="1492" w:right="60"/>
        <w:spacing w:after="0" w:line="260" w:lineRule="auto"/>
        <w:rPr>
          <w:sz w:val="20"/>
          <w:szCs w:val="20"/>
          <w:color w:val="auto"/>
        </w:rPr>
      </w:pPr>
      <w:r>
        <w:rPr>
          <w:rFonts w:ascii="Arial" w:cs="Arial" w:eastAsia="Arial" w:hAnsi="Arial"/>
          <w:sz w:val="20"/>
          <w:szCs w:val="20"/>
          <w:color w:val="auto"/>
        </w:rPr>
        <w:t>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67" w:lineRule="exact"/>
        <w:rPr>
          <w:sz w:val="20"/>
          <w:szCs w:val="20"/>
          <w:color w:val="auto"/>
        </w:rPr>
      </w:pPr>
    </w:p>
    <w:p>
      <w:pPr>
        <w:ind w:left="1492" w:right="160" w:hanging="690"/>
        <w:spacing w:after="0" w:line="275" w:lineRule="auto"/>
        <w:tabs>
          <w:tab w:leader="none" w:pos="1228" w:val="left"/>
        </w:tabs>
        <w:numPr>
          <w:ilvl w:val="1"/>
          <w:numId w:val="126"/>
        </w:numPr>
        <w:rPr>
          <w:rFonts w:ascii="Arial" w:cs="Arial" w:eastAsia="Arial" w:hAnsi="Arial"/>
          <w:sz w:val="20"/>
          <w:szCs w:val="20"/>
          <w:color w:val="auto"/>
        </w:rPr>
      </w:pPr>
      <w:r>
        <w:rPr>
          <w:rFonts w:ascii="Arial" w:cs="Arial" w:eastAsia="Arial" w:hAnsi="Arial"/>
          <w:sz w:val="20"/>
          <w:szCs w:val="20"/>
          <w:u w:val="single" w:color="auto"/>
          <w:color w:val="auto"/>
        </w:rPr>
        <w:t>Nonapplication</w:t>
      </w:r>
      <w:r>
        <w:rPr>
          <w:rFonts w:ascii="Arial" w:cs="Arial" w:eastAsia="Arial" w:hAnsi="Arial"/>
          <w:sz w:val="20"/>
          <w:szCs w:val="20"/>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393" w:lineRule="exact"/>
        <w:rPr>
          <w:rFonts w:ascii="Arial" w:cs="Arial" w:eastAsia="Arial" w:hAnsi="Arial"/>
          <w:sz w:val="20"/>
          <w:szCs w:val="20"/>
          <w:color w:val="auto"/>
        </w:rPr>
      </w:pPr>
    </w:p>
    <w:p>
      <w:pPr>
        <w:ind w:left="752" w:right="100" w:hanging="752"/>
        <w:spacing w:after="0" w:line="249" w:lineRule="exact"/>
        <w:tabs>
          <w:tab w:leader="none" w:pos="434"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Unemployment Compensation</w:t>
      </w:r>
      <w:r>
        <w:rPr>
          <w:rFonts w:ascii="Arial" w:cs="Arial" w:eastAsia="Arial" w:hAnsi="Arial"/>
          <w:sz w:val="20"/>
          <w:szCs w:val="20"/>
          <w:color w:val="auto"/>
        </w:rPr>
        <w:t>. To the extent allowed by applicable law, the severance benefits provided for in Subsection 2(c)(iii) will be assigned for unemployment compensation benefit purposes to the one</w:t>
      </w:r>
      <w:r>
        <w:rPr>
          <w:rFonts w:ascii="MS PGothic" w:cs="MS PGothic" w:eastAsia="MS PGothic" w:hAnsi="MS PGothic"/>
          <w:sz w:val="20"/>
          <w:szCs w:val="20"/>
          <w:color w:val="auto"/>
        </w:rPr>
        <w:t>‑</w:t>
      </w:r>
      <w:r>
        <w:rPr>
          <w:rFonts w:ascii="Arial" w:cs="Arial" w:eastAsia="Arial" w:hAnsi="Arial"/>
          <w:sz w:val="20"/>
          <w:szCs w:val="20"/>
          <w:color w:val="auto"/>
        </w:rPr>
        <w:t>year period following the Date of Termination, and the severance benefits provided for in Subsection 2(d)(iii) will be assigned for unemployment compensation purposes to the two</w:t>
      </w:r>
      <w:r>
        <w:rPr>
          <w:rFonts w:ascii="MS PGothic" w:cs="MS PGothic" w:eastAsia="MS PGothic" w:hAnsi="MS PGothic"/>
          <w:sz w:val="20"/>
          <w:szCs w:val="20"/>
          <w:color w:val="auto"/>
        </w:rPr>
        <w:t>‑</w:t>
      </w:r>
      <w:r>
        <w:rPr>
          <w:rFonts w:ascii="Arial" w:cs="Arial" w:eastAsia="Arial" w:hAnsi="Arial"/>
          <w:sz w:val="20"/>
          <w:szCs w:val="20"/>
          <w:color w:val="auto"/>
        </w:rPr>
        <w:t>year period following the Date of Termination, and you will be ineligible to receive, and you agree not to apply for, unemployment compensation during such periods.</w:t>
      </w:r>
    </w:p>
    <w:p>
      <w:pPr>
        <w:spacing w:after="0" w:line="185" w:lineRule="exact"/>
        <w:rPr>
          <w:rFonts w:ascii="Arial" w:cs="Arial" w:eastAsia="Arial" w:hAnsi="Arial"/>
          <w:sz w:val="20"/>
          <w:szCs w:val="20"/>
          <w:color w:val="auto"/>
        </w:rPr>
      </w:pPr>
    </w:p>
    <w:p>
      <w:pPr>
        <w:ind w:left="752" w:hanging="752"/>
        <w:spacing w:after="0" w:line="272" w:lineRule="auto"/>
        <w:tabs>
          <w:tab w:leader="none" w:pos="434"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60" w:lineRule="exact"/>
        <w:rPr>
          <w:rFonts w:ascii="Arial" w:cs="Arial" w:eastAsia="Arial" w:hAnsi="Arial"/>
          <w:sz w:val="19"/>
          <w:szCs w:val="19"/>
          <w:color w:val="auto"/>
        </w:rPr>
      </w:pPr>
    </w:p>
    <w:p>
      <w:pPr>
        <w:ind w:left="752" w:right="120" w:hanging="752"/>
        <w:spacing w:after="0" w:line="298" w:lineRule="auto"/>
        <w:tabs>
          <w:tab w:leader="none" w:pos="434"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Successors; Binding Agreement</w:t>
      </w:r>
      <w:r>
        <w:rPr>
          <w:rFonts w:ascii="Arial" w:cs="Arial" w:eastAsia="Arial" w:hAnsi="Arial"/>
          <w:sz w:val="20"/>
          <w:szCs w:val="20"/>
          <w:color w:val="auto"/>
        </w:rPr>
        <w:t>. This letter agreement will be binding on the Corporation and its successors and will inure to the benefit of and be enforceable by your personal or legal representatives, heirs and successors.</w:t>
      </w:r>
    </w:p>
    <w:p>
      <w:pPr>
        <w:spacing w:after="0" w:line="155" w:lineRule="exact"/>
        <w:rPr>
          <w:rFonts w:ascii="Arial" w:cs="Arial" w:eastAsia="Arial" w:hAnsi="Arial"/>
          <w:sz w:val="20"/>
          <w:szCs w:val="20"/>
          <w:color w:val="auto"/>
        </w:rPr>
      </w:pPr>
    </w:p>
    <w:p>
      <w:pPr>
        <w:ind w:left="752" w:right="60" w:hanging="752"/>
        <w:spacing w:after="0" w:line="275" w:lineRule="auto"/>
        <w:tabs>
          <w:tab w:leader="none" w:pos="434"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51"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83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72"/>
          </w:cols>
          <w:pgMar w:left="328" w:top="118" w:right="399" w:bottom="1440" w:gutter="0" w:footer="0" w:header="0"/>
        </w:sectPr>
      </w:pPr>
    </w:p>
    <w:bookmarkStart w:id="150" w:name="page151"/>
    <w:bookmarkEnd w:id="150"/>
    <w:p>
      <w:pPr>
        <w:jc w:val="both"/>
        <w:ind w:left="752" w:right="140" w:hanging="752"/>
        <w:spacing w:after="0" w:line="268" w:lineRule="auto"/>
        <w:tabs>
          <w:tab w:leader="none" w:pos="434"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No Right to Remain Employed</w:t>
      </w:r>
      <w:r>
        <w:rPr>
          <w:rFonts w:ascii="Arial" w:cs="Arial" w:eastAsia="Arial" w:hAnsi="Arial"/>
          <w:sz w:val="20"/>
          <w:szCs w:val="20"/>
          <w:color w:val="auto"/>
        </w:rPr>
        <w:t>. Nothing contained in this letter agreement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183" w:lineRule="exact"/>
        <w:rPr>
          <w:rFonts w:ascii="Arial" w:cs="Arial" w:eastAsia="Arial" w:hAnsi="Arial"/>
          <w:sz w:val="20"/>
          <w:szCs w:val="20"/>
          <w:color w:val="auto"/>
        </w:rPr>
      </w:pPr>
    </w:p>
    <w:p>
      <w:pPr>
        <w:ind w:left="752" w:hanging="752"/>
        <w:spacing w:after="0" w:line="249" w:lineRule="auto"/>
        <w:tabs>
          <w:tab w:leader="none" w:pos="434"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agreement may be modified, waived or discharged unless such waiver, modification or discharge is agreed to in writing by you and the Corporation.</w:t>
      </w:r>
    </w:p>
    <w:p>
      <w:pPr>
        <w:spacing w:after="0" w:line="201" w:lineRule="exact"/>
        <w:rPr>
          <w:rFonts w:ascii="Arial" w:cs="Arial" w:eastAsia="Arial" w:hAnsi="Arial"/>
          <w:sz w:val="22"/>
          <w:szCs w:val="22"/>
          <w:color w:val="auto"/>
        </w:rPr>
      </w:pPr>
    </w:p>
    <w:p>
      <w:pPr>
        <w:ind w:left="752" w:right="200" w:hanging="752"/>
        <w:spacing w:after="0" w:line="326" w:lineRule="auto"/>
        <w:tabs>
          <w:tab w:leader="none" w:pos="434"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32" w:lineRule="exact"/>
        <w:rPr>
          <w:rFonts w:ascii="Arial" w:cs="Arial" w:eastAsia="Arial" w:hAnsi="Arial"/>
          <w:sz w:val="19"/>
          <w:szCs w:val="19"/>
          <w:color w:val="auto"/>
        </w:rPr>
      </w:pPr>
    </w:p>
    <w:p>
      <w:pPr>
        <w:ind w:left="752" w:right="60" w:hanging="752"/>
        <w:spacing w:after="0" w:line="249" w:lineRule="auto"/>
        <w:tabs>
          <w:tab w:leader="none" w:pos="434"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letter agreement shall be governed by and interpreted in accordance with the laws of the State of New York, United States of America, without regard to its conflict of law provisions.</w:t>
      </w:r>
    </w:p>
    <w:p>
      <w:pPr>
        <w:spacing w:after="0" w:line="201" w:lineRule="exact"/>
        <w:rPr>
          <w:rFonts w:ascii="Arial" w:cs="Arial" w:eastAsia="Arial" w:hAnsi="Arial"/>
          <w:sz w:val="22"/>
          <w:szCs w:val="22"/>
          <w:color w:val="auto"/>
        </w:rPr>
      </w:pPr>
    </w:p>
    <w:p>
      <w:pPr>
        <w:ind w:left="752" w:right="80" w:hanging="752"/>
        <w:spacing w:after="0" w:line="261" w:lineRule="auto"/>
        <w:tabs>
          <w:tab w:leader="none" w:pos="434"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Reduction of Amounts Due Under Law</w:t>
      </w:r>
      <w:r>
        <w:rPr>
          <w:rFonts w:ascii="Arial" w:cs="Arial" w:eastAsia="Arial" w:hAnsi="Arial"/>
          <w:sz w:val="20"/>
          <w:szCs w:val="20"/>
          <w:color w:val="auto"/>
        </w:rPr>
        <w:t>. You agree that any severance payment (</w:t>
      </w:r>
      <w:r>
        <w:rPr>
          <w:rFonts w:ascii="Arial" w:cs="Arial" w:eastAsia="Arial" w:hAnsi="Arial"/>
          <w:sz w:val="20"/>
          <w:szCs w:val="20"/>
          <w:i w:val="1"/>
          <w:iCs w:val="1"/>
          <w:color w:val="auto"/>
        </w:rPr>
        <w:t>i.e</w:t>
      </w:r>
      <w:r>
        <w:rPr>
          <w:rFonts w:ascii="Arial" w:cs="Arial" w:eastAsia="Arial" w:hAnsi="Arial"/>
          <w:sz w:val="20"/>
          <w:szCs w:val="20"/>
          <w:color w:val="auto"/>
        </w:rPr>
        <w:t>, any payment other than a payment for salary through your Date of Termination or for a bonus earned in the prior fiscal year but not yet paid) to you pursuant to this letter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4" w:lineRule="exact"/>
        <w:rPr>
          <w:rFonts w:ascii="Arial" w:cs="Arial" w:eastAsia="Arial" w:hAnsi="Arial"/>
          <w:sz w:val="20"/>
          <w:szCs w:val="20"/>
          <w:color w:val="auto"/>
        </w:rPr>
      </w:pPr>
    </w:p>
    <w:p>
      <w:pPr>
        <w:ind w:left="752" w:right="40" w:hanging="752"/>
        <w:spacing w:after="0" w:line="261" w:lineRule="auto"/>
        <w:tabs>
          <w:tab w:leader="none" w:pos="434"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Previous Agreements</w:t>
      </w:r>
      <w:r>
        <w:rPr>
          <w:rFonts w:ascii="Arial" w:cs="Arial" w:eastAsia="Arial" w:hAnsi="Arial"/>
          <w:sz w:val="20"/>
          <w:szCs w:val="20"/>
          <w:color w:val="auto"/>
        </w:rPr>
        <w:t>. This letter agreement, upon acceptance by you, expressly supersedes any and all previous agreements or understandings relating to your employment by the Corporation or the Consolidated ManpowerGroup, except for the letter from the Corporation to you dated May 10, 2019, regarding the Corporation’s offer of employment to you (provided this letter agreement will supersede the sections of that prior letter concerning severance protection and restrictive covenants) or the termination of such employment, and any such agreements or understandings shall, as of the date of your acceptance, have no further force or effect.</w:t>
      </w:r>
    </w:p>
    <w:p>
      <w:pPr>
        <w:spacing w:after="0" w:line="194" w:lineRule="exact"/>
        <w:rPr>
          <w:rFonts w:ascii="Arial" w:cs="Arial" w:eastAsia="Arial" w:hAnsi="Arial"/>
          <w:sz w:val="20"/>
          <w:szCs w:val="20"/>
          <w:color w:val="auto"/>
        </w:rPr>
      </w:pPr>
    </w:p>
    <w:p>
      <w:pPr>
        <w:ind w:left="752" w:right="160" w:hanging="752"/>
        <w:spacing w:after="0" w:line="270" w:lineRule="auto"/>
        <w:tabs>
          <w:tab w:leader="none" w:pos="434"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w:t>
      </w:r>
    </w:p>
    <w:p>
      <w:pPr>
        <w:spacing w:after="0" w:line="3" w:lineRule="exact"/>
        <w:rPr>
          <w:sz w:val="20"/>
          <w:szCs w:val="20"/>
          <w:color w:val="auto"/>
        </w:rPr>
      </w:pPr>
    </w:p>
    <w:p>
      <w:pPr>
        <w:ind w:left="752" w:right="120"/>
        <w:spacing w:after="0" w:line="229" w:lineRule="auto"/>
        <w:rPr>
          <w:sz w:val="20"/>
          <w:szCs w:val="20"/>
          <w:color w:val="auto"/>
        </w:rPr>
      </w:pPr>
      <w:r>
        <w:rPr>
          <w:rFonts w:ascii="Arial" w:cs="Arial" w:eastAsia="Arial" w:hAnsi="Arial"/>
          <w:sz w:val="22"/>
          <w:szCs w:val="22"/>
          <w:color w:val="auto"/>
        </w:rPr>
        <w:t>Section 18, the party initiating arbitration shall be denominated the “Claimant” and the other party shall be denominated the “Respondent.”</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1583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151" w:name="page152"/>
    <w:bookmarkEnd w:id="151"/>
    <w:p>
      <w:pPr>
        <w:ind w:left="744" w:hanging="690"/>
        <w:spacing w:after="0" w:line="270" w:lineRule="auto"/>
        <w:tabs>
          <w:tab w:leader="none" w:pos="479" w:val="left"/>
        </w:tabs>
        <w:numPr>
          <w:ilvl w:val="1"/>
          <w:numId w:val="129"/>
        </w:numPr>
        <w:rPr>
          <w:rFonts w:ascii="Arial" w:cs="Arial" w:eastAsia="Arial" w:hAnsi="Arial"/>
          <w:sz w:val="19"/>
          <w:szCs w:val="19"/>
          <w:color w:val="auto"/>
        </w:rPr>
      </w:pPr>
      <w:r>
        <w:rPr>
          <w:rFonts w:ascii="Arial" w:cs="Arial" w:eastAsia="Arial" w:hAnsi="Arial"/>
          <w:sz w:val="19"/>
          <w:szCs w:val="19"/>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7" w:lineRule="exact"/>
        <w:rPr>
          <w:rFonts w:ascii="Arial" w:cs="Arial" w:eastAsia="Arial" w:hAnsi="Arial"/>
          <w:sz w:val="19"/>
          <w:szCs w:val="19"/>
          <w:color w:val="auto"/>
        </w:rPr>
      </w:pPr>
    </w:p>
    <w:p>
      <w:pPr>
        <w:ind w:left="744" w:hanging="744"/>
        <w:spacing w:after="0" w:line="267" w:lineRule="auto"/>
        <w:tabs>
          <w:tab w:leader="none" w:pos="74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w:t>
      </w:r>
    </w:p>
    <w:p>
      <w:pPr>
        <w:spacing w:after="0" w:line="7" w:lineRule="exact"/>
        <w:rPr>
          <w:sz w:val="20"/>
          <w:szCs w:val="20"/>
          <w:color w:val="auto"/>
        </w:rPr>
      </w:pPr>
    </w:p>
    <w:p>
      <w:pPr>
        <w:ind w:left="744" w:right="420"/>
        <w:spacing w:after="0" w:line="229" w:lineRule="auto"/>
        <w:rPr>
          <w:sz w:val="20"/>
          <w:szCs w:val="20"/>
          <w:color w:val="auto"/>
        </w:rPr>
      </w:pPr>
      <w:r>
        <w:rPr>
          <w:rFonts w:ascii="Arial" w:cs="Arial" w:eastAsia="Arial" w:hAnsi="Arial"/>
          <w:sz w:val="22"/>
          <w:szCs w:val="22"/>
          <w:color w:val="auto"/>
        </w:rPr>
        <w:t>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 w:lineRule="exact"/>
        <w:rPr>
          <w:sz w:val="20"/>
          <w:szCs w:val="20"/>
          <w:color w:val="auto"/>
        </w:rPr>
      </w:pPr>
    </w:p>
    <w:p>
      <w:pPr>
        <w:ind w:left="4764"/>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50800</wp:posOffset>
            </wp:positionV>
            <wp:extent cx="71583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0" w:right="339" w:bottom="1440" w:gutter="0" w:footer="0" w:header="0"/>
        </w:sectPr>
      </w:pPr>
    </w:p>
    <w:bookmarkStart w:id="152" w:name="page153"/>
    <w:bookmarkEnd w:id="152"/>
    <w:p>
      <w:pPr>
        <w:ind w:left="760" w:hanging="752"/>
        <w:spacing w:after="0" w:line="239" w:lineRule="auto"/>
        <w:tabs>
          <w:tab w:leader="none" w:pos="482"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obligations imposed by Paragraphs 3-6, above, of this letter agreement are severable and should be construed independently of each other. The invalidity of one such provision shall not affect the validity of any other such provision.</w:t>
      </w:r>
    </w:p>
    <w:p>
      <w:pPr>
        <w:spacing w:after="0" w:line="212" w:lineRule="exact"/>
        <w:rPr>
          <w:rFonts w:ascii="Arial" w:cs="Arial" w:eastAsia="Arial" w:hAnsi="Arial"/>
          <w:sz w:val="22"/>
          <w:szCs w:val="22"/>
          <w:color w:val="auto"/>
        </w:rPr>
      </w:pPr>
    </w:p>
    <w:p>
      <w:pPr>
        <w:ind w:left="760" w:hanging="752"/>
        <w:spacing w:after="0" w:line="256" w:lineRule="auto"/>
        <w:tabs>
          <w:tab w:leader="none" w:pos="522"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Consistency with Applicable Law</w:t>
      </w:r>
      <w:r>
        <w:rPr>
          <w:rFonts w:ascii="Arial" w:cs="Arial" w:eastAsia="Arial" w:hAnsi="Arial"/>
          <w:sz w:val="20"/>
          <w:szCs w:val="20"/>
          <w:color w:val="auto"/>
        </w:rPr>
        <w:t>.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ManpowerGroup or any of its agents that you have made such reports or disclosures; however, we encourage you to do so. Nothing in this letter agreement shall have the purpose or effect of limiting your rights to reveal factual information related to any future claim of discrimination to law enforcement, the Equal Employment Opportunity Commission, the state division of human rights, a local commission on human rights, or an attorney retained by you. Further, nothing in this letter agreement shall have the purpose or effect of limiting your right to reveal factual information related to claims of sexual assault or sexual harassment. Finally, your good faith report or disclosure shall not trigger the forfeiture rights under Subsection 2(h) of this Agreement or otherwise limit your right to receive an award for information provided to any government agency.</w:t>
      </w:r>
    </w:p>
    <w:p>
      <w:pPr>
        <w:spacing w:after="0" w:line="200" w:lineRule="exact"/>
        <w:rPr>
          <w:sz w:val="20"/>
          <w:szCs w:val="20"/>
          <w:color w:val="auto"/>
        </w:rPr>
      </w:pPr>
    </w:p>
    <w:p>
      <w:pPr>
        <w:spacing w:after="0" w:line="243" w:lineRule="exact"/>
        <w:rPr>
          <w:sz w:val="20"/>
          <w:szCs w:val="20"/>
          <w:color w:val="auto"/>
        </w:rPr>
      </w:pPr>
    </w:p>
    <w:p>
      <w:pPr>
        <w:ind w:right="100" w:firstLine="749"/>
        <w:spacing w:after="0" w:line="249" w:lineRule="auto"/>
        <w:rPr>
          <w:sz w:val="20"/>
          <w:szCs w:val="20"/>
          <w:color w:val="auto"/>
        </w:rPr>
      </w:pPr>
      <w:r>
        <w:rPr>
          <w:rFonts w:ascii="Arial" w:cs="Arial" w:eastAsia="Arial" w:hAnsi="Arial"/>
          <w:sz w:val="22"/>
          <w:szCs w:val="22"/>
          <w:color w:val="auto"/>
        </w:rPr>
        <w:t>If you are in agreement with the foregoing, please sign and return one copy of this letter agreement which will constitute our agreement with respect to the subject matter of this letter agreement.</w:t>
      </w:r>
    </w:p>
    <w:p>
      <w:pPr>
        <w:spacing w:after="0" w:line="202"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Sincerely,</w:t>
      </w:r>
    </w:p>
    <w:p>
      <w:pPr>
        <w:spacing w:after="0" w:line="231"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MANPOWERGROUP INC.</w:t>
      </w: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By: /s/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-18415</wp:posOffset>
            </wp:positionV>
            <wp:extent cx="11010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22"/>
          <w:szCs w:val="22"/>
          <w:color w:val="auto"/>
        </w:rPr>
        <w:t>Jonas Prising, Chief Executive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17th day of February, 2023.</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Michelle Nettles</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Michelle Nettles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83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b w:val="1"/>
          <w:bCs w:val="1"/>
          <w:color w:val="auto"/>
        </w:rPr>
        <w:t>EXHIBIT 10.8(b)</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ManpowerGroup Inc.</w:t>
      </w:r>
    </w:p>
    <w:p>
      <w:pPr>
        <w:jc w:val="center"/>
        <w:spacing w:after="0" w:line="229"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Milwaukee, Wisconsin 53212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17, 2023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John T. McGinnis</w:t>
      </w:r>
    </w:p>
    <w:p>
      <w:pPr>
        <w:spacing w:after="0" w:line="236" w:lineRule="auto"/>
        <w:rPr>
          <w:sz w:val="20"/>
          <w:szCs w:val="20"/>
          <w:color w:val="auto"/>
        </w:rPr>
      </w:pPr>
      <w:r>
        <w:rPr>
          <w:rFonts w:ascii="Arial" w:cs="Arial" w:eastAsia="Arial" w:hAnsi="Arial"/>
          <w:sz w:val="22"/>
          <w:szCs w:val="22"/>
          <w:color w:val="auto"/>
        </w:rPr>
        <w:t>Chief Financial Officer</w:t>
      </w:r>
    </w:p>
    <w:p>
      <w:pPr>
        <w:spacing w:after="0" w:line="230" w:lineRule="auto"/>
        <w:rPr>
          <w:sz w:val="20"/>
          <w:szCs w:val="20"/>
          <w:color w:val="auto"/>
        </w:rPr>
      </w:pPr>
      <w:r>
        <w:rPr>
          <w:rFonts w:ascii="Arial" w:cs="Arial" w:eastAsia="Arial" w:hAnsi="Arial"/>
          <w:sz w:val="22"/>
          <w:szCs w:val="22"/>
          <w:color w:val="auto"/>
        </w:rPr>
        <w:t>ManpowerGroup Inc.</w:t>
      </w:r>
    </w:p>
    <w:p>
      <w:pPr>
        <w:spacing w:after="0" w:line="230" w:lineRule="auto"/>
        <w:rPr>
          <w:sz w:val="20"/>
          <w:szCs w:val="20"/>
          <w:color w:val="auto"/>
        </w:rPr>
      </w:pPr>
      <w:r>
        <w:rPr>
          <w:rFonts w:ascii="Arial" w:cs="Arial" w:eastAsia="Arial" w:hAnsi="Arial"/>
          <w:sz w:val="22"/>
          <w:szCs w:val="22"/>
          <w:color w:val="auto"/>
        </w:rPr>
        <w:t>100 Manpower Place</w:t>
      </w:r>
    </w:p>
    <w:p>
      <w:pPr>
        <w:spacing w:after="0"/>
        <w:rPr>
          <w:sz w:val="20"/>
          <w:szCs w:val="20"/>
          <w:color w:val="auto"/>
        </w:rPr>
      </w:pPr>
      <w:r>
        <w:rPr>
          <w:rFonts w:ascii="Arial" w:cs="Arial" w:eastAsia="Arial" w:hAnsi="Arial"/>
          <w:sz w:val="22"/>
          <w:szCs w:val="22"/>
          <w:color w:val="auto"/>
        </w:rPr>
        <w:t>Milwaukee, WI 53212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Dear John:</w:t>
      </w:r>
    </w:p>
    <w:p>
      <w:pPr>
        <w:spacing w:after="0" w:line="231" w:lineRule="exact"/>
        <w:rPr>
          <w:sz w:val="20"/>
          <w:szCs w:val="20"/>
          <w:color w:val="auto"/>
        </w:rPr>
      </w:pPr>
    </w:p>
    <w:p>
      <w:pPr>
        <w:ind w:right="100" w:firstLine="749"/>
        <w:spacing w:after="0" w:line="267" w:lineRule="auto"/>
        <w:rPr>
          <w:sz w:val="20"/>
          <w:szCs w:val="20"/>
          <w:color w:val="auto"/>
        </w:rPr>
      </w:pPr>
      <w:r>
        <w:rPr>
          <w:rFonts w:ascii="Arial" w:cs="Arial" w:eastAsia="Arial" w:hAnsi="Arial"/>
          <w:sz w:val="20"/>
          <w:szCs w:val="20"/>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87" w:lineRule="exact"/>
        <w:rPr>
          <w:sz w:val="20"/>
          <w:szCs w:val="20"/>
          <w:color w:val="auto"/>
        </w:rPr>
      </w:pPr>
    </w:p>
    <w:p>
      <w:pPr>
        <w:ind w:left="760" w:hanging="752"/>
        <w:spacing w:after="0"/>
        <w:tabs>
          <w:tab w:leader="none" w:pos="76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 agreement:</w:t>
      </w:r>
    </w:p>
    <w:p>
      <w:pPr>
        <w:spacing w:after="0" w:line="231" w:lineRule="exact"/>
        <w:rPr>
          <w:rFonts w:ascii="Arial" w:cs="Arial" w:eastAsia="Arial" w:hAnsi="Arial"/>
          <w:sz w:val="22"/>
          <w:szCs w:val="22"/>
          <w:color w:val="auto"/>
        </w:rPr>
      </w:pPr>
    </w:p>
    <w:p>
      <w:pPr>
        <w:ind w:left="1500" w:right="160" w:hanging="744"/>
        <w:spacing w:after="0" w:line="249" w:lineRule="auto"/>
        <w:tabs>
          <w:tab w:leader="none" w:pos="1500" w:val="left"/>
        </w:tabs>
        <w:numPr>
          <w:ilvl w:val="1"/>
          <w:numId w:val="132"/>
        </w:numPr>
        <w:rPr>
          <w:rFonts w:ascii="Arial" w:cs="Arial" w:eastAsia="Arial" w:hAnsi="Arial"/>
          <w:sz w:val="22"/>
          <w:szCs w:val="22"/>
          <w:color w:val="auto"/>
        </w:rPr>
      </w:pPr>
      <w:r>
        <w:rPr>
          <w:rFonts w:ascii="Arial" w:cs="Arial" w:eastAsia="Arial" w:hAnsi="Arial"/>
          <w:sz w:val="22"/>
          <w:szCs w:val="22"/>
          <w:u w:val="single" w:color="auto"/>
          <w:color w:val="auto"/>
        </w:rPr>
        <w:t>Benefit Plans</w:t>
      </w:r>
      <w:r>
        <w:rPr>
          <w:rFonts w:ascii="Arial" w:cs="Arial" w:eastAsia="Arial" w:hAnsi="Arial"/>
          <w:sz w:val="22"/>
          <w:szCs w:val="22"/>
          <w:color w:val="auto"/>
        </w:rPr>
        <w:t>. “Benefit Plans” means all benefits of employment generally made available to executives of the Corporation from time to time.</w:t>
      </w:r>
    </w:p>
    <w:p>
      <w:pPr>
        <w:spacing w:after="0" w:line="201" w:lineRule="exact"/>
        <w:rPr>
          <w:rFonts w:ascii="Arial" w:cs="Arial" w:eastAsia="Arial" w:hAnsi="Arial"/>
          <w:sz w:val="22"/>
          <w:szCs w:val="22"/>
          <w:color w:val="auto"/>
        </w:rPr>
      </w:pPr>
    </w:p>
    <w:p>
      <w:pPr>
        <w:ind w:left="1500" w:hanging="744"/>
        <w:spacing w:after="0" w:line="267" w:lineRule="auto"/>
        <w:tabs>
          <w:tab w:leader="none" w:pos="1500" w:val="left"/>
        </w:tabs>
        <w:numPr>
          <w:ilvl w:val="1"/>
          <w:numId w:val="132"/>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Insider Trading Policy, the Anti-Corruption Policy, Policy on Gifts, Entertainment and Sponsorships and policies included in the Employee Handbook), (v) any act by you of moral turpitude which is likely to result in discredit to or loss of business, reputation or goodwill of the Consolidated</w:t>
      </w:r>
    </w:p>
    <w:p>
      <w:pPr>
        <w:spacing w:after="0" w:line="6" w:lineRule="exact"/>
        <w:rPr>
          <w:sz w:val="20"/>
          <w:szCs w:val="20"/>
          <w:color w:val="auto"/>
        </w:rPr>
      </w:pPr>
    </w:p>
    <w:p>
      <w:pPr>
        <w:ind w:left="1500" w:right="200"/>
        <w:spacing w:after="0" w:line="229" w:lineRule="auto"/>
        <w:rPr>
          <w:sz w:val="20"/>
          <w:szCs w:val="20"/>
          <w:color w:val="auto"/>
        </w:rPr>
      </w:pPr>
      <w:r>
        <w:rPr>
          <w:rFonts w:ascii="Arial" w:cs="Arial" w:eastAsia="Arial" w:hAnsi="Arial"/>
          <w:sz w:val="22"/>
          <w:szCs w:val="22"/>
          <w:color w:val="auto"/>
        </w:rPr>
        <w:t>ManpowerGroup, (vi) your chronic absence from work other than by reason of a serious health condition, (vii) your commission of a crime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83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4" w:name="page155"/>
    <w:bookmarkEnd w:id="154"/>
    <w:p>
      <w:pPr>
        <w:ind w:left="744" w:right="100"/>
        <w:spacing w:after="0" w:line="268" w:lineRule="auto"/>
        <w:rPr>
          <w:sz w:val="20"/>
          <w:szCs w:val="20"/>
          <w:color w:val="auto"/>
        </w:rPr>
      </w:pPr>
      <w:r>
        <w:rPr>
          <w:rFonts w:ascii="Arial" w:cs="Arial" w:eastAsia="Arial" w:hAnsi="Arial"/>
          <w:sz w:val="20"/>
          <w:szCs w:val="20"/>
          <w:color w:val="auto"/>
        </w:rPr>
        <w:t>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184" w:lineRule="exact"/>
        <w:rPr>
          <w:sz w:val="20"/>
          <w:szCs w:val="20"/>
          <w:color w:val="auto"/>
        </w:rPr>
      </w:pPr>
    </w:p>
    <w:p>
      <w:pPr>
        <w:ind w:left="744" w:hanging="744"/>
        <w:spacing w:after="0"/>
        <w:tabs>
          <w:tab w:leader="none" w:pos="744"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231" w:lineRule="exact"/>
        <w:rPr>
          <w:rFonts w:ascii="Arial" w:cs="Arial" w:eastAsia="Arial" w:hAnsi="Arial"/>
          <w:sz w:val="22"/>
          <w:szCs w:val="22"/>
          <w:color w:val="auto"/>
        </w:rPr>
      </w:pPr>
    </w:p>
    <w:p>
      <w:pPr>
        <w:ind w:left="1504" w:right="40" w:hanging="755"/>
        <w:spacing w:after="0" w:line="255" w:lineRule="auto"/>
        <w:tabs>
          <w:tab w:leader="none" w:pos="1504"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4" w:lineRule="exact"/>
        <w:rPr>
          <w:rFonts w:ascii="Arial" w:cs="Arial" w:eastAsia="Arial" w:hAnsi="Arial"/>
          <w:sz w:val="20"/>
          <w:szCs w:val="20"/>
          <w:color w:val="auto"/>
        </w:rPr>
      </w:pPr>
    </w:p>
    <w:p>
      <w:pPr>
        <w:ind w:left="1504" w:hanging="755"/>
        <w:spacing w:after="0" w:line="268" w:lineRule="auto"/>
        <w:tabs>
          <w:tab w:leader="none" w:pos="1504" w:val="left"/>
        </w:tabs>
        <w:numPr>
          <w:ilvl w:val="1"/>
          <w:numId w:val="133"/>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w:t>
      </w:r>
    </w:p>
    <w:p>
      <w:pPr>
        <w:ind w:left="1504"/>
        <w:spacing w:after="0" w:line="232" w:lineRule="auto"/>
        <w:rPr>
          <w:sz w:val="20"/>
          <w:szCs w:val="20"/>
          <w:color w:val="auto"/>
        </w:rPr>
      </w:pPr>
      <w:r>
        <w:rPr>
          <w:rFonts w:ascii="Arial" w:cs="Arial" w:eastAsia="Arial" w:hAnsi="Arial"/>
          <w:sz w:val="22"/>
          <w:szCs w:val="22"/>
          <w:color w:val="auto"/>
        </w:rPr>
        <w:t>or</w:t>
      </w:r>
    </w:p>
    <w:p>
      <w:pPr>
        <w:spacing w:after="0" w:line="1"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50800</wp:posOffset>
            </wp:positionV>
            <wp:extent cx="71583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64"/>
          </w:cols>
          <w:pgMar w:left="1076" w:top="118" w:right="359" w:bottom="1440" w:gutter="0" w:footer="0" w:header="0"/>
        </w:sectPr>
      </w:pPr>
    </w:p>
    <w:bookmarkStart w:id="155" w:name="page156"/>
    <w:bookmarkEnd w:id="155"/>
    <w:p>
      <w:pPr>
        <w:ind w:left="2260" w:right="180" w:hanging="755"/>
        <w:spacing w:after="0" w:line="249" w:lineRule="auto"/>
        <w:tabs>
          <w:tab w:leader="none" w:pos="22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201" w:lineRule="exact"/>
        <w:rPr>
          <w:rFonts w:ascii="Arial" w:cs="Arial" w:eastAsia="Arial" w:hAnsi="Arial"/>
          <w:sz w:val="22"/>
          <w:szCs w:val="22"/>
          <w:color w:val="auto"/>
        </w:rPr>
      </w:pPr>
    </w:p>
    <w:p>
      <w:pPr>
        <w:ind w:left="2260" w:hanging="755"/>
        <w:spacing w:after="0" w:line="246" w:lineRule="exact"/>
        <w:tabs>
          <w:tab w:leader="none" w:pos="226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individuals who, as of the date of this letter agreement, constitute the Board of Directors of the Corporation (as of such date, the “Incumbent Board”) cease for any reason to constitute at least a majority of such Board; provided, however,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w:t>
      </w:r>
      <w:r>
        <w:rPr>
          <w:rFonts w:ascii="MS PGothic" w:cs="MS PGothic" w:eastAsia="MS PGothic" w:hAnsi="MS PGothic"/>
          <w:sz w:val="20"/>
          <w:szCs w:val="20"/>
          <w:color w:val="auto"/>
        </w:rPr>
        <w:t>‑</w:t>
      </w:r>
      <w:r>
        <w:rPr>
          <w:rFonts w:ascii="Arial" w:cs="Arial" w:eastAsia="Arial" w:hAnsi="Arial"/>
          <w:sz w:val="20"/>
          <w:szCs w:val="20"/>
          <w:color w:val="auto"/>
        </w:rPr>
        <w:t>12(c); or</w:t>
      </w:r>
    </w:p>
    <w:p>
      <w:pPr>
        <w:spacing w:after="0" w:line="213" w:lineRule="exact"/>
        <w:rPr>
          <w:rFonts w:ascii="Arial" w:cs="Arial" w:eastAsia="Arial" w:hAnsi="Arial"/>
          <w:sz w:val="20"/>
          <w:szCs w:val="20"/>
          <w:color w:val="auto"/>
        </w:rPr>
      </w:pPr>
    </w:p>
    <w:p>
      <w:pPr>
        <w:ind w:left="2260" w:right="40" w:hanging="755"/>
        <w:spacing w:after="0" w:line="286" w:lineRule="auto"/>
        <w:tabs>
          <w:tab w:leader="none" w:pos="226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42" w:lineRule="exact"/>
        <w:rPr>
          <w:sz w:val="20"/>
          <w:szCs w:val="20"/>
          <w:color w:val="auto"/>
        </w:rPr>
      </w:pPr>
    </w:p>
    <w:p>
      <w:pPr>
        <w:ind w:right="20" w:firstLine="749"/>
        <w:spacing w:after="0" w:line="267" w:lineRule="auto"/>
        <w:rPr>
          <w:sz w:val="20"/>
          <w:szCs w:val="20"/>
          <w:color w:val="auto"/>
        </w:rPr>
      </w:pPr>
      <w:r>
        <w:rPr>
          <w:rFonts w:ascii="Arial" w:cs="Arial" w:eastAsia="Arial" w:hAnsi="Arial"/>
          <w:sz w:val="20"/>
          <w:szCs w:val="20"/>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w:t>
      </w:r>
    </w:p>
    <w:p>
      <w:pPr>
        <w:spacing w:after="0" w:line="160" w:lineRule="exact"/>
        <w:rPr>
          <w:sz w:val="20"/>
          <w:szCs w:val="20"/>
          <w:color w:val="auto"/>
        </w:rPr>
      </w:pPr>
    </w:p>
    <w:p>
      <w:pPr>
        <w:ind w:left="1500" w:right="580" w:hanging="744"/>
        <w:spacing w:after="0" w:line="249" w:lineRule="auto"/>
        <w:tabs>
          <w:tab w:leader="none" w:pos="1500"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201" w:lineRule="exact"/>
        <w:rPr>
          <w:rFonts w:ascii="Arial" w:cs="Arial" w:eastAsia="Arial" w:hAnsi="Arial"/>
          <w:sz w:val="22"/>
          <w:szCs w:val="22"/>
          <w:color w:val="auto"/>
        </w:rPr>
      </w:pPr>
    </w:p>
    <w:p>
      <w:pPr>
        <w:ind w:left="2260" w:right="40" w:hanging="755"/>
        <w:spacing w:after="0" w:line="238" w:lineRule="auto"/>
        <w:tabs>
          <w:tab w:leader="none" w:pos="194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any material breach of any material obligation of any member of the Consolidated ManpowerGroup for the payment or provision of compensation or other benefits to you;</w:t>
      </w:r>
    </w:p>
    <w:p>
      <w:pPr>
        <w:ind w:left="1940" w:hanging="435"/>
        <w:spacing w:after="0" w:line="229" w:lineRule="auto"/>
        <w:tabs>
          <w:tab w:leader="none" w:pos="194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 material diminution in your base salary;</w:t>
      </w:r>
    </w:p>
    <w:p>
      <w:pPr>
        <w:ind w:left="2260" w:hanging="755"/>
        <w:spacing w:after="0" w:line="265" w:lineRule="auto"/>
        <w:tabs>
          <w:tab w:leader="none" w:pos="1942" w:val="left"/>
        </w:tabs>
        <w:numPr>
          <w:ilvl w:val="1"/>
          <w:numId w:val="135"/>
        </w:numPr>
        <w:rPr>
          <w:rFonts w:ascii="Arial" w:cs="Arial" w:eastAsia="Arial" w:hAnsi="Arial"/>
          <w:sz w:val="19"/>
          <w:szCs w:val="19"/>
          <w:color w:val="auto"/>
        </w:rPr>
      </w:pPr>
      <w:r>
        <w:rPr>
          <w:rFonts w:ascii="Arial" w:cs="Arial" w:eastAsia="Arial" w:hAnsi="Arial"/>
          <w:sz w:val="19"/>
          <w:szCs w:val="19"/>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2" w:lineRule="exact"/>
        <w:rPr>
          <w:rFonts w:ascii="Arial" w:cs="Arial" w:eastAsia="Arial" w:hAnsi="Arial"/>
          <w:sz w:val="19"/>
          <w:szCs w:val="19"/>
          <w:color w:val="auto"/>
        </w:rPr>
      </w:pPr>
    </w:p>
    <w:p>
      <w:pPr>
        <w:ind w:left="1940" w:hanging="435"/>
        <w:spacing w:after="0"/>
        <w:tabs>
          <w:tab w:leader="none" w:pos="194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a material diminution in your authority, duties or responsibilities which is not accompanied by a material</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reduction in your target bonus opportunity</w:t>
      </w:r>
    </w:p>
    <w:p>
      <w:pPr>
        <w:ind w:left="5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83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56" w:name="page157"/>
    <w:bookmarkEnd w:id="156"/>
    <w:p>
      <w:pPr>
        <w:ind w:left="2260"/>
        <w:spacing w:after="0"/>
        <w:rPr>
          <w:sz w:val="20"/>
          <w:szCs w:val="20"/>
          <w:color w:val="auto"/>
        </w:rPr>
      </w:pPr>
      <w:r>
        <w:rPr>
          <w:rFonts w:ascii="Arial" w:cs="Arial" w:eastAsia="Arial" w:hAnsi="Arial"/>
          <w:sz w:val="22"/>
          <w:szCs w:val="22"/>
          <w:color w:val="auto"/>
        </w:rPr>
        <w:t>but which diminution occurs within two years after the occurrence of a Change of Control;</w:t>
      </w:r>
    </w:p>
    <w:p>
      <w:pPr>
        <w:spacing w:after="0" w:line="8" w:lineRule="exact"/>
        <w:rPr>
          <w:sz w:val="20"/>
          <w:szCs w:val="20"/>
          <w:color w:val="auto"/>
        </w:rPr>
      </w:pPr>
    </w:p>
    <w:p>
      <w:pPr>
        <w:ind w:left="2260" w:right="420" w:hanging="755"/>
        <w:spacing w:after="0" w:line="229" w:lineRule="auto"/>
        <w:tabs>
          <w:tab w:leader="none" w:pos="194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3" w:lineRule="exact"/>
        <w:rPr>
          <w:rFonts w:ascii="Arial" w:cs="Arial" w:eastAsia="Arial" w:hAnsi="Arial"/>
          <w:sz w:val="22"/>
          <w:szCs w:val="22"/>
          <w:color w:val="auto"/>
        </w:rPr>
      </w:pPr>
    </w:p>
    <w:p>
      <w:pPr>
        <w:ind w:left="2260" w:right="100" w:hanging="755"/>
        <w:spacing w:after="0" w:line="234" w:lineRule="auto"/>
        <w:tabs>
          <w:tab w:leader="none" w:pos="194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211" w:lineRule="exact"/>
        <w:rPr>
          <w:sz w:val="20"/>
          <w:szCs w:val="20"/>
          <w:color w:val="auto"/>
        </w:rPr>
      </w:pPr>
    </w:p>
    <w:p>
      <w:pPr>
        <w:ind w:right="40" w:firstLine="749"/>
        <w:spacing w:after="0" w:line="272" w:lineRule="auto"/>
        <w:rPr>
          <w:sz w:val="20"/>
          <w:szCs w:val="20"/>
          <w:color w:val="auto"/>
        </w:rPr>
      </w:pPr>
      <w:r>
        <w:rPr>
          <w:rFonts w:ascii="Arial" w:cs="Arial" w:eastAsia="Arial" w:hAnsi="Arial"/>
          <w:sz w:val="19"/>
          <w:szCs w:val="19"/>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w:t>
      </w:r>
    </w:p>
    <w:p>
      <w:pPr>
        <w:spacing w:after="0" w:line="2" w:lineRule="exact"/>
        <w:rPr>
          <w:sz w:val="20"/>
          <w:szCs w:val="20"/>
          <w:color w:val="auto"/>
        </w:rPr>
      </w:pPr>
    </w:p>
    <w:p>
      <w:pPr>
        <w:ind w:right="40" w:firstLine="8"/>
        <w:spacing w:after="0" w:line="231" w:lineRule="auto"/>
        <w:tabs>
          <w:tab w:leader="none" w:pos="37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your employment with the Consolidated ManpowerGroup is terminated by you within ninety (90) days after such diminution or breach occurs. Further, notwithstanding Subsections 1(d)(i)-(vi),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213" w:lineRule="exact"/>
        <w:rPr>
          <w:rFonts w:ascii="Arial" w:cs="Arial" w:eastAsia="Arial" w:hAnsi="Arial"/>
          <w:sz w:val="22"/>
          <w:szCs w:val="22"/>
          <w:color w:val="auto"/>
        </w:rPr>
      </w:pPr>
    </w:p>
    <w:p>
      <w:pPr>
        <w:ind w:left="1500" w:right="120" w:hanging="744"/>
        <w:spacing w:after="0" w:line="261" w:lineRule="auto"/>
        <w:tabs>
          <w:tab w:leader="none" w:pos="1500" w:val="left"/>
        </w:tabs>
        <w:numPr>
          <w:ilvl w:val="1"/>
          <w:numId w:val="137"/>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 forth in reasonable detail the facts and circumstances claimed to provide a basis for termination of your employment under the provision so indicated.</w:t>
      </w:r>
    </w:p>
    <w:p>
      <w:pPr>
        <w:spacing w:after="0" w:line="194" w:lineRule="exact"/>
        <w:rPr>
          <w:rFonts w:ascii="Arial" w:cs="Arial" w:eastAsia="Arial" w:hAnsi="Arial"/>
          <w:sz w:val="20"/>
          <w:szCs w:val="20"/>
          <w:color w:val="auto"/>
        </w:rPr>
      </w:pPr>
    </w:p>
    <w:p>
      <w:pPr>
        <w:jc w:val="both"/>
        <w:ind w:left="1500" w:right="280" w:hanging="744"/>
        <w:spacing w:after="0" w:line="275" w:lineRule="auto"/>
        <w:tabs>
          <w:tab w:leader="none" w:pos="1500" w:val="left"/>
        </w:tabs>
        <w:numPr>
          <w:ilvl w:val="1"/>
          <w:numId w:val="137"/>
        </w:numPr>
        <w:rPr>
          <w:rFonts w:ascii="Arial" w:cs="Arial" w:eastAsia="Arial" w:hAnsi="Arial"/>
          <w:sz w:val="20"/>
          <w:szCs w:val="20"/>
          <w:color w:val="auto"/>
        </w:rPr>
      </w:pPr>
      <w:r>
        <w:rPr>
          <w:rFonts w:ascii="Arial" w:cs="Arial" w:eastAsia="Arial" w:hAnsi="Arial"/>
          <w:sz w:val="20"/>
          <w:szCs w:val="20"/>
          <w:u w:val="single" w:color="auto"/>
          <w:color w:val="auto"/>
        </w:rPr>
        <w:t>Date of Termination</w:t>
      </w:r>
      <w:r>
        <w:rPr>
          <w:rFonts w:ascii="Arial" w:cs="Arial" w:eastAsia="Arial" w:hAnsi="Arial"/>
          <w:sz w:val="20"/>
          <w:szCs w:val="20"/>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178" w:lineRule="exact"/>
        <w:rPr>
          <w:rFonts w:ascii="Arial" w:cs="Arial" w:eastAsia="Arial" w:hAnsi="Arial"/>
          <w:sz w:val="20"/>
          <w:szCs w:val="20"/>
          <w:color w:val="auto"/>
        </w:rPr>
      </w:pPr>
    </w:p>
    <w:p>
      <w:pPr>
        <w:ind w:left="1500" w:hanging="744"/>
        <w:spacing w:after="0"/>
        <w:tabs>
          <w:tab w:leader="none" w:pos="1500" w:val="left"/>
        </w:tabs>
        <w:numPr>
          <w:ilvl w:val="1"/>
          <w:numId w:val="137"/>
        </w:numPr>
        <w:rPr>
          <w:rFonts w:ascii="Arial" w:cs="Arial" w:eastAsia="Arial" w:hAnsi="Arial"/>
          <w:sz w:val="19"/>
          <w:szCs w:val="19"/>
          <w:color w:val="auto"/>
        </w:rPr>
      </w:pPr>
      <w:r>
        <w:rPr>
          <w:rFonts w:ascii="Arial" w:cs="Arial" w:eastAsia="Arial" w:hAnsi="Arial"/>
          <w:sz w:val="19"/>
          <w:szCs w:val="19"/>
          <w:u w:val="single" w:color="auto"/>
          <w:color w:val="auto"/>
        </w:rPr>
        <w:t>Protected Period</w:t>
      </w:r>
      <w:r>
        <w:rPr>
          <w:rFonts w:ascii="Arial" w:cs="Arial" w:eastAsia="Arial" w:hAnsi="Arial"/>
          <w:sz w:val="19"/>
          <w:szCs w:val="19"/>
          <w:color w:val="auto"/>
        </w:rPr>
        <w:t>. The “Protected Period” shall be a period of time determined in accordance with the following:</w:t>
      </w:r>
    </w:p>
    <w:p>
      <w:pPr>
        <w:spacing w:after="0" w:line="266" w:lineRule="exact"/>
        <w:rPr>
          <w:sz w:val="20"/>
          <w:szCs w:val="20"/>
          <w:color w:val="auto"/>
        </w:rPr>
      </w:pPr>
    </w:p>
    <w:p>
      <w:pPr>
        <w:ind w:left="2260" w:right="340" w:hanging="755"/>
        <w:spacing w:after="0" w:line="235" w:lineRule="auto"/>
        <w:tabs>
          <w:tab w:leader="none" w:pos="22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if a Change of Control is triggered by an acquisition of shares of common stock of the Corporation pursuant to a tender offer, the Protected Period shall commence on the date of the initial tender offer and shall continue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83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7" w:name="page158"/>
    <w:bookmarkEnd w:id="157"/>
    <w:p>
      <w:pPr>
        <w:ind w:left="2260" w:right="420"/>
        <w:spacing w:after="0" w:line="327" w:lineRule="auto"/>
        <w:rPr>
          <w:sz w:val="20"/>
          <w:szCs w:val="20"/>
          <w:color w:val="auto"/>
        </w:rPr>
      </w:pPr>
      <w:r>
        <w:rPr>
          <w:rFonts w:ascii="Arial" w:cs="Arial" w:eastAsia="Arial" w:hAnsi="Arial"/>
          <w:sz w:val="19"/>
          <w:szCs w:val="19"/>
          <w:color w:val="auto"/>
        </w:rPr>
        <w:t>through and including the date of the Change of Control, provided that in no case will the Protected Period commence earlier than the date that is six months prior to the Change of Control;</w:t>
      </w:r>
    </w:p>
    <w:p>
      <w:pPr>
        <w:spacing w:after="0" w:line="131" w:lineRule="exact"/>
        <w:rPr>
          <w:sz w:val="20"/>
          <w:szCs w:val="20"/>
          <w:color w:val="auto"/>
        </w:rPr>
      </w:pPr>
    </w:p>
    <w:p>
      <w:pPr>
        <w:ind w:left="2260" w:right="160" w:hanging="755"/>
        <w:spacing w:after="0" w:line="264" w:lineRule="auto"/>
        <w:tabs>
          <w:tab w:leader="none" w:pos="2260" w:val="left"/>
        </w:tabs>
        <w:numPr>
          <w:ilvl w:val="2"/>
          <w:numId w:val="139"/>
        </w:numPr>
        <w:rPr>
          <w:rFonts w:ascii="Arial" w:cs="Arial" w:eastAsia="Arial" w:hAnsi="Arial"/>
          <w:sz w:val="20"/>
          <w:szCs w:val="20"/>
          <w:color w:val="auto"/>
        </w:rPr>
      </w:pPr>
      <w:r>
        <w:rPr>
          <w:rFonts w:ascii="Arial" w:cs="Arial" w:eastAsia="Arial" w:hAnsi="Arial"/>
          <w:sz w:val="20"/>
          <w:szCs w:val="20"/>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87" w:lineRule="exact"/>
        <w:rPr>
          <w:rFonts w:ascii="Arial" w:cs="Arial" w:eastAsia="Arial" w:hAnsi="Arial"/>
          <w:sz w:val="20"/>
          <w:szCs w:val="20"/>
          <w:color w:val="auto"/>
        </w:rPr>
      </w:pPr>
    </w:p>
    <w:p>
      <w:pPr>
        <w:ind w:left="2260" w:right="120" w:hanging="755"/>
        <w:spacing w:after="0" w:line="239" w:lineRule="auto"/>
        <w:tabs>
          <w:tab w:leader="none" w:pos="2260" w:val="left"/>
        </w:tabs>
        <w:numPr>
          <w:ilvl w:val="2"/>
          <w:numId w:val="139"/>
        </w:numPr>
        <w:rPr>
          <w:rFonts w:ascii="Arial" w:cs="Arial" w:eastAsia="Arial" w:hAnsi="Arial"/>
          <w:sz w:val="22"/>
          <w:szCs w:val="22"/>
          <w:color w:val="auto"/>
        </w:rPr>
      </w:pPr>
      <w:r>
        <w:rPr>
          <w:rFonts w:ascii="Arial" w:cs="Arial" w:eastAsia="Arial" w:hAnsi="Arial"/>
          <w:sz w:val="22"/>
          <w:szCs w:val="22"/>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12" w:lineRule="exact"/>
        <w:rPr>
          <w:rFonts w:ascii="Arial" w:cs="Arial" w:eastAsia="Arial" w:hAnsi="Arial"/>
          <w:sz w:val="22"/>
          <w:szCs w:val="22"/>
          <w:color w:val="auto"/>
        </w:rPr>
      </w:pPr>
    </w:p>
    <w:p>
      <w:pPr>
        <w:ind w:left="1480" w:right="560" w:hanging="724"/>
        <w:spacing w:after="0" w:line="267" w:lineRule="auto"/>
        <w:tabs>
          <w:tab w:leader="none" w:pos="1480" w:val="left"/>
        </w:tabs>
        <w:numPr>
          <w:ilvl w:val="1"/>
          <w:numId w:val="140"/>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The “Term” will be a period beginning on the date of this letter agreement indicated above and ending on the first to occur of the following: (a) the date which is the two-year anniversary of the occurrence of a Change of Control; (b) February 28, 2026 if no Change of Control occurs between the date of this letter agreement indicated above and February 28, 2026; or (c) the Date of Termination.</w:t>
      </w:r>
    </w:p>
    <w:p>
      <w:pPr>
        <w:spacing w:after="0" w:line="187" w:lineRule="exact"/>
        <w:rPr>
          <w:rFonts w:ascii="Arial" w:cs="Arial" w:eastAsia="Arial" w:hAnsi="Arial"/>
          <w:sz w:val="20"/>
          <w:szCs w:val="20"/>
          <w:color w:val="auto"/>
        </w:rPr>
      </w:pPr>
    </w:p>
    <w:p>
      <w:pPr>
        <w:ind w:left="760" w:hanging="752"/>
        <w:spacing w:after="0"/>
        <w:tabs>
          <w:tab w:leader="none" w:pos="760"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231" w:lineRule="exact"/>
        <w:rPr>
          <w:rFonts w:ascii="Arial" w:cs="Arial" w:eastAsia="Arial" w:hAnsi="Arial"/>
          <w:sz w:val="22"/>
          <w:szCs w:val="22"/>
          <w:color w:val="auto"/>
        </w:rPr>
      </w:pPr>
    </w:p>
    <w:p>
      <w:pPr>
        <w:ind w:left="1500" w:right="20" w:hanging="744"/>
        <w:spacing w:after="0" w:line="234" w:lineRule="auto"/>
        <w:tabs>
          <w:tab w:leader="none" w:pos="1500" w:val="left"/>
        </w:tabs>
        <w:numPr>
          <w:ilvl w:val="1"/>
          <w:numId w:val="141"/>
        </w:numPr>
        <w:rPr>
          <w:rFonts w:ascii="Arial" w:cs="Arial" w:eastAsia="Arial" w:hAnsi="Arial"/>
          <w:sz w:val="22"/>
          <w:szCs w:val="22"/>
          <w:color w:val="auto"/>
        </w:rPr>
      </w:pPr>
      <w:r>
        <w:rPr>
          <w:rFonts w:ascii="Arial" w:cs="Arial" w:eastAsia="Arial" w:hAnsi="Arial"/>
          <w:sz w:val="22"/>
          <w:szCs w:val="22"/>
          <w:u w:val="single" w:color="auto"/>
          <w:color w:val="auto"/>
        </w:rPr>
        <w:t>Termination by the Corporation for Cause or by You Other Than for Good Reason</w:t>
      </w:r>
      <w:r>
        <w:rPr>
          <w:rFonts w:ascii="Arial" w:cs="Arial" w:eastAsia="Arial" w:hAnsi="Arial"/>
          <w:sz w:val="22"/>
          <w:szCs w:val="22"/>
          <w:color w:val="auto"/>
        </w:rPr>
        <w:t>.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210" w:lineRule="exact"/>
        <w:rPr>
          <w:rFonts w:ascii="Arial" w:cs="Arial" w:eastAsia="Arial" w:hAnsi="Arial"/>
          <w:sz w:val="22"/>
          <w:szCs w:val="22"/>
          <w:color w:val="auto"/>
        </w:rPr>
      </w:pPr>
    </w:p>
    <w:p>
      <w:pPr>
        <w:ind w:left="1500" w:right="260" w:hanging="744"/>
        <w:spacing w:after="0" w:line="275" w:lineRule="auto"/>
        <w:tabs>
          <w:tab w:leader="none" w:pos="1500" w:val="left"/>
        </w:tabs>
        <w:numPr>
          <w:ilvl w:val="1"/>
          <w:numId w:val="141"/>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Consolidated ManpowerGroup terminates during the Term by reason of your disability or death, the Corporation will pay or provide you with</w:t>
      </w:r>
    </w:p>
    <w:p>
      <w:pPr>
        <w:spacing w:after="0" w:line="1" w:lineRule="exact"/>
        <w:rPr>
          <w:rFonts w:ascii="Arial" w:cs="Arial" w:eastAsia="Arial" w:hAnsi="Arial"/>
          <w:sz w:val="19"/>
          <w:szCs w:val="19"/>
          <w:color w:val="auto"/>
        </w:rPr>
      </w:pPr>
    </w:p>
    <w:p>
      <w:pPr>
        <w:jc w:val="both"/>
        <w:ind w:left="1500" w:firstLine="5"/>
        <w:spacing w:after="0" w:line="265" w:lineRule="auto"/>
        <w:tabs>
          <w:tab w:leader="none" w:pos="1757" w:val="left"/>
        </w:tabs>
        <w:numPr>
          <w:ilvl w:val="2"/>
          <w:numId w:val="141"/>
        </w:numPr>
        <w:rPr>
          <w:rFonts w:ascii="Arial" w:cs="Arial" w:eastAsia="Arial" w:hAnsi="Arial"/>
          <w:sz w:val="19"/>
          <w:szCs w:val="19"/>
          <w:color w:val="auto"/>
        </w:rPr>
      </w:pPr>
      <w:r>
        <w:rPr>
          <w:rFonts w:ascii="Arial" w:cs="Arial" w:eastAsia="Arial" w:hAnsi="Arial"/>
          <w:sz w:val="19"/>
          <w:szCs w:val="19"/>
          <w:color w:val="auto"/>
        </w:rPr>
        <w:t>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w:t>
      </w:r>
    </w:p>
    <w:p>
      <w:pPr>
        <w:spacing w:after="0" w:line="4" w:lineRule="exact"/>
        <w:rPr>
          <w:sz w:val="20"/>
          <w:szCs w:val="20"/>
          <w:color w:val="auto"/>
        </w:rPr>
      </w:pPr>
    </w:p>
    <w:p>
      <w:pPr>
        <w:ind w:left="1500" w:right="200"/>
        <w:spacing w:after="0" w:line="229" w:lineRule="auto"/>
        <w:rPr>
          <w:sz w:val="20"/>
          <w:szCs w:val="20"/>
          <w:color w:val="auto"/>
        </w:rPr>
      </w:pPr>
      <w:r>
        <w:rPr>
          <w:rFonts w:ascii="Arial" w:cs="Arial" w:eastAsia="Arial" w:hAnsi="Arial"/>
          <w:sz w:val="22"/>
          <w:szCs w:val="22"/>
          <w:color w:val="auto"/>
        </w:rPr>
        <w:t>Date of Termination, and (iii) all benefits to which you are entitled under any Benefit Plans in accordance with the terms of such plans.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83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ind w:left="744"/>
        <w:spacing w:after="0" w:line="281" w:lineRule="auto"/>
        <w:rPr>
          <w:sz w:val="20"/>
          <w:szCs w:val="20"/>
          <w:color w:val="auto"/>
        </w:rPr>
      </w:pPr>
      <w:r>
        <w:rPr>
          <w:rFonts w:ascii="Arial" w:cs="Arial" w:eastAsia="Arial" w:hAnsi="Arial"/>
          <w:sz w:val="19"/>
          <w:szCs w:val="19"/>
          <w:color w:val="auto"/>
        </w:rPr>
        <w:t>For purposes of this letter agreement,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174" w:lineRule="exact"/>
        <w:rPr>
          <w:sz w:val="20"/>
          <w:szCs w:val="20"/>
          <w:color w:val="auto"/>
        </w:rPr>
      </w:pPr>
    </w:p>
    <w:p>
      <w:pPr>
        <w:ind w:left="744" w:hanging="744"/>
        <w:spacing w:after="0" w:line="296" w:lineRule="auto"/>
        <w:tabs>
          <w:tab w:leader="none" w:pos="744"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Termination for Any Other Reason - Other than in a Change of Control</w:t>
      </w:r>
      <w:r>
        <w:rPr>
          <w:rFonts w:ascii="Arial" w:cs="Arial" w:eastAsia="Arial" w:hAnsi="Arial"/>
          <w:sz w:val="19"/>
          <w:szCs w:val="19"/>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60" w:lineRule="exact"/>
        <w:rPr>
          <w:rFonts w:ascii="Arial" w:cs="Arial" w:eastAsia="Arial" w:hAnsi="Arial"/>
          <w:sz w:val="19"/>
          <w:szCs w:val="19"/>
          <w:color w:val="auto"/>
        </w:rPr>
      </w:pPr>
    </w:p>
    <w:p>
      <w:pPr>
        <w:ind w:left="2244" w:right="220" w:hanging="746"/>
        <w:spacing w:after="0" w:line="298" w:lineRule="auto"/>
        <w:tabs>
          <w:tab w:leader="none" w:pos="1925" w:val="left"/>
        </w:tabs>
        <w:numPr>
          <w:ilvl w:val="1"/>
          <w:numId w:val="142"/>
        </w:numPr>
        <w:rPr>
          <w:rFonts w:ascii="Arial" w:cs="Arial" w:eastAsia="Arial" w:hAnsi="Arial"/>
          <w:sz w:val="20"/>
          <w:szCs w:val="20"/>
          <w:color w:val="auto"/>
        </w:rPr>
      </w:pPr>
      <w:r>
        <w:rPr>
          <w:rFonts w:ascii="Arial" w:cs="Arial" w:eastAsia="Arial" w:hAnsi="Arial"/>
          <w:sz w:val="20"/>
          <w:szCs w:val="20"/>
          <w:color w:val="auto"/>
        </w:rPr>
        <w:t>the Corporation will pay you, your unpaid bonus, if any, attributable to any complete fiscal year of the Consolidated ManpowerGroup ended before the Date of Termination;</w:t>
      </w:r>
    </w:p>
    <w:p>
      <w:pPr>
        <w:spacing w:after="0" w:line="128" w:lineRule="exact"/>
        <w:rPr>
          <w:rFonts w:ascii="Arial" w:cs="Arial" w:eastAsia="Arial" w:hAnsi="Arial"/>
          <w:sz w:val="20"/>
          <w:szCs w:val="20"/>
          <w:color w:val="auto"/>
        </w:rPr>
      </w:pPr>
    </w:p>
    <w:p>
      <w:pPr>
        <w:ind w:left="2244" w:right="200" w:hanging="746"/>
        <w:spacing w:after="0" w:line="260" w:lineRule="auto"/>
        <w:tabs>
          <w:tab w:leader="none" w:pos="1925" w:val="left"/>
        </w:tabs>
        <w:numPr>
          <w:ilvl w:val="1"/>
          <w:numId w:val="142"/>
        </w:numPr>
        <w:rPr>
          <w:rFonts w:ascii="Arial" w:cs="Arial" w:eastAsia="Arial" w:hAnsi="Arial"/>
          <w:sz w:val="20"/>
          <w:szCs w:val="20"/>
          <w:color w:val="auto"/>
        </w:rPr>
      </w:pPr>
      <w:r>
        <w:rPr>
          <w:rFonts w:ascii="Arial" w:cs="Arial" w:eastAsia="Arial" w:hAnsi="Arial"/>
          <w:sz w:val="20"/>
          <w:szCs w:val="20"/>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66" w:lineRule="exact"/>
        <w:rPr>
          <w:rFonts w:ascii="Arial" w:cs="Arial" w:eastAsia="Arial" w:hAnsi="Arial"/>
          <w:sz w:val="20"/>
          <w:szCs w:val="20"/>
          <w:color w:val="auto"/>
        </w:rPr>
      </w:pPr>
    </w:p>
    <w:p>
      <w:pPr>
        <w:ind w:left="2244" w:right="120" w:hanging="746"/>
        <w:spacing w:after="0" w:line="235" w:lineRule="auto"/>
        <w:tabs>
          <w:tab w:leader="none" w:pos="1925"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provided, however, that such payment will not exceed two times the amount of your base salary as then in effect;</w:t>
      </w:r>
    </w:p>
    <w:p>
      <w:pPr>
        <w:spacing w:after="0" w:line="214" w:lineRule="exact"/>
        <w:rPr>
          <w:rFonts w:ascii="Arial" w:cs="Arial" w:eastAsia="Arial" w:hAnsi="Arial"/>
          <w:sz w:val="22"/>
          <w:szCs w:val="22"/>
          <w:color w:val="auto"/>
        </w:rPr>
      </w:pPr>
    </w:p>
    <w:p>
      <w:pPr>
        <w:ind w:left="2244" w:right="40" w:hanging="746"/>
        <w:spacing w:after="0" w:line="245" w:lineRule="exact"/>
        <w:tabs>
          <w:tab w:leader="none" w:pos="1925" w:val="left"/>
        </w:tabs>
        <w:numPr>
          <w:ilvl w:val="1"/>
          <w:numId w:val="142"/>
        </w:numPr>
        <w:rPr>
          <w:rFonts w:ascii="Arial" w:cs="Arial" w:eastAsia="Arial" w:hAnsi="Arial"/>
          <w:sz w:val="19"/>
          <w:szCs w:val="19"/>
          <w:color w:val="auto"/>
        </w:rPr>
      </w:pPr>
      <w:r>
        <w:rPr>
          <w:rFonts w:ascii="Arial" w:cs="Arial" w:eastAsia="Arial" w:hAnsi="Arial"/>
          <w:sz w:val="19"/>
          <w:szCs w:val="19"/>
          <w:color w:val="auto"/>
        </w:rPr>
        <w:t>for up to a twelve</w:t>
      </w:r>
      <w:r>
        <w:rPr>
          <w:rFonts w:ascii="MS PGothic" w:cs="MS PGothic" w:eastAsia="MS PGothic" w:hAnsi="MS PGothic"/>
          <w:sz w:val="19"/>
          <w:szCs w:val="19"/>
          <w:color w:val="auto"/>
        </w:rPr>
        <w:t>‑</w:t>
      </w:r>
      <w:r>
        <w:rPr>
          <w:rFonts w:ascii="Arial" w:cs="Arial" w:eastAsia="Arial" w:hAnsi="Arial"/>
          <w:sz w:val="19"/>
          <w:szCs w:val="19"/>
          <w:color w:val="auto"/>
        </w:rPr>
        <w:t>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w:t>
      </w:r>
    </w:p>
    <w:p>
      <w:pPr>
        <w:spacing w:after="0" w:line="4" w:lineRule="exact"/>
        <w:rPr>
          <w:sz w:val="20"/>
          <w:szCs w:val="20"/>
          <w:color w:val="auto"/>
        </w:rPr>
      </w:pPr>
    </w:p>
    <w:p>
      <w:pPr>
        <w:jc w:val="both"/>
        <w:ind w:left="2244" w:right="240"/>
        <w:spacing w:after="0" w:line="242" w:lineRule="exact"/>
        <w:rPr>
          <w:sz w:val="20"/>
          <w:szCs w:val="20"/>
          <w:color w:val="auto"/>
        </w:rPr>
      </w:pPr>
      <w:r>
        <w:rPr>
          <w:rFonts w:ascii="Arial" w:cs="Arial" w:eastAsia="Arial" w:hAnsi="Arial"/>
          <w:sz w:val="22"/>
          <w:szCs w:val="22"/>
          <w:color w:val="auto"/>
        </w:rPr>
        <w:t>comparable benefits are actually received by you during the twelve</w:t>
      </w:r>
      <w:r>
        <w:rPr>
          <w:rFonts w:ascii="MS PGothic" w:cs="MS PGothic" w:eastAsia="MS PGothic" w:hAnsi="MS PGothic"/>
          <w:sz w:val="22"/>
          <w:szCs w:val="22"/>
          <w:color w:val="auto"/>
        </w:rPr>
        <w:t>‑</w:t>
      </w:r>
      <w:r>
        <w:rPr>
          <w:rFonts w:ascii="Arial" w:cs="Arial" w:eastAsia="Arial" w:hAnsi="Arial"/>
          <w:sz w:val="22"/>
          <w:szCs w:val="22"/>
          <w:color w:val="auto"/>
        </w:rPr>
        <w:t>month period following your termination, and any such benefits actually received by you or your dependents will be reported to the Corporation; and provided, further that any</w:t>
      </w:r>
    </w:p>
    <w:p>
      <w:pPr>
        <w:spacing w:after="0" w:line="2"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50800</wp:posOffset>
            </wp:positionV>
            <wp:extent cx="71583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04"/>
          </w:cols>
          <w:pgMar w:left="1076" w:top="118" w:right="419" w:bottom="1440" w:gutter="0" w:footer="0" w:header="0"/>
        </w:sectPr>
      </w:pPr>
    </w:p>
    <w:bookmarkStart w:id="159" w:name="page160"/>
    <w:bookmarkEnd w:id="159"/>
    <w:p>
      <w:pPr>
        <w:ind w:left="1880" w:right="180"/>
        <w:spacing w:after="0" w:line="249" w:lineRule="auto"/>
        <w:rPr>
          <w:sz w:val="20"/>
          <w:szCs w:val="20"/>
          <w:color w:val="auto"/>
        </w:rPr>
      </w:pPr>
      <w:r>
        <w:rPr>
          <w:rFonts w:ascii="Arial" w:cs="Arial" w:eastAsia="Arial" w:hAnsi="Arial"/>
          <w:sz w:val="22"/>
          <w:szCs w:val="22"/>
          <w:color w:val="auto"/>
        </w:rPr>
        <w:t>insurance continuation coverage that you may be entitled to receive under COBRA or similar foreign or state laws will commence on the Date of Termination.</w:t>
      </w:r>
    </w:p>
    <w:p>
      <w:pPr>
        <w:spacing w:after="0" w:line="202" w:lineRule="exact"/>
        <w:rPr>
          <w:sz w:val="20"/>
          <w:szCs w:val="20"/>
          <w:color w:val="auto"/>
        </w:rPr>
      </w:pPr>
    </w:p>
    <w:p>
      <w:pPr>
        <w:ind w:left="1880"/>
        <w:spacing w:after="0" w:line="254" w:lineRule="auto"/>
        <w:rPr>
          <w:sz w:val="20"/>
          <w:szCs w:val="20"/>
          <w:color w:val="auto"/>
        </w:rPr>
      </w:pPr>
      <w:r>
        <w:rPr>
          <w:rFonts w:ascii="Arial" w:cs="Arial" w:eastAsia="Arial" w:hAnsi="Arial"/>
          <w:sz w:val="20"/>
          <w:szCs w:val="20"/>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w:t>
      </w:r>
    </w:p>
    <w:p>
      <w:pPr>
        <w:spacing w:after="0" w:line="215" w:lineRule="exact"/>
        <w:rPr>
          <w:sz w:val="20"/>
          <w:szCs w:val="20"/>
          <w:color w:val="auto"/>
        </w:rPr>
      </w:pPr>
    </w:p>
    <w:p>
      <w:pPr>
        <w:ind w:left="1880" w:hanging="746"/>
        <w:spacing w:after="0" w:line="269" w:lineRule="auto"/>
        <w:tabs>
          <w:tab w:leader="none" w:pos="1562"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2(c)(v), you will be solely responsible for payment of any additional costs incurred</w:t>
      </w:r>
    </w:p>
    <w:p>
      <w:pPr>
        <w:spacing w:after="0" w:line="2" w:lineRule="exact"/>
        <w:rPr>
          <w:sz w:val="20"/>
          <w:szCs w:val="20"/>
          <w:color w:val="auto"/>
        </w:rPr>
      </w:pPr>
    </w:p>
    <w:p>
      <w:pPr>
        <w:ind w:left="4460" w:right="500" w:hanging="2566"/>
        <w:spacing w:after="0" w:line="236" w:lineRule="auto"/>
        <w:rPr>
          <w:sz w:val="20"/>
          <w:szCs w:val="20"/>
          <w:color w:val="auto"/>
        </w:rPr>
      </w:pPr>
      <w:r>
        <w:rPr>
          <w:rFonts w:ascii="Arial" w:cs="Arial" w:eastAsia="Arial" w:hAnsi="Arial"/>
          <w:sz w:val="22"/>
          <w:szCs w:val="22"/>
          <w:color w:val="auto"/>
        </w:rPr>
        <w:t>as a result of your use of such outplacement services. The Corporation will not substitute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583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00"/>
          </w:cols>
          <w:pgMar w:left="1440" w:top="118" w:right="359" w:bottom="1440" w:gutter="0" w:footer="0" w:header="0"/>
        </w:sectPr>
      </w:pPr>
    </w:p>
    <w:bookmarkStart w:id="160" w:name="page161"/>
    <w:bookmarkEnd w:id="160"/>
    <w:p>
      <w:pPr>
        <w:ind w:left="2244" w:right="580"/>
        <w:spacing w:after="0" w:line="250" w:lineRule="auto"/>
        <w:rPr>
          <w:sz w:val="20"/>
          <w:szCs w:val="20"/>
          <w:color w:val="auto"/>
        </w:rPr>
      </w:pPr>
      <w:r>
        <w:rPr>
          <w:rFonts w:ascii="Arial" w:cs="Arial" w:eastAsia="Arial" w:hAnsi="Arial"/>
          <w:sz w:val="22"/>
          <w:szCs w:val="22"/>
          <w:color w:val="auto"/>
        </w:rPr>
        <w:t>cash or other compensation in lieu of the outplacement service program specified in this Subsection 2(c)(v).</w:t>
      </w:r>
    </w:p>
    <w:p>
      <w:pPr>
        <w:spacing w:after="0" w:line="200" w:lineRule="exact"/>
        <w:rPr>
          <w:sz w:val="20"/>
          <w:szCs w:val="20"/>
          <w:color w:val="auto"/>
        </w:rPr>
      </w:pPr>
    </w:p>
    <w:p>
      <w:pPr>
        <w:ind w:left="744" w:hanging="744"/>
        <w:spacing w:after="0" w:line="237" w:lineRule="auto"/>
        <w:tabs>
          <w:tab w:leader="none" w:pos="744"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 – Change of Control</w:t>
      </w:r>
      <w:r>
        <w:rPr>
          <w:rFonts w:ascii="Arial" w:cs="Arial" w:eastAsia="Arial" w:hAnsi="Arial"/>
          <w:sz w:val="22"/>
          <w:szCs w:val="22"/>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211" w:lineRule="exact"/>
        <w:rPr>
          <w:rFonts w:ascii="Arial" w:cs="Arial" w:eastAsia="Arial" w:hAnsi="Arial"/>
          <w:sz w:val="22"/>
          <w:szCs w:val="22"/>
          <w:color w:val="auto"/>
        </w:rPr>
      </w:pPr>
    </w:p>
    <w:p>
      <w:pPr>
        <w:ind w:left="2244" w:right="220" w:hanging="746"/>
        <w:spacing w:after="0" w:line="298" w:lineRule="auto"/>
        <w:tabs>
          <w:tab w:leader="none" w:pos="1925" w:val="left"/>
        </w:tabs>
        <w:numPr>
          <w:ilvl w:val="1"/>
          <w:numId w:val="144"/>
        </w:numPr>
        <w:rPr>
          <w:rFonts w:ascii="Arial" w:cs="Arial" w:eastAsia="Arial" w:hAnsi="Arial"/>
          <w:sz w:val="20"/>
          <w:szCs w:val="20"/>
          <w:color w:val="auto"/>
        </w:rPr>
      </w:pPr>
      <w:r>
        <w:rPr>
          <w:rFonts w:ascii="Arial" w:cs="Arial" w:eastAsia="Arial" w:hAnsi="Arial"/>
          <w:sz w:val="20"/>
          <w:szCs w:val="20"/>
          <w:color w:val="auto"/>
        </w:rPr>
        <w:t>the Corporation will pay you, your unpaid bonus, if any, attributable to any complete fiscal year of the Consolidated ManpowerGroup ended before the Date of Termination;</w:t>
      </w:r>
    </w:p>
    <w:p>
      <w:pPr>
        <w:spacing w:after="0" w:line="128" w:lineRule="exact"/>
        <w:rPr>
          <w:rFonts w:ascii="Arial" w:cs="Arial" w:eastAsia="Arial" w:hAnsi="Arial"/>
          <w:sz w:val="20"/>
          <w:szCs w:val="20"/>
          <w:color w:val="auto"/>
        </w:rPr>
      </w:pPr>
    </w:p>
    <w:p>
      <w:pPr>
        <w:ind w:left="2244" w:right="120" w:hanging="746"/>
        <w:spacing w:after="0" w:line="235" w:lineRule="auto"/>
        <w:tabs>
          <w:tab w:leader="none" w:pos="1925"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187" w:lineRule="exact"/>
        <w:rPr>
          <w:rFonts w:ascii="Arial" w:cs="Arial" w:eastAsia="Arial" w:hAnsi="Arial"/>
          <w:sz w:val="22"/>
          <w:szCs w:val="22"/>
          <w:color w:val="auto"/>
        </w:rPr>
      </w:pPr>
    </w:p>
    <w:p>
      <w:pPr>
        <w:ind w:left="2244" w:right="120" w:hanging="746"/>
        <w:spacing w:after="0" w:line="275" w:lineRule="auto"/>
        <w:tabs>
          <w:tab w:leader="none" w:pos="1925" w:val="left"/>
        </w:tabs>
        <w:numPr>
          <w:ilvl w:val="1"/>
          <w:numId w:val="144"/>
        </w:numPr>
        <w:rPr>
          <w:rFonts w:ascii="Arial" w:cs="Arial" w:eastAsia="Arial" w:hAnsi="Arial"/>
          <w:sz w:val="20"/>
          <w:szCs w:val="20"/>
          <w:color w:val="auto"/>
        </w:rPr>
      </w:pPr>
      <w:r>
        <w:rPr>
          <w:rFonts w:ascii="Arial" w:cs="Arial" w:eastAsia="Arial" w:hAnsi="Arial"/>
          <w:sz w:val="20"/>
          <w:szCs w:val="20"/>
          <w:color w:val="auto"/>
        </w:rPr>
        <w:t>the Corporation will pay, as a severance benefit to you, a lump-sum payment equal to three times the sum of (1) your annual base salary at the highest rate in effect during the Term and (2) your target annual bonus for the fiscal year in which the Change of Control occurs;</w:t>
      </w:r>
    </w:p>
    <w:p>
      <w:pPr>
        <w:spacing w:after="0" w:line="151" w:lineRule="exact"/>
        <w:rPr>
          <w:rFonts w:ascii="Arial" w:cs="Arial" w:eastAsia="Arial" w:hAnsi="Arial"/>
          <w:sz w:val="20"/>
          <w:szCs w:val="20"/>
          <w:color w:val="auto"/>
        </w:rPr>
      </w:pPr>
    </w:p>
    <w:p>
      <w:pPr>
        <w:ind w:left="2244" w:right="140" w:hanging="746"/>
        <w:spacing w:after="0" w:line="272" w:lineRule="auto"/>
        <w:tabs>
          <w:tab w:leader="none" w:pos="1925" w:val="left"/>
        </w:tabs>
        <w:numPr>
          <w:ilvl w:val="1"/>
          <w:numId w:val="144"/>
        </w:numPr>
        <w:rPr>
          <w:rFonts w:ascii="Arial" w:cs="Arial" w:eastAsia="Arial" w:hAnsi="Arial"/>
          <w:sz w:val="19"/>
          <w:szCs w:val="19"/>
          <w:color w:val="auto"/>
        </w:rPr>
      </w:pPr>
      <w:r>
        <w:rPr>
          <w:rFonts w:ascii="Arial" w:cs="Arial" w:eastAsia="Arial" w:hAnsi="Arial"/>
          <w:sz w:val="19"/>
          <w:szCs w:val="19"/>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55" w:lineRule="exact"/>
        <w:rPr>
          <w:sz w:val="20"/>
          <w:szCs w:val="20"/>
          <w:color w:val="auto"/>
        </w:rPr>
      </w:pPr>
    </w:p>
    <w:p>
      <w:pPr>
        <w:ind w:left="2244" w:right="140"/>
        <w:spacing w:after="0" w:line="249" w:lineRule="auto"/>
        <w:rPr>
          <w:sz w:val="20"/>
          <w:szCs w:val="20"/>
          <w:color w:val="auto"/>
        </w:rPr>
      </w:pPr>
      <w:r>
        <w:rPr>
          <w:rFonts w:ascii="Arial" w:cs="Arial" w:eastAsia="Arial" w:hAnsi="Arial"/>
          <w:sz w:val="22"/>
          <w:szCs w:val="22"/>
          <w:color w:val="auto"/>
        </w:rPr>
        <w:t>For purposes of this Subsection 2(d)(iv), “Health Insurance Continuation” means that, if, and to the extent, you or any of</w:t>
      </w:r>
    </w:p>
    <w:p>
      <w:pPr>
        <w:spacing w:after="0" w:line="175"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62230</wp:posOffset>
            </wp:positionV>
            <wp:extent cx="71583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04"/>
          </w:cols>
          <w:pgMar w:left="1076" w:top="118" w:right="419" w:bottom="1440" w:gutter="0" w:footer="0" w:header="0"/>
        </w:sectPr>
      </w:pPr>
    </w:p>
    <w:bookmarkStart w:id="161" w:name="page162"/>
    <w:bookmarkEnd w:id="161"/>
    <w:p>
      <w:pPr>
        <w:ind w:left="2188"/>
        <w:spacing w:after="0" w:line="255" w:lineRule="auto"/>
        <w:rPr>
          <w:sz w:val="20"/>
          <w:szCs w:val="20"/>
          <w:color w:val="auto"/>
        </w:rPr>
      </w:pPr>
      <w:r>
        <w:rPr>
          <w:rFonts w:ascii="Arial" w:cs="Arial" w:eastAsia="Arial" w:hAnsi="Arial"/>
          <w:sz w:val="20"/>
          <w:szCs w:val="20"/>
          <w:color w:val="auto"/>
        </w:rPr>
        <w:t>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w:t>
      </w:r>
    </w:p>
    <w:p>
      <w:pPr>
        <w:spacing w:after="0" w:line="172" w:lineRule="exact"/>
        <w:rPr>
          <w:sz w:val="20"/>
          <w:szCs w:val="20"/>
          <w:color w:val="auto"/>
        </w:rPr>
      </w:pPr>
    </w:p>
    <w:p>
      <w:pPr>
        <w:ind w:left="2188" w:right="40" w:hanging="746"/>
        <w:spacing w:after="0" w:line="258" w:lineRule="auto"/>
        <w:tabs>
          <w:tab w:leader="none" w:pos="1870" w:val="left"/>
        </w:tabs>
        <w:numPr>
          <w:ilvl w:val="1"/>
          <w:numId w:val="145"/>
        </w:numPr>
        <w:rPr>
          <w:rFonts w:ascii="Arial" w:cs="Arial" w:eastAsia="Arial" w:hAnsi="Arial"/>
          <w:sz w:val="20"/>
          <w:szCs w:val="20"/>
          <w:color w:val="auto"/>
        </w:rPr>
      </w:pPr>
      <w:r>
        <w:rPr>
          <w:rFonts w:ascii="Arial" w:cs="Arial" w:eastAsia="Arial" w:hAnsi="Arial"/>
          <w:sz w:val="20"/>
          <w:szCs w:val="20"/>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w:t>
      </w:r>
    </w:p>
    <w:p>
      <w:pPr>
        <w:spacing w:after="0" w:line="169" w:lineRule="exact"/>
        <w:rPr>
          <w:rFonts w:ascii="Arial" w:cs="Arial" w:eastAsia="Arial" w:hAnsi="Arial"/>
          <w:sz w:val="20"/>
          <w:szCs w:val="20"/>
          <w:color w:val="auto"/>
        </w:rPr>
      </w:pPr>
    </w:p>
    <w:p>
      <w:pPr>
        <w:ind w:left="688" w:right="300" w:hanging="688"/>
        <w:spacing w:after="0" w:line="239" w:lineRule="auto"/>
        <w:tabs>
          <w:tab w:leader="none" w:pos="425"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Limitation on Benefits</w:t>
      </w:r>
      <w:r>
        <w:rPr>
          <w:rFonts w:ascii="Arial" w:cs="Arial" w:eastAsia="Arial" w:hAnsi="Arial"/>
          <w:sz w:val="22"/>
          <w:szCs w:val="22"/>
          <w:color w:val="auto"/>
        </w:rPr>
        <w:t>. The amounts paid to you pursuant to Subsection 2(c)(iii) or 2(d)(iii) above will not be included as compensation for purposes of any qualified or nonqualified pension or welfare benefit plan of the</w:t>
      </w:r>
    </w:p>
    <w:p>
      <w:pPr>
        <w:spacing w:after="0" w:line="186" w:lineRule="exact"/>
        <w:rPr>
          <w:sz w:val="20"/>
          <w:szCs w:val="20"/>
          <w:color w:val="auto"/>
        </w:rPr>
      </w:pPr>
    </w:p>
    <w:p>
      <w:pPr>
        <w:ind w:left="4768"/>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62230</wp:posOffset>
            </wp:positionV>
            <wp:extent cx="71583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228"/>
          </w:cols>
          <w:pgMar w:left="1132" w:top="118" w:right="539" w:bottom="1440" w:gutter="0" w:footer="0" w:header="0"/>
        </w:sectPr>
      </w:pPr>
    </w:p>
    <w:bookmarkStart w:id="162" w:name="page163"/>
    <w:bookmarkEnd w:id="162"/>
    <w:p>
      <w:pPr>
        <w:ind w:left="690" w:right="420"/>
        <w:spacing w:after="0" w:line="255" w:lineRule="auto"/>
        <w:rPr>
          <w:sz w:val="20"/>
          <w:szCs w:val="20"/>
          <w:color w:val="auto"/>
        </w:rPr>
      </w:pPr>
      <w:r>
        <w:rPr>
          <w:rFonts w:ascii="Arial" w:cs="Arial" w:eastAsia="Arial" w:hAnsi="Arial"/>
          <w:sz w:val="20"/>
          <w:szCs w:val="20"/>
          <w:color w:val="auto"/>
        </w:rPr>
        <w:t>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181" w:lineRule="exact"/>
        <w:rPr>
          <w:sz w:val="20"/>
          <w:szCs w:val="20"/>
          <w:color w:val="auto"/>
        </w:rPr>
      </w:pPr>
    </w:p>
    <w:p>
      <w:pPr>
        <w:ind w:left="690" w:hanging="690"/>
        <w:spacing w:after="0" w:line="262" w:lineRule="auto"/>
        <w:tabs>
          <w:tab w:leader="none" w:pos="425"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Timing of Payments</w:t>
      </w:r>
      <w:r>
        <w:rPr>
          <w:rFonts w:ascii="Arial" w:cs="Arial" w:eastAsia="Arial" w:hAnsi="Arial"/>
          <w:sz w:val="19"/>
          <w:szCs w:val="19"/>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25"/>
          <w:szCs w:val="25"/>
          <w:color w:val="auto"/>
          <w:vertAlign w:val="superscript"/>
        </w:rPr>
        <w:t>th</w:t>
      </w:r>
      <w:r>
        <w:rPr>
          <w:rFonts w:ascii="Arial" w:cs="Arial" w:eastAsia="Arial" w:hAnsi="Arial"/>
          <w:sz w:val="19"/>
          <w:szCs w:val="19"/>
          <w:color w:val="auto"/>
        </w:rPr>
        <w:t>)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w:t>
      </w:r>
    </w:p>
    <w:p>
      <w:pPr>
        <w:spacing w:after="0" w:line="11" w:lineRule="exact"/>
        <w:rPr>
          <w:sz w:val="20"/>
          <w:szCs w:val="20"/>
          <w:color w:val="auto"/>
        </w:rPr>
      </w:pPr>
    </w:p>
    <w:p>
      <w:pPr>
        <w:ind w:left="690" w:right="220"/>
        <w:spacing w:after="0" w:line="229" w:lineRule="auto"/>
        <w:rPr>
          <w:sz w:val="20"/>
          <w:szCs w:val="20"/>
          <w:color w:val="auto"/>
        </w:rPr>
      </w:pPr>
      <w:r>
        <w:rPr>
          <w:rFonts w:ascii="Arial" w:cs="Arial" w:eastAsia="Arial" w:hAnsi="Arial"/>
          <w:sz w:val="22"/>
          <w:szCs w:val="22"/>
          <w:color w:val="auto"/>
        </w:rPr>
        <w:t xml:space="preserve">by at least 75% of the 30 largest U.S. banks) in effect from time to time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Midwest edition (or, if not so reported, as reported in such other similar source(s) as the Corporation shall select).</w:t>
      </w:r>
    </w:p>
    <w:p>
      <w:pPr>
        <w:spacing w:after="0" w:line="2" w:lineRule="exact"/>
        <w:rPr>
          <w:sz w:val="20"/>
          <w:szCs w:val="20"/>
          <w:color w:val="auto"/>
        </w:rPr>
      </w:pPr>
    </w:p>
    <w:p>
      <w:pPr>
        <w:ind w:left="471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50800</wp:posOffset>
            </wp:positionV>
            <wp:extent cx="71583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30"/>
          </w:cols>
          <w:pgMar w:left="1130" w:top="118" w:right="339" w:bottom="1440" w:gutter="0" w:footer="0" w:header="0"/>
        </w:sectPr>
      </w:pPr>
    </w:p>
    <w:bookmarkStart w:id="163" w:name="page164"/>
    <w:bookmarkEnd w:id="163"/>
    <w:p>
      <w:pPr>
        <w:ind w:left="1492" w:right="20" w:hanging="690"/>
        <w:spacing w:after="0" w:line="260" w:lineRule="auto"/>
        <w:tabs>
          <w:tab w:leader="none" w:pos="1228" w:val="left"/>
        </w:tabs>
        <w:numPr>
          <w:ilvl w:val="2"/>
          <w:numId w:val="148"/>
        </w:numPr>
        <w:rPr>
          <w:rFonts w:ascii="Arial" w:cs="Arial" w:eastAsia="Arial" w:hAnsi="Arial"/>
          <w:sz w:val="20"/>
          <w:szCs w:val="20"/>
          <w:color w:val="auto"/>
        </w:rPr>
      </w:pPr>
      <w:r>
        <w:rPr>
          <w:rFonts w:ascii="Arial" w:cs="Arial" w:eastAsia="Arial" w:hAnsi="Arial"/>
          <w:sz w:val="20"/>
          <w:szCs w:val="20"/>
          <w:u w:val="single" w:color="auto"/>
          <w:color w:val="auto"/>
        </w:rPr>
        <w:t>Release of Claims</w:t>
      </w:r>
      <w:r>
        <w:rPr>
          <w:rFonts w:ascii="Arial" w:cs="Arial" w:eastAsia="Arial" w:hAnsi="Arial"/>
          <w:sz w:val="20"/>
          <w:szCs w:val="20"/>
          <w:color w:val="auto"/>
        </w:rPr>
        <w:t>. Notwithstanding the foregoing, you will have no right to receive any payment or benefit described in Subsections 2(c)(ii)-(v) or 2(d)(ii)-(v),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day after the Date of Termination.</w:t>
      </w:r>
    </w:p>
    <w:p>
      <w:pPr>
        <w:spacing w:after="0" w:line="96" w:lineRule="exact"/>
        <w:rPr>
          <w:rFonts w:ascii="Arial" w:cs="Arial" w:eastAsia="Arial" w:hAnsi="Arial"/>
          <w:sz w:val="20"/>
          <w:szCs w:val="20"/>
          <w:color w:val="auto"/>
        </w:rPr>
      </w:pPr>
    </w:p>
    <w:p>
      <w:pPr>
        <w:ind w:left="1492" w:right="20" w:hanging="690"/>
        <w:spacing w:after="0" w:line="264" w:lineRule="auto"/>
        <w:tabs>
          <w:tab w:leader="none" w:pos="1228" w:val="left"/>
        </w:tabs>
        <w:numPr>
          <w:ilvl w:val="2"/>
          <w:numId w:val="148"/>
        </w:numPr>
        <w:rPr>
          <w:rFonts w:ascii="Arial" w:cs="Arial" w:eastAsia="Arial" w:hAnsi="Arial"/>
          <w:sz w:val="20"/>
          <w:szCs w:val="20"/>
          <w:color w:val="auto"/>
        </w:rPr>
      </w:pPr>
      <w:r>
        <w:rPr>
          <w:rFonts w:ascii="Arial" w:cs="Arial" w:eastAsia="Arial" w:hAnsi="Arial"/>
          <w:sz w:val="20"/>
          <w:szCs w:val="20"/>
          <w:u w:val="single" w:color="auto"/>
          <w:color w:val="auto"/>
        </w:rPr>
        <w:t>Forfeiture</w:t>
      </w:r>
      <w:r>
        <w:rPr>
          <w:rFonts w:ascii="Arial" w:cs="Arial" w:eastAsia="Arial" w:hAnsi="Arial"/>
          <w:sz w:val="20"/>
          <w:szCs w:val="20"/>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87" w:lineRule="exact"/>
        <w:rPr>
          <w:rFonts w:ascii="Arial" w:cs="Arial" w:eastAsia="Arial" w:hAnsi="Arial"/>
          <w:sz w:val="20"/>
          <w:szCs w:val="20"/>
          <w:color w:val="auto"/>
        </w:rPr>
      </w:pPr>
    </w:p>
    <w:p>
      <w:pPr>
        <w:ind w:left="752" w:hanging="752"/>
        <w:spacing w:after="0"/>
        <w:tabs>
          <w:tab w:leader="none" w:pos="752"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w:t>
      </w:r>
    </w:p>
    <w:p>
      <w:pPr>
        <w:spacing w:after="0" w:line="204" w:lineRule="exact"/>
        <w:rPr>
          <w:rFonts w:ascii="Arial" w:cs="Arial" w:eastAsia="Arial" w:hAnsi="Arial"/>
          <w:sz w:val="22"/>
          <w:szCs w:val="22"/>
          <w:color w:val="auto"/>
        </w:rPr>
      </w:pPr>
    </w:p>
    <w:p>
      <w:pPr>
        <w:ind w:left="1492" w:hanging="744"/>
        <w:spacing w:after="0" w:line="256" w:lineRule="auto"/>
        <w:tabs>
          <w:tab w:leader="none" w:pos="1492" w:val="left"/>
        </w:tabs>
        <w:numPr>
          <w:ilvl w:val="1"/>
          <w:numId w:val="149"/>
        </w:numPr>
        <w:rPr>
          <w:rFonts w:ascii="Arial" w:cs="Arial" w:eastAsia="Arial" w:hAnsi="Arial"/>
          <w:sz w:val="20"/>
          <w:szCs w:val="20"/>
          <w:color w:val="auto"/>
        </w:rPr>
      </w:pPr>
      <w:r>
        <w:rPr>
          <w:rFonts w:ascii="Arial" w:cs="Arial" w:eastAsia="Arial" w:hAnsi="Arial"/>
          <w:sz w:val="20"/>
          <w:szCs w:val="20"/>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83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72"/>
          </w:cols>
          <w:pgMar w:left="328" w:top="361" w:right="399" w:bottom="1440" w:gutter="0" w:footer="0" w:header="0"/>
        </w:sectPr>
      </w:pPr>
    </w:p>
    <w:bookmarkStart w:id="164" w:name="page165"/>
    <w:bookmarkEnd w:id="164"/>
    <w:p>
      <w:pPr>
        <w:ind w:left="1492" w:right="320"/>
        <w:spacing w:after="0" w:line="239" w:lineRule="auto"/>
        <w:rPr>
          <w:sz w:val="20"/>
          <w:szCs w:val="20"/>
          <w:color w:val="auto"/>
        </w:rPr>
      </w:pPr>
      <w:r>
        <w:rPr>
          <w:rFonts w:ascii="Arial" w:cs="Arial" w:eastAsia="Arial" w:hAnsi="Arial"/>
          <w:sz w:val="22"/>
          <w:szCs w:val="22"/>
          <w:color w:val="auto"/>
        </w:rPr>
        <w:t>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186" w:lineRule="exact"/>
        <w:rPr>
          <w:sz w:val="20"/>
          <w:szCs w:val="20"/>
          <w:color w:val="auto"/>
        </w:rPr>
      </w:pPr>
    </w:p>
    <w:p>
      <w:pPr>
        <w:ind w:left="1492" w:hanging="744"/>
        <w:spacing w:after="0" w:line="255" w:lineRule="auto"/>
        <w:tabs>
          <w:tab w:leader="none" w:pos="1492" w:val="left"/>
        </w:tabs>
        <w:numPr>
          <w:ilvl w:val="1"/>
          <w:numId w:val="150"/>
        </w:numPr>
        <w:rPr>
          <w:rFonts w:ascii="Arial" w:cs="Arial" w:eastAsia="Arial" w:hAnsi="Arial"/>
          <w:sz w:val="20"/>
          <w:szCs w:val="20"/>
          <w:color w:val="auto"/>
        </w:rPr>
      </w:pPr>
      <w:r>
        <w:rPr>
          <w:rFonts w:ascii="Arial" w:cs="Arial" w:eastAsia="Arial" w:hAnsi="Arial"/>
          <w:sz w:val="20"/>
          <w:szCs w:val="20"/>
          <w:color w:val="auto"/>
        </w:rPr>
        <w:t>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w:t>
      </w:r>
    </w:p>
    <w:p>
      <w:pPr>
        <w:spacing w:after="0" w:line="179" w:lineRule="exact"/>
        <w:rPr>
          <w:rFonts w:ascii="Arial" w:cs="Arial" w:eastAsia="Arial" w:hAnsi="Arial"/>
          <w:sz w:val="20"/>
          <w:szCs w:val="20"/>
          <w:color w:val="auto"/>
        </w:rPr>
      </w:pPr>
    </w:p>
    <w:p>
      <w:pPr>
        <w:ind w:left="1492" w:right="20" w:hanging="744"/>
        <w:spacing w:after="0" w:line="264" w:lineRule="auto"/>
        <w:tabs>
          <w:tab w:leader="none" w:pos="1492" w:val="left"/>
        </w:tabs>
        <w:numPr>
          <w:ilvl w:val="1"/>
          <w:numId w:val="150"/>
        </w:numPr>
        <w:rPr>
          <w:rFonts w:ascii="Arial" w:cs="Arial" w:eastAsia="Arial" w:hAnsi="Arial"/>
          <w:sz w:val="20"/>
          <w:szCs w:val="20"/>
          <w:color w:val="auto"/>
        </w:rPr>
      </w:pPr>
      <w:r>
        <w:rPr>
          <w:rFonts w:ascii="Arial" w:cs="Arial" w:eastAsia="Arial" w:hAnsi="Arial"/>
          <w:sz w:val="20"/>
          <w:szCs w:val="20"/>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161" w:lineRule="exact"/>
        <w:rPr>
          <w:rFonts w:ascii="Arial" w:cs="Arial" w:eastAsia="Arial" w:hAnsi="Arial"/>
          <w:sz w:val="20"/>
          <w:szCs w:val="20"/>
          <w:color w:val="auto"/>
        </w:rPr>
      </w:pPr>
    </w:p>
    <w:p>
      <w:pPr>
        <w:ind w:left="752" w:right="220" w:hanging="752"/>
        <w:spacing w:after="0" w:line="268" w:lineRule="auto"/>
        <w:tabs>
          <w:tab w:leader="none" w:pos="752"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You agree that you will not, at any time during the term of your employment with the Consolidated ManpowerGroup or during the one-year period following your termination, for whatever reason, of employment with the Consolidated ManpowerGroup, directly or indirectly solicit any Restricted Person to provide services to or on behalf of a person or entity in a manner reasonably likely to pose a competitive threat to the Consolidated ManpowerGroup. Restricted Person shall mean an individual who, at the time of the solicitation, is an employee of the Consolidated ManpowerGroup and (i) who is a top-level employee of the Consolidated ManpowerGroup, has special skills or knowledge important to the Consolidated ManpowerGroup, or has skills that are difficult for the Consolidated ManpowerGroup to replace and (ii) with whom you had a working relationship or about</w:t>
      </w:r>
    </w:p>
    <w:p>
      <w:pPr>
        <w:spacing w:after="0" w:line="3" w:lineRule="exact"/>
        <w:rPr>
          <w:sz w:val="20"/>
          <w:szCs w:val="20"/>
          <w:color w:val="auto"/>
        </w:rPr>
      </w:pPr>
    </w:p>
    <w:p>
      <w:pPr>
        <w:jc w:val="center"/>
        <w:ind w:right="428"/>
        <w:spacing w:after="0" w:line="236" w:lineRule="auto"/>
        <w:rPr>
          <w:sz w:val="20"/>
          <w:szCs w:val="20"/>
          <w:color w:val="auto"/>
        </w:rPr>
      </w:pPr>
      <w:r>
        <w:rPr>
          <w:rFonts w:ascii="Arial" w:cs="Arial" w:eastAsia="Arial" w:hAnsi="Arial"/>
          <w:sz w:val="22"/>
          <w:szCs w:val="22"/>
          <w:color w:val="auto"/>
        </w:rPr>
        <w:t>whom you acquired or possessed specialized knowledge, in each case, in connection with your employment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583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165" w:name="page166"/>
    <w:bookmarkEnd w:id="165"/>
    <w:p>
      <w:pPr>
        <w:ind w:left="752"/>
        <w:spacing w:after="0"/>
        <w:rPr>
          <w:sz w:val="20"/>
          <w:szCs w:val="20"/>
          <w:color w:val="auto"/>
        </w:rPr>
      </w:pPr>
      <w:r>
        <w:rPr>
          <w:rFonts w:ascii="Arial" w:cs="Arial" w:eastAsia="Arial" w:hAnsi="Arial"/>
          <w:sz w:val="22"/>
          <w:szCs w:val="22"/>
          <w:color w:val="auto"/>
        </w:rPr>
        <w:t>with the Consolidated ManpowerGroup during the two-year period preceding the Date of Termination.</w:t>
      </w:r>
    </w:p>
    <w:p>
      <w:pPr>
        <w:spacing w:after="0" w:line="232" w:lineRule="exact"/>
        <w:rPr>
          <w:sz w:val="20"/>
          <w:szCs w:val="20"/>
          <w:color w:val="auto"/>
        </w:rPr>
      </w:pPr>
    </w:p>
    <w:p>
      <w:pPr>
        <w:ind w:left="752" w:right="340" w:hanging="752"/>
        <w:spacing w:after="0" w:line="237" w:lineRule="auto"/>
        <w:tabs>
          <w:tab w:leader="none" w:pos="752"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Restrictions During Employment</w:t>
      </w:r>
      <w:r>
        <w:rPr>
          <w:rFonts w:ascii="Arial" w:cs="Arial" w:eastAsia="Arial" w:hAnsi="Arial"/>
          <w:sz w:val="22"/>
          <w:szCs w:val="22"/>
          <w:color w:val="auto"/>
        </w:rPr>
        <w:t>.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w:t>
      </w:r>
    </w:p>
    <w:p>
      <w:pPr>
        <w:spacing w:after="0" w:line="211" w:lineRule="exact"/>
        <w:rPr>
          <w:rFonts w:ascii="Arial" w:cs="Arial" w:eastAsia="Arial" w:hAnsi="Arial"/>
          <w:sz w:val="22"/>
          <w:szCs w:val="22"/>
          <w:color w:val="auto"/>
        </w:rPr>
      </w:pPr>
    </w:p>
    <w:p>
      <w:pPr>
        <w:ind w:left="752" w:right="580" w:hanging="752"/>
        <w:spacing w:after="0" w:line="249" w:lineRule="auto"/>
        <w:tabs>
          <w:tab w:leader="none" w:pos="752"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Noncompetition Agreement</w:t>
      </w:r>
      <w:r>
        <w:rPr>
          <w:rFonts w:ascii="Arial" w:cs="Arial" w:eastAsia="Arial" w:hAnsi="Arial"/>
          <w:sz w:val="22"/>
          <w:szCs w:val="22"/>
          <w:color w:val="auto"/>
        </w:rPr>
        <w:t>. During the one-year period which immediately follows the termination, for whatever reason, of your employment with the Consolidated ManpowerGroup:</w:t>
      </w:r>
    </w:p>
    <w:p>
      <w:pPr>
        <w:spacing w:after="0" w:line="201" w:lineRule="exact"/>
        <w:rPr>
          <w:rFonts w:ascii="Arial" w:cs="Arial" w:eastAsia="Arial" w:hAnsi="Arial"/>
          <w:sz w:val="22"/>
          <w:szCs w:val="22"/>
          <w:color w:val="auto"/>
        </w:rPr>
      </w:pPr>
    </w:p>
    <w:p>
      <w:pPr>
        <w:ind w:left="1492" w:hanging="744"/>
        <w:spacing w:after="0" w:line="247" w:lineRule="exact"/>
        <w:tabs>
          <w:tab w:leader="none" w:pos="1492" w:val="left"/>
        </w:tabs>
        <w:numPr>
          <w:ilvl w:val="1"/>
          <w:numId w:val="152"/>
        </w:numPr>
        <w:rPr>
          <w:rFonts w:ascii="Arial" w:cs="Arial" w:eastAsia="Arial" w:hAnsi="Arial"/>
          <w:sz w:val="19"/>
          <w:szCs w:val="19"/>
          <w:color w:val="auto"/>
        </w:rPr>
      </w:pPr>
      <w:r>
        <w:rPr>
          <w:rFonts w:ascii="Arial" w:cs="Arial" w:eastAsia="Arial" w:hAnsi="Arial"/>
          <w:sz w:val="19"/>
          <w:szCs w:val="19"/>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19"/>
          <w:szCs w:val="19"/>
          <w:color w:val="auto"/>
        </w:rPr>
        <w:t>‑</w:t>
      </w:r>
      <w:r>
        <w:rPr>
          <w:rFonts w:ascii="Arial" w:cs="Arial" w:eastAsia="Arial" w:hAnsi="Arial"/>
          <w:sz w:val="19"/>
          <w:szCs w:val="19"/>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19"/>
          <w:szCs w:val="19"/>
          <w:color w:val="auto"/>
        </w:rPr>
        <w:t>‑</w:t>
      </w:r>
      <w:r>
        <w:rPr>
          <w:rFonts w:ascii="Arial" w:cs="Arial" w:eastAsia="Arial" w:hAnsi="Arial"/>
          <w:sz w:val="19"/>
          <w:szCs w:val="19"/>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214" w:lineRule="exact"/>
        <w:rPr>
          <w:rFonts w:ascii="Arial" w:cs="Arial" w:eastAsia="Arial" w:hAnsi="Arial"/>
          <w:sz w:val="19"/>
          <w:szCs w:val="19"/>
          <w:color w:val="auto"/>
        </w:rPr>
      </w:pPr>
    </w:p>
    <w:p>
      <w:pPr>
        <w:ind w:left="1492" w:hanging="744"/>
        <w:spacing w:after="0" w:line="244" w:lineRule="exact"/>
        <w:tabs>
          <w:tab w:leader="none" w:pos="1492" w:val="left"/>
        </w:tabs>
        <w:numPr>
          <w:ilvl w:val="1"/>
          <w:numId w:val="152"/>
        </w:numPr>
        <w:rPr>
          <w:rFonts w:ascii="Arial" w:cs="Arial" w:eastAsia="Arial" w:hAnsi="Arial"/>
          <w:sz w:val="20"/>
          <w:szCs w:val="20"/>
          <w:color w:val="auto"/>
        </w:rPr>
      </w:pPr>
      <w:r>
        <w:rPr>
          <w:rFonts w:ascii="Arial" w:cs="Arial" w:eastAsia="Arial" w:hAnsi="Arial"/>
          <w:sz w:val="20"/>
          <w:szCs w:val="20"/>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20"/>
          <w:szCs w:val="20"/>
          <w:color w:val="auto"/>
        </w:rPr>
        <w:t>‑</w:t>
      </w:r>
      <w:r>
        <w:rPr>
          <w:rFonts w:ascii="Arial" w:cs="Arial" w:eastAsia="Arial" w:hAnsi="Arial"/>
          <w:sz w:val="20"/>
          <w:szCs w:val="20"/>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23" w:lineRule="exact"/>
        <w:rPr>
          <w:rFonts w:ascii="Arial" w:cs="Arial" w:eastAsia="Arial" w:hAnsi="Arial"/>
          <w:sz w:val="20"/>
          <w:szCs w:val="20"/>
          <w:color w:val="auto"/>
        </w:rPr>
      </w:pPr>
    </w:p>
    <w:p>
      <w:pPr>
        <w:ind w:left="432" w:hanging="432"/>
        <w:spacing w:after="0"/>
        <w:tabs>
          <w:tab w:leader="none" w:pos="432"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83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166" w:name="page167"/>
    <w:bookmarkEnd w:id="166"/>
    <w:p>
      <w:pPr>
        <w:ind w:left="1492" w:right="20" w:hanging="690"/>
        <w:spacing w:after="0" w:line="258" w:lineRule="auto"/>
        <w:tabs>
          <w:tab w:leader="none" w:pos="1228" w:val="left"/>
        </w:tabs>
        <w:numPr>
          <w:ilvl w:val="1"/>
          <w:numId w:val="153"/>
        </w:numPr>
        <w:rPr>
          <w:rFonts w:ascii="Arial" w:cs="Arial" w:eastAsia="Arial" w:hAnsi="Arial"/>
          <w:sz w:val="20"/>
          <w:szCs w:val="20"/>
          <w:color w:val="auto"/>
        </w:rPr>
      </w:pPr>
      <w:r>
        <w:rPr>
          <w:rFonts w:ascii="Arial" w:cs="Arial" w:eastAsia="Arial" w:hAnsi="Arial"/>
          <w:sz w:val="20"/>
          <w:szCs w:val="20"/>
          <w:u w:val="single" w:color="auto"/>
          <w:color w:val="auto"/>
        </w:rPr>
        <w:t>Injunction</w:t>
      </w:r>
      <w:r>
        <w:rPr>
          <w:rFonts w:ascii="Arial" w:cs="Arial" w:eastAsia="Arial" w:hAnsi="Arial"/>
          <w:sz w:val="20"/>
          <w:szCs w:val="20"/>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69" w:lineRule="exact"/>
        <w:rPr>
          <w:rFonts w:ascii="Arial" w:cs="Arial" w:eastAsia="Arial" w:hAnsi="Arial"/>
          <w:sz w:val="20"/>
          <w:szCs w:val="20"/>
          <w:color w:val="auto"/>
        </w:rPr>
      </w:pPr>
    </w:p>
    <w:p>
      <w:pPr>
        <w:ind w:left="1492" w:right="160" w:hanging="690"/>
        <w:spacing w:after="0" w:line="275" w:lineRule="auto"/>
        <w:tabs>
          <w:tab w:leader="none" w:pos="1228" w:val="left"/>
        </w:tabs>
        <w:numPr>
          <w:ilvl w:val="1"/>
          <w:numId w:val="153"/>
        </w:numPr>
        <w:rPr>
          <w:rFonts w:ascii="Arial" w:cs="Arial" w:eastAsia="Arial" w:hAnsi="Arial"/>
          <w:sz w:val="20"/>
          <w:szCs w:val="20"/>
          <w:color w:val="auto"/>
        </w:rPr>
      </w:pPr>
      <w:r>
        <w:rPr>
          <w:rFonts w:ascii="Arial" w:cs="Arial" w:eastAsia="Arial" w:hAnsi="Arial"/>
          <w:sz w:val="20"/>
          <w:szCs w:val="20"/>
          <w:u w:val="single" w:color="auto"/>
          <w:color w:val="auto"/>
        </w:rPr>
        <w:t>Nonapplication</w:t>
      </w:r>
      <w:r>
        <w:rPr>
          <w:rFonts w:ascii="Arial" w:cs="Arial" w:eastAsia="Arial" w:hAnsi="Arial"/>
          <w:sz w:val="20"/>
          <w:szCs w:val="20"/>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393" w:lineRule="exact"/>
        <w:rPr>
          <w:rFonts w:ascii="Arial" w:cs="Arial" w:eastAsia="Arial" w:hAnsi="Arial"/>
          <w:sz w:val="20"/>
          <w:szCs w:val="20"/>
          <w:color w:val="auto"/>
        </w:rPr>
      </w:pPr>
    </w:p>
    <w:p>
      <w:pPr>
        <w:ind w:left="752" w:right="80" w:hanging="752"/>
        <w:spacing w:after="0" w:line="249" w:lineRule="exact"/>
        <w:tabs>
          <w:tab w:leader="none" w:pos="434"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Unemployment Compensation</w:t>
      </w:r>
      <w:r>
        <w:rPr>
          <w:rFonts w:ascii="Arial" w:cs="Arial" w:eastAsia="Arial" w:hAnsi="Arial"/>
          <w:sz w:val="20"/>
          <w:szCs w:val="20"/>
          <w:color w:val="auto"/>
        </w:rPr>
        <w:t>. To the extent allowed by applicable law, the severance benefits provided for in Subsection 2(c)(iii) will be assigned for unemployment compensation benefit purposes to the one</w:t>
      </w:r>
      <w:r>
        <w:rPr>
          <w:rFonts w:ascii="MS PGothic" w:cs="MS PGothic" w:eastAsia="MS PGothic" w:hAnsi="MS PGothic"/>
          <w:sz w:val="20"/>
          <w:szCs w:val="20"/>
          <w:color w:val="auto"/>
        </w:rPr>
        <w:t>‑</w:t>
      </w:r>
      <w:r>
        <w:rPr>
          <w:rFonts w:ascii="Arial" w:cs="Arial" w:eastAsia="Arial" w:hAnsi="Arial"/>
          <w:sz w:val="20"/>
          <w:szCs w:val="20"/>
          <w:color w:val="auto"/>
        </w:rPr>
        <w:t>year period following the Date of Termination, and the severance benefits provided for in Subsection 2(d)(iii) will be assigned for unemployment compensation purposes to the three</w:t>
      </w:r>
      <w:r>
        <w:rPr>
          <w:rFonts w:ascii="MS PGothic" w:cs="MS PGothic" w:eastAsia="MS PGothic" w:hAnsi="MS PGothic"/>
          <w:sz w:val="20"/>
          <w:szCs w:val="20"/>
          <w:color w:val="auto"/>
        </w:rPr>
        <w:t>‑</w:t>
      </w:r>
      <w:r>
        <w:rPr>
          <w:rFonts w:ascii="Arial" w:cs="Arial" w:eastAsia="Arial" w:hAnsi="Arial"/>
          <w:sz w:val="20"/>
          <w:szCs w:val="20"/>
          <w:color w:val="auto"/>
        </w:rPr>
        <w:t>year period following the Date of Termination, and you will be ineligible to receive, and you agree not to apply for, unemployment compensation during such periods.</w:t>
      </w:r>
    </w:p>
    <w:p>
      <w:pPr>
        <w:spacing w:after="0" w:line="185" w:lineRule="exact"/>
        <w:rPr>
          <w:rFonts w:ascii="Arial" w:cs="Arial" w:eastAsia="Arial" w:hAnsi="Arial"/>
          <w:sz w:val="20"/>
          <w:szCs w:val="20"/>
          <w:color w:val="auto"/>
        </w:rPr>
      </w:pPr>
    </w:p>
    <w:p>
      <w:pPr>
        <w:ind w:left="752" w:hanging="752"/>
        <w:spacing w:after="0" w:line="272" w:lineRule="auto"/>
        <w:tabs>
          <w:tab w:leader="none" w:pos="434"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60" w:lineRule="exact"/>
        <w:rPr>
          <w:rFonts w:ascii="Arial" w:cs="Arial" w:eastAsia="Arial" w:hAnsi="Arial"/>
          <w:sz w:val="19"/>
          <w:szCs w:val="19"/>
          <w:color w:val="auto"/>
        </w:rPr>
      </w:pPr>
    </w:p>
    <w:p>
      <w:pPr>
        <w:ind w:left="752" w:right="120" w:hanging="752"/>
        <w:spacing w:after="0" w:line="298" w:lineRule="auto"/>
        <w:tabs>
          <w:tab w:leader="none" w:pos="434"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Successors; Binding Agreement</w:t>
      </w:r>
      <w:r>
        <w:rPr>
          <w:rFonts w:ascii="Arial" w:cs="Arial" w:eastAsia="Arial" w:hAnsi="Arial"/>
          <w:sz w:val="20"/>
          <w:szCs w:val="20"/>
          <w:color w:val="auto"/>
        </w:rPr>
        <w:t>. This letter agreement will be binding on the Corporation and its successors and will inure to the benefit of and be enforceable by your personal or legal representatives, heirs and successors.</w:t>
      </w:r>
    </w:p>
    <w:p>
      <w:pPr>
        <w:spacing w:after="0" w:line="128"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83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72"/>
          </w:cols>
          <w:pgMar w:left="328" w:top="118" w:right="399" w:bottom="1440" w:gutter="0" w:footer="0" w:header="0"/>
        </w:sectPr>
      </w:pPr>
    </w:p>
    <w:bookmarkStart w:id="167" w:name="page168"/>
    <w:bookmarkEnd w:id="167"/>
    <w:p>
      <w:pPr>
        <w:ind w:left="752" w:right="120" w:hanging="752"/>
        <w:spacing w:after="0" w:line="275" w:lineRule="auto"/>
        <w:tabs>
          <w:tab w:leader="none" w:pos="434"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78" w:lineRule="exact"/>
        <w:rPr>
          <w:rFonts w:ascii="Arial" w:cs="Arial" w:eastAsia="Arial" w:hAnsi="Arial"/>
          <w:sz w:val="20"/>
          <w:szCs w:val="20"/>
          <w:color w:val="auto"/>
        </w:rPr>
      </w:pPr>
    </w:p>
    <w:p>
      <w:pPr>
        <w:jc w:val="both"/>
        <w:ind w:left="752" w:right="140" w:hanging="752"/>
        <w:spacing w:after="0" w:line="267" w:lineRule="auto"/>
        <w:tabs>
          <w:tab w:leader="none" w:pos="434"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No Right to Remain Employed</w:t>
      </w:r>
      <w:r>
        <w:rPr>
          <w:rFonts w:ascii="Arial" w:cs="Arial" w:eastAsia="Arial" w:hAnsi="Arial"/>
          <w:sz w:val="20"/>
          <w:szCs w:val="20"/>
          <w:color w:val="auto"/>
        </w:rPr>
        <w:t>. Nothing contained in this letter agreement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187" w:lineRule="exact"/>
        <w:rPr>
          <w:rFonts w:ascii="Arial" w:cs="Arial" w:eastAsia="Arial" w:hAnsi="Arial"/>
          <w:sz w:val="20"/>
          <w:szCs w:val="20"/>
          <w:color w:val="auto"/>
        </w:rPr>
      </w:pPr>
    </w:p>
    <w:p>
      <w:pPr>
        <w:ind w:left="752" w:hanging="752"/>
        <w:spacing w:after="0" w:line="249" w:lineRule="auto"/>
        <w:tabs>
          <w:tab w:leader="none" w:pos="434"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agreement may be modified, waived or discharged unless such waiver, modification or discharge is agreed to in writing by you and the Corporation.</w:t>
      </w:r>
    </w:p>
    <w:p>
      <w:pPr>
        <w:spacing w:after="0" w:line="201" w:lineRule="exact"/>
        <w:rPr>
          <w:rFonts w:ascii="Arial" w:cs="Arial" w:eastAsia="Arial" w:hAnsi="Arial"/>
          <w:sz w:val="22"/>
          <w:szCs w:val="22"/>
          <w:color w:val="auto"/>
        </w:rPr>
      </w:pPr>
    </w:p>
    <w:p>
      <w:pPr>
        <w:ind w:left="752" w:right="200" w:hanging="752"/>
        <w:spacing w:after="0" w:line="326" w:lineRule="auto"/>
        <w:tabs>
          <w:tab w:leader="none" w:pos="434"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32" w:lineRule="exact"/>
        <w:rPr>
          <w:rFonts w:ascii="Arial" w:cs="Arial" w:eastAsia="Arial" w:hAnsi="Arial"/>
          <w:sz w:val="19"/>
          <w:szCs w:val="19"/>
          <w:color w:val="auto"/>
        </w:rPr>
      </w:pPr>
    </w:p>
    <w:p>
      <w:pPr>
        <w:ind w:left="752" w:right="60" w:hanging="752"/>
        <w:spacing w:after="0" w:line="249" w:lineRule="auto"/>
        <w:tabs>
          <w:tab w:leader="none" w:pos="434"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letter agreement shall be governed by and interpreted in accordance with the laws of the State of New York, United States of America, without regard to its conflict of law provisions.</w:t>
      </w:r>
    </w:p>
    <w:p>
      <w:pPr>
        <w:spacing w:after="0" w:line="201" w:lineRule="exact"/>
        <w:rPr>
          <w:rFonts w:ascii="Arial" w:cs="Arial" w:eastAsia="Arial" w:hAnsi="Arial"/>
          <w:sz w:val="22"/>
          <w:szCs w:val="22"/>
          <w:color w:val="auto"/>
        </w:rPr>
      </w:pPr>
    </w:p>
    <w:p>
      <w:pPr>
        <w:ind w:left="752" w:right="80" w:hanging="752"/>
        <w:spacing w:after="0" w:line="261" w:lineRule="auto"/>
        <w:tabs>
          <w:tab w:leader="none" w:pos="434"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Reduction of Amounts Due Under Law</w:t>
      </w:r>
      <w:r>
        <w:rPr>
          <w:rFonts w:ascii="Arial" w:cs="Arial" w:eastAsia="Arial" w:hAnsi="Arial"/>
          <w:sz w:val="20"/>
          <w:szCs w:val="20"/>
          <w:color w:val="auto"/>
        </w:rPr>
        <w:t>. You agree that any severance payment (</w:t>
      </w:r>
      <w:r>
        <w:rPr>
          <w:rFonts w:ascii="Arial" w:cs="Arial" w:eastAsia="Arial" w:hAnsi="Arial"/>
          <w:sz w:val="20"/>
          <w:szCs w:val="20"/>
          <w:i w:val="1"/>
          <w:iCs w:val="1"/>
          <w:color w:val="auto"/>
        </w:rPr>
        <w:t>i.e</w:t>
      </w:r>
      <w:r>
        <w:rPr>
          <w:rFonts w:ascii="Arial" w:cs="Arial" w:eastAsia="Arial" w:hAnsi="Arial"/>
          <w:sz w:val="20"/>
          <w:szCs w:val="20"/>
          <w:color w:val="auto"/>
        </w:rPr>
        <w:t>, any payment other than a payment for salary through your Date of Termination or for a bonus earned in the prior fiscal year but not yet paid) to you pursuant to this letter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4" w:lineRule="exact"/>
        <w:rPr>
          <w:rFonts w:ascii="Arial" w:cs="Arial" w:eastAsia="Arial" w:hAnsi="Arial"/>
          <w:sz w:val="20"/>
          <w:szCs w:val="20"/>
          <w:color w:val="auto"/>
        </w:rPr>
      </w:pPr>
    </w:p>
    <w:p>
      <w:pPr>
        <w:ind w:left="752" w:right="40" w:hanging="752"/>
        <w:spacing w:after="0" w:line="261" w:lineRule="auto"/>
        <w:tabs>
          <w:tab w:leader="none" w:pos="434"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Previous Agreements</w:t>
      </w:r>
      <w:r>
        <w:rPr>
          <w:rFonts w:ascii="Arial" w:cs="Arial" w:eastAsia="Arial" w:hAnsi="Arial"/>
          <w:sz w:val="20"/>
          <w:szCs w:val="20"/>
          <w:color w:val="auto"/>
        </w:rPr>
        <w:t>. This letter agreement, upon acceptance by you, expressly supersedes any and all previous agreements or understandings relating to your employment by the Corporation or the Consolidated ManpowerGroup, except for the letter from the Corporation to you dated November 17, 2015, regarding the Corporation’s offer of employment to you (provided this letter agreement will supersede the sections of that prior letter concerning severance protection) or the termination of such employment, and any such agreements or understandings shall, as of the date of your acceptance, have no further force or effect.</w:t>
      </w:r>
    </w:p>
    <w:p>
      <w:pPr>
        <w:spacing w:after="0" w:line="194" w:lineRule="exact"/>
        <w:rPr>
          <w:rFonts w:ascii="Arial" w:cs="Arial" w:eastAsia="Arial" w:hAnsi="Arial"/>
          <w:sz w:val="20"/>
          <w:szCs w:val="20"/>
          <w:color w:val="auto"/>
        </w:rPr>
      </w:pPr>
    </w:p>
    <w:p>
      <w:pPr>
        <w:ind w:left="432" w:hanging="432"/>
        <w:spacing w:after="0"/>
        <w:tabs>
          <w:tab w:leader="none" w:pos="432"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Dispute Resolution</w:t>
      </w:r>
      <w:r>
        <w:rPr>
          <w:rFonts w:ascii="Arial" w:cs="Arial" w:eastAsia="Arial" w:hAnsi="Arial"/>
          <w:sz w:val="20"/>
          <w:szCs w:val="20"/>
          <w:color w:val="auto"/>
        </w:rPr>
        <w:t>. Section 7 to the contrary notwithstanding, the parties shall, to the extent feasible, attempt in good faith</w:t>
      </w:r>
    </w:p>
    <w:p>
      <w:pPr>
        <w:spacing w:after="0" w:line="30" w:lineRule="exact"/>
        <w:rPr>
          <w:sz w:val="20"/>
          <w:szCs w:val="20"/>
          <w:color w:val="auto"/>
        </w:rPr>
      </w:pPr>
    </w:p>
    <w:p>
      <w:pPr>
        <w:ind w:left="752" w:right="740"/>
        <w:spacing w:after="0" w:line="265" w:lineRule="auto"/>
        <w:rPr>
          <w:sz w:val="20"/>
          <w:szCs w:val="20"/>
          <w:color w:val="auto"/>
        </w:rPr>
      </w:pPr>
      <w:r>
        <w:rPr>
          <w:rFonts w:ascii="Arial" w:cs="Arial" w:eastAsia="Arial" w:hAnsi="Arial"/>
          <w:sz w:val="19"/>
          <w:szCs w:val="19"/>
          <w:color w:val="auto"/>
        </w:rPr>
        <w:t>to resolve promptly by negotiation any dispute arising out of or relating to your employment by the Consolidated ManpowerGroup pursuant to this letter agreement. In the event any such dispute has not been resolved</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1583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168" w:name="page169"/>
    <w:bookmarkEnd w:id="168"/>
    <w:p>
      <w:pPr>
        <w:ind w:left="4" w:right="140"/>
        <w:spacing w:after="0" w:line="239" w:lineRule="auto"/>
        <w:rPr>
          <w:sz w:val="20"/>
          <w:szCs w:val="20"/>
          <w:color w:val="auto"/>
        </w:rPr>
      </w:pPr>
      <w:r>
        <w:rPr>
          <w:rFonts w:ascii="Arial" w:cs="Arial" w:eastAsia="Arial" w:hAnsi="Arial"/>
          <w:sz w:val="22"/>
          <w:szCs w:val="22"/>
          <w:color w:val="auto"/>
        </w:rPr>
        <w:t>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213" w:lineRule="exact"/>
        <w:rPr>
          <w:sz w:val="20"/>
          <w:szCs w:val="20"/>
          <w:color w:val="auto"/>
        </w:rPr>
      </w:pPr>
    </w:p>
    <w:p>
      <w:pPr>
        <w:ind w:left="744" w:hanging="690"/>
        <w:spacing w:after="0" w:line="270" w:lineRule="auto"/>
        <w:tabs>
          <w:tab w:leader="none" w:pos="479" w:val="left"/>
        </w:tabs>
        <w:numPr>
          <w:ilvl w:val="1"/>
          <w:numId w:val="156"/>
        </w:numPr>
        <w:rPr>
          <w:rFonts w:ascii="Arial" w:cs="Arial" w:eastAsia="Arial" w:hAnsi="Arial"/>
          <w:sz w:val="19"/>
          <w:szCs w:val="19"/>
          <w:color w:val="auto"/>
        </w:rPr>
      </w:pPr>
      <w:r>
        <w:rPr>
          <w:rFonts w:ascii="Arial" w:cs="Arial" w:eastAsia="Arial" w:hAnsi="Arial"/>
          <w:sz w:val="19"/>
          <w:szCs w:val="19"/>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7" w:lineRule="exact"/>
        <w:rPr>
          <w:rFonts w:ascii="Arial" w:cs="Arial" w:eastAsia="Arial" w:hAnsi="Arial"/>
          <w:sz w:val="19"/>
          <w:szCs w:val="19"/>
          <w:color w:val="auto"/>
        </w:rPr>
      </w:pPr>
    </w:p>
    <w:p>
      <w:pPr>
        <w:ind w:left="744" w:hanging="744"/>
        <w:spacing w:after="0" w:line="267" w:lineRule="auto"/>
        <w:tabs>
          <w:tab w:leader="none" w:pos="744"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w:t>
      </w:r>
    </w:p>
    <w:p>
      <w:pPr>
        <w:ind w:left="744"/>
        <w:spacing w:after="0" w:line="235" w:lineRule="auto"/>
        <w:rPr>
          <w:sz w:val="20"/>
          <w:szCs w:val="20"/>
          <w:color w:val="auto"/>
        </w:rPr>
      </w:pPr>
      <w:r>
        <w:rPr>
          <w:rFonts w:ascii="Arial" w:cs="Arial" w:eastAsia="Arial" w:hAnsi="Arial"/>
          <w:sz w:val="22"/>
          <w:szCs w:val="22"/>
          <w:color w:val="auto"/>
        </w:rPr>
        <w:t>otherwise has jurisdiction over the parties, for</w:t>
      </w:r>
    </w:p>
    <w:p>
      <w:pPr>
        <w:ind w:left="4764"/>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50800</wp:posOffset>
            </wp:positionV>
            <wp:extent cx="71583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118" w:right="339" w:bottom="1440" w:gutter="0" w:footer="0" w:header="0"/>
        </w:sectPr>
      </w:pPr>
    </w:p>
    <w:bookmarkStart w:id="169" w:name="page170"/>
    <w:bookmarkEnd w:id="169"/>
    <w:p>
      <w:pPr>
        <w:ind w:left="1500"/>
        <w:spacing w:after="0"/>
        <w:rPr>
          <w:sz w:val="20"/>
          <w:szCs w:val="20"/>
          <w:color w:val="auto"/>
        </w:rPr>
      </w:pPr>
      <w:r>
        <w:rPr>
          <w:rFonts w:ascii="Arial" w:cs="Arial" w:eastAsia="Arial" w:hAnsi="Arial"/>
          <w:sz w:val="20"/>
          <w:szCs w:val="20"/>
          <w:color w:val="auto"/>
        </w:rPr>
        <w:t>provisional or interim measures, including, but not limited to, temporary or permanent injunctive relief.</w:t>
      </w:r>
    </w:p>
    <w:p>
      <w:pPr>
        <w:spacing w:after="0" w:line="255" w:lineRule="exact"/>
        <w:rPr>
          <w:sz w:val="20"/>
          <w:szCs w:val="20"/>
          <w:color w:val="auto"/>
        </w:rPr>
      </w:pPr>
    </w:p>
    <w:p>
      <w:pPr>
        <w:ind w:left="760" w:hanging="752"/>
        <w:spacing w:after="0" w:line="239" w:lineRule="auto"/>
        <w:tabs>
          <w:tab w:leader="none" w:pos="482"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obligations imposed by Paragraphs 3-6, above, of this letter agreement are severable and should be construed independently of each other. The invalidity of one such provision shall not affect the validity of any other such provision.</w:t>
      </w:r>
    </w:p>
    <w:p>
      <w:pPr>
        <w:spacing w:after="0" w:line="212" w:lineRule="exact"/>
        <w:rPr>
          <w:rFonts w:ascii="Arial" w:cs="Arial" w:eastAsia="Arial" w:hAnsi="Arial"/>
          <w:sz w:val="22"/>
          <w:szCs w:val="22"/>
          <w:color w:val="auto"/>
        </w:rPr>
      </w:pPr>
    </w:p>
    <w:p>
      <w:pPr>
        <w:ind w:left="760" w:hanging="752"/>
        <w:spacing w:after="0" w:line="256" w:lineRule="auto"/>
        <w:tabs>
          <w:tab w:leader="none" w:pos="522"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Consistency with Applicable Law</w:t>
      </w:r>
      <w:r>
        <w:rPr>
          <w:rFonts w:ascii="Arial" w:cs="Arial" w:eastAsia="Arial" w:hAnsi="Arial"/>
          <w:sz w:val="20"/>
          <w:szCs w:val="20"/>
          <w:color w:val="auto"/>
        </w:rPr>
        <w:t>.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ManpowerGroup or any of its agents that you have made such reports or disclosures; however, we encourage you to do so. Nothing in this letter agreement shall have the purpose or effect of limiting your rights to reveal factual information related to any future claim of discrimination to law enforcement, the Equal Employment Opportunity Commission, the state division of human rights, a local commission on human rights, or an attorney retained by you. Further, nothing in this letter agreement shall have the purpose or effect of limiting your right to reveal factual information related to claims of sexual assault or sexual harassment. Finally, your good faith report or disclosure shall not trigger the forfeiture rights under Subsection 2(h) of this Agreement or otherwise limit your right to receive an award for information provided to any government agency.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83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ind w:firstLine="749"/>
        <w:spacing w:after="0" w:line="249" w:lineRule="auto"/>
        <w:rPr>
          <w:sz w:val="20"/>
          <w:szCs w:val="20"/>
          <w:color w:val="auto"/>
        </w:rPr>
      </w:pPr>
      <w:r>
        <w:rPr>
          <w:rFonts w:ascii="Arial" w:cs="Arial" w:eastAsia="Arial" w:hAnsi="Arial"/>
          <w:sz w:val="22"/>
          <w:szCs w:val="22"/>
          <w:color w:val="auto"/>
        </w:rPr>
        <w:t>If you are in agreement with the foregoing, please sign and return one copy of this letter agreement which will constitute our agreement with respect to the subject matter of this letter agreement.</w:t>
      </w:r>
    </w:p>
    <w:p>
      <w:pPr>
        <w:spacing w:after="0" w:line="202"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Sincerely,</w:t>
      </w:r>
    </w:p>
    <w:p>
      <w:pPr>
        <w:spacing w:after="0" w:line="231"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MANPOWERGROUP INC.</w:t>
      </w: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By: /s/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-18415</wp:posOffset>
            </wp:positionV>
            <wp:extent cx="11010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22"/>
          <w:szCs w:val="22"/>
          <w:color w:val="auto"/>
        </w:rPr>
        <w:t>Jonas Prising, Chief Executive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17th day of February, 2023.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3665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2">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John T. McGinnis</w:t>
      </w: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83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MANPOWERGROUP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120"/>
              <w:spacing w:after="0"/>
              <w:rPr>
                <w:sz w:val="20"/>
                <w:szCs w:val="20"/>
                <w:color w:val="auto"/>
              </w:rPr>
            </w:pPr>
            <w:r>
              <w:rPr>
                <w:rFonts w:ascii="Arial" w:cs="Arial" w:eastAsia="Arial" w:hAnsi="Arial"/>
                <w:sz w:val="18"/>
                <w:szCs w:val="18"/>
                <w:color w:val="auto"/>
              </w:rPr>
              <w:t>Corporation Name</w:t>
            </w:r>
          </w:p>
        </w:tc>
        <w:tc>
          <w:tcPr>
            <w:tcW w:w="4760" w:type="dxa"/>
            <w:vAlign w:val="bottom"/>
          </w:tcPr>
          <w:p>
            <w:pPr>
              <w:ind w:left="1200"/>
              <w:spacing w:after="0"/>
              <w:rPr>
                <w:sz w:val="20"/>
                <w:szCs w:val="20"/>
                <w:color w:val="auto"/>
              </w:rPr>
            </w:pPr>
            <w:r>
              <w:rPr>
                <w:rFonts w:ascii="Arial" w:cs="Arial" w:eastAsia="Arial" w:hAnsi="Arial"/>
                <w:sz w:val="18"/>
                <w:szCs w:val="18"/>
                <w:color w:val="auto"/>
              </w:rPr>
              <w:t>Incorporated in State /Country of</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Benefits S.A.</w:t>
            </w:r>
          </w:p>
        </w:tc>
        <w:tc>
          <w:tcPr>
            <w:tcW w:w="4760" w:type="dxa"/>
            <w:vAlign w:val="bottom"/>
          </w:tcPr>
          <w:p>
            <w:pPr>
              <w:ind w:left="1200"/>
              <w:spacing w:after="0"/>
              <w:rPr>
                <w:sz w:val="20"/>
                <w:szCs w:val="20"/>
                <w:color w:val="auto"/>
              </w:rPr>
            </w:pPr>
            <w:r>
              <w:rPr>
                <w:rFonts w:ascii="Arial" w:cs="Arial" w:eastAsia="Arial" w:hAnsi="Arial"/>
                <w:sz w:val="18"/>
                <w:szCs w:val="18"/>
                <w:color w:val="auto"/>
              </w:rPr>
              <w:t>Argentina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Cotecsud Compania Technica Sudamericana S.A.S.E.</w:t>
            </w:r>
          </w:p>
        </w:tc>
        <w:tc>
          <w:tcPr>
            <w:tcW w:w="4760" w:type="dxa"/>
            <w:vAlign w:val="bottom"/>
          </w:tcPr>
          <w:p>
            <w:pPr>
              <w:ind w:left="1200"/>
              <w:spacing w:after="0"/>
              <w:rPr>
                <w:sz w:val="20"/>
                <w:szCs w:val="20"/>
                <w:color w:val="auto"/>
              </w:rPr>
            </w:pPr>
            <w:r>
              <w:rPr>
                <w:rFonts w:ascii="Arial" w:cs="Arial" w:eastAsia="Arial" w:hAnsi="Arial"/>
                <w:sz w:val="18"/>
                <w:szCs w:val="18"/>
                <w:color w:val="auto"/>
              </w:rPr>
              <w:t>Argentina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Right Management Argentina S.A.</w:t>
            </w:r>
          </w:p>
        </w:tc>
        <w:tc>
          <w:tcPr>
            <w:tcW w:w="4760" w:type="dxa"/>
            <w:vAlign w:val="bottom"/>
          </w:tcPr>
          <w:p>
            <w:pPr>
              <w:ind w:left="1200"/>
              <w:spacing w:after="0"/>
              <w:rPr>
                <w:sz w:val="20"/>
                <w:szCs w:val="20"/>
                <w:color w:val="auto"/>
              </w:rPr>
            </w:pPr>
            <w:r>
              <w:rPr>
                <w:rFonts w:ascii="Arial" w:cs="Arial" w:eastAsia="Arial" w:hAnsi="Arial"/>
                <w:sz w:val="18"/>
                <w:szCs w:val="18"/>
                <w:color w:val="auto"/>
              </w:rPr>
              <w:t>Argentina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Salespower S.A.</w:t>
            </w:r>
          </w:p>
        </w:tc>
        <w:tc>
          <w:tcPr>
            <w:tcW w:w="4760" w:type="dxa"/>
            <w:vAlign w:val="bottom"/>
          </w:tcPr>
          <w:p>
            <w:pPr>
              <w:ind w:left="1200"/>
              <w:spacing w:after="0"/>
              <w:rPr>
                <w:sz w:val="20"/>
                <w:szCs w:val="20"/>
                <w:color w:val="auto"/>
              </w:rPr>
            </w:pPr>
            <w:r>
              <w:rPr>
                <w:rFonts w:ascii="Arial" w:cs="Arial" w:eastAsia="Arial" w:hAnsi="Arial"/>
                <w:sz w:val="18"/>
                <w:szCs w:val="18"/>
                <w:color w:val="auto"/>
              </w:rPr>
              <w:t>Argentina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EXPERIS AUSTRALIA PTY LTD</w:t>
            </w:r>
          </w:p>
        </w:tc>
        <w:tc>
          <w:tcPr>
            <w:tcW w:w="4760" w:type="dxa"/>
            <w:vAlign w:val="bottom"/>
          </w:tcPr>
          <w:p>
            <w:pPr>
              <w:ind w:left="1200"/>
              <w:spacing w:after="0"/>
              <w:rPr>
                <w:sz w:val="20"/>
                <w:szCs w:val="20"/>
                <w:color w:val="auto"/>
              </w:rPr>
            </w:pPr>
            <w:r>
              <w:rPr>
                <w:rFonts w:ascii="Arial" w:cs="Arial" w:eastAsia="Arial" w:hAnsi="Arial"/>
                <w:sz w:val="18"/>
                <w:szCs w:val="18"/>
                <w:color w:val="auto"/>
              </w:rPr>
              <w:t>Australia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 Services (Australia) Pty. Ltd.</w:t>
            </w:r>
          </w:p>
        </w:tc>
        <w:tc>
          <w:tcPr>
            <w:tcW w:w="4760" w:type="dxa"/>
            <w:vAlign w:val="bottom"/>
          </w:tcPr>
          <w:p>
            <w:pPr>
              <w:ind w:left="1200"/>
              <w:spacing w:after="0"/>
              <w:rPr>
                <w:sz w:val="20"/>
                <w:szCs w:val="20"/>
                <w:color w:val="auto"/>
              </w:rPr>
            </w:pPr>
            <w:r>
              <w:rPr>
                <w:rFonts w:ascii="Arial" w:cs="Arial" w:eastAsia="Arial" w:hAnsi="Arial"/>
                <w:sz w:val="18"/>
                <w:szCs w:val="18"/>
                <w:color w:val="auto"/>
              </w:rPr>
              <w:t>Australia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 Staffing (Australia) Pty Limited</w:t>
            </w:r>
          </w:p>
        </w:tc>
        <w:tc>
          <w:tcPr>
            <w:tcW w:w="4760" w:type="dxa"/>
            <w:vAlign w:val="bottom"/>
          </w:tcPr>
          <w:p>
            <w:pPr>
              <w:ind w:left="1200"/>
              <w:spacing w:after="0"/>
              <w:rPr>
                <w:sz w:val="20"/>
                <w:szCs w:val="20"/>
                <w:color w:val="auto"/>
              </w:rPr>
            </w:pPr>
            <w:r>
              <w:rPr>
                <w:rFonts w:ascii="Arial" w:cs="Arial" w:eastAsia="Arial" w:hAnsi="Arial"/>
                <w:sz w:val="18"/>
                <w:szCs w:val="18"/>
                <w:color w:val="auto"/>
              </w:rPr>
              <w:t>Australia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 Staffing Holdings (Australia) Pty Limited</w:t>
            </w:r>
          </w:p>
        </w:tc>
        <w:tc>
          <w:tcPr>
            <w:tcW w:w="4760" w:type="dxa"/>
            <w:vAlign w:val="bottom"/>
          </w:tcPr>
          <w:p>
            <w:pPr>
              <w:ind w:left="1200"/>
              <w:spacing w:after="0"/>
              <w:rPr>
                <w:sz w:val="20"/>
                <w:szCs w:val="20"/>
                <w:color w:val="auto"/>
              </w:rPr>
            </w:pPr>
            <w:r>
              <w:rPr>
                <w:rFonts w:ascii="Arial" w:cs="Arial" w:eastAsia="Arial" w:hAnsi="Arial"/>
                <w:sz w:val="18"/>
                <w:szCs w:val="18"/>
                <w:color w:val="auto"/>
              </w:rPr>
              <w:t>Australia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Right Management Consultants (OC) Pty Ltd.</w:t>
            </w:r>
          </w:p>
        </w:tc>
        <w:tc>
          <w:tcPr>
            <w:tcW w:w="4760" w:type="dxa"/>
            <w:vAlign w:val="bottom"/>
          </w:tcPr>
          <w:p>
            <w:pPr>
              <w:ind w:left="1200"/>
              <w:spacing w:after="0"/>
              <w:rPr>
                <w:sz w:val="20"/>
                <w:szCs w:val="20"/>
                <w:color w:val="auto"/>
              </w:rPr>
            </w:pPr>
            <w:r>
              <w:rPr>
                <w:rFonts w:ascii="Arial" w:cs="Arial" w:eastAsia="Arial" w:hAnsi="Arial"/>
                <w:sz w:val="18"/>
                <w:szCs w:val="18"/>
                <w:color w:val="auto"/>
              </w:rPr>
              <w:t>Australia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Right Management Consultants Holdings Pty Ltd</w:t>
            </w:r>
          </w:p>
        </w:tc>
        <w:tc>
          <w:tcPr>
            <w:tcW w:w="4760" w:type="dxa"/>
            <w:vAlign w:val="bottom"/>
          </w:tcPr>
          <w:p>
            <w:pPr>
              <w:ind w:left="1200"/>
              <w:spacing w:after="0"/>
              <w:rPr>
                <w:sz w:val="20"/>
                <w:szCs w:val="20"/>
                <w:color w:val="auto"/>
              </w:rPr>
            </w:pPr>
            <w:r>
              <w:rPr>
                <w:rFonts w:ascii="Arial" w:cs="Arial" w:eastAsia="Arial" w:hAnsi="Arial"/>
                <w:sz w:val="18"/>
                <w:szCs w:val="18"/>
                <w:color w:val="auto"/>
              </w:rPr>
              <w:t>Australia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Right Management Consultants International Pty Ltd</w:t>
            </w:r>
          </w:p>
        </w:tc>
        <w:tc>
          <w:tcPr>
            <w:tcW w:w="4760" w:type="dxa"/>
            <w:vAlign w:val="bottom"/>
          </w:tcPr>
          <w:p>
            <w:pPr>
              <w:ind w:left="1200"/>
              <w:spacing w:after="0"/>
              <w:rPr>
                <w:sz w:val="20"/>
                <w:szCs w:val="20"/>
                <w:color w:val="auto"/>
              </w:rPr>
            </w:pPr>
            <w:r>
              <w:rPr>
                <w:rFonts w:ascii="Arial" w:cs="Arial" w:eastAsia="Arial" w:hAnsi="Arial"/>
                <w:sz w:val="18"/>
                <w:szCs w:val="18"/>
                <w:color w:val="auto"/>
              </w:rPr>
              <w:t>Australia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Right Management Consultants Pty Ltd</w:t>
            </w:r>
          </w:p>
        </w:tc>
        <w:tc>
          <w:tcPr>
            <w:tcW w:w="4760" w:type="dxa"/>
            <w:vAlign w:val="bottom"/>
          </w:tcPr>
          <w:p>
            <w:pPr>
              <w:ind w:left="1200"/>
              <w:spacing w:after="0"/>
              <w:rPr>
                <w:sz w:val="20"/>
                <w:szCs w:val="20"/>
                <w:color w:val="auto"/>
              </w:rPr>
            </w:pPr>
            <w:r>
              <w:rPr>
                <w:rFonts w:ascii="Arial" w:cs="Arial" w:eastAsia="Arial" w:hAnsi="Arial"/>
                <w:sz w:val="18"/>
                <w:szCs w:val="18"/>
                <w:color w:val="auto"/>
              </w:rPr>
              <w:t>Australia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 Professional GmbH</w:t>
            </w:r>
          </w:p>
        </w:tc>
        <w:tc>
          <w:tcPr>
            <w:tcW w:w="4760" w:type="dxa"/>
            <w:vAlign w:val="bottom"/>
          </w:tcPr>
          <w:p>
            <w:pPr>
              <w:ind w:left="1200"/>
              <w:spacing w:after="0"/>
              <w:rPr>
                <w:sz w:val="20"/>
                <w:szCs w:val="20"/>
                <w:color w:val="auto"/>
              </w:rPr>
            </w:pPr>
            <w:r>
              <w:rPr>
                <w:rFonts w:ascii="Arial" w:cs="Arial" w:eastAsia="Arial" w:hAnsi="Arial"/>
                <w:sz w:val="18"/>
                <w:szCs w:val="18"/>
                <w:color w:val="auto"/>
              </w:rPr>
              <w:t>Austria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ManpowerGroup GmbH</w:t>
            </w:r>
          </w:p>
        </w:tc>
        <w:tc>
          <w:tcPr>
            <w:tcW w:w="4760" w:type="dxa"/>
            <w:vAlign w:val="bottom"/>
          </w:tcPr>
          <w:p>
            <w:pPr>
              <w:ind w:left="1200"/>
              <w:spacing w:after="0"/>
              <w:rPr>
                <w:sz w:val="20"/>
                <w:szCs w:val="20"/>
                <w:color w:val="auto"/>
              </w:rPr>
            </w:pPr>
            <w:r>
              <w:rPr>
                <w:rFonts w:ascii="Arial" w:cs="Arial" w:eastAsia="Arial" w:hAnsi="Arial"/>
                <w:sz w:val="18"/>
                <w:szCs w:val="18"/>
                <w:color w:val="auto"/>
              </w:rPr>
              <w:t>Austria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ManpowerGroup Holding GmbH</w:t>
            </w:r>
          </w:p>
        </w:tc>
        <w:tc>
          <w:tcPr>
            <w:tcW w:w="4760" w:type="dxa"/>
            <w:vAlign w:val="bottom"/>
          </w:tcPr>
          <w:p>
            <w:pPr>
              <w:ind w:left="1200"/>
              <w:spacing w:after="0"/>
              <w:rPr>
                <w:sz w:val="20"/>
                <w:szCs w:val="20"/>
                <w:color w:val="auto"/>
              </w:rPr>
            </w:pPr>
            <w:r>
              <w:rPr>
                <w:rFonts w:ascii="Arial" w:cs="Arial" w:eastAsia="Arial" w:hAnsi="Arial"/>
                <w:sz w:val="18"/>
                <w:szCs w:val="18"/>
                <w:color w:val="auto"/>
              </w:rPr>
              <w:t>Austria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INT Technologies, LLC</w:t>
            </w:r>
          </w:p>
        </w:tc>
        <w:tc>
          <w:tcPr>
            <w:tcW w:w="4760" w:type="dxa"/>
            <w:vAlign w:val="bottom"/>
          </w:tcPr>
          <w:p>
            <w:pPr>
              <w:ind w:left="1200"/>
              <w:spacing w:after="0"/>
              <w:rPr>
                <w:sz w:val="20"/>
                <w:szCs w:val="20"/>
                <w:color w:val="auto"/>
              </w:rPr>
            </w:pPr>
            <w:r>
              <w:rPr>
                <w:rFonts w:ascii="Arial" w:cs="Arial" w:eastAsia="Arial" w:hAnsi="Arial"/>
                <w:sz w:val="18"/>
                <w:szCs w:val="18"/>
                <w:color w:val="auto"/>
              </w:rPr>
              <w:t>AZ</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ManpowerGroup Captive Insurance Inc.</w:t>
            </w:r>
          </w:p>
        </w:tc>
        <w:tc>
          <w:tcPr>
            <w:tcW w:w="4760" w:type="dxa"/>
            <w:vAlign w:val="bottom"/>
          </w:tcPr>
          <w:p>
            <w:pPr>
              <w:ind w:left="1200"/>
              <w:spacing w:after="0"/>
              <w:rPr>
                <w:sz w:val="20"/>
                <w:szCs w:val="20"/>
                <w:color w:val="auto"/>
              </w:rPr>
            </w:pPr>
            <w:r>
              <w:rPr>
                <w:rFonts w:ascii="Arial" w:cs="Arial" w:eastAsia="Arial" w:hAnsi="Arial"/>
                <w:sz w:val="18"/>
                <w:szCs w:val="18"/>
                <w:color w:val="auto"/>
              </w:rPr>
              <w:t>AZ</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ManpowerGroup (Barbados) SRL</w:t>
            </w:r>
          </w:p>
        </w:tc>
        <w:tc>
          <w:tcPr>
            <w:tcW w:w="4760" w:type="dxa"/>
            <w:vAlign w:val="bottom"/>
          </w:tcPr>
          <w:p>
            <w:pPr>
              <w:ind w:left="1200"/>
              <w:spacing w:after="0"/>
              <w:rPr>
                <w:sz w:val="20"/>
                <w:szCs w:val="20"/>
                <w:color w:val="auto"/>
              </w:rPr>
            </w:pPr>
            <w:r>
              <w:rPr>
                <w:rFonts w:ascii="Arial" w:cs="Arial" w:eastAsia="Arial" w:hAnsi="Arial"/>
                <w:sz w:val="18"/>
                <w:szCs w:val="18"/>
                <w:color w:val="auto"/>
              </w:rPr>
              <w:t>Barbados</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Experis Belgium SA</w:t>
            </w:r>
          </w:p>
        </w:tc>
        <w:tc>
          <w:tcPr>
            <w:tcW w:w="4760" w:type="dxa"/>
            <w:vAlign w:val="bottom"/>
          </w:tcPr>
          <w:p>
            <w:pPr>
              <w:ind w:left="1200"/>
              <w:spacing w:after="0"/>
              <w:rPr>
                <w:sz w:val="20"/>
                <w:szCs w:val="20"/>
                <w:color w:val="auto"/>
              </w:rPr>
            </w:pPr>
            <w:r>
              <w:rPr>
                <w:rFonts w:ascii="Arial" w:cs="Arial" w:eastAsia="Arial" w:hAnsi="Arial"/>
                <w:sz w:val="18"/>
                <w:szCs w:val="18"/>
                <w:color w:val="auto"/>
              </w:rPr>
              <w:t>Belgium</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 Personal Services NV</w:t>
            </w:r>
          </w:p>
        </w:tc>
        <w:tc>
          <w:tcPr>
            <w:tcW w:w="4760" w:type="dxa"/>
            <w:vAlign w:val="bottom"/>
          </w:tcPr>
          <w:p>
            <w:pPr>
              <w:ind w:left="1200"/>
              <w:spacing w:after="0"/>
              <w:rPr>
                <w:sz w:val="20"/>
                <w:szCs w:val="20"/>
                <w:color w:val="auto"/>
              </w:rPr>
            </w:pPr>
            <w:r>
              <w:rPr>
                <w:rFonts w:ascii="Arial" w:cs="Arial" w:eastAsia="Arial" w:hAnsi="Arial"/>
                <w:sz w:val="18"/>
                <w:szCs w:val="18"/>
                <w:color w:val="auto"/>
              </w:rPr>
              <w:t>Belgium</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ManpowerGroup Solutions Belgium SA</w:t>
            </w:r>
          </w:p>
        </w:tc>
        <w:tc>
          <w:tcPr>
            <w:tcW w:w="4760" w:type="dxa"/>
            <w:vAlign w:val="bottom"/>
          </w:tcPr>
          <w:p>
            <w:pPr>
              <w:ind w:left="1200"/>
              <w:spacing w:after="0"/>
              <w:rPr>
                <w:sz w:val="20"/>
                <w:szCs w:val="20"/>
                <w:color w:val="auto"/>
              </w:rPr>
            </w:pPr>
            <w:r>
              <w:rPr>
                <w:rFonts w:ascii="Arial" w:cs="Arial" w:eastAsia="Arial" w:hAnsi="Arial"/>
                <w:sz w:val="18"/>
                <w:szCs w:val="18"/>
                <w:color w:val="auto"/>
              </w:rPr>
              <w:t>Belgium</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Right Management Belgium NV</w:t>
            </w:r>
          </w:p>
        </w:tc>
        <w:tc>
          <w:tcPr>
            <w:tcW w:w="4760" w:type="dxa"/>
            <w:vAlign w:val="bottom"/>
          </w:tcPr>
          <w:p>
            <w:pPr>
              <w:ind w:left="1200"/>
              <w:spacing w:after="0"/>
              <w:rPr>
                <w:sz w:val="20"/>
                <w:szCs w:val="20"/>
                <w:color w:val="auto"/>
              </w:rPr>
            </w:pPr>
            <w:r>
              <w:rPr>
                <w:rFonts w:ascii="Arial" w:cs="Arial" w:eastAsia="Arial" w:hAnsi="Arial"/>
                <w:sz w:val="18"/>
                <w:szCs w:val="18"/>
                <w:color w:val="auto"/>
              </w:rPr>
              <w:t>Belgium</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S.A. Manpower (Belgium) N.V.</w:t>
            </w:r>
          </w:p>
        </w:tc>
        <w:tc>
          <w:tcPr>
            <w:tcW w:w="4760" w:type="dxa"/>
            <w:vAlign w:val="bottom"/>
          </w:tcPr>
          <w:p>
            <w:pPr>
              <w:ind w:left="1200"/>
              <w:spacing w:after="0"/>
              <w:rPr>
                <w:sz w:val="20"/>
                <w:szCs w:val="20"/>
                <w:color w:val="auto"/>
              </w:rPr>
            </w:pPr>
            <w:r>
              <w:rPr>
                <w:rFonts w:ascii="Arial" w:cs="Arial" w:eastAsia="Arial" w:hAnsi="Arial"/>
                <w:sz w:val="18"/>
                <w:szCs w:val="18"/>
                <w:color w:val="auto"/>
              </w:rPr>
              <w:t>Belgium</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Stegmann Belgium BVBA</w:t>
            </w:r>
          </w:p>
        </w:tc>
        <w:tc>
          <w:tcPr>
            <w:tcW w:w="4760" w:type="dxa"/>
            <w:vAlign w:val="bottom"/>
          </w:tcPr>
          <w:p>
            <w:pPr>
              <w:ind w:left="1200"/>
              <w:spacing w:after="0"/>
              <w:rPr>
                <w:sz w:val="20"/>
                <w:szCs w:val="20"/>
                <w:color w:val="auto"/>
              </w:rPr>
            </w:pPr>
            <w:r>
              <w:rPr>
                <w:rFonts w:ascii="Arial" w:cs="Arial" w:eastAsia="Arial" w:hAnsi="Arial"/>
                <w:sz w:val="18"/>
                <w:szCs w:val="18"/>
                <w:color w:val="auto"/>
              </w:rPr>
              <w:t>Belgium</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Anyhelp Brasil Assessoria E Servicos em Sistemas de Informacao Ltda.</w:t>
            </w:r>
          </w:p>
        </w:tc>
        <w:tc>
          <w:tcPr>
            <w:tcW w:w="4760" w:type="dxa"/>
            <w:vAlign w:val="bottom"/>
          </w:tcPr>
          <w:p>
            <w:pPr>
              <w:ind w:left="1200"/>
              <w:spacing w:after="0"/>
              <w:rPr>
                <w:sz w:val="20"/>
                <w:szCs w:val="20"/>
                <w:color w:val="auto"/>
              </w:rPr>
            </w:pPr>
            <w:r>
              <w:rPr>
                <w:rFonts w:ascii="Arial" w:cs="Arial" w:eastAsia="Arial" w:hAnsi="Arial"/>
                <w:sz w:val="18"/>
                <w:szCs w:val="18"/>
                <w:color w:val="auto"/>
              </w:rPr>
              <w:t>Brazil</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 Brasil Ltda.</w:t>
            </w:r>
          </w:p>
        </w:tc>
        <w:tc>
          <w:tcPr>
            <w:tcW w:w="4760" w:type="dxa"/>
            <w:vAlign w:val="bottom"/>
          </w:tcPr>
          <w:p>
            <w:pPr>
              <w:ind w:left="1200"/>
              <w:spacing w:after="0"/>
              <w:rPr>
                <w:sz w:val="20"/>
                <w:szCs w:val="20"/>
                <w:color w:val="auto"/>
              </w:rPr>
            </w:pPr>
            <w:r>
              <w:rPr>
                <w:rFonts w:ascii="Arial" w:cs="Arial" w:eastAsia="Arial" w:hAnsi="Arial"/>
                <w:sz w:val="18"/>
                <w:szCs w:val="18"/>
                <w:color w:val="auto"/>
              </w:rPr>
              <w:t>Brazil</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 Staffing Ltda.</w:t>
            </w:r>
          </w:p>
        </w:tc>
        <w:tc>
          <w:tcPr>
            <w:tcW w:w="4760" w:type="dxa"/>
            <w:vAlign w:val="bottom"/>
          </w:tcPr>
          <w:p>
            <w:pPr>
              <w:ind w:left="1200"/>
              <w:spacing w:after="0"/>
              <w:rPr>
                <w:sz w:val="20"/>
                <w:szCs w:val="20"/>
                <w:color w:val="auto"/>
              </w:rPr>
            </w:pPr>
            <w:r>
              <w:rPr>
                <w:rFonts w:ascii="Arial" w:cs="Arial" w:eastAsia="Arial" w:hAnsi="Arial"/>
                <w:sz w:val="18"/>
                <w:szCs w:val="18"/>
                <w:color w:val="auto"/>
              </w:rPr>
              <w:t>Brazil</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Right do Brasil Ltda.</w:t>
            </w:r>
          </w:p>
        </w:tc>
        <w:tc>
          <w:tcPr>
            <w:tcW w:w="4760" w:type="dxa"/>
            <w:vAlign w:val="bottom"/>
          </w:tcPr>
          <w:p>
            <w:pPr>
              <w:ind w:left="1200"/>
              <w:spacing w:after="0"/>
              <w:rPr>
                <w:sz w:val="20"/>
                <w:szCs w:val="20"/>
                <w:color w:val="auto"/>
              </w:rPr>
            </w:pPr>
            <w:r>
              <w:rPr>
                <w:rFonts w:ascii="Arial" w:cs="Arial" w:eastAsia="Arial" w:hAnsi="Arial"/>
                <w:sz w:val="18"/>
                <w:szCs w:val="18"/>
                <w:color w:val="auto"/>
              </w:rPr>
              <w:t>Brazil</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 Inc. / California Peninsula</w:t>
            </w:r>
          </w:p>
        </w:tc>
        <w:tc>
          <w:tcPr>
            <w:tcW w:w="4760" w:type="dxa"/>
            <w:vAlign w:val="bottom"/>
          </w:tcPr>
          <w:p>
            <w:pPr>
              <w:ind w:left="1200"/>
              <w:spacing w:after="0"/>
              <w:rPr>
                <w:sz w:val="20"/>
                <w:szCs w:val="20"/>
                <w:color w:val="auto"/>
              </w:rPr>
            </w:pPr>
            <w:r>
              <w:rPr>
                <w:rFonts w:ascii="Arial" w:cs="Arial" w:eastAsia="Arial" w:hAnsi="Arial"/>
                <w:sz w:val="18"/>
                <w:szCs w:val="18"/>
                <w:color w:val="auto"/>
              </w:rPr>
              <w:t>CA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Misicom Inc</w:t>
            </w:r>
          </w:p>
        </w:tc>
        <w:tc>
          <w:tcPr>
            <w:tcW w:w="4760" w:type="dxa"/>
            <w:vAlign w:val="bottom"/>
          </w:tcPr>
          <w:p>
            <w:pPr>
              <w:ind w:left="1200"/>
              <w:spacing w:after="0"/>
              <w:rPr>
                <w:sz w:val="20"/>
                <w:szCs w:val="20"/>
                <w:color w:val="auto"/>
              </w:rPr>
            </w:pPr>
            <w:r>
              <w:rPr>
                <w:rFonts w:ascii="Arial" w:cs="Arial" w:eastAsia="Arial" w:hAnsi="Arial"/>
                <w:sz w:val="18"/>
                <w:szCs w:val="18"/>
                <w:color w:val="auto"/>
              </w:rPr>
              <w:t>CA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Ibis CA Acquisition, ULC</w:t>
            </w:r>
          </w:p>
        </w:tc>
        <w:tc>
          <w:tcPr>
            <w:tcW w:w="4760" w:type="dxa"/>
            <w:vAlign w:val="bottom"/>
          </w:tcPr>
          <w:p>
            <w:pPr>
              <w:ind w:left="1200"/>
              <w:spacing w:after="0"/>
              <w:rPr>
                <w:sz w:val="20"/>
                <w:szCs w:val="20"/>
                <w:color w:val="auto"/>
              </w:rPr>
            </w:pPr>
            <w:r>
              <w:rPr>
                <w:rFonts w:ascii="Arial" w:cs="Arial" w:eastAsia="Arial" w:hAnsi="Arial"/>
                <w:sz w:val="18"/>
                <w:szCs w:val="18"/>
                <w:color w:val="auto"/>
              </w:rPr>
              <w:t>Canada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INT Canada, LLC</w:t>
            </w:r>
          </w:p>
        </w:tc>
        <w:tc>
          <w:tcPr>
            <w:tcW w:w="4760" w:type="dxa"/>
            <w:vAlign w:val="bottom"/>
          </w:tcPr>
          <w:p>
            <w:pPr>
              <w:ind w:left="1200"/>
              <w:spacing w:after="0"/>
              <w:rPr>
                <w:sz w:val="20"/>
                <w:szCs w:val="20"/>
                <w:color w:val="auto"/>
              </w:rPr>
            </w:pPr>
            <w:r>
              <w:rPr>
                <w:rFonts w:ascii="Arial" w:cs="Arial" w:eastAsia="Arial" w:hAnsi="Arial"/>
                <w:sz w:val="18"/>
                <w:szCs w:val="18"/>
                <w:color w:val="auto"/>
              </w:rPr>
              <w:t>Canada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 Services Canada Limited</w:t>
            </w:r>
          </w:p>
        </w:tc>
        <w:tc>
          <w:tcPr>
            <w:tcW w:w="4760" w:type="dxa"/>
            <w:vAlign w:val="bottom"/>
          </w:tcPr>
          <w:p>
            <w:pPr>
              <w:ind w:left="1200"/>
              <w:spacing w:after="0"/>
              <w:rPr>
                <w:sz w:val="20"/>
                <w:szCs w:val="20"/>
                <w:color w:val="auto"/>
              </w:rPr>
            </w:pPr>
            <w:r>
              <w:rPr>
                <w:rFonts w:ascii="Arial" w:cs="Arial" w:eastAsia="Arial" w:hAnsi="Arial"/>
                <w:sz w:val="18"/>
                <w:szCs w:val="18"/>
                <w:color w:val="auto"/>
              </w:rPr>
              <w:t>Canada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Right Management Canada</w:t>
            </w:r>
          </w:p>
        </w:tc>
        <w:tc>
          <w:tcPr>
            <w:tcW w:w="4760" w:type="dxa"/>
            <w:vAlign w:val="bottom"/>
          </w:tcPr>
          <w:p>
            <w:pPr>
              <w:ind w:left="1200"/>
              <w:spacing w:after="0"/>
              <w:rPr>
                <w:sz w:val="20"/>
                <w:szCs w:val="20"/>
                <w:color w:val="auto"/>
              </w:rPr>
            </w:pPr>
            <w:r>
              <w:rPr>
                <w:rFonts w:ascii="Arial" w:cs="Arial" w:eastAsia="Arial" w:hAnsi="Arial"/>
                <w:sz w:val="18"/>
                <w:szCs w:val="18"/>
                <w:color w:val="auto"/>
              </w:rPr>
              <w:t>Canada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Veritaaq Technology House Inc.</w:t>
            </w:r>
          </w:p>
        </w:tc>
        <w:tc>
          <w:tcPr>
            <w:tcW w:w="4760" w:type="dxa"/>
            <w:vAlign w:val="bottom"/>
          </w:tcPr>
          <w:p>
            <w:pPr>
              <w:ind w:left="1200"/>
              <w:spacing w:after="0"/>
              <w:rPr>
                <w:sz w:val="20"/>
                <w:szCs w:val="20"/>
                <w:color w:val="auto"/>
              </w:rPr>
            </w:pPr>
            <w:r>
              <w:rPr>
                <w:rFonts w:ascii="Arial" w:cs="Arial" w:eastAsia="Arial" w:hAnsi="Arial"/>
                <w:sz w:val="18"/>
                <w:szCs w:val="18"/>
                <w:color w:val="auto"/>
              </w:rPr>
              <w:t>Canada</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 Empresa de Servicios Transitorios Ltda</w:t>
            </w:r>
          </w:p>
        </w:tc>
        <w:tc>
          <w:tcPr>
            <w:tcW w:w="4760" w:type="dxa"/>
            <w:vAlign w:val="bottom"/>
          </w:tcPr>
          <w:p>
            <w:pPr>
              <w:ind w:left="1200"/>
              <w:spacing w:after="0"/>
              <w:rPr>
                <w:sz w:val="20"/>
                <w:szCs w:val="20"/>
                <w:color w:val="auto"/>
              </w:rPr>
            </w:pPr>
            <w:r>
              <w:rPr>
                <w:rFonts w:ascii="Arial" w:cs="Arial" w:eastAsia="Arial" w:hAnsi="Arial"/>
                <w:sz w:val="18"/>
                <w:szCs w:val="18"/>
                <w:color w:val="auto"/>
              </w:rPr>
              <w:t>Chile</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 Servicios Especializados Ltda</w:t>
            </w:r>
          </w:p>
        </w:tc>
        <w:tc>
          <w:tcPr>
            <w:tcW w:w="4760" w:type="dxa"/>
            <w:vAlign w:val="bottom"/>
          </w:tcPr>
          <w:p>
            <w:pPr>
              <w:ind w:left="1200"/>
              <w:spacing w:after="0"/>
              <w:rPr>
                <w:sz w:val="20"/>
                <w:szCs w:val="20"/>
                <w:color w:val="auto"/>
              </w:rPr>
            </w:pPr>
            <w:r>
              <w:rPr>
                <w:rFonts w:ascii="Arial" w:cs="Arial" w:eastAsia="Arial" w:hAnsi="Arial"/>
                <w:sz w:val="18"/>
                <w:szCs w:val="18"/>
                <w:color w:val="auto"/>
              </w:rPr>
              <w:t>Chile</w:t>
            </w:r>
          </w:p>
        </w:tc>
      </w:tr>
      <w:tr>
        <w:trPr>
          <w:trHeight w:val="269"/>
        </w:trPr>
        <w:tc>
          <w:tcPr>
            <w:tcW w:w="6480" w:type="dxa"/>
            <w:vAlign w:val="bottom"/>
          </w:tcPr>
          <w:p>
            <w:pPr>
              <w:ind w:left="120"/>
              <w:spacing w:after="0"/>
              <w:rPr>
                <w:sz w:val="20"/>
                <w:szCs w:val="20"/>
                <w:color w:val="auto"/>
              </w:rPr>
            </w:pPr>
            <w:r>
              <w:rPr>
                <w:rFonts w:ascii="Arial" w:cs="Arial" w:eastAsia="Arial" w:hAnsi="Arial"/>
                <w:sz w:val="18"/>
                <w:szCs w:val="18"/>
                <w:color w:val="auto"/>
              </w:rPr>
              <w:t>Manpower Servicios Integrales SpA</w:t>
            </w:r>
          </w:p>
        </w:tc>
        <w:tc>
          <w:tcPr>
            <w:tcW w:w="4760" w:type="dxa"/>
            <w:vAlign w:val="bottom"/>
          </w:tcPr>
          <w:p>
            <w:pPr>
              <w:ind w:left="1200"/>
              <w:spacing w:after="0"/>
              <w:rPr>
                <w:sz w:val="20"/>
                <w:szCs w:val="20"/>
                <w:color w:val="auto"/>
              </w:rPr>
            </w:pPr>
            <w:r>
              <w:rPr>
                <w:rFonts w:ascii="Arial" w:cs="Arial" w:eastAsia="Arial" w:hAnsi="Arial"/>
                <w:sz w:val="18"/>
                <w:szCs w:val="18"/>
                <w:color w:val="auto"/>
              </w:rPr>
              <w:t>Chile</w:t>
            </w:r>
          </w:p>
        </w:tc>
      </w:tr>
      <w:tr>
        <w:trPr>
          <w:trHeight w:val="397"/>
        </w:trPr>
        <w:tc>
          <w:tcPr>
            <w:tcW w:w="64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30"/>
        </w:trPr>
        <w:tc>
          <w:tcPr>
            <w:tcW w:w="5580" w:type="dxa"/>
            <w:vAlign w:val="bottom"/>
          </w:tcPr>
          <w:p>
            <w:pPr>
              <w:ind w:left="120"/>
              <w:spacing w:after="0"/>
              <w:rPr>
                <w:sz w:val="20"/>
                <w:szCs w:val="20"/>
                <w:color w:val="auto"/>
              </w:rPr>
            </w:pPr>
            <w:r>
              <w:rPr>
                <w:rFonts w:ascii="Arial" w:cs="Arial" w:eastAsia="Arial" w:hAnsi="Arial"/>
                <w:sz w:val="18"/>
                <w:szCs w:val="18"/>
                <w:color w:val="auto"/>
              </w:rPr>
              <w:t>Talent Solutions Capacitacion SpA</w:t>
            </w:r>
          </w:p>
        </w:tc>
        <w:tc>
          <w:tcPr>
            <w:tcW w:w="5660" w:type="dxa"/>
            <w:vAlign w:val="bottom"/>
          </w:tcPr>
          <w:p>
            <w:pPr>
              <w:ind w:left="2100"/>
              <w:spacing w:after="0"/>
              <w:rPr>
                <w:sz w:val="20"/>
                <w:szCs w:val="20"/>
                <w:color w:val="auto"/>
              </w:rPr>
            </w:pPr>
            <w:r>
              <w:rPr>
                <w:rFonts w:ascii="Arial" w:cs="Arial" w:eastAsia="Arial" w:hAnsi="Arial"/>
                <w:sz w:val="18"/>
                <w:szCs w:val="18"/>
                <w:color w:val="auto"/>
              </w:rPr>
              <w:t>Chile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Aerospace Solutions Engineering, LLC</w:t>
            </w:r>
          </w:p>
        </w:tc>
        <w:tc>
          <w:tcPr>
            <w:tcW w:w="5660" w:type="dxa"/>
            <w:vAlign w:val="bottom"/>
          </w:tcPr>
          <w:p>
            <w:pPr>
              <w:ind w:left="2100"/>
              <w:spacing w:after="0"/>
              <w:rPr>
                <w:sz w:val="20"/>
                <w:szCs w:val="20"/>
                <w:color w:val="auto"/>
              </w:rPr>
            </w:pPr>
            <w:r>
              <w:rPr>
                <w:rFonts w:ascii="Arial" w:cs="Arial" w:eastAsia="Arial" w:hAnsi="Arial"/>
                <w:sz w:val="18"/>
                <w:szCs w:val="18"/>
                <w:color w:val="auto"/>
              </w:rPr>
              <w:t>CO</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Fahrenheit IT, LLC</w:t>
            </w:r>
          </w:p>
        </w:tc>
        <w:tc>
          <w:tcPr>
            <w:tcW w:w="5660" w:type="dxa"/>
            <w:vAlign w:val="bottom"/>
          </w:tcPr>
          <w:p>
            <w:pPr>
              <w:ind w:left="2100"/>
              <w:spacing w:after="0"/>
              <w:rPr>
                <w:sz w:val="20"/>
                <w:szCs w:val="20"/>
                <w:color w:val="auto"/>
              </w:rPr>
            </w:pPr>
            <w:r>
              <w:rPr>
                <w:rFonts w:ascii="Arial" w:cs="Arial" w:eastAsia="Arial" w:hAnsi="Arial"/>
                <w:sz w:val="18"/>
                <w:szCs w:val="18"/>
                <w:color w:val="auto"/>
              </w:rPr>
              <w:t>CO</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Global Employment Solutions, LLC</w:t>
            </w:r>
          </w:p>
        </w:tc>
        <w:tc>
          <w:tcPr>
            <w:tcW w:w="5660" w:type="dxa"/>
            <w:vAlign w:val="bottom"/>
          </w:tcPr>
          <w:p>
            <w:pPr>
              <w:ind w:left="2100"/>
              <w:spacing w:after="0"/>
              <w:rPr>
                <w:sz w:val="20"/>
                <w:szCs w:val="20"/>
                <w:color w:val="auto"/>
              </w:rPr>
            </w:pPr>
            <w:r>
              <w:rPr>
                <w:rFonts w:ascii="Arial" w:cs="Arial" w:eastAsia="Arial" w:hAnsi="Arial"/>
                <w:sz w:val="18"/>
                <w:szCs w:val="18"/>
                <w:color w:val="auto"/>
              </w:rPr>
              <w:t>CO</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Information Technology Engineering, LLC</w:t>
            </w:r>
          </w:p>
        </w:tc>
        <w:tc>
          <w:tcPr>
            <w:tcW w:w="5660" w:type="dxa"/>
            <w:vAlign w:val="bottom"/>
          </w:tcPr>
          <w:p>
            <w:pPr>
              <w:ind w:left="2100"/>
              <w:spacing w:after="0"/>
              <w:rPr>
                <w:sz w:val="20"/>
                <w:szCs w:val="20"/>
                <w:color w:val="auto"/>
              </w:rPr>
            </w:pPr>
            <w:r>
              <w:rPr>
                <w:rFonts w:ascii="Arial" w:cs="Arial" w:eastAsia="Arial" w:hAnsi="Arial"/>
                <w:sz w:val="18"/>
                <w:szCs w:val="18"/>
                <w:color w:val="auto"/>
              </w:rPr>
              <w:t>CO</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ITEC II, LLC</w:t>
            </w:r>
          </w:p>
        </w:tc>
        <w:tc>
          <w:tcPr>
            <w:tcW w:w="5660" w:type="dxa"/>
            <w:vAlign w:val="bottom"/>
          </w:tcPr>
          <w:p>
            <w:pPr>
              <w:ind w:left="2100"/>
              <w:spacing w:after="0"/>
              <w:rPr>
                <w:sz w:val="20"/>
                <w:szCs w:val="20"/>
                <w:color w:val="auto"/>
              </w:rPr>
            </w:pPr>
            <w:r>
              <w:rPr>
                <w:rFonts w:ascii="Arial" w:cs="Arial" w:eastAsia="Arial" w:hAnsi="Arial"/>
                <w:sz w:val="18"/>
                <w:szCs w:val="18"/>
                <w:color w:val="auto"/>
              </w:rPr>
              <w:t>CO</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de Colombia Ltda.</w:t>
            </w:r>
          </w:p>
        </w:tc>
        <w:tc>
          <w:tcPr>
            <w:tcW w:w="5660" w:type="dxa"/>
            <w:vAlign w:val="bottom"/>
          </w:tcPr>
          <w:p>
            <w:pPr>
              <w:ind w:left="2100"/>
              <w:spacing w:after="0"/>
              <w:rPr>
                <w:sz w:val="20"/>
                <w:szCs w:val="20"/>
                <w:color w:val="auto"/>
              </w:rPr>
            </w:pPr>
            <w:r>
              <w:rPr>
                <w:rFonts w:ascii="Arial" w:cs="Arial" w:eastAsia="Arial" w:hAnsi="Arial"/>
                <w:sz w:val="18"/>
                <w:szCs w:val="18"/>
                <w:color w:val="auto"/>
              </w:rPr>
              <w:t>Colombia</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Professional Ltd.</w:t>
            </w:r>
          </w:p>
        </w:tc>
        <w:tc>
          <w:tcPr>
            <w:tcW w:w="5660" w:type="dxa"/>
            <w:vAlign w:val="bottom"/>
          </w:tcPr>
          <w:p>
            <w:pPr>
              <w:ind w:left="2100"/>
              <w:spacing w:after="0"/>
              <w:rPr>
                <w:sz w:val="20"/>
                <w:szCs w:val="20"/>
                <w:color w:val="auto"/>
              </w:rPr>
            </w:pPr>
            <w:r>
              <w:rPr>
                <w:rFonts w:ascii="Arial" w:cs="Arial" w:eastAsia="Arial" w:hAnsi="Arial"/>
                <w:sz w:val="18"/>
                <w:szCs w:val="18"/>
                <w:color w:val="auto"/>
              </w:rPr>
              <w:t>Colombia</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Tahuma SAS</w:t>
            </w:r>
          </w:p>
        </w:tc>
        <w:tc>
          <w:tcPr>
            <w:tcW w:w="5660" w:type="dxa"/>
            <w:vAlign w:val="bottom"/>
          </w:tcPr>
          <w:p>
            <w:pPr>
              <w:ind w:left="2100"/>
              <w:spacing w:after="0"/>
              <w:rPr>
                <w:sz w:val="20"/>
                <w:szCs w:val="20"/>
                <w:color w:val="auto"/>
              </w:rPr>
            </w:pPr>
            <w:r>
              <w:rPr>
                <w:rFonts w:ascii="Arial" w:cs="Arial" w:eastAsia="Arial" w:hAnsi="Arial"/>
                <w:sz w:val="18"/>
                <w:szCs w:val="18"/>
                <w:color w:val="auto"/>
              </w:rPr>
              <w:t>Colombia</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Costa Rica, S.A.</w:t>
            </w:r>
          </w:p>
        </w:tc>
        <w:tc>
          <w:tcPr>
            <w:tcW w:w="5660" w:type="dxa"/>
            <w:vAlign w:val="bottom"/>
          </w:tcPr>
          <w:p>
            <w:pPr>
              <w:ind w:left="2100"/>
              <w:spacing w:after="0"/>
              <w:rPr>
                <w:sz w:val="20"/>
                <w:szCs w:val="20"/>
                <w:color w:val="auto"/>
              </w:rPr>
            </w:pPr>
            <w:r>
              <w:rPr>
                <w:rFonts w:ascii="Arial" w:cs="Arial" w:eastAsia="Arial" w:hAnsi="Arial"/>
                <w:sz w:val="18"/>
                <w:szCs w:val="18"/>
                <w:color w:val="auto"/>
              </w:rPr>
              <w:t>Costa Rica</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Professional Costa Rica, S.A.</w:t>
            </w:r>
          </w:p>
        </w:tc>
        <w:tc>
          <w:tcPr>
            <w:tcW w:w="5660" w:type="dxa"/>
            <w:vAlign w:val="bottom"/>
          </w:tcPr>
          <w:p>
            <w:pPr>
              <w:ind w:left="2100"/>
              <w:spacing w:after="0"/>
              <w:rPr>
                <w:sz w:val="20"/>
                <w:szCs w:val="20"/>
                <w:color w:val="auto"/>
              </w:rPr>
            </w:pPr>
            <w:r>
              <w:rPr>
                <w:rFonts w:ascii="Arial" w:cs="Arial" w:eastAsia="Arial" w:hAnsi="Arial"/>
                <w:sz w:val="18"/>
                <w:szCs w:val="18"/>
                <w:color w:val="auto"/>
              </w:rPr>
              <w:t>Costa Rica</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ManpowerGroup s.r.o.</w:t>
            </w:r>
          </w:p>
        </w:tc>
        <w:tc>
          <w:tcPr>
            <w:tcW w:w="5660" w:type="dxa"/>
            <w:vAlign w:val="bottom"/>
          </w:tcPr>
          <w:p>
            <w:pPr>
              <w:ind w:left="2100"/>
              <w:spacing w:after="0"/>
              <w:rPr>
                <w:sz w:val="20"/>
                <w:szCs w:val="20"/>
                <w:color w:val="auto"/>
              </w:rPr>
            </w:pPr>
            <w:r>
              <w:rPr>
                <w:rFonts w:ascii="Arial" w:cs="Arial" w:eastAsia="Arial" w:hAnsi="Arial"/>
                <w:sz w:val="18"/>
                <w:szCs w:val="18"/>
                <w:color w:val="auto"/>
              </w:rPr>
              <w:t>Czech Republic</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Workforce Solutions s.r.o.</w:t>
            </w:r>
          </w:p>
        </w:tc>
        <w:tc>
          <w:tcPr>
            <w:tcW w:w="5660" w:type="dxa"/>
            <w:vAlign w:val="bottom"/>
          </w:tcPr>
          <w:p>
            <w:pPr>
              <w:ind w:left="2100"/>
              <w:spacing w:after="0"/>
              <w:rPr>
                <w:sz w:val="20"/>
                <w:szCs w:val="20"/>
                <w:color w:val="auto"/>
              </w:rPr>
            </w:pPr>
            <w:r>
              <w:rPr>
                <w:rFonts w:ascii="Arial" w:cs="Arial" w:eastAsia="Arial" w:hAnsi="Arial"/>
                <w:sz w:val="18"/>
                <w:szCs w:val="18"/>
                <w:color w:val="auto"/>
              </w:rPr>
              <w:t>Czech Republic</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Econometrix, LLC</w:t>
            </w:r>
          </w:p>
        </w:tc>
        <w:tc>
          <w:tcPr>
            <w:tcW w:w="5660" w:type="dxa"/>
            <w:vAlign w:val="bottom"/>
          </w:tcPr>
          <w:p>
            <w:pPr>
              <w:ind w:left="2100"/>
              <w:spacing w:after="0"/>
              <w:rPr>
                <w:sz w:val="20"/>
                <w:szCs w:val="20"/>
                <w:color w:val="auto"/>
              </w:rPr>
            </w:pPr>
            <w:r>
              <w:rPr>
                <w:rFonts w:ascii="Arial" w:cs="Arial" w:eastAsia="Arial" w:hAnsi="Arial"/>
                <w:sz w:val="18"/>
                <w:szCs w:val="18"/>
                <w:color w:val="auto"/>
              </w:rPr>
              <w:t>DE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ettain group Holdings, LLC</w:t>
            </w:r>
          </w:p>
        </w:tc>
        <w:tc>
          <w:tcPr>
            <w:tcW w:w="5660" w:type="dxa"/>
            <w:vAlign w:val="bottom"/>
          </w:tcPr>
          <w:p>
            <w:pPr>
              <w:ind w:left="2100"/>
              <w:spacing w:after="0"/>
              <w:rPr>
                <w:sz w:val="20"/>
                <w:szCs w:val="20"/>
                <w:color w:val="auto"/>
              </w:rPr>
            </w:pPr>
            <w:r>
              <w:rPr>
                <w:rFonts w:ascii="Arial" w:cs="Arial" w:eastAsia="Arial" w:hAnsi="Arial"/>
                <w:sz w:val="18"/>
                <w:szCs w:val="18"/>
                <w:color w:val="auto"/>
              </w:rPr>
              <w:t>DE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Experis Finance US, LLC</w:t>
            </w:r>
          </w:p>
        </w:tc>
        <w:tc>
          <w:tcPr>
            <w:tcW w:w="5660" w:type="dxa"/>
            <w:vAlign w:val="bottom"/>
          </w:tcPr>
          <w:p>
            <w:pPr>
              <w:ind w:left="2100"/>
              <w:spacing w:after="0"/>
              <w:rPr>
                <w:sz w:val="20"/>
                <w:szCs w:val="20"/>
                <w:color w:val="auto"/>
              </w:rPr>
            </w:pPr>
            <w:r>
              <w:rPr>
                <w:rFonts w:ascii="Arial" w:cs="Arial" w:eastAsia="Arial" w:hAnsi="Arial"/>
                <w:sz w:val="18"/>
                <w:szCs w:val="18"/>
                <w:color w:val="auto"/>
              </w:rPr>
              <w:t>DE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Experis IT Services US, LLC</w:t>
            </w:r>
          </w:p>
        </w:tc>
        <w:tc>
          <w:tcPr>
            <w:tcW w:w="5660" w:type="dxa"/>
            <w:vAlign w:val="bottom"/>
          </w:tcPr>
          <w:p>
            <w:pPr>
              <w:ind w:left="2100"/>
              <w:spacing w:after="0"/>
              <w:rPr>
                <w:sz w:val="20"/>
                <w:szCs w:val="20"/>
                <w:color w:val="auto"/>
              </w:rPr>
            </w:pPr>
            <w:r>
              <w:rPr>
                <w:rFonts w:ascii="Arial" w:cs="Arial" w:eastAsia="Arial" w:hAnsi="Arial"/>
                <w:sz w:val="18"/>
                <w:szCs w:val="18"/>
                <w:color w:val="auto"/>
              </w:rPr>
              <w:t>DE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Friendly Advanced Software Technology, LLC</w:t>
            </w:r>
          </w:p>
        </w:tc>
        <w:tc>
          <w:tcPr>
            <w:tcW w:w="5660" w:type="dxa"/>
            <w:vAlign w:val="bottom"/>
          </w:tcPr>
          <w:p>
            <w:pPr>
              <w:ind w:left="2100"/>
              <w:spacing w:after="0"/>
              <w:rPr>
                <w:sz w:val="20"/>
                <w:szCs w:val="20"/>
                <w:color w:val="auto"/>
              </w:rPr>
            </w:pPr>
            <w:r>
              <w:rPr>
                <w:rFonts w:ascii="Arial" w:cs="Arial" w:eastAsia="Arial" w:hAnsi="Arial"/>
                <w:sz w:val="18"/>
                <w:szCs w:val="18"/>
                <w:color w:val="auto"/>
              </w:rPr>
              <w:t>DE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Leidos Health, LLC.</w:t>
            </w:r>
          </w:p>
        </w:tc>
        <w:tc>
          <w:tcPr>
            <w:tcW w:w="5660" w:type="dxa"/>
            <w:vAlign w:val="bottom"/>
          </w:tcPr>
          <w:p>
            <w:pPr>
              <w:ind w:left="2100"/>
              <w:spacing w:after="0"/>
              <w:rPr>
                <w:sz w:val="20"/>
                <w:szCs w:val="20"/>
                <w:color w:val="auto"/>
              </w:rPr>
            </w:pPr>
            <w:r>
              <w:rPr>
                <w:rFonts w:ascii="Arial" w:cs="Arial" w:eastAsia="Arial" w:hAnsi="Arial"/>
                <w:sz w:val="18"/>
                <w:szCs w:val="18"/>
                <w:color w:val="auto"/>
              </w:rPr>
              <w:t>DE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Franchises, LLC</w:t>
            </w:r>
          </w:p>
        </w:tc>
        <w:tc>
          <w:tcPr>
            <w:tcW w:w="5660" w:type="dxa"/>
            <w:vAlign w:val="bottom"/>
          </w:tcPr>
          <w:p>
            <w:pPr>
              <w:ind w:left="2100"/>
              <w:spacing w:after="0"/>
              <w:rPr>
                <w:sz w:val="20"/>
                <w:szCs w:val="20"/>
                <w:color w:val="auto"/>
              </w:rPr>
            </w:pPr>
            <w:r>
              <w:rPr>
                <w:rFonts w:ascii="Arial" w:cs="Arial" w:eastAsia="Arial" w:hAnsi="Arial"/>
                <w:sz w:val="18"/>
                <w:szCs w:val="18"/>
                <w:color w:val="auto"/>
              </w:rPr>
              <w:t>DE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Holdings, Inc.</w:t>
            </w:r>
          </w:p>
        </w:tc>
        <w:tc>
          <w:tcPr>
            <w:tcW w:w="5660" w:type="dxa"/>
            <w:vAlign w:val="bottom"/>
          </w:tcPr>
          <w:p>
            <w:pPr>
              <w:ind w:left="2100"/>
              <w:spacing w:after="0"/>
              <w:rPr>
                <w:sz w:val="20"/>
                <w:szCs w:val="20"/>
                <w:color w:val="auto"/>
              </w:rPr>
            </w:pPr>
            <w:r>
              <w:rPr>
                <w:rFonts w:ascii="Arial" w:cs="Arial" w:eastAsia="Arial" w:hAnsi="Arial"/>
                <w:sz w:val="18"/>
                <w:szCs w:val="18"/>
                <w:color w:val="auto"/>
              </w:rPr>
              <w:t>DE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NZ Holdings LLC</w:t>
            </w:r>
          </w:p>
        </w:tc>
        <w:tc>
          <w:tcPr>
            <w:tcW w:w="5660" w:type="dxa"/>
            <w:vAlign w:val="bottom"/>
          </w:tcPr>
          <w:p>
            <w:pPr>
              <w:ind w:left="2100"/>
              <w:spacing w:after="0"/>
              <w:rPr>
                <w:sz w:val="20"/>
                <w:szCs w:val="20"/>
                <w:color w:val="auto"/>
              </w:rPr>
            </w:pPr>
            <w:r>
              <w:rPr>
                <w:rFonts w:ascii="Arial" w:cs="Arial" w:eastAsia="Arial" w:hAnsi="Arial"/>
                <w:sz w:val="18"/>
                <w:szCs w:val="18"/>
                <w:color w:val="auto"/>
              </w:rPr>
              <w:t>DE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US Inc.</w:t>
            </w:r>
          </w:p>
        </w:tc>
        <w:tc>
          <w:tcPr>
            <w:tcW w:w="5660" w:type="dxa"/>
            <w:vAlign w:val="bottom"/>
          </w:tcPr>
          <w:p>
            <w:pPr>
              <w:ind w:left="2100"/>
              <w:spacing w:after="0"/>
              <w:rPr>
                <w:sz w:val="20"/>
                <w:szCs w:val="20"/>
                <w:color w:val="auto"/>
              </w:rPr>
            </w:pPr>
            <w:r>
              <w:rPr>
                <w:rFonts w:ascii="Arial" w:cs="Arial" w:eastAsia="Arial" w:hAnsi="Arial"/>
                <w:sz w:val="18"/>
                <w:szCs w:val="18"/>
                <w:color w:val="auto"/>
              </w:rPr>
              <w:t>DE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ManpowerGroup Talent Solutions, LLC</w:t>
            </w:r>
          </w:p>
        </w:tc>
        <w:tc>
          <w:tcPr>
            <w:tcW w:w="5660" w:type="dxa"/>
            <w:vAlign w:val="bottom"/>
          </w:tcPr>
          <w:p>
            <w:pPr>
              <w:ind w:left="2100"/>
              <w:spacing w:after="0"/>
              <w:rPr>
                <w:sz w:val="20"/>
                <w:szCs w:val="20"/>
                <w:color w:val="auto"/>
              </w:rPr>
            </w:pPr>
            <w:r>
              <w:rPr>
                <w:rFonts w:ascii="Arial" w:cs="Arial" w:eastAsia="Arial" w:hAnsi="Arial"/>
                <w:sz w:val="18"/>
                <w:szCs w:val="18"/>
                <w:color w:val="auto"/>
              </w:rPr>
              <w:t>DE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ManpowerGroup US Holdings LLC</w:t>
            </w:r>
          </w:p>
        </w:tc>
        <w:tc>
          <w:tcPr>
            <w:tcW w:w="5660" w:type="dxa"/>
            <w:vAlign w:val="bottom"/>
          </w:tcPr>
          <w:p>
            <w:pPr>
              <w:ind w:left="2100"/>
              <w:spacing w:after="0"/>
              <w:rPr>
                <w:sz w:val="20"/>
                <w:szCs w:val="20"/>
                <w:color w:val="auto"/>
              </w:rPr>
            </w:pPr>
            <w:r>
              <w:rPr>
                <w:rFonts w:ascii="Arial" w:cs="Arial" w:eastAsia="Arial" w:hAnsi="Arial"/>
                <w:sz w:val="18"/>
                <w:szCs w:val="18"/>
                <w:color w:val="auto"/>
              </w:rPr>
              <w:t>DE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Right License Holding, Inc.</w:t>
            </w:r>
          </w:p>
        </w:tc>
        <w:tc>
          <w:tcPr>
            <w:tcW w:w="5660" w:type="dxa"/>
            <w:vAlign w:val="bottom"/>
          </w:tcPr>
          <w:p>
            <w:pPr>
              <w:ind w:left="2100"/>
              <w:spacing w:after="0"/>
              <w:rPr>
                <w:sz w:val="20"/>
                <w:szCs w:val="20"/>
                <w:color w:val="auto"/>
              </w:rPr>
            </w:pPr>
            <w:r>
              <w:rPr>
                <w:rFonts w:ascii="Arial" w:cs="Arial" w:eastAsia="Arial" w:hAnsi="Arial"/>
                <w:sz w:val="18"/>
                <w:szCs w:val="18"/>
                <w:color w:val="auto"/>
              </w:rPr>
              <w:t>DE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TAPFIN LLC</w:t>
            </w:r>
          </w:p>
        </w:tc>
        <w:tc>
          <w:tcPr>
            <w:tcW w:w="5660" w:type="dxa"/>
            <w:vAlign w:val="bottom"/>
          </w:tcPr>
          <w:p>
            <w:pPr>
              <w:ind w:left="2100"/>
              <w:spacing w:after="0"/>
              <w:rPr>
                <w:sz w:val="20"/>
                <w:szCs w:val="20"/>
                <w:color w:val="auto"/>
              </w:rPr>
            </w:pPr>
            <w:r>
              <w:rPr>
                <w:rFonts w:ascii="Arial" w:cs="Arial" w:eastAsia="Arial" w:hAnsi="Arial"/>
                <w:sz w:val="18"/>
                <w:szCs w:val="18"/>
                <w:color w:val="auto"/>
              </w:rPr>
              <w:t>DE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Experis A/S</w:t>
            </w:r>
          </w:p>
        </w:tc>
        <w:tc>
          <w:tcPr>
            <w:tcW w:w="5660" w:type="dxa"/>
            <w:vAlign w:val="bottom"/>
          </w:tcPr>
          <w:p>
            <w:pPr>
              <w:ind w:left="2100"/>
              <w:spacing w:after="0"/>
              <w:rPr>
                <w:sz w:val="20"/>
                <w:szCs w:val="20"/>
                <w:color w:val="auto"/>
              </w:rPr>
            </w:pPr>
            <w:r>
              <w:rPr>
                <w:rFonts w:ascii="Arial" w:cs="Arial" w:eastAsia="Arial" w:hAnsi="Arial"/>
                <w:sz w:val="18"/>
                <w:szCs w:val="18"/>
                <w:color w:val="auto"/>
              </w:rPr>
              <w:t>Denmark</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Republica Dominicana, S.A.</w:t>
            </w:r>
          </w:p>
        </w:tc>
        <w:tc>
          <w:tcPr>
            <w:tcW w:w="5660" w:type="dxa"/>
            <w:vAlign w:val="bottom"/>
          </w:tcPr>
          <w:p>
            <w:pPr>
              <w:ind w:left="2100"/>
              <w:spacing w:after="0"/>
              <w:rPr>
                <w:sz w:val="20"/>
                <w:szCs w:val="20"/>
                <w:color w:val="auto"/>
              </w:rPr>
            </w:pPr>
            <w:r>
              <w:rPr>
                <w:rFonts w:ascii="Arial" w:cs="Arial" w:eastAsia="Arial" w:hAnsi="Arial"/>
                <w:sz w:val="18"/>
                <w:szCs w:val="18"/>
                <w:color w:val="auto"/>
              </w:rPr>
              <w:t>Dominican Republic</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El Salvador, S.A. de C.V.</w:t>
            </w:r>
          </w:p>
        </w:tc>
        <w:tc>
          <w:tcPr>
            <w:tcW w:w="5660" w:type="dxa"/>
            <w:vAlign w:val="bottom"/>
          </w:tcPr>
          <w:p>
            <w:pPr>
              <w:ind w:left="2100"/>
              <w:spacing w:after="0"/>
              <w:rPr>
                <w:sz w:val="20"/>
                <w:szCs w:val="20"/>
                <w:color w:val="auto"/>
              </w:rPr>
            </w:pPr>
            <w:r>
              <w:rPr>
                <w:rFonts w:ascii="Arial" w:cs="Arial" w:eastAsia="Arial" w:hAnsi="Arial"/>
                <w:sz w:val="18"/>
                <w:szCs w:val="18"/>
                <w:color w:val="auto"/>
              </w:rPr>
              <w:t>El Salvador</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OÜ</w:t>
            </w:r>
          </w:p>
        </w:tc>
        <w:tc>
          <w:tcPr>
            <w:tcW w:w="5660" w:type="dxa"/>
            <w:vAlign w:val="bottom"/>
          </w:tcPr>
          <w:p>
            <w:pPr>
              <w:ind w:left="2100"/>
              <w:spacing w:after="0"/>
              <w:rPr>
                <w:sz w:val="20"/>
                <w:szCs w:val="20"/>
                <w:color w:val="auto"/>
              </w:rPr>
            </w:pPr>
            <w:r>
              <w:rPr>
                <w:rFonts w:ascii="Arial" w:cs="Arial" w:eastAsia="Arial" w:hAnsi="Arial"/>
                <w:sz w:val="18"/>
                <w:szCs w:val="18"/>
                <w:color w:val="auto"/>
              </w:rPr>
              <w:t>Estonia</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Inclusive Oy</w:t>
            </w:r>
          </w:p>
        </w:tc>
        <w:tc>
          <w:tcPr>
            <w:tcW w:w="5660" w:type="dxa"/>
            <w:vAlign w:val="bottom"/>
          </w:tcPr>
          <w:p>
            <w:pPr>
              <w:ind w:left="2100"/>
              <w:spacing w:after="0"/>
              <w:rPr>
                <w:sz w:val="20"/>
                <w:szCs w:val="20"/>
                <w:color w:val="auto"/>
              </w:rPr>
            </w:pPr>
            <w:r>
              <w:rPr>
                <w:rFonts w:ascii="Arial" w:cs="Arial" w:eastAsia="Arial" w:hAnsi="Arial"/>
                <w:sz w:val="18"/>
                <w:szCs w:val="18"/>
                <w:color w:val="auto"/>
              </w:rPr>
              <w:t>Finland</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ManpowerGroup OY</w:t>
            </w:r>
          </w:p>
        </w:tc>
        <w:tc>
          <w:tcPr>
            <w:tcW w:w="5660" w:type="dxa"/>
            <w:vAlign w:val="bottom"/>
          </w:tcPr>
          <w:p>
            <w:pPr>
              <w:ind w:left="2100"/>
              <w:spacing w:after="0"/>
              <w:rPr>
                <w:sz w:val="20"/>
                <w:szCs w:val="20"/>
                <w:color w:val="auto"/>
              </w:rPr>
            </w:pPr>
            <w:r>
              <w:rPr>
                <w:rFonts w:ascii="Arial" w:cs="Arial" w:eastAsia="Arial" w:hAnsi="Arial"/>
                <w:sz w:val="18"/>
                <w:szCs w:val="18"/>
                <w:color w:val="auto"/>
              </w:rPr>
              <w:t>Finland</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ManpowerGroup Solutions OY</w:t>
            </w:r>
          </w:p>
        </w:tc>
        <w:tc>
          <w:tcPr>
            <w:tcW w:w="5660" w:type="dxa"/>
            <w:vAlign w:val="bottom"/>
          </w:tcPr>
          <w:p>
            <w:pPr>
              <w:ind w:left="2100"/>
              <w:spacing w:after="0"/>
              <w:rPr>
                <w:sz w:val="20"/>
                <w:szCs w:val="20"/>
                <w:color w:val="auto"/>
              </w:rPr>
            </w:pPr>
            <w:r>
              <w:rPr>
                <w:rFonts w:ascii="Arial" w:cs="Arial" w:eastAsia="Arial" w:hAnsi="Arial"/>
                <w:sz w:val="18"/>
                <w:szCs w:val="18"/>
                <w:color w:val="auto"/>
              </w:rPr>
              <w:t>Finland</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Experis France SAS</w:t>
            </w:r>
          </w:p>
        </w:tc>
        <w:tc>
          <w:tcPr>
            <w:tcW w:w="5660" w:type="dxa"/>
            <w:vAlign w:val="bottom"/>
          </w:tcPr>
          <w:p>
            <w:pPr>
              <w:ind w:left="2100"/>
              <w:spacing w:after="0"/>
              <w:rPr>
                <w:sz w:val="20"/>
                <w:szCs w:val="20"/>
                <w:color w:val="auto"/>
              </w:rPr>
            </w:pPr>
            <w:r>
              <w:rPr>
                <w:rFonts w:ascii="Arial" w:cs="Arial" w:eastAsia="Arial" w:hAnsi="Arial"/>
                <w:sz w:val="18"/>
                <w:szCs w:val="18"/>
                <w:color w:val="auto"/>
              </w:rPr>
              <w:t>France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FuturSkill IT SAS</w:t>
            </w:r>
          </w:p>
        </w:tc>
        <w:tc>
          <w:tcPr>
            <w:tcW w:w="5660" w:type="dxa"/>
            <w:vAlign w:val="bottom"/>
          </w:tcPr>
          <w:p>
            <w:pPr>
              <w:ind w:left="2100"/>
              <w:spacing w:after="0"/>
              <w:rPr>
                <w:sz w:val="20"/>
                <w:szCs w:val="20"/>
                <w:color w:val="auto"/>
              </w:rPr>
            </w:pPr>
            <w:r>
              <w:rPr>
                <w:rFonts w:ascii="Arial" w:cs="Arial" w:eastAsia="Arial" w:hAnsi="Arial"/>
                <w:sz w:val="18"/>
                <w:szCs w:val="18"/>
                <w:color w:val="auto"/>
              </w:rPr>
              <w:t>France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France Holding SAS</w:t>
            </w:r>
          </w:p>
        </w:tc>
        <w:tc>
          <w:tcPr>
            <w:tcW w:w="5660" w:type="dxa"/>
            <w:vAlign w:val="bottom"/>
          </w:tcPr>
          <w:p>
            <w:pPr>
              <w:ind w:left="2100"/>
              <w:spacing w:after="0"/>
              <w:rPr>
                <w:sz w:val="20"/>
                <w:szCs w:val="20"/>
                <w:color w:val="auto"/>
              </w:rPr>
            </w:pPr>
            <w:r>
              <w:rPr>
                <w:rFonts w:ascii="Arial" w:cs="Arial" w:eastAsia="Arial" w:hAnsi="Arial"/>
                <w:sz w:val="18"/>
                <w:szCs w:val="18"/>
                <w:color w:val="auto"/>
              </w:rPr>
              <w:t>France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France SAS</w:t>
            </w:r>
          </w:p>
        </w:tc>
        <w:tc>
          <w:tcPr>
            <w:tcW w:w="5660" w:type="dxa"/>
            <w:vAlign w:val="bottom"/>
          </w:tcPr>
          <w:p>
            <w:pPr>
              <w:ind w:left="2100"/>
              <w:spacing w:after="0"/>
              <w:rPr>
                <w:sz w:val="20"/>
                <w:szCs w:val="20"/>
                <w:color w:val="auto"/>
              </w:rPr>
            </w:pPr>
            <w:r>
              <w:rPr>
                <w:rFonts w:ascii="Arial" w:cs="Arial" w:eastAsia="Arial" w:hAnsi="Arial"/>
                <w:sz w:val="18"/>
                <w:szCs w:val="18"/>
                <w:color w:val="auto"/>
              </w:rPr>
              <w:t>France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 Nouvelles Competences SAS</w:t>
            </w:r>
          </w:p>
        </w:tc>
        <w:tc>
          <w:tcPr>
            <w:tcW w:w="5660" w:type="dxa"/>
            <w:vAlign w:val="bottom"/>
          </w:tcPr>
          <w:p>
            <w:pPr>
              <w:ind w:left="2100"/>
              <w:spacing w:after="0"/>
              <w:rPr>
                <w:sz w:val="20"/>
                <w:szCs w:val="20"/>
                <w:color w:val="auto"/>
              </w:rPr>
            </w:pPr>
            <w:r>
              <w:rPr>
                <w:rFonts w:ascii="Arial" w:cs="Arial" w:eastAsia="Arial" w:hAnsi="Arial"/>
                <w:sz w:val="18"/>
                <w:szCs w:val="18"/>
                <w:color w:val="auto"/>
              </w:rPr>
              <w:t>France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ManpowerGroup France SAS</w:t>
            </w:r>
          </w:p>
        </w:tc>
        <w:tc>
          <w:tcPr>
            <w:tcW w:w="5660" w:type="dxa"/>
            <w:vAlign w:val="bottom"/>
          </w:tcPr>
          <w:p>
            <w:pPr>
              <w:ind w:left="2100"/>
              <w:spacing w:after="0"/>
              <w:rPr>
                <w:sz w:val="20"/>
                <w:szCs w:val="20"/>
                <w:color w:val="auto"/>
              </w:rPr>
            </w:pPr>
            <w:r>
              <w:rPr>
                <w:rFonts w:ascii="Arial" w:cs="Arial" w:eastAsia="Arial" w:hAnsi="Arial"/>
                <w:sz w:val="18"/>
                <w:szCs w:val="18"/>
                <w:color w:val="auto"/>
              </w:rPr>
              <w:t>France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ManpowerGroup Solutions Enterprise</w:t>
            </w:r>
          </w:p>
        </w:tc>
        <w:tc>
          <w:tcPr>
            <w:tcW w:w="5660" w:type="dxa"/>
            <w:vAlign w:val="bottom"/>
          </w:tcPr>
          <w:p>
            <w:pPr>
              <w:ind w:left="2100"/>
              <w:spacing w:after="0"/>
              <w:rPr>
                <w:sz w:val="20"/>
                <w:szCs w:val="20"/>
                <w:color w:val="auto"/>
              </w:rPr>
            </w:pPr>
            <w:r>
              <w:rPr>
                <w:rFonts w:ascii="Arial" w:cs="Arial" w:eastAsia="Arial" w:hAnsi="Arial"/>
                <w:sz w:val="18"/>
                <w:szCs w:val="18"/>
                <w:color w:val="auto"/>
              </w:rPr>
              <w:t>France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ManpowerGroup Solutions SAS</w:t>
            </w:r>
          </w:p>
        </w:tc>
        <w:tc>
          <w:tcPr>
            <w:tcW w:w="5660" w:type="dxa"/>
            <w:vAlign w:val="bottom"/>
          </w:tcPr>
          <w:p>
            <w:pPr>
              <w:ind w:left="2100"/>
              <w:spacing w:after="0"/>
              <w:rPr>
                <w:sz w:val="20"/>
                <w:szCs w:val="20"/>
                <w:color w:val="auto"/>
              </w:rPr>
            </w:pPr>
            <w:r>
              <w:rPr>
                <w:rFonts w:ascii="Arial" w:cs="Arial" w:eastAsia="Arial" w:hAnsi="Arial"/>
                <w:sz w:val="18"/>
                <w:szCs w:val="18"/>
                <w:color w:val="auto"/>
              </w:rPr>
              <w:t>France</w:t>
            </w:r>
          </w:p>
        </w:tc>
      </w:tr>
      <w:tr>
        <w:trPr>
          <w:trHeight w:val="269"/>
        </w:trPr>
        <w:tc>
          <w:tcPr>
            <w:tcW w:w="5580" w:type="dxa"/>
            <w:vAlign w:val="bottom"/>
          </w:tcPr>
          <w:p>
            <w:pPr>
              <w:ind w:left="120"/>
              <w:spacing w:after="0"/>
              <w:rPr>
                <w:sz w:val="20"/>
                <w:szCs w:val="20"/>
                <w:color w:val="auto"/>
              </w:rPr>
            </w:pPr>
            <w:r>
              <w:rPr>
                <w:rFonts w:ascii="Arial" w:cs="Arial" w:eastAsia="Arial" w:hAnsi="Arial"/>
                <w:sz w:val="18"/>
                <w:szCs w:val="18"/>
                <w:color w:val="auto"/>
              </w:rPr>
              <w:t>Right Management SAS</w:t>
            </w:r>
          </w:p>
        </w:tc>
        <w:tc>
          <w:tcPr>
            <w:tcW w:w="5660" w:type="dxa"/>
            <w:vAlign w:val="bottom"/>
          </w:tcPr>
          <w:p>
            <w:pPr>
              <w:ind w:left="2100"/>
              <w:spacing w:after="0"/>
              <w:rPr>
                <w:sz w:val="20"/>
                <w:szCs w:val="20"/>
                <w:color w:val="auto"/>
              </w:rPr>
            </w:pPr>
            <w:r>
              <w:rPr>
                <w:rFonts w:ascii="Arial" w:cs="Arial" w:eastAsia="Arial" w:hAnsi="Arial"/>
                <w:sz w:val="18"/>
                <w:szCs w:val="18"/>
                <w:color w:val="auto"/>
              </w:rPr>
              <w:t>France</w:t>
            </w:r>
          </w:p>
        </w:tc>
      </w:tr>
      <w:tr>
        <w:trPr>
          <w:trHeight w:val="397"/>
        </w:trPr>
        <w:tc>
          <w:tcPr>
            <w:tcW w:w="558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30"/>
        </w:trPr>
        <w:tc>
          <w:tcPr>
            <w:tcW w:w="5980" w:type="dxa"/>
            <w:vAlign w:val="bottom"/>
          </w:tcPr>
          <w:p>
            <w:pPr>
              <w:ind w:left="120"/>
              <w:spacing w:after="0"/>
              <w:rPr>
                <w:sz w:val="20"/>
                <w:szCs w:val="20"/>
                <w:color w:val="auto"/>
              </w:rPr>
            </w:pPr>
            <w:r>
              <w:rPr>
                <w:rFonts w:ascii="Arial" w:cs="Arial" w:eastAsia="Arial" w:hAnsi="Arial"/>
                <w:sz w:val="18"/>
                <w:szCs w:val="18"/>
                <w:color w:val="auto"/>
              </w:rPr>
              <w:t>Supplay SAS</w:t>
            </w:r>
          </w:p>
        </w:tc>
        <w:tc>
          <w:tcPr>
            <w:tcW w:w="5260" w:type="dxa"/>
            <w:vAlign w:val="bottom"/>
          </w:tcPr>
          <w:p>
            <w:pPr>
              <w:ind w:left="1700"/>
              <w:spacing w:after="0"/>
              <w:rPr>
                <w:sz w:val="20"/>
                <w:szCs w:val="20"/>
                <w:color w:val="auto"/>
              </w:rPr>
            </w:pPr>
            <w:r>
              <w:rPr>
                <w:rFonts w:ascii="Arial" w:cs="Arial" w:eastAsia="Arial" w:hAnsi="Arial"/>
                <w:sz w:val="18"/>
                <w:szCs w:val="18"/>
                <w:color w:val="auto"/>
              </w:rPr>
              <w:t>France</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Tapfin Sarl</w:t>
            </w:r>
          </w:p>
        </w:tc>
        <w:tc>
          <w:tcPr>
            <w:tcW w:w="5260" w:type="dxa"/>
            <w:vAlign w:val="bottom"/>
          </w:tcPr>
          <w:p>
            <w:pPr>
              <w:ind w:left="1700"/>
              <w:spacing w:after="0"/>
              <w:rPr>
                <w:sz w:val="20"/>
                <w:szCs w:val="20"/>
                <w:color w:val="auto"/>
              </w:rPr>
            </w:pPr>
            <w:r>
              <w:rPr>
                <w:rFonts w:ascii="Arial" w:cs="Arial" w:eastAsia="Arial" w:hAnsi="Arial"/>
                <w:sz w:val="18"/>
                <w:szCs w:val="18"/>
                <w:color w:val="auto"/>
              </w:rPr>
              <w:t>France</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Tingari SASU</w:t>
            </w:r>
          </w:p>
        </w:tc>
        <w:tc>
          <w:tcPr>
            <w:tcW w:w="5260" w:type="dxa"/>
            <w:vAlign w:val="bottom"/>
          </w:tcPr>
          <w:p>
            <w:pPr>
              <w:ind w:left="1700"/>
              <w:spacing w:after="0"/>
              <w:rPr>
                <w:sz w:val="20"/>
                <w:szCs w:val="20"/>
                <w:color w:val="auto"/>
              </w:rPr>
            </w:pPr>
            <w:r>
              <w:rPr>
                <w:rFonts w:ascii="Arial" w:cs="Arial" w:eastAsia="Arial" w:hAnsi="Arial"/>
                <w:sz w:val="18"/>
                <w:szCs w:val="18"/>
                <w:color w:val="auto"/>
              </w:rPr>
              <w:t>France</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Temporary Placement Service, LLC</w:t>
            </w:r>
          </w:p>
        </w:tc>
        <w:tc>
          <w:tcPr>
            <w:tcW w:w="5260" w:type="dxa"/>
            <w:vAlign w:val="bottom"/>
          </w:tcPr>
          <w:p>
            <w:pPr>
              <w:ind w:left="1700"/>
              <w:spacing w:after="0"/>
              <w:rPr>
                <w:sz w:val="20"/>
                <w:szCs w:val="20"/>
                <w:color w:val="auto"/>
              </w:rPr>
            </w:pPr>
            <w:r>
              <w:rPr>
                <w:rFonts w:ascii="Arial" w:cs="Arial" w:eastAsia="Arial" w:hAnsi="Arial"/>
                <w:sz w:val="18"/>
                <w:szCs w:val="18"/>
                <w:color w:val="auto"/>
              </w:rPr>
              <w:t>GA</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7S Group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Arcqus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Arcqus Professionals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Aviation Staff Management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AviationPower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AviationPower Technical Services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Bankpower GmbH Personaldienstleistungen</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Experis Field Services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Experis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Experis IT Services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Experis Verwaltungs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Jefferson Wells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K&amp;K HR-Services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Manpower Beteiligungsgesellschaft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Manpower GmbH &amp; Co. KG</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ManpowerGroup Deutschland GmbH &amp; Co. KG</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ManpowerGroup Deutschland Verwaltungs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ManpowerGroup Financial Services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ManpowerGroup Solutions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Right Management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Splu Experts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Stegmann Personaldienstleistung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StegPlus Personal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VIS GmbH</w:t>
            </w:r>
          </w:p>
        </w:tc>
        <w:tc>
          <w:tcPr>
            <w:tcW w:w="5260" w:type="dxa"/>
            <w:vAlign w:val="bottom"/>
          </w:tcPr>
          <w:p>
            <w:pPr>
              <w:ind w:left="1700"/>
              <w:spacing w:after="0"/>
              <w:rPr>
                <w:sz w:val="20"/>
                <w:szCs w:val="20"/>
                <w:color w:val="auto"/>
              </w:rPr>
            </w:pPr>
            <w:r>
              <w:rPr>
                <w:rFonts w:ascii="Arial" w:cs="Arial" w:eastAsia="Arial" w:hAnsi="Arial"/>
                <w:sz w:val="18"/>
                <w:szCs w:val="18"/>
                <w:color w:val="auto"/>
              </w:rPr>
              <w:t>Germany</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ManpowerGroup S.A.</w:t>
            </w:r>
          </w:p>
        </w:tc>
        <w:tc>
          <w:tcPr>
            <w:tcW w:w="5260" w:type="dxa"/>
            <w:vAlign w:val="bottom"/>
          </w:tcPr>
          <w:p>
            <w:pPr>
              <w:ind w:left="1700"/>
              <w:spacing w:after="0"/>
              <w:rPr>
                <w:sz w:val="20"/>
                <w:szCs w:val="20"/>
                <w:color w:val="auto"/>
              </w:rPr>
            </w:pPr>
            <w:r>
              <w:rPr>
                <w:rFonts w:ascii="Arial" w:cs="Arial" w:eastAsia="Arial" w:hAnsi="Arial"/>
                <w:sz w:val="18"/>
                <w:szCs w:val="18"/>
                <w:color w:val="auto"/>
              </w:rPr>
              <w:t>Greece</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Project Solutions S.A.</w:t>
            </w:r>
          </w:p>
        </w:tc>
        <w:tc>
          <w:tcPr>
            <w:tcW w:w="5260" w:type="dxa"/>
            <w:vAlign w:val="bottom"/>
          </w:tcPr>
          <w:p>
            <w:pPr>
              <w:ind w:left="1700"/>
              <w:spacing w:after="0"/>
              <w:rPr>
                <w:sz w:val="20"/>
                <w:szCs w:val="20"/>
                <w:color w:val="auto"/>
              </w:rPr>
            </w:pPr>
            <w:r>
              <w:rPr>
                <w:rFonts w:ascii="Arial" w:cs="Arial" w:eastAsia="Arial" w:hAnsi="Arial"/>
                <w:sz w:val="18"/>
                <w:szCs w:val="18"/>
                <w:color w:val="auto"/>
              </w:rPr>
              <w:t>Greece</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Manpower Guam Corporation</w:t>
            </w:r>
          </w:p>
        </w:tc>
        <w:tc>
          <w:tcPr>
            <w:tcW w:w="5260" w:type="dxa"/>
            <w:vAlign w:val="bottom"/>
          </w:tcPr>
          <w:p>
            <w:pPr>
              <w:ind w:left="1700"/>
              <w:spacing w:after="0"/>
              <w:rPr>
                <w:sz w:val="20"/>
                <w:szCs w:val="20"/>
                <w:color w:val="auto"/>
              </w:rPr>
            </w:pPr>
            <w:r>
              <w:rPr>
                <w:rFonts w:ascii="Arial" w:cs="Arial" w:eastAsia="Arial" w:hAnsi="Arial"/>
                <w:sz w:val="18"/>
                <w:szCs w:val="18"/>
                <w:color w:val="auto"/>
              </w:rPr>
              <w:t>Guam</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Manpower Professional Guatemala S.A.</w:t>
            </w:r>
          </w:p>
        </w:tc>
        <w:tc>
          <w:tcPr>
            <w:tcW w:w="5260" w:type="dxa"/>
            <w:vAlign w:val="bottom"/>
          </w:tcPr>
          <w:p>
            <w:pPr>
              <w:ind w:left="1700"/>
              <w:spacing w:after="0"/>
              <w:rPr>
                <w:sz w:val="20"/>
                <w:szCs w:val="20"/>
                <w:color w:val="auto"/>
              </w:rPr>
            </w:pPr>
            <w:r>
              <w:rPr>
                <w:rFonts w:ascii="Arial" w:cs="Arial" w:eastAsia="Arial" w:hAnsi="Arial"/>
                <w:sz w:val="18"/>
                <w:szCs w:val="18"/>
                <w:color w:val="auto"/>
              </w:rPr>
              <w:t>Guatemala</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Manpower S.A.</w:t>
            </w:r>
          </w:p>
        </w:tc>
        <w:tc>
          <w:tcPr>
            <w:tcW w:w="5260" w:type="dxa"/>
            <w:vAlign w:val="bottom"/>
          </w:tcPr>
          <w:p>
            <w:pPr>
              <w:ind w:left="1700"/>
              <w:spacing w:after="0"/>
              <w:rPr>
                <w:sz w:val="20"/>
                <w:szCs w:val="20"/>
                <w:color w:val="auto"/>
              </w:rPr>
            </w:pPr>
            <w:r>
              <w:rPr>
                <w:rFonts w:ascii="Arial" w:cs="Arial" w:eastAsia="Arial" w:hAnsi="Arial"/>
                <w:sz w:val="18"/>
                <w:szCs w:val="18"/>
                <w:color w:val="auto"/>
              </w:rPr>
              <w:t>Guatemala</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Manpower Honduras, S.A.</w:t>
            </w:r>
          </w:p>
        </w:tc>
        <w:tc>
          <w:tcPr>
            <w:tcW w:w="5260" w:type="dxa"/>
            <w:vAlign w:val="bottom"/>
          </w:tcPr>
          <w:p>
            <w:pPr>
              <w:ind w:left="1700"/>
              <w:spacing w:after="0"/>
              <w:rPr>
                <w:sz w:val="20"/>
                <w:szCs w:val="20"/>
                <w:color w:val="auto"/>
              </w:rPr>
            </w:pPr>
            <w:r>
              <w:rPr>
                <w:rFonts w:ascii="Arial" w:cs="Arial" w:eastAsia="Arial" w:hAnsi="Arial"/>
                <w:sz w:val="18"/>
                <w:szCs w:val="18"/>
                <w:color w:val="auto"/>
              </w:rPr>
              <w:t>Honduras</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Jefferson Wells HK Limited</w:t>
            </w:r>
          </w:p>
        </w:tc>
        <w:tc>
          <w:tcPr>
            <w:tcW w:w="5260" w:type="dxa"/>
            <w:vAlign w:val="bottom"/>
          </w:tcPr>
          <w:p>
            <w:pPr>
              <w:ind w:left="1700"/>
              <w:spacing w:after="0"/>
              <w:rPr>
                <w:sz w:val="20"/>
                <w:szCs w:val="20"/>
                <w:color w:val="auto"/>
              </w:rPr>
            </w:pPr>
            <w:r>
              <w:rPr>
                <w:rFonts w:ascii="Arial" w:cs="Arial" w:eastAsia="Arial" w:hAnsi="Arial"/>
                <w:sz w:val="18"/>
                <w:szCs w:val="18"/>
                <w:color w:val="auto"/>
              </w:rPr>
              <w:t>Hong Kong</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ManpowerGroup Solutions Holdings Hong Kong Limited</w:t>
            </w:r>
          </w:p>
        </w:tc>
        <w:tc>
          <w:tcPr>
            <w:tcW w:w="5260" w:type="dxa"/>
            <w:vAlign w:val="bottom"/>
          </w:tcPr>
          <w:p>
            <w:pPr>
              <w:ind w:left="1700"/>
              <w:spacing w:after="0"/>
              <w:rPr>
                <w:sz w:val="20"/>
                <w:szCs w:val="20"/>
                <w:color w:val="auto"/>
              </w:rPr>
            </w:pPr>
            <w:r>
              <w:rPr>
                <w:rFonts w:ascii="Arial" w:cs="Arial" w:eastAsia="Arial" w:hAnsi="Arial"/>
                <w:sz w:val="18"/>
                <w:szCs w:val="18"/>
                <w:color w:val="auto"/>
              </w:rPr>
              <w:t>Hong Kong</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Geneva Technical Services, LLC</w:t>
            </w:r>
          </w:p>
        </w:tc>
        <w:tc>
          <w:tcPr>
            <w:tcW w:w="5260" w:type="dxa"/>
            <w:vAlign w:val="bottom"/>
          </w:tcPr>
          <w:p>
            <w:pPr>
              <w:ind w:left="1700"/>
              <w:spacing w:after="0"/>
              <w:rPr>
                <w:sz w:val="20"/>
                <w:szCs w:val="20"/>
                <w:color w:val="auto"/>
              </w:rPr>
            </w:pPr>
            <w:r>
              <w:rPr>
                <w:rFonts w:ascii="Arial" w:cs="Arial" w:eastAsia="Arial" w:hAnsi="Arial"/>
                <w:sz w:val="18"/>
                <w:szCs w:val="18"/>
                <w:color w:val="auto"/>
              </w:rPr>
              <w:t>IL</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HG Chicago Consulting, LLC</w:t>
            </w:r>
          </w:p>
        </w:tc>
        <w:tc>
          <w:tcPr>
            <w:tcW w:w="5260" w:type="dxa"/>
            <w:vAlign w:val="bottom"/>
          </w:tcPr>
          <w:p>
            <w:pPr>
              <w:ind w:left="1700"/>
              <w:spacing w:after="0"/>
              <w:rPr>
                <w:sz w:val="20"/>
                <w:szCs w:val="20"/>
                <w:color w:val="auto"/>
              </w:rPr>
            </w:pPr>
            <w:r>
              <w:rPr>
                <w:rFonts w:ascii="Arial" w:cs="Arial" w:eastAsia="Arial" w:hAnsi="Arial"/>
                <w:sz w:val="18"/>
                <w:szCs w:val="18"/>
                <w:color w:val="auto"/>
              </w:rPr>
              <w:t>IL</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RMC OF Illinois, Inc.</w:t>
            </w:r>
          </w:p>
        </w:tc>
        <w:tc>
          <w:tcPr>
            <w:tcW w:w="5260" w:type="dxa"/>
            <w:vAlign w:val="bottom"/>
          </w:tcPr>
          <w:p>
            <w:pPr>
              <w:ind w:left="1700"/>
              <w:spacing w:after="0"/>
              <w:rPr>
                <w:sz w:val="20"/>
                <w:szCs w:val="20"/>
                <w:color w:val="auto"/>
              </w:rPr>
            </w:pPr>
            <w:r>
              <w:rPr>
                <w:rFonts w:ascii="Arial" w:cs="Arial" w:eastAsia="Arial" w:hAnsi="Arial"/>
                <w:sz w:val="18"/>
                <w:szCs w:val="18"/>
                <w:color w:val="auto"/>
              </w:rPr>
              <w:t>IL</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Experis IT Private Limited</w:t>
            </w:r>
          </w:p>
        </w:tc>
        <w:tc>
          <w:tcPr>
            <w:tcW w:w="5260" w:type="dxa"/>
            <w:vAlign w:val="bottom"/>
          </w:tcPr>
          <w:p>
            <w:pPr>
              <w:ind w:left="1700"/>
              <w:spacing w:after="0"/>
              <w:rPr>
                <w:sz w:val="20"/>
                <w:szCs w:val="20"/>
                <w:color w:val="auto"/>
              </w:rPr>
            </w:pPr>
            <w:r>
              <w:rPr>
                <w:rFonts w:ascii="Arial" w:cs="Arial" w:eastAsia="Arial" w:hAnsi="Arial"/>
                <w:sz w:val="18"/>
                <w:szCs w:val="18"/>
                <w:color w:val="auto"/>
              </w:rPr>
              <w:t>India</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Experis Solutions Pvt. Ltd.</w:t>
            </w:r>
          </w:p>
        </w:tc>
        <w:tc>
          <w:tcPr>
            <w:tcW w:w="5260" w:type="dxa"/>
            <w:vAlign w:val="bottom"/>
          </w:tcPr>
          <w:p>
            <w:pPr>
              <w:ind w:left="1700"/>
              <w:spacing w:after="0"/>
              <w:rPr>
                <w:sz w:val="20"/>
                <w:szCs w:val="20"/>
                <w:color w:val="auto"/>
              </w:rPr>
            </w:pPr>
            <w:r>
              <w:rPr>
                <w:rFonts w:ascii="Arial" w:cs="Arial" w:eastAsia="Arial" w:hAnsi="Arial"/>
                <w:sz w:val="18"/>
                <w:szCs w:val="18"/>
                <w:color w:val="auto"/>
              </w:rPr>
              <w:t>India</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ManpowerGroup Services India Pvt. Ltd.</w:t>
            </w:r>
          </w:p>
        </w:tc>
        <w:tc>
          <w:tcPr>
            <w:tcW w:w="5260" w:type="dxa"/>
            <w:vAlign w:val="bottom"/>
          </w:tcPr>
          <w:p>
            <w:pPr>
              <w:ind w:left="1700"/>
              <w:spacing w:after="0"/>
              <w:rPr>
                <w:sz w:val="20"/>
                <w:szCs w:val="20"/>
                <w:color w:val="auto"/>
              </w:rPr>
            </w:pPr>
            <w:r>
              <w:rPr>
                <w:rFonts w:ascii="Arial" w:cs="Arial" w:eastAsia="Arial" w:hAnsi="Arial"/>
                <w:sz w:val="18"/>
                <w:szCs w:val="18"/>
                <w:color w:val="auto"/>
              </w:rPr>
              <w:t>India</w:t>
            </w:r>
          </w:p>
        </w:tc>
      </w:tr>
      <w:tr>
        <w:trPr>
          <w:trHeight w:val="269"/>
        </w:trPr>
        <w:tc>
          <w:tcPr>
            <w:tcW w:w="5980" w:type="dxa"/>
            <w:vAlign w:val="bottom"/>
          </w:tcPr>
          <w:p>
            <w:pPr>
              <w:ind w:left="120"/>
              <w:spacing w:after="0"/>
              <w:rPr>
                <w:sz w:val="20"/>
                <w:szCs w:val="20"/>
                <w:color w:val="auto"/>
              </w:rPr>
            </w:pPr>
            <w:r>
              <w:rPr>
                <w:rFonts w:ascii="Arial" w:cs="Arial" w:eastAsia="Arial" w:hAnsi="Arial"/>
                <w:sz w:val="18"/>
                <w:szCs w:val="18"/>
                <w:color w:val="auto"/>
              </w:rPr>
              <w:t>Right Management India Pvt. Limited</w:t>
            </w:r>
          </w:p>
        </w:tc>
        <w:tc>
          <w:tcPr>
            <w:tcW w:w="5260" w:type="dxa"/>
            <w:vAlign w:val="bottom"/>
          </w:tcPr>
          <w:p>
            <w:pPr>
              <w:ind w:left="1700"/>
              <w:spacing w:after="0"/>
              <w:rPr>
                <w:sz w:val="20"/>
                <w:szCs w:val="20"/>
                <w:color w:val="auto"/>
              </w:rPr>
            </w:pPr>
            <w:r>
              <w:rPr>
                <w:rFonts w:ascii="Arial" w:cs="Arial" w:eastAsia="Arial" w:hAnsi="Arial"/>
                <w:sz w:val="18"/>
                <w:szCs w:val="18"/>
                <w:color w:val="auto"/>
              </w:rPr>
              <w:t>India</w:t>
            </w:r>
          </w:p>
        </w:tc>
      </w:tr>
      <w:tr>
        <w:trPr>
          <w:trHeight w:val="397"/>
        </w:trPr>
        <w:tc>
          <w:tcPr>
            <w:tcW w:w="598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30"/>
        </w:trPr>
        <w:tc>
          <w:tcPr>
            <w:tcW w:w="5940" w:type="dxa"/>
            <w:vAlign w:val="bottom"/>
          </w:tcPr>
          <w:p>
            <w:pPr>
              <w:ind w:left="120"/>
              <w:spacing w:after="0"/>
              <w:rPr>
                <w:sz w:val="20"/>
                <w:szCs w:val="20"/>
                <w:color w:val="auto"/>
              </w:rPr>
            </w:pPr>
            <w:r>
              <w:rPr>
                <w:rFonts w:ascii="Arial" w:cs="Arial" w:eastAsia="Arial" w:hAnsi="Arial"/>
                <w:sz w:val="18"/>
                <w:szCs w:val="18"/>
                <w:color w:val="auto"/>
              </w:rPr>
              <w:t>Rotostat Services Private Limited</w:t>
            </w:r>
          </w:p>
        </w:tc>
        <w:tc>
          <w:tcPr>
            <w:tcW w:w="5300" w:type="dxa"/>
            <w:vAlign w:val="bottom"/>
          </w:tcPr>
          <w:p>
            <w:pPr>
              <w:ind w:left="1740"/>
              <w:spacing w:after="0"/>
              <w:rPr>
                <w:sz w:val="20"/>
                <w:szCs w:val="20"/>
                <w:color w:val="auto"/>
              </w:rPr>
            </w:pPr>
            <w:r>
              <w:rPr>
                <w:rFonts w:ascii="Arial" w:cs="Arial" w:eastAsia="Arial" w:hAnsi="Arial"/>
                <w:sz w:val="18"/>
                <w:szCs w:val="18"/>
                <w:color w:val="auto"/>
              </w:rPr>
              <w:t>India</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P.T. Manpower Business Solutions Indonesia</w:t>
            </w:r>
          </w:p>
        </w:tc>
        <w:tc>
          <w:tcPr>
            <w:tcW w:w="5300" w:type="dxa"/>
            <w:vAlign w:val="bottom"/>
          </w:tcPr>
          <w:p>
            <w:pPr>
              <w:ind w:left="1740"/>
              <w:spacing w:after="0"/>
              <w:rPr>
                <w:sz w:val="20"/>
                <w:szCs w:val="20"/>
                <w:color w:val="auto"/>
              </w:rPr>
            </w:pPr>
            <w:r>
              <w:rPr>
                <w:rFonts w:ascii="Arial" w:cs="Arial" w:eastAsia="Arial" w:hAnsi="Arial"/>
                <w:sz w:val="18"/>
                <w:szCs w:val="18"/>
                <w:color w:val="auto"/>
              </w:rPr>
              <w:t>Indonesia</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 Holdings (Ireland) Limited</w:t>
            </w:r>
          </w:p>
        </w:tc>
        <w:tc>
          <w:tcPr>
            <w:tcW w:w="5300" w:type="dxa"/>
            <w:vAlign w:val="bottom"/>
          </w:tcPr>
          <w:p>
            <w:pPr>
              <w:ind w:left="1740"/>
              <w:spacing w:after="0"/>
              <w:rPr>
                <w:sz w:val="20"/>
                <w:szCs w:val="20"/>
                <w:color w:val="auto"/>
              </w:rPr>
            </w:pPr>
            <w:r>
              <w:rPr>
                <w:rFonts w:ascii="Arial" w:cs="Arial" w:eastAsia="Arial" w:hAnsi="Arial"/>
                <w:sz w:val="18"/>
                <w:szCs w:val="18"/>
                <w:color w:val="auto"/>
              </w:rPr>
              <w:t>Ireland</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ManpowerGroup (Ireland) Limited</w:t>
            </w:r>
          </w:p>
        </w:tc>
        <w:tc>
          <w:tcPr>
            <w:tcW w:w="5300" w:type="dxa"/>
            <w:vAlign w:val="bottom"/>
          </w:tcPr>
          <w:p>
            <w:pPr>
              <w:ind w:left="1740"/>
              <w:spacing w:after="0"/>
              <w:rPr>
                <w:sz w:val="20"/>
                <w:szCs w:val="20"/>
                <w:color w:val="auto"/>
              </w:rPr>
            </w:pPr>
            <w:r>
              <w:rPr>
                <w:rFonts w:ascii="Arial" w:cs="Arial" w:eastAsia="Arial" w:hAnsi="Arial"/>
                <w:sz w:val="18"/>
                <w:szCs w:val="18"/>
                <w:color w:val="auto"/>
              </w:rPr>
              <w:t>Ireland</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Right Transition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Ireland</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Adam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Adi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Career Harmony,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Experis BI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Experis Cyber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Experis I.T.S.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Experis Software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M.F.S. Manpower Facility Services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M.G.S.M. Advanced Medical Services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 Care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 Israel Limited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ManpowerGroup Israel Holdings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ManpowerGroup Solutions Language Services</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MNPM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Nativ 2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Talent Solutions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Telepower Ltd.</w:t>
            </w:r>
          </w:p>
        </w:tc>
        <w:tc>
          <w:tcPr>
            <w:tcW w:w="5300" w:type="dxa"/>
            <w:vAlign w:val="bottom"/>
          </w:tcPr>
          <w:p>
            <w:pPr>
              <w:ind w:left="1740"/>
              <w:spacing w:after="0"/>
              <w:rPr>
                <w:sz w:val="20"/>
                <w:szCs w:val="20"/>
                <w:color w:val="auto"/>
              </w:rPr>
            </w:pPr>
            <w:r>
              <w:rPr>
                <w:rFonts w:ascii="Arial" w:cs="Arial" w:eastAsia="Arial" w:hAnsi="Arial"/>
                <w:sz w:val="18"/>
                <w:szCs w:val="18"/>
                <w:color w:val="auto"/>
              </w:rPr>
              <w:t>Israel</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Experis Srl</w:t>
            </w:r>
          </w:p>
        </w:tc>
        <w:tc>
          <w:tcPr>
            <w:tcW w:w="5300" w:type="dxa"/>
            <w:vAlign w:val="bottom"/>
          </w:tcPr>
          <w:p>
            <w:pPr>
              <w:ind w:left="1740"/>
              <w:spacing w:after="0"/>
              <w:rPr>
                <w:sz w:val="20"/>
                <w:szCs w:val="20"/>
                <w:color w:val="auto"/>
              </w:rPr>
            </w:pPr>
            <w:r>
              <w:rPr>
                <w:rFonts w:ascii="Arial" w:cs="Arial" w:eastAsia="Arial" w:hAnsi="Arial"/>
                <w:sz w:val="18"/>
                <w:szCs w:val="18"/>
                <w:color w:val="auto"/>
              </w:rPr>
              <w:t>Italy</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 Srl</w:t>
            </w:r>
          </w:p>
        </w:tc>
        <w:tc>
          <w:tcPr>
            <w:tcW w:w="5300" w:type="dxa"/>
            <w:vAlign w:val="bottom"/>
          </w:tcPr>
          <w:p>
            <w:pPr>
              <w:ind w:left="1740"/>
              <w:spacing w:after="0"/>
              <w:rPr>
                <w:sz w:val="20"/>
                <w:szCs w:val="20"/>
                <w:color w:val="auto"/>
              </w:rPr>
            </w:pPr>
            <w:r>
              <w:rPr>
                <w:rFonts w:ascii="Arial" w:cs="Arial" w:eastAsia="Arial" w:hAnsi="Arial"/>
                <w:sz w:val="18"/>
                <w:szCs w:val="18"/>
                <w:color w:val="auto"/>
              </w:rPr>
              <w:t>Italy</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 TBO S.r.l.</w:t>
            </w:r>
          </w:p>
        </w:tc>
        <w:tc>
          <w:tcPr>
            <w:tcW w:w="5300" w:type="dxa"/>
            <w:vAlign w:val="bottom"/>
          </w:tcPr>
          <w:p>
            <w:pPr>
              <w:ind w:left="1740"/>
              <w:spacing w:after="0"/>
              <w:rPr>
                <w:sz w:val="20"/>
                <w:szCs w:val="20"/>
                <w:color w:val="auto"/>
              </w:rPr>
            </w:pPr>
            <w:r>
              <w:rPr>
                <w:rFonts w:ascii="Arial" w:cs="Arial" w:eastAsia="Arial" w:hAnsi="Arial"/>
                <w:sz w:val="18"/>
                <w:szCs w:val="18"/>
                <w:color w:val="auto"/>
              </w:rPr>
              <w:t>Italy</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Talent Solutions s.r.l.</w:t>
            </w:r>
          </w:p>
        </w:tc>
        <w:tc>
          <w:tcPr>
            <w:tcW w:w="5300" w:type="dxa"/>
            <w:vAlign w:val="bottom"/>
          </w:tcPr>
          <w:p>
            <w:pPr>
              <w:ind w:left="1740"/>
              <w:spacing w:after="0"/>
              <w:rPr>
                <w:sz w:val="20"/>
                <w:szCs w:val="20"/>
                <w:color w:val="auto"/>
              </w:rPr>
            </w:pPr>
            <w:r>
              <w:rPr>
                <w:rFonts w:ascii="Arial" w:cs="Arial" w:eastAsia="Arial" w:hAnsi="Arial"/>
                <w:sz w:val="18"/>
                <w:szCs w:val="18"/>
                <w:color w:val="auto"/>
              </w:rPr>
              <w:t>Italy</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Experis Executive Co. Ltd.</w:t>
            </w:r>
          </w:p>
        </w:tc>
        <w:tc>
          <w:tcPr>
            <w:tcW w:w="5300" w:type="dxa"/>
            <w:vAlign w:val="bottom"/>
          </w:tcPr>
          <w:p>
            <w:pPr>
              <w:ind w:left="1740"/>
              <w:spacing w:after="0"/>
              <w:rPr>
                <w:sz w:val="20"/>
                <w:szCs w:val="20"/>
                <w:color w:val="auto"/>
              </w:rPr>
            </w:pPr>
            <w:r>
              <w:rPr>
                <w:rFonts w:ascii="Arial" w:cs="Arial" w:eastAsia="Arial" w:hAnsi="Arial"/>
                <w:sz w:val="18"/>
                <w:szCs w:val="18"/>
                <w:color w:val="auto"/>
              </w:rPr>
              <w:t>Japan</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JobSupportpower Co. Ltd.</w:t>
            </w:r>
          </w:p>
        </w:tc>
        <w:tc>
          <w:tcPr>
            <w:tcW w:w="5300" w:type="dxa"/>
            <w:vAlign w:val="bottom"/>
          </w:tcPr>
          <w:p>
            <w:pPr>
              <w:ind w:left="1740"/>
              <w:spacing w:after="0"/>
              <w:rPr>
                <w:sz w:val="20"/>
                <w:szCs w:val="20"/>
                <w:color w:val="auto"/>
              </w:rPr>
            </w:pPr>
            <w:r>
              <w:rPr>
                <w:rFonts w:ascii="Arial" w:cs="Arial" w:eastAsia="Arial" w:hAnsi="Arial"/>
                <w:sz w:val="18"/>
                <w:szCs w:val="18"/>
                <w:color w:val="auto"/>
              </w:rPr>
              <w:t>Japan</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ManpowerGroup Co. Ltd.</w:t>
            </w:r>
          </w:p>
        </w:tc>
        <w:tc>
          <w:tcPr>
            <w:tcW w:w="5300" w:type="dxa"/>
            <w:vAlign w:val="bottom"/>
          </w:tcPr>
          <w:p>
            <w:pPr>
              <w:ind w:left="1740"/>
              <w:spacing w:after="0"/>
              <w:rPr>
                <w:sz w:val="20"/>
                <w:szCs w:val="20"/>
                <w:color w:val="auto"/>
              </w:rPr>
            </w:pPr>
            <w:r>
              <w:rPr>
                <w:rFonts w:ascii="Arial" w:cs="Arial" w:eastAsia="Arial" w:hAnsi="Arial"/>
                <w:sz w:val="18"/>
                <w:szCs w:val="18"/>
                <w:color w:val="auto"/>
              </w:rPr>
              <w:t>Japan</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Pro-Hunt Co., Ltd.</w:t>
            </w:r>
          </w:p>
        </w:tc>
        <w:tc>
          <w:tcPr>
            <w:tcW w:w="5300" w:type="dxa"/>
            <w:vAlign w:val="bottom"/>
          </w:tcPr>
          <w:p>
            <w:pPr>
              <w:ind w:left="1740"/>
              <w:spacing w:after="0"/>
              <w:rPr>
                <w:sz w:val="20"/>
                <w:szCs w:val="20"/>
                <w:color w:val="auto"/>
              </w:rPr>
            </w:pPr>
            <w:r>
              <w:rPr>
                <w:rFonts w:ascii="Arial" w:cs="Arial" w:eastAsia="Arial" w:hAnsi="Arial"/>
                <w:sz w:val="18"/>
                <w:szCs w:val="18"/>
                <w:color w:val="auto"/>
              </w:rPr>
              <w:t>Japan</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 Korea, Inc.</w:t>
            </w:r>
          </w:p>
        </w:tc>
        <w:tc>
          <w:tcPr>
            <w:tcW w:w="5300" w:type="dxa"/>
            <w:vAlign w:val="bottom"/>
          </w:tcPr>
          <w:p>
            <w:pPr>
              <w:ind w:left="1740"/>
              <w:spacing w:after="0"/>
              <w:rPr>
                <w:sz w:val="20"/>
                <w:szCs w:val="20"/>
                <w:color w:val="auto"/>
              </w:rPr>
            </w:pPr>
            <w:r>
              <w:rPr>
                <w:rFonts w:ascii="Arial" w:cs="Arial" w:eastAsia="Arial" w:hAnsi="Arial"/>
                <w:sz w:val="18"/>
                <w:szCs w:val="18"/>
                <w:color w:val="auto"/>
              </w:rPr>
              <w:t>Korea</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 Logis Inc.</w:t>
            </w:r>
          </w:p>
        </w:tc>
        <w:tc>
          <w:tcPr>
            <w:tcW w:w="5300" w:type="dxa"/>
            <w:vAlign w:val="bottom"/>
          </w:tcPr>
          <w:p>
            <w:pPr>
              <w:ind w:left="1740"/>
              <w:spacing w:after="0"/>
              <w:rPr>
                <w:sz w:val="20"/>
                <w:szCs w:val="20"/>
                <w:color w:val="auto"/>
              </w:rPr>
            </w:pPr>
            <w:r>
              <w:rPr>
                <w:rFonts w:ascii="Arial" w:cs="Arial" w:eastAsia="Arial" w:hAnsi="Arial"/>
                <w:sz w:val="18"/>
                <w:szCs w:val="18"/>
                <w:color w:val="auto"/>
              </w:rPr>
              <w:t>Korea</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ManpowerGroup Korea, Inc.</w:t>
            </w:r>
          </w:p>
        </w:tc>
        <w:tc>
          <w:tcPr>
            <w:tcW w:w="5300" w:type="dxa"/>
            <w:vAlign w:val="bottom"/>
          </w:tcPr>
          <w:p>
            <w:pPr>
              <w:ind w:left="1740"/>
              <w:spacing w:after="0"/>
              <w:rPr>
                <w:sz w:val="20"/>
                <w:szCs w:val="20"/>
                <w:color w:val="auto"/>
              </w:rPr>
            </w:pPr>
            <w:r>
              <w:rPr>
                <w:rFonts w:ascii="Arial" w:cs="Arial" w:eastAsia="Arial" w:hAnsi="Arial"/>
                <w:sz w:val="18"/>
                <w:szCs w:val="18"/>
                <w:color w:val="auto"/>
              </w:rPr>
              <w:t>Korea</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Right Management Korea Co. Ltd.</w:t>
            </w:r>
          </w:p>
        </w:tc>
        <w:tc>
          <w:tcPr>
            <w:tcW w:w="5300" w:type="dxa"/>
            <w:vAlign w:val="bottom"/>
          </w:tcPr>
          <w:p>
            <w:pPr>
              <w:ind w:left="1740"/>
              <w:spacing w:after="0"/>
              <w:rPr>
                <w:sz w:val="20"/>
                <w:szCs w:val="20"/>
                <w:color w:val="auto"/>
              </w:rPr>
            </w:pPr>
            <w:r>
              <w:rPr>
                <w:rFonts w:ascii="Arial" w:cs="Arial" w:eastAsia="Arial" w:hAnsi="Arial"/>
                <w:sz w:val="18"/>
                <w:szCs w:val="18"/>
                <w:color w:val="auto"/>
              </w:rPr>
              <w:t>Korea</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Representative Office of UAB "Manpower Lit" in Latvia</w:t>
            </w:r>
          </w:p>
        </w:tc>
        <w:tc>
          <w:tcPr>
            <w:tcW w:w="5300" w:type="dxa"/>
            <w:vAlign w:val="bottom"/>
          </w:tcPr>
          <w:p>
            <w:pPr>
              <w:ind w:left="1740"/>
              <w:spacing w:after="0"/>
              <w:rPr>
                <w:sz w:val="20"/>
                <w:szCs w:val="20"/>
                <w:color w:val="auto"/>
              </w:rPr>
            </w:pPr>
            <w:r>
              <w:rPr>
                <w:rFonts w:ascii="Arial" w:cs="Arial" w:eastAsia="Arial" w:hAnsi="Arial"/>
                <w:sz w:val="18"/>
                <w:szCs w:val="18"/>
                <w:color w:val="auto"/>
              </w:rPr>
              <w:t>Latvia</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 Lit UAB</w:t>
            </w:r>
          </w:p>
        </w:tc>
        <w:tc>
          <w:tcPr>
            <w:tcW w:w="5300" w:type="dxa"/>
            <w:vAlign w:val="bottom"/>
          </w:tcPr>
          <w:p>
            <w:pPr>
              <w:ind w:left="1740"/>
              <w:spacing w:after="0"/>
              <w:rPr>
                <w:sz w:val="20"/>
                <w:szCs w:val="20"/>
                <w:color w:val="auto"/>
              </w:rPr>
            </w:pPr>
            <w:r>
              <w:rPr>
                <w:rFonts w:ascii="Arial" w:cs="Arial" w:eastAsia="Arial" w:hAnsi="Arial"/>
                <w:sz w:val="18"/>
                <w:szCs w:val="18"/>
                <w:color w:val="auto"/>
              </w:rPr>
              <w:t>Lithuania</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Elan IT Resource S.a.r.l.</w:t>
            </w:r>
          </w:p>
        </w:tc>
        <w:tc>
          <w:tcPr>
            <w:tcW w:w="5300" w:type="dxa"/>
            <w:vAlign w:val="bottom"/>
          </w:tcPr>
          <w:p>
            <w:pPr>
              <w:ind w:left="1740"/>
              <w:spacing w:after="0"/>
              <w:rPr>
                <w:sz w:val="20"/>
                <w:szCs w:val="20"/>
                <w:color w:val="auto"/>
              </w:rPr>
            </w:pPr>
            <w:r>
              <w:rPr>
                <w:rFonts w:ascii="Arial" w:cs="Arial" w:eastAsia="Arial" w:hAnsi="Arial"/>
                <w:sz w:val="18"/>
                <w:szCs w:val="18"/>
                <w:color w:val="auto"/>
              </w:rPr>
              <w:t>Luxembourg</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 Business Solutions Luxembourg S.A.</w:t>
            </w:r>
          </w:p>
        </w:tc>
        <w:tc>
          <w:tcPr>
            <w:tcW w:w="5300" w:type="dxa"/>
            <w:vAlign w:val="bottom"/>
          </w:tcPr>
          <w:p>
            <w:pPr>
              <w:ind w:left="1740"/>
              <w:spacing w:after="0"/>
              <w:rPr>
                <w:sz w:val="20"/>
                <w:szCs w:val="20"/>
                <w:color w:val="auto"/>
              </w:rPr>
            </w:pPr>
            <w:r>
              <w:rPr>
                <w:rFonts w:ascii="Arial" w:cs="Arial" w:eastAsia="Arial" w:hAnsi="Arial"/>
                <w:sz w:val="18"/>
                <w:szCs w:val="18"/>
                <w:color w:val="auto"/>
              </w:rPr>
              <w:t>Luxembourg</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 Luxembourg S.A.</w:t>
            </w:r>
          </w:p>
        </w:tc>
        <w:tc>
          <w:tcPr>
            <w:tcW w:w="5300" w:type="dxa"/>
            <w:vAlign w:val="bottom"/>
          </w:tcPr>
          <w:p>
            <w:pPr>
              <w:ind w:left="1740"/>
              <w:spacing w:after="0"/>
              <w:rPr>
                <w:sz w:val="20"/>
                <w:szCs w:val="20"/>
                <w:color w:val="auto"/>
              </w:rPr>
            </w:pPr>
            <w:r>
              <w:rPr>
                <w:rFonts w:ascii="Arial" w:cs="Arial" w:eastAsia="Arial" w:hAnsi="Arial"/>
                <w:sz w:val="18"/>
                <w:szCs w:val="18"/>
                <w:color w:val="auto"/>
              </w:rPr>
              <w:t>Luxembourg</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Centerline Partners LLC</w:t>
            </w:r>
          </w:p>
        </w:tc>
        <w:tc>
          <w:tcPr>
            <w:tcW w:w="5300" w:type="dxa"/>
            <w:vAlign w:val="bottom"/>
          </w:tcPr>
          <w:p>
            <w:pPr>
              <w:ind w:left="1740"/>
              <w:spacing w:after="0"/>
              <w:rPr>
                <w:sz w:val="20"/>
                <w:szCs w:val="20"/>
                <w:color w:val="auto"/>
              </w:rPr>
            </w:pPr>
            <w:r>
              <w:rPr>
                <w:rFonts w:ascii="Arial" w:cs="Arial" w:eastAsia="Arial" w:hAnsi="Arial"/>
                <w:sz w:val="18"/>
                <w:szCs w:val="18"/>
                <w:color w:val="auto"/>
              </w:rPr>
              <w:t>MA</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Agensi Pekerjaan Manpower Recruitment Sdn Bhd</w:t>
            </w:r>
          </w:p>
        </w:tc>
        <w:tc>
          <w:tcPr>
            <w:tcW w:w="5300" w:type="dxa"/>
            <w:vAlign w:val="bottom"/>
          </w:tcPr>
          <w:p>
            <w:pPr>
              <w:ind w:left="1740"/>
              <w:spacing w:after="0"/>
              <w:rPr>
                <w:sz w:val="20"/>
                <w:szCs w:val="20"/>
                <w:color w:val="auto"/>
              </w:rPr>
            </w:pPr>
            <w:r>
              <w:rPr>
                <w:rFonts w:ascii="Arial" w:cs="Arial" w:eastAsia="Arial" w:hAnsi="Arial"/>
                <w:sz w:val="18"/>
                <w:szCs w:val="18"/>
                <w:color w:val="auto"/>
              </w:rPr>
              <w:t>Malaysia</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Experis (M) Sdn Bhd</w:t>
            </w:r>
          </w:p>
        </w:tc>
        <w:tc>
          <w:tcPr>
            <w:tcW w:w="5300" w:type="dxa"/>
            <w:vAlign w:val="bottom"/>
          </w:tcPr>
          <w:p>
            <w:pPr>
              <w:ind w:left="1740"/>
              <w:spacing w:after="0"/>
              <w:rPr>
                <w:sz w:val="20"/>
                <w:szCs w:val="20"/>
                <w:color w:val="auto"/>
              </w:rPr>
            </w:pPr>
            <w:r>
              <w:rPr>
                <w:rFonts w:ascii="Arial" w:cs="Arial" w:eastAsia="Arial" w:hAnsi="Arial"/>
                <w:sz w:val="18"/>
                <w:szCs w:val="18"/>
                <w:color w:val="auto"/>
              </w:rPr>
              <w:t>Malaysia</w:t>
            </w:r>
          </w:p>
        </w:tc>
      </w:tr>
      <w:tr>
        <w:trPr>
          <w:trHeight w:val="269"/>
        </w:trPr>
        <w:tc>
          <w:tcPr>
            <w:tcW w:w="5940" w:type="dxa"/>
            <w:vAlign w:val="bottom"/>
          </w:tcPr>
          <w:p>
            <w:pPr>
              <w:ind w:left="120"/>
              <w:spacing w:after="0"/>
              <w:rPr>
                <w:sz w:val="20"/>
                <w:szCs w:val="20"/>
                <w:color w:val="auto"/>
              </w:rPr>
            </w:pPr>
            <w:r>
              <w:rPr>
                <w:rFonts w:ascii="Arial" w:cs="Arial" w:eastAsia="Arial" w:hAnsi="Arial"/>
                <w:sz w:val="18"/>
                <w:szCs w:val="18"/>
                <w:color w:val="auto"/>
              </w:rPr>
              <w:t>Manpower Business Solutions (M) Sdn Bhd</w:t>
            </w:r>
          </w:p>
        </w:tc>
        <w:tc>
          <w:tcPr>
            <w:tcW w:w="5300" w:type="dxa"/>
            <w:vAlign w:val="bottom"/>
          </w:tcPr>
          <w:p>
            <w:pPr>
              <w:ind w:left="1740"/>
              <w:spacing w:after="0"/>
              <w:rPr>
                <w:sz w:val="20"/>
                <w:szCs w:val="20"/>
                <w:color w:val="auto"/>
              </w:rPr>
            </w:pPr>
            <w:r>
              <w:rPr>
                <w:rFonts w:ascii="Arial" w:cs="Arial" w:eastAsia="Arial" w:hAnsi="Arial"/>
                <w:sz w:val="18"/>
                <w:szCs w:val="18"/>
                <w:color w:val="auto"/>
              </w:rPr>
              <w:t>Malaysia</w:t>
            </w:r>
          </w:p>
        </w:tc>
      </w:tr>
      <w:tr>
        <w:trPr>
          <w:trHeight w:val="397"/>
        </w:trPr>
        <w:tc>
          <w:tcPr>
            <w:tcW w:w="59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0"/>
        </w:trPr>
        <w:tc>
          <w:tcPr>
            <w:tcW w:w="5660" w:type="dxa"/>
            <w:vAlign w:val="bottom"/>
          </w:tcPr>
          <w:p>
            <w:pPr>
              <w:ind w:left="120"/>
              <w:spacing w:after="0"/>
              <w:rPr>
                <w:sz w:val="20"/>
                <w:szCs w:val="20"/>
                <w:color w:val="auto"/>
              </w:rPr>
            </w:pPr>
            <w:r>
              <w:rPr>
                <w:rFonts w:ascii="Arial" w:cs="Arial" w:eastAsia="Arial" w:hAnsi="Arial"/>
                <w:sz w:val="18"/>
                <w:szCs w:val="18"/>
                <w:color w:val="auto"/>
              </w:rPr>
              <w:t>Manpower Staffing Services (Malaysia) Sdn Bhd</w:t>
            </w:r>
          </w:p>
        </w:tc>
        <w:tc>
          <w:tcPr>
            <w:tcW w:w="5580" w:type="dxa"/>
            <w:vAlign w:val="bottom"/>
          </w:tcPr>
          <w:p>
            <w:pPr>
              <w:ind w:left="2020"/>
              <w:spacing w:after="0"/>
              <w:rPr>
                <w:sz w:val="20"/>
                <w:szCs w:val="20"/>
                <w:color w:val="auto"/>
              </w:rPr>
            </w:pPr>
            <w:r>
              <w:rPr>
                <w:rFonts w:ascii="Arial" w:cs="Arial" w:eastAsia="Arial" w:hAnsi="Arial"/>
                <w:sz w:val="18"/>
                <w:szCs w:val="18"/>
                <w:color w:val="auto"/>
              </w:rPr>
              <w:t>Malaysia</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Pancaran Pertiwi Sdn Bhd</w:t>
            </w:r>
          </w:p>
        </w:tc>
        <w:tc>
          <w:tcPr>
            <w:tcW w:w="5580" w:type="dxa"/>
            <w:vAlign w:val="bottom"/>
          </w:tcPr>
          <w:p>
            <w:pPr>
              <w:ind w:left="2020"/>
              <w:spacing w:after="0"/>
              <w:rPr>
                <w:sz w:val="20"/>
                <w:szCs w:val="20"/>
                <w:color w:val="auto"/>
              </w:rPr>
            </w:pPr>
            <w:r>
              <w:rPr>
                <w:rFonts w:ascii="Arial" w:cs="Arial" w:eastAsia="Arial" w:hAnsi="Arial"/>
                <w:sz w:val="18"/>
                <w:szCs w:val="18"/>
                <w:color w:val="auto"/>
              </w:rPr>
              <w:t>Malaysia</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Right Management (Malaysia) Sdn Bhd</w:t>
            </w:r>
          </w:p>
        </w:tc>
        <w:tc>
          <w:tcPr>
            <w:tcW w:w="5580" w:type="dxa"/>
            <w:vAlign w:val="bottom"/>
          </w:tcPr>
          <w:p>
            <w:pPr>
              <w:ind w:left="2020"/>
              <w:spacing w:after="0"/>
              <w:rPr>
                <w:sz w:val="20"/>
                <w:szCs w:val="20"/>
                <w:color w:val="auto"/>
              </w:rPr>
            </w:pPr>
            <w:r>
              <w:rPr>
                <w:rFonts w:ascii="Arial" w:cs="Arial" w:eastAsia="Arial" w:hAnsi="Arial"/>
                <w:sz w:val="18"/>
                <w:szCs w:val="18"/>
                <w:color w:val="auto"/>
              </w:rPr>
              <w:t>Malaysia</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Agropower,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Business Logistics Managers,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Experis Mexico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Experts Business Transportation,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Factoria Y Manufactura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Innovacion Tecnologia Smart,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Innovation Administrative Process,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Innovative Food Process,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Innovative Industrial Assembly,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Intelecto Tecnologico,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Manpower Corporativo,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Manpower Industrial, S. de R.L.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Manpower Professional,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Manpower,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Nurse.Co de Mexico,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Payment Services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Right Management Mexico,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Smart Administracion y Soporte,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Tecnologia Y Manufactura,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Tupromotoria, S.A. de C.V.</w:t>
            </w:r>
          </w:p>
        </w:tc>
        <w:tc>
          <w:tcPr>
            <w:tcW w:w="5580" w:type="dxa"/>
            <w:vAlign w:val="bottom"/>
          </w:tcPr>
          <w:p>
            <w:pPr>
              <w:ind w:left="2020"/>
              <w:spacing w:after="0"/>
              <w:rPr>
                <w:sz w:val="20"/>
                <w:szCs w:val="20"/>
                <w:color w:val="auto"/>
              </w:rPr>
            </w:pPr>
            <w:r>
              <w:rPr>
                <w:rFonts w:ascii="Arial" w:cs="Arial" w:eastAsia="Arial" w:hAnsi="Arial"/>
                <w:sz w:val="18"/>
                <w:szCs w:val="18"/>
                <w:color w:val="auto"/>
              </w:rPr>
              <w:t>Mexico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HG Atlanta Consulting, LLC</w:t>
            </w:r>
          </w:p>
        </w:tc>
        <w:tc>
          <w:tcPr>
            <w:tcW w:w="5580" w:type="dxa"/>
            <w:vAlign w:val="bottom"/>
          </w:tcPr>
          <w:p>
            <w:pPr>
              <w:ind w:left="2020"/>
              <w:spacing w:after="0"/>
              <w:rPr>
                <w:sz w:val="20"/>
                <w:szCs w:val="20"/>
                <w:color w:val="auto"/>
              </w:rPr>
            </w:pPr>
            <w:r>
              <w:rPr>
                <w:rFonts w:ascii="Arial" w:cs="Arial" w:eastAsia="Arial" w:hAnsi="Arial"/>
                <w:sz w:val="18"/>
                <w:szCs w:val="18"/>
                <w:color w:val="auto"/>
              </w:rPr>
              <w:t>MI</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HG Detroit Consulting, LLC</w:t>
            </w:r>
          </w:p>
        </w:tc>
        <w:tc>
          <w:tcPr>
            <w:tcW w:w="5580" w:type="dxa"/>
            <w:vAlign w:val="bottom"/>
          </w:tcPr>
          <w:p>
            <w:pPr>
              <w:ind w:left="2020"/>
              <w:spacing w:after="0"/>
              <w:rPr>
                <w:sz w:val="20"/>
                <w:szCs w:val="20"/>
                <w:color w:val="auto"/>
              </w:rPr>
            </w:pPr>
            <w:r>
              <w:rPr>
                <w:rFonts w:ascii="Arial" w:cs="Arial" w:eastAsia="Arial" w:hAnsi="Arial"/>
                <w:sz w:val="18"/>
                <w:szCs w:val="18"/>
                <w:color w:val="auto"/>
              </w:rPr>
              <w:t>MI</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Bradford &amp; Galt</w:t>
            </w:r>
          </w:p>
        </w:tc>
        <w:tc>
          <w:tcPr>
            <w:tcW w:w="5580" w:type="dxa"/>
            <w:vAlign w:val="bottom"/>
          </w:tcPr>
          <w:p>
            <w:pPr>
              <w:ind w:left="2020"/>
              <w:spacing w:after="0"/>
              <w:rPr>
                <w:sz w:val="20"/>
                <w:szCs w:val="20"/>
                <w:color w:val="auto"/>
              </w:rPr>
            </w:pPr>
            <w:r>
              <w:rPr>
                <w:rFonts w:ascii="Arial" w:cs="Arial" w:eastAsia="Arial" w:hAnsi="Arial"/>
                <w:sz w:val="18"/>
                <w:szCs w:val="18"/>
                <w:color w:val="auto"/>
              </w:rPr>
              <w:t>MO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Manpower Monaco SAM</w:t>
            </w:r>
          </w:p>
        </w:tc>
        <w:tc>
          <w:tcPr>
            <w:tcW w:w="5580" w:type="dxa"/>
            <w:vAlign w:val="bottom"/>
          </w:tcPr>
          <w:p>
            <w:pPr>
              <w:ind w:left="2020"/>
              <w:spacing w:after="0"/>
              <w:rPr>
                <w:sz w:val="20"/>
                <w:szCs w:val="20"/>
                <w:color w:val="auto"/>
              </w:rPr>
            </w:pPr>
            <w:r>
              <w:rPr>
                <w:rFonts w:ascii="Arial" w:cs="Arial" w:eastAsia="Arial" w:hAnsi="Arial"/>
                <w:sz w:val="18"/>
                <w:szCs w:val="18"/>
                <w:color w:val="auto"/>
              </w:rPr>
              <w:t>Monaco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Management Business Services Maroc Sarl</w:t>
            </w:r>
          </w:p>
        </w:tc>
        <w:tc>
          <w:tcPr>
            <w:tcW w:w="5580" w:type="dxa"/>
            <w:vAlign w:val="bottom"/>
          </w:tcPr>
          <w:p>
            <w:pPr>
              <w:ind w:left="2020"/>
              <w:spacing w:after="0"/>
              <w:rPr>
                <w:sz w:val="20"/>
                <w:szCs w:val="20"/>
                <w:color w:val="auto"/>
              </w:rPr>
            </w:pPr>
            <w:r>
              <w:rPr>
                <w:rFonts w:ascii="Arial" w:cs="Arial" w:eastAsia="Arial" w:hAnsi="Arial"/>
                <w:sz w:val="18"/>
                <w:szCs w:val="18"/>
                <w:color w:val="auto"/>
              </w:rPr>
              <w:t>Morocco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MBSM S.A.R.L.A.U.</w:t>
            </w:r>
          </w:p>
        </w:tc>
        <w:tc>
          <w:tcPr>
            <w:tcW w:w="5580" w:type="dxa"/>
            <w:vAlign w:val="bottom"/>
          </w:tcPr>
          <w:p>
            <w:pPr>
              <w:ind w:left="2020"/>
              <w:spacing w:after="0"/>
              <w:rPr>
                <w:sz w:val="20"/>
                <w:szCs w:val="20"/>
                <w:color w:val="auto"/>
              </w:rPr>
            </w:pPr>
            <w:r>
              <w:rPr>
                <w:rFonts w:ascii="Arial" w:cs="Arial" w:eastAsia="Arial" w:hAnsi="Arial"/>
                <w:sz w:val="18"/>
                <w:szCs w:val="18"/>
                <w:color w:val="auto"/>
              </w:rPr>
              <w:t>Morocco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Societe Marocaine De Travail Temporaire</w:t>
            </w:r>
          </w:p>
        </w:tc>
        <w:tc>
          <w:tcPr>
            <w:tcW w:w="5580" w:type="dxa"/>
            <w:vAlign w:val="bottom"/>
          </w:tcPr>
          <w:p>
            <w:pPr>
              <w:ind w:left="2020"/>
              <w:spacing w:after="0"/>
              <w:rPr>
                <w:sz w:val="20"/>
                <w:szCs w:val="20"/>
                <w:color w:val="auto"/>
              </w:rPr>
            </w:pPr>
            <w:r>
              <w:rPr>
                <w:rFonts w:ascii="Arial" w:cs="Arial" w:eastAsia="Arial" w:hAnsi="Arial"/>
                <w:sz w:val="18"/>
                <w:szCs w:val="18"/>
                <w:color w:val="auto"/>
              </w:rPr>
              <w:t>Morocco</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ettain group, LLC</w:t>
            </w:r>
          </w:p>
        </w:tc>
        <w:tc>
          <w:tcPr>
            <w:tcW w:w="5580" w:type="dxa"/>
            <w:vAlign w:val="bottom"/>
          </w:tcPr>
          <w:p>
            <w:pPr>
              <w:ind w:left="2020"/>
              <w:spacing w:after="0"/>
              <w:rPr>
                <w:sz w:val="20"/>
                <w:szCs w:val="20"/>
                <w:color w:val="auto"/>
              </w:rPr>
            </w:pPr>
            <w:r>
              <w:rPr>
                <w:rFonts w:ascii="Arial" w:cs="Arial" w:eastAsia="Arial" w:hAnsi="Arial"/>
                <w:sz w:val="18"/>
                <w:szCs w:val="18"/>
                <w:color w:val="auto"/>
              </w:rPr>
              <w:t>NC</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Experis Consulting B.V.</w:t>
            </w:r>
          </w:p>
        </w:tc>
        <w:tc>
          <w:tcPr>
            <w:tcW w:w="5580" w:type="dxa"/>
            <w:vAlign w:val="bottom"/>
          </w:tcPr>
          <w:p>
            <w:pPr>
              <w:ind w:left="2020"/>
              <w:spacing w:after="0"/>
              <w:rPr>
                <w:sz w:val="20"/>
                <w:szCs w:val="20"/>
                <w:color w:val="auto"/>
              </w:rPr>
            </w:pPr>
            <w:r>
              <w:rPr>
                <w:rFonts w:ascii="Arial" w:cs="Arial" w:eastAsia="Arial" w:hAnsi="Arial"/>
                <w:sz w:val="18"/>
                <w:szCs w:val="18"/>
                <w:color w:val="auto"/>
              </w:rPr>
              <w:t>Netherlands</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Experis Staff B.V.</w:t>
            </w:r>
          </w:p>
        </w:tc>
        <w:tc>
          <w:tcPr>
            <w:tcW w:w="5580" w:type="dxa"/>
            <w:vAlign w:val="bottom"/>
          </w:tcPr>
          <w:p>
            <w:pPr>
              <w:ind w:left="2020"/>
              <w:spacing w:after="0"/>
              <w:rPr>
                <w:sz w:val="20"/>
                <w:szCs w:val="20"/>
                <w:color w:val="auto"/>
              </w:rPr>
            </w:pPr>
            <w:r>
              <w:rPr>
                <w:rFonts w:ascii="Arial" w:cs="Arial" w:eastAsia="Arial" w:hAnsi="Arial"/>
                <w:sz w:val="18"/>
                <w:szCs w:val="18"/>
                <w:color w:val="auto"/>
              </w:rPr>
              <w:t>Netherlands</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Experis Services B.V.</w:t>
            </w:r>
          </w:p>
        </w:tc>
        <w:tc>
          <w:tcPr>
            <w:tcW w:w="5580" w:type="dxa"/>
            <w:vAlign w:val="bottom"/>
          </w:tcPr>
          <w:p>
            <w:pPr>
              <w:ind w:left="2020"/>
              <w:spacing w:after="0"/>
              <w:rPr>
                <w:sz w:val="20"/>
                <w:szCs w:val="20"/>
                <w:color w:val="auto"/>
              </w:rPr>
            </w:pPr>
            <w:r>
              <w:rPr>
                <w:rFonts w:ascii="Arial" w:cs="Arial" w:eastAsia="Arial" w:hAnsi="Arial"/>
                <w:sz w:val="18"/>
                <w:szCs w:val="18"/>
                <w:color w:val="auto"/>
              </w:rPr>
              <w:t>Netherlands</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Jefferson Wells B.V.</w:t>
            </w:r>
          </w:p>
        </w:tc>
        <w:tc>
          <w:tcPr>
            <w:tcW w:w="5580" w:type="dxa"/>
            <w:vAlign w:val="bottom"/>
          </w:tcPr>
          <w:p>
            <w:pPr>
              <w:ind w:left="2020"/>
              <w:spacing w:after="0"/>
              <w:rPr>
                <w:sz w:val="20"/>
                <w:szCs w:val="20"/>
                <w:color w:val="auto"/>
              </w:rPr>
            </w:pPr>
            <w:r>
              <w:rPr>
                <w:rFonts w:ascii="Arial" w:cs="Arial" w:eastAsia="Arial" w:hAnsi="Arial"/>
                <w:sz w:val="18"/>
                <w:szCs w:val="18"/>
                <w:color w:val="auto"/>
              </w:rPr>
              <w:t>Netherlands</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Manpower B.V.</w:t>
            </w:r>
          </w:p>
        </w:tc>
        <w:tc>
          <w:tcPr>
            <w:tcW w:w="5580" w:type="dxa"/>
            <w:vAlign w:val="bottom"/>
          </w:tcPr>
          <w:p>
            <w:pPr>
              <w:ind w:left="2020"/>
              <w:spacing w:after="0"/>
              <w:rPr>
                <w:sz w:val="20"/>
                <w:szCs w:val="20"/>
                <w:color w:val="auto"/>
              </w:rPr>
            </w:pPr>
            <w:r>
              <w:rPr>
                <w:rFonts w:ascii="Arial" w:cs="Arial" w:eastAsia="Arial" w:hAnsi="Arial"/>
                <w:sz w:val="18"/>
                <w:szCs w:val="18"/>
                <w:color w:val="auto"/>
              </w:rPr>
              <w:t>Netherlands</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Manpower Business Services BV</w:t>
            </w:r>
          </w:p>
        </w:tc>
        <w:tc>
          <w:tcPr>
            <w:tcW w:w="5580" w:type="dxa"/>
            <w:vAlign w:val="bottom"/>
          </w:tcPr>
          <w:p>
            <w:pPr>
              <w:ind w:left="2020"/>
              <w:spacing w:after="0"/>
              <w:rPr>
                <w:sz w:val="20"/>
                <w:szCs w:val="20"/>
                <w:color w:val="auto"/>
              </w:rPr>
            </w:pPr>
            <w:r>
              <w:rPr>
                <w:rFonts w:ascii="Arial" w:cs="Arial" w:eastAsia="Arial" w:hAnsi="Arial"/>
                <w:sz w:val="18"/>
                <w:szCs w:val="18"/>
                <w:color w:val="auto"/>
              </w:rPr>
              <w:t>Netherlands</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Manpower Flexibility BV</w:t>
            </w:r>
          </w:p>
        </w:tc>
        <w:tc>
          <w:tcPr>
            <w:tcW w:w="5580" w:type="dxa"/>
            <w:vAlign w:val="bottom"/>
          </w:tcPr>
          <w:p>
            <w:pPr>
              <w:ind w:left="2020"/>
              <w:spacing w:after="0"/>
              <w:rPr>
                <w:sz w:val="20"/>
                <w:szCs w:val="20"/>
                <w:color w:val="auto"/>
              </w:rPr>
            </w:pPr>
            <w:r>
              <w:rPr>
                <w:rFonts w:ascii="Arial" w:cs="Arial" w:eastAsia="Arial" w:hAnsi="Arial"/>
                <w:sz w:val="18"/>
                <w:szCs w:val="18"/>
                <w:color w:val="auto"/>
              </w:rPr>
              <w:t>Netherlands</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Manpower Flexwork BV</w:t>
            </w:r>
          </w:p>
        </w:tc>
        <w:tc>
          <w:tcPr>
            <w:tcW w:w="5580" w:type="dxa"/>
            <w:vAlign w:val="bottom"/>
          </w:tcPr>
          <w:p>
            <w:pPr>
              <w:ind w:left="2020"/>
              <w:spacing w:after="0"/>
              <w:rPr>
                <w:sz w:val="20"/>
                <w:szCs w:val="20"/>
                <w:color w:val="auto"/>
              </w:rPr>
            </w:pPr>
            <w:r>
              <w:rPr>
                <w:rFonts w:ascii="Arial" w:cs="Arial" w:eastAsia="Arial" w:hAnsi="Arial"/>
                <w:sz w:val="18"/>
                <w:szCs w:val="18"/>
                <w:color w:val="auto"/>
              </w:rPr>
              <w:t>Netherlands</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Manpower Logistics BV</w:t>
            </w:r>
          </w:p>
        </w:tc>
        <w:tc>
          <w:tcPr>
            <w:tcW w:w="5580" w:type="dxa"/>
            <w:vAlign w:val="bottom"/>
          </w:tcPr>
          <w:p>
            <w:pPr>
              <w:ind w:left="2020"/>
              <w:spacing w:after="0"/>
              <w:rPr>
                <w:sz w:val="20"/>
                <w:szCs w:val="20"/>
                <w:color w:val="auto"/>
              </w:rPr>
            </w:pPr>
            <w:r>
              <w:rPr>
                <w:rFonts w:ascii="Arial" w:cs="Arial" w:eastAsia="Arial" w:hAnsi="Arial"/>
                <w:sz w:val="18"/>
                <w:szCs w:val="18"/>
                <w:color w:val="auto"/>
              </w:rPr>
              <w:t>Netherlands</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Manpower Solutions B.V.</w:t>
            </w:r>
          </w:p>
        </w:tc>
        <w:tc>
          <w:tcPr>
            <w:tcW w:w="5580" w:type="dxa"/>
            <w:vAlign w:val="bottom"/>
          </w:tcPr>
          <w:p>
            <w:pPr>
              <w:ind w:left="2020"/>
              <w:spacing w:after="0"/>
              <w:rPr>
                <w:sz w:val="20"/>
                <w:szCs w:val="20"/>
                <w:color w:val="auto"/>
              </w:rPr>
            </w:pPr>
            <w:r>
              <w:rPr>
                <w:rFonts w:ascii="Arial" w:cs="Arial" w:eastAsia="Arial" w:hAnsi="Arial"/>
                <w:sz w:val="18"/>
                <w:szCs w:val="18"/>
                <w:color w:val="auto"/>
              </w:rPr>
              <w:t>Netherlands</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Manpower Talent BV</w:t>
            </w:r>
          </w:p>
        </w:tc>
        <w:tc>
          <w:tcPr>
            <w:tcW w:w="5580" w:type="dxa"/>
            <w:vAlign w:val="bottom"/>
          </w:tcPr>
          <w:p>
            <w:pPr>
              <w:ind w:left="2020"/>
              <w:spacing w:after="0"/>
              <w:rPr>
                <w:sz w:val="20"/>
                <w:szCs w:val="20"/>
                <w:color w:val="auto"/>
              </w:rPr>
            </w:pPr>
            <w:r>
              <w:rPr>
                <w:rFonts w:ascii="Arial" w:cs="Arial" w:eastAsia="Arial" w:hAnsi="Arial"/>
                <w:sz w:val="18"/>
                <w:szCs w:val="18"/>
                <w:color w:val="auto"/>
              </w:rPr>
              <w:t>Netherlands</w:t>
            </w:r>
          </w:p>
        </w:tc>
      </w:tr>
      <w:tr>
        <w:trPr>
          <w:trHeight w:val="269"/>
        </w:trPr>
        <w:tc>
          <w:tcPr>
            <w:tcW w:w="5660" w:type="dxa"/>
            <w:vAlign w:val="bottom"/>
          </w:tcPr>
          <w:p>
            <w:pPr>
              <w:ind w:left="120"/>
              <w:spacing w:after="0"/>
              <w:rPr>
                <w:sz w:val="20"/>
                <w:szCs w:val="20"/>
                <w:color w:val="auto"/>
              </w:rPr>
            </w:pPr>
            <w:r>
              <w:rPr>
                <w:rFonts w:ascii="Arial" w:cs="Arial" w:eastAsia="Arial" w:hAnsi="Arial"/>
                <w:sz w:val="18"/>
                <w:szCs w:val="18"/>
                <w:color w:val="auto"/>
              </w:rPr>
              <w:t>Manpower Talentworkers BV</w:t>
            </w:r>
          </w:p>
        </w:tc>
        <w:tc>
          <w:tcPr>
            <w:tcW w:w="5580" w:type="dxa"/>
            <w:vAlign w:val="bottom"/>
          </w:tcPr>
          <w:p>
            <w:pPr>
              <w:ind w:left="2020"/>
              <w:spacing w:after="0"/>
              <w:rPr>
                <w:sz w:val="20"/>
                <w:szCs w:val="20"/>
                <w:color w:val="auto"/>
              </w:rPr>
            </w:pPr>
            <w:r>
              <w:rPr>
                <w:rFonts w:ascii="Arial" w:cs="Arial" w:eastAsia="Arial" w:hAnsi="Arial"/>
                <w:sz w:val="18"/>
                <w:szCs w:val="18"/>
                <w:color w:val="auto"/>
              </w:rPr>
              <w:t>Netherlands</w:t>
            </w:r>
          </w:p>
        </w:tc>
      </w:tr>
      <w:tr>
        <w:trPr>
          <w:trHeight w:val="397"/>
        </w:trPr>
        <w:tc>
          <w:tcPr>
            <w:tcW w:w="56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30"/>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Netherlands B.V.</w:t>
            </w:r>
          </w:p>
        </w:tc>
        <w:tc>
          <w:tcPr>
            <w:tcW w:w="5140" w:type="dxa"/>
            <w:vAlign w:val="bottom"/>
          </w:tcPr>
          <w:p>
            <w:pPr>
              <w:ind w:left="1580"/>
              <w:spacing w:after="0"/>
              <w:rPr>
                <w:sz w:val="20"/>
                <w:szCs w:val="20"/>
                <w:color w:val="auto"/>
              </w:rPr>
            </w:pPr>
            <w:r>
              <w:rPr>
                <w:rFonts w:ascii="Arial" w:cs="Arial" w:eastAsia="Arial" w:hAnsi="Arial"/>
                <w:sz w:val="18"/>
                <w:szCs w:val="18"/>
                <w:color w:val="auto"/>
              </w:rPr>
              <w:t>Netherlands</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Solutions B.V.</w:t>
            </w:r>
          </w:p>
        </w:tc>
        <w:tc>
          <w:tcPr>
            <w:tcW w:w="5140" w:type="dxa"/>
            <w:vAlign w:val="bottom"/>
          </w:tcPr>
          <w:p>
            <w:pPr>
              <w:ind w:left="1580"/>
              <w:spacing w:after="0"/>
              <w:rPr>
                <w:sz w:val="20"/>
                <w:szCs w:val="20"/>
                <w:color w:val="auto"/>
              </w:rPr>
            </w:pPr>
            <w:r>
              <w:rPr>
                <w:rFonts w:ascii="Arial" w:cs="Arial" w:eastAsia="Arial" w:hAnsi="Arial"/>
                <w:sz w:val="18"/>
                <w:szCs w:val="18"/>
                <w:color w:val="auto"/>
              </w:rPr>
              <w:t>Netherlands</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Staff B.V.</w:t>
            </w:r>
          </w:p>
        </w:tc>
        <w:tc>
          <w:tcPr>
            <w:tcW w:w="5140" w:type="dxa"/>
            <w:vAlign w:val="bottom"/>
          </w:tcPr>
          <w:p>
            <w:pPr>
              <w:ind w:left="1580"/>
              <w:spacing w:after="0"/>
              <w:rPr>
                <w:sz w:val="20"/>
                <w:szCs w:val="20"/>
                <w:color w:val="auto"/>
              </w:rPr>
            </w:pPr>
            <w:r>
              <w:rPr>
                <w:rFonts w:ascii="Arial" w:cs="Arial" w:eastAsia="Arial" w:hAnsi="Arial"/>
                <w:sz w:val="18"/>
                <w:szCs w:val="18"/>
                <w:color w:val="auto"/>
              </w:rPr>
              <w:t>Netherlands</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Experis Professionals B.V.</w:t>
            </w:r>
          </w:p>
        </w:tc>
        <w:tc>
          <w:tcPr>
            <w:tcW w:w="5140" w:type="dxa"/>
            <w:vAlign w:val="bottom"/>
          </w:tcPr>
          <w:p>
            <w:pPr>
              <w:ind w:left="1580"/>
              <w:spacing w:after="0"/>
              <w:rPr>
                <w:sz w:val="20"/>
                <w:szCs w:val="20"/>
                <w:color w:val="auto"/>
              </w:rPr>
            </w:pPr>
            <w:r>
              <w:rPr>
                <w:rFonts w:ascii="Arial" w:cs="Arial" w:eastAsia="Arial" w:hAnsi="Arial"/>
                <w:sz w:val="18"/>
                <w:szCs w:val="18"/>
                <w:color w:val="auto"/>
              </w:rPr>
              <w:t>Netherlands</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Right Management Nederland B.V.</w:t>
            </w:r>
          </w:p>
        </w:tc>
        <w:tc>
          <w:tcPr>
            <w:tcW w:w="5140" w:type="dxa"/>
            <w:vAlign w:val="bottom"/>
          </w:tcPr>
          <w:p>
            <w:pPr>
              <w:ind w:left="1580"/>
              <w:spacing w:after="0"/>
              <w:rPr>
                <w:sz w:val="20"/>
                <w:szCs w:val="20"/>
                <w:color w:val="auto"/>
              </w:rPr>
            </w:pPr>
            <w:r>
              <w:rPr>
                <w:rFonts w:ascii="Arial" w:cs="Arial" w:eastAsia="Arial" w:hAnsi="Arial"/>
                <w:sz w:val="18"/>
                <w:szCs w:val="18"/>
                <w:color w:val="auto"/>
              </w:rPr>
              <w:t>Netherlands</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Nouvelle Caledonie Sarl</w:t>
            </w:r>
          </w:p>
        </w:tc>
        <w:tc>
          <w:tcPr>
            <w:tcW w:w="5140" w:type="dxa"/>
            <w:vAlign w:val="bottom"/>
          </w:tcPr>
          <w:p>
            <w:pPr>
              <w:ind w:left="1580"/>
              <w:spacing w:after="0"/>
              <w:rPr>
                <w:sz w:val="20"/>
                <w:szCs w:val="20"/>
                <w:color w:val="auto"/>
              </w:rPr>
            </w:pPr>
            <w:r>
              <w:rPr>
                <w:rFonts w:ascii="Arial" w:cs="Arial" w:eastAsia="Arial" w:hAnsi="Arial"/>
                <w:sz w:val="18"/>
                <w:szCs w:val="18"/>
                <w:color w:val="auto"/>
              </w:rPr>
              <w:t>New Caledonia</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Recrutement Sarl</w:t>
            </w:r>
          </w:p>
        </w:tc>
        <w:tc>
          <w:tcPr>
            <w:tcW w:w="5140" w:type="dxa"/>
            <w:vAlign w:val="bottom"/>
          </w:tcPr>
          <w:p>
            <w:pPr>
              <w:ind w:left="1580"/>
              <w:spacing w:after="0"/>
              <w:rPr>
                <w:sz w:val="20"/>
                <w:szCs w:val="20"/>
                <w:color w:val="auto"/>
              </w:rPr>
            </w:pPr>
            <w:r>
              <w:rPr>
                <w:rFonts w:ascii="Arial" w:cs="Arial" w:eastAsia="Arial" w:hAnsi="Arial"/>
                <w:sz w:val="18"/>
                <w:szCs w:val="18"/>
                <w:color w:val="auto"/>
              </w:rPr>
              <w:t>New Caledonia</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Nicaruagua S.A.</w:t>
            </w:r>
          </w:p>
        </w:tc>
        <w:tc>
          <w:tcPr>
            <w:tcW w:w="5140" w:type="dxa"/>
            <w:vAlign w:val="bottom"/>
          </w:tcPr>
          <w:p>
            <w:pPr>
              <w:ind w:left="1580"/>
              <w:spacing w:after="0"/>
              <w:rPr>
                <w:sz w:val="20"/>
                <w:szCs w:val="20"/>
                <w:color w:val="auto"/>
              </w:rPr>
            </w:pPr>
            <w:r>
              <w:rPr>
                <w:rFonts w:ascii="Arial" w:cs="Arial" w:eastAsia="Arial" w:hAnsi="Arial"/>
                <w:sz w:val="18"/>
                <w:szCs w:val="18"/>
                <w:color w:val="auto"/>
              </w:rPr>
              <w:t>Nicaragua</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Experis AS</w:t>
            </w:r>
          </w:p>
        </w:tc>
        <w:tc>
          <w:tcPr>
            <w:tcW w:w="5140" w:type="dxa"/>
            <w:vAlign w:val="bottom"/>
          </w:tcPr>
          <w:p>
            <w:pPr>
              <w:ind w:left="1580"/>
              <w:spacing w:after="0"/>
              <w:rPr>
                <w:sz w:val="20"/>
                <w:szCs w:val="20"/>
                <w:color w:val="auto"/>
              </w:rPr>
            </w:pPr>
            <w:r>
              <w:rPr>
                <w:rFonts w:ascii="Arial" w:cs="Arial" w:eastAsia="Arial" w:hAnsi="Arial"/>
                <w:sz w:val="18"/>
                <w:szCs w:val="18"/>
                <w:color w:val="auto"/>
              </w:rPr>
              <w:t>Norway</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Experis Services AS</w:t>
            </w:r>
          </w:p>
        </w:tc>
        <w:tc>
          <w:tcPr>
            <w:tcW w:w="5140" w:type="dxa"/>
            <w:vAlign w:val="bottom"/>
          </w:tcPr>
          <w:p>
            <w:pPr>
              <w:ind w:left="1580"/>
              <w:spacing w:after="0"/>
              <w:rPr>
                <w:sz w:val="20"/>
                <w:szCs w:val="20"/>
                <w:color w:val="auto"/>
              </w:rPr>
            </w:pPr>
            <w:r>
              <w:rPr>
                <w:rFonts w:ascii="Arial" w:cs="Arial" w:eastAsia="Arial" w:hAnsi="Arial"/>
                <w:sz w:val="18"/>
                <w:szCs w:val="18"/>
                <w:color w:val="auto"/>
              </w:rPr>
              <w:t>Norway</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Framnaes Installasjon AS</w:t>
            </w:r>
          </w:p>
        </w:tc>
        <w:tc>
          <w:tcPr>
            <w:tcW w:w="5140" w:type="dxa"/>
            <w:vAlign w:val="bottom"/>
          </w:tcPr>
          <w:p>
            <w:pPr>
              <w:ind w:left="1580"/>
              <w:spacing w:after="0"/>
              <w:rPr>
                <w:sz w:val="20"/>
                <w:szCs w:val="20"/>
                <w:color w:val="auto"/>
              </w:rPr>
            </w:pPr>
            <w:r>
              <w:rPr>
                <w:rFonts w:ascii="Arial" w:cs="Arial" w:eastAsia="Arial" w:hAnsi="Arial"/>
                <w:sz w:val="18"/>
                <w:szCs w:val="18"/>
                <w:color w:val="auto"/>
              </w:rPr>
              <w:t>Norway</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AS</w:t>
            </w:r>
          </w:p>
        </w:tc>
        <w:tc>
          <w:tcPr>
            <w:tcW w:w="5140" w:type="dxa"/>
            <w:vAlign w:val="bottom"/>
          </w:tcPr>
          <w:p>
            <w:pPr>
              <w:ind w:left="1580"/>
              <w:spacing w:after="0"/>
              <w:rPr>
                <w:sz w:val="20"/>
                <w:szCs w:val="20"/>
                <w:color w:val="auto"/>
              </w:rPr>
            </w:pPr>
            <w:r>
              <w:rPr>
                <w:rFonts w:ascii="Arial" w:cs="Arial" w:eastAsia="Arial" w:hAnsi="Arial"/>
                <w:sz w:val="18"/>
                <w:szCs w:val="18"/>
                <w:color w:val="auto"/>
              </w:rPr>
              <w:t>Norway</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Industri AS</w:t>
            </w:r>
          </w:p>
        </w:tc>
        <w:tc>
          <w:tcPr>
            <w:tcW w:w="5140" w:type="dxa"/>
            <w:vAlign w:val="bottom"/>
          </w:tcPr>
          <w:p>
            <w:pPr>
              <w:ind w:left="1580"/>
              <w:spacing w:after="0"/>
              <w:rPr>
                <w:sz w:val="20"/>
                <w:szCs w:val="20"/>
                <w:color w:val="auto"/>
              </w:rPr>
            </w:pPr>
            <w:r>
              <w:rPr>
                <w:rFonts w:ascii="Arial" w:cs="Arial" w:eastAsia="Arial" w:hAnsi="Arial"/>
                <w:sz w:val="18"/>
                <w:szCs w:val="18"/>
                <w:color w:val="auto"/>
              </w:rPr>
              <w:t>Norway</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Staffing Services AS</w:t>
            </w:r>
          </w:p>
        </w:tc>
        <w:tc>
          <w:tcPr>
            <w:tcW w:w="5140" w:type="dxa"/>
            <w:vAlign w:val="bottom"/>
          </w:tcPr>
          <w:p>
            <w:pPr>
              <w:ind w:left="1580"/>
              <w:spacing w:after="0"/>
              <w:rPr>
                <w:sz w:val="20"/>
                <w:szCs w:val="20"/>
                <w:color w:val="auto"/>
              </w:rPr>
            </w:pPr>
            <w:r>
              <w:rPr>
                <w:rFonts w:ascii="Arial" w:cs="Arial" w:eastAsia="Arial" w:hAnsi="Arial"/>
                <w:sz w:val="18"/>
                <w:szCs w:val="18"/>
                <w:color w:val="auto"/>
              </w:rPr>
              <w:t>Norway</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AS</w:t>
            </w:r>
          </w:p>
        </w:tc>
        <w:tc>
          <w:tcPr>
            <w:tcW w:w="5140" w:type="dxa"/>
            <w:vAlign w:val="bottom"/>
          </w:tcPr>
          <w:p>
            <w:pPr>
              <w:ind w:left="1580"/>
              <w:spacing w:after="0"/>
              <w:rPr>
                <w:sz w:val="20"/>
                <w:szCs w:val="20"/>
                <w:color w:val="auto"/>
              </w:rPr>
            </w:pPr>
            <w:r>
              <w:rPr>
                <w:rFonts w:ascii="Arial" w:cs="Arial" w:eastAsia="Arial" w:hAnsi="Arial"/>
                <w:sz w:val="18"/>
                <w:szCs w:val="18"/>
                <w:color w:val="auto"/>
              </w:rPr>
              <w:t>Norway</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Talent Solutions AS</w:t>
            </w:r>
          </w:p>
        </w:tc>
        <w:tc>
          <w:tcPr>
            <w:tcW w:w="5140" w:type="dxa"/>
            <w:vAlign w:val="bottom"/>
          </w:tcPr>
          <w:p>
            <w:pPr>
              <w:ind w:left="1580"/>
              <w:spacing w:after="0"/>
              <w:rPr>
                <w:sz w:val="20"/>
                <w:szCs w:val="20"/>
                <w:color w:val="auto"/>
              </w:rPr>
            </w:pPr>
            <w:r>
              <w:rPr>
                <w:rFonts w:ascii="Arial" w:cs="Arial" w:eastAsia="Arial" w:hAnsi="Arial"/>
                <w:sz w:val="18"/>
                <w:szCs w:val="18"/>
                <w:color w:val="auto"/>
              </w:rPr>
              <w:t>Norway</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Workshop Bemanning og Kompetanse AS</w:t>
            </w:r>
          </w:p>
        </w:tc>
        <w:tc>
          <w:tcPr>
            <w:tcW w:w="5140" w:type="dxa"/>
            <w:vAlign w:val="bottom"/>
          </w:tcPr>
          <w:p>
            <w:pPr>
              <w:ind w:left="1580"/>
              <w:spacing w:after="0"/>
              <w:rPr>
                <w:sz w:val="20"/>
                <w:szCs w:val="20"/>
                <w:color w:val="auto"/>
              </w:rPr>
            </w:pPr>
            <w:r>
              <w:rPr>
                <w:rFonts w:ascii="Arial" w:cs="Arial" w:eastAsia="Arial" w:hAnsi="Arial"/>
                <w:sz w:val="18"/>
                <w:szCs w:val="18"/>
                <w:color w:val="auto"/>
              </w:rPr>
              <w:t>Norway</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Workshop Holding AS</w:t>
            </w:r>
          </w:p>
        </w:tc>
        <w:tc>
          <w:tcPr>
            <w:tcW w:w="5140" w:type="dxa"/>
            <w:vAlign w:val="bottom"/>
          </w:tcPr>
          <w:p>
            <w:pPr>
              <w:ind w:left="1580"/>
              <w:spacing w:after="0"/>
              <w:rPr>
                <w:sz w:val="20"/>
                <w:szCs w:val="20"/>
                <w:color w:val="auto"/>
              </w:rPr>
            </w:pPr>
            <w:r>
              <w:rPr>
                <w:rFonts w:ascii="Arial" w:cs="Arial" w:eastAsia="Arial" w:hAnsi="Arial"/>
                <w:sz w:val="18"/>
                <w:szCs w:val="18"/>
                <w:color w:val="auto"/>
              </w:rPr>
              <w:t>Norway</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Main Line Personnel Services, LLC</w:t>
            </w:r>
          </w:p>
        </w:tc>
        <w:tc>
          <w:tcPr>
            <w:tcW w:w="5140" w:type="dxa"/>
            <w:vAlign w:val="bottom"/>
          </w:tcPr>
          <w:p>
            <w:pPr>
              <w:ind w:left="1580"/>
              <w:spacing w:after="0"/>
              <w:rPr>
                <w:sz w:val="20"/>
                <w:szCs w:val="20"/>
                <w:color w:val="auto"/>
              </w:rPr>
            </w:pPr>
            <w:r>
              <w:rPr>
                <w:rFonts w:ascii="Arial" w:cs="Arial" w:eastAsia="Arial" w:hAnsi="Arial"/>
                <w:sz w:val="18"/>
                <w:szCs w:val="18"/>
                <w:color w:val="auto"/>
              </w:rPr>
              <w:t>PA</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Right Management Inc.</w:t>
            </w:r>
          </w:p>
        </w:tc>
        <w:tc>
          <w:tcPr>
            <w:tcW w:w="5140" w:type="dxa"/>
            <w:vAlign w:val="bottom"/>
          </w:tcPr>
          <w:p>
            <w:pPr>
              <w:ind w:left="1580"/>
              <w:spacing w:after="0"/>
              <w:rPr>
                <w:sz w:val="20"/>
                <w:szCs w:val="20"/>
                <w:color w:val="auto"/>
              </w:rPr>
            </w:pPr>
            <w:r>
              <w:rPr>
                <w:rFonts w:ascii="Arial" w:cs="Arial" w:eastAsia="Arial" w:hAnsi="Arial"/>
                <w:sz w:val="18"/>
                <w:szCs w:val="18"/>
                <w:color w:val="auto"/>
              </w:rPr>
              <w:t>PA</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Panama S.A.</w:t>
            </w:r>
          </w:p>
        </w:tc>
        <w:tc>
          <w:tcPr>
            <w:tcW w:w="5140" w:type="dxa"/>
            <w:vAlign w:val="bottom"/>
          </w:tcPr>
          <w:p>
            <w:pPr>
              <w:ind w:left="1580"/>
              <w:spacing w:after="0"/>
              <w:rPr>
                <w:sz w:val="20"/>
                <w:szCs w:val="20"/>
                <w:color w:val="auto"/>
              </w:rPr>
            </w:pPr>
            <w:r>
              <w:rPr>
                <w:rFonts w:ascii="Arial" w:cs="Arial" w:eastAsia="Arial" w:hAnsi="Arial"/>
                <w:sz w:val="18"/>
                <w:szCs w:val="18"/>
                <w:color w:val="auto"/>
              </w:rPr>
              <w:t>Panama</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Panama Pacifico, S.A.</w:t>
            </w:r>
          </w:p>
        </w:tc>
        <w:tc>
          <w:tcPr>
            <w:tcW w:w="5140" w:type="dxa"/>
            <w:vAlign w:val="bottom"/>
          </w:tcPr>
          <w:p>
            <w:pPr>
              <w:ind w:left="1580"/>
              <w:spacing w:after="0"/>
              <w:rPr>
                <w:sz w:val="20"/>
                <w:szCs w:val="20"/>
                <w:color w:val="auto"/>
              </w:rPr>
            </w:pPr>
            <w:r>
              <w:rPr>
                <w:rFonts w:ascii="Arial" w:cs="Arial" w:eastAsia="Arial" w:hAnsi="Arial"/>
                <w:sz w:val="18"/>
                <w:szCs w:val="18"/>
                <w:color w:val="auto"/>
              </w:rPr>
              <w:t>Panama</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Staffing Services Panama, S.A.</w:t>
            </w:r>
          </w:p>
        </w:tc>
        <w:tc>
          <w:tcPr>
            <w:tcW w:w="5140" w:type="dxa"/>
            <w:vAlign w:val="bottom"/>
          </w:tcPr>
          <w:p>
            <w:pPr>
              <w:ind w:left="1580"/>
              <w:spacing w:after="0"/>
              <w:rPr>
                <w:sz w:val="20"/>
                <w:szCs w:val="20"/>
                <w:color w:val="auto"/>
              </w:rPr>
            </w:pPr>
            <w:r>
              <w:rPr>
                <w:rFonts w:ascii="Arial" w:cs="Arial" w:eastAsia="Arial" w:hAnsi="Arial"/>
                <w:sz w:val="18"/>
                <w:szCs w:val="18"/>
                <w:color w:val="auto"/>
              </w:rPr>
              <w:t>Panama</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Paraguay S.R.L.</w:t>
            </w:r>
          </w:p>
        </w:tc>
        <w:tc>
          <w:tcPr>
            <w:tcW w:w="5140" w:type="dxa"/>
            <w:vAlign w:val="bottom"/>
          </w:tcPr>
          <w:p>
            <w:pPr>
              <w:ind w:left="1580"/>
              <w:spacing w:after="0"/>
              <w:rPr>
                <w:sz w:val="20"/>
                <w:szCs w:val="20"/>
                <w:color w:val="auto"/>
              </w:rPr>
            </w:pPr>
            <w:r>
              <w:rPr>
                <w:rFonts w:ascii="Arial" w:cs="Arial" w:eastAsia="Arial" w:hAnsi="Arial"/>
                <w:sz w:val="18"/>
                <w:szCs w:val="18"/>
                <w:color w:val="auto"/>
              </w:rPr>
              <w:t>Paraguay</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Peru S.A.</w:t>
            </w:r>
          </w:p>
        </w:tc>
        <w:tc>
          <w:tcPr>
            <w:tcW w:w="5140" w:type="dxa"/>
            <w:vAlign w:val="bottom"/>
          </w:tcPr>
          <w:p>
            <w:pPr>
              <w:ind w:left="1580"/>
              <w:spacing w:after="0"/>
              <w:rPr>
                <w:sz w:val="20"/>
                <w:szCs w:val="20"/>
                <w:color w:val="auto"/>
              </w:rPr>
            </w:pPr>
            <w:r>
              <w:rPr>
                <w:rFonts w:ascii="Arial" w:cs="Arial" w:eastAsia="Arial" w:hAnsi="Arial"/>
                <w:sz w:val="18"/>
                <w:szCs w:val="18"/>
                <w:color w:val="auto"/>
              </w:rPr>
              <w:t>Peru</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Professional Services S.A.</w:t>
            </w:r>
          </w:p>
        </w:tc>
        <w:tc>
          <w:tcPr>
            <w:tcW w:w="5140" w:type="dxa"/>
            <w:vAlign w:val="bottom"/>
          </w:tcPr>
          <w:p>
            <w:pPr>
              <w:ind w:left="1580"/>
              <w:spacing w:after="0"/>
              <w:rPr>
                <w:sz w:val="20"/>
                <w:szCs w:val="20"/>
                <w:color w:val="auto"/>
              </w:rPr>
            </w:pPr>
            <w:r>
              <w:rPr>
                <w:rFonts w:ascii="Arial" w:cs="Arial" w:eastAsia="Arial" w:hAnsi="Arial"/>
                <w:sz w:val="18"/>
                <w:szCs w:val="18"/>
                <w:color w:val="auto"/>
              </w:rPr>
              <w:t>Peru</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Right Management Peru S.A.C.</w:t>
            </w:r>
          </w:p>
        </w:tc>
        <w:tc>
          <w:tcPr>
            <w:tcW w:w="5140" w:type="dxa"/>
            <w:vAlign w:val="bottom"/>
          </w:tcPr>
          <w:p>
            <w:pPr>
              <w:ind w:left="1580"/>
              <w:spacing w:after="0"/>
              <w:rPr>
                <w:sz w:val="20"/>
                <w:szCs w:val="20"/>
                <w:color w:val="auto"/>
              </w:rPr>
            </w:pPr>
            <w:r>
              <w:rPr>
                <w:rFonts w:ascii="Arial" w:cs="Arial" w:eastAsia="Arial" w:hAnsi="Arial"/>
                <w:sz w:val="18"/>
                <w:szCs w:val="18"/>
                <w:color w:val="auto"/>
              </w:rPr>
              <w:t>Peru</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Outsourcing Services Inc.</w:t>
            </w:r>
          </w:p>
        </w:tc>
        <w:tc>
          <w:tcPr>
            <w:tcW w:w="5140" w:type="dxa"/>
            <w:vAlign w:val="bottom"/>
          </w:tcPr>
          <w:p>
            <w:pPr>
              <w:ind w:left="1580"/>
              <w:spacing w:after="0"/>
              <w:rPr>
                <w:sz w:val="20"/>
                <w:szCs w:val="20"/>
                <w:color w:val="auto"/>
              </w:rPr>
            </w:pPr>
            <w:r>
              <w:rPr>
                <w:rFonts w:ascii="Arial" w:cs="Arial" w:eastAsia="Arial" w:hAnsi="Arial"/>
                <w:sz w:val="18"/>
                <w:szCs w:val="18"/>
                <w:color w:val="auto"/>
              </w:rPr>
              <w:t>Philippines</w:t>
            </w:r>
          </w:p>
        </w:tc>
      </w:tr>
      <w:tr>
        <w:trPr>
          <w:trHeight w:val="269"/>
        </w:trPr>
        <w:tc>
          <w:tcPr>
            <w:tcW w:w="6100" w:type="dxa"/>
            <w:vAlign w:val="bottom"/>
          </w:tcPr>
          <w:p>
            <w:pPr>
              <w:ind w:left="160"/>
              <w:spacing w:after="0"/>
              <w:rPr>
                <w:sz w:val="20"/>
                <w:szCs w:val="20"/>
                <w:color w:val="auto"/>
              </w:rPr>
            </w:pPr>
            <w:r>
              <w:rPr>
                <w:rFonts w:ascii="Arial" w:cs="Arial" w:eastAsia="Arial" w:hAnsi="Arial"/>
                <w:sz w:val="18"/>
                <w:szCs w:val="18"/>
                <w:color w:val="auto"/>
              </w:rPr>
              <w:t>MP Actions Sp. z.o.o.</w:t>
            </w:r>
          </w:p>
        </w:tc>
        <w:tc>
          <w:tcPr>
            <w:tcW w:w="5140" w:type="dxa"/>
            <w:vAlign w:val="bottom"/>
          </w:tcPr>
          <w:p>
            <w:pPr>
              <w:ind w:left="1580"/>
              <w:spacing w:after="0"/>
              <w:rPr>
                <w:sz w:val="20"/>
                <w:szCs w:val="20"/>
                <w:color w:val="auto"/>
              </w:rPr>
            </w:pPr>
            <w:r>
              <w:rPr>
                <w:rFonts w:ascii="Arial" w:cs="Arial" w:eastAsia="Arial" w:hAnsi="Arial"/>
                <w:sz w:val="18"/>
                <w:szCs w:val="18"/>
                <w:color w:val="auto"/>
              </w:rPr>
              <w:t>Poland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HR Hunters Sp.z.o.o.</w:t>
            </w:r>
          </w:p>
        </w:tc>
        <w:tc>
          <w:tcPr>
            <w:tcW w:w="5140" w:type="dxa"/>
            <w:vAlign w:val="bottom"/>
          </w:tcPr>
          <w:p>
            <w:pPr>
              <w:ind w:left="1580"/>
              <w:spacing w:after="0"/>
              <w:rPr>
                <w:sz w:val="20"/>
                <w:szCs w:val="20"/>
                <w:color w:val="auto"/>
              </w:rPr>
            </w:pPr>
            <w:r>
              <w:rPr>
                <w:rFonts w:ascii="Arial" w:cs="Arial" w:eastAsia="Arial" w:hAnsi="Arial"/>
                <w:sz w:val="18"/>
                <w:szCs w:val="18"/>
                <w:color w:val="auto"/>
              </w:rPr>
              <w:t>Poland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Transactions Sp. z o.o.</w:t>
            </w:r>
          </w:p>
        </w:tc>
        <w:tc>
          <w:tcPr>
            <w:tcW w:w="5140" w:type="dxa"/>
            <w:vAlign w:val="bottom"/>
          </w:tcPr>
          <w:p>
            <w:pPr>
              <w:ind w:left="1580"/>
              <w:spacing w:after="0"/>
              <w:rPr>
                <w:sz w:val="20"/>
                <w:szCs w:val="20"/>
                <w:color w:val="auto"/>
              </w:rPr>
            </w:pPr>
            <w:r>
              <w:rPr>
                <w:rFonts w:ascii="Arial" w:cs="Arial" w:eastAsia="Arial" w:hAnsi="Arial"/>
                <w:sz w:val="18"/>
                <w:szCs w:val="18"/>
                <w:color w:val="auto"/>
              </w:rPr>
              <w:t>Poland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Solutions SP. Zo.o.</w:t>
            </w:r>
          </w:p>
        </w:tc>
        <w:tc>
          <w:tcPr>
            <w:tcW w:w="5140" w:type="dxa"/>
            <w:vAlign w:val="bottom"/>
          </w:tcPr>
          <w:p>
            <w:pPr>
              <w:ind w:left="1580"/>
              <w:spacing w:after="0"/>
              <w:rPr>
                <w:sz w:val="20"/>
                <w:szCs w:val="20"/>
                <w:color w:val="auto"/>
              </w:rPr>
            </w:pPr>
            <w:r>
              <w:rPr>
                <w:rFonts w:ascii="Arial" w:cs="Arial" w:eastAsia="Arial" w:hAnsi="Arial"/>
                <w:sz w:val="18"/>
                <w:szCs w:val="18"/>
                <w:color w:val="auto"/>
              </w:rPr>
              <w:t>Poland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Sp. z o.o.</w:t>
            </w:r>
          </w:p>
        </w:tc>
        <w:tc>
          <w:tcPr>
            <w:tcW w:w="5140" w:type="dxa"/>
            <w:vAlign w:val="bottom"/>
          </w:tcPr>
          <w:p>
            <w:pPr>
              <w:ind w:left="1580"/>
              <w:spacing w:after="0"/>
              <w:rPr>
                <w:sz w:val="20"/>
                <w:szCs w:val="20"/>
                <w:color w:val="auto"/>
              </w:rPr>
            </w:pPr>
            <w:r>
              <w:rPr>
                <w:rFonts w:ascii="Arial" w:cs="Arial" w:eastAsia="Arial" w:hAnsi="Arial"/>
                <w:sz w:val="18"/>
                <w:szCs w:val="18"/>
                <w:color w:val="auto"/>
              </w:rPr>
              <w:t>Poland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MP Management Sp.z.o.o.</w:t>
            </w:r>
          </w:p>
        </w:tc>
        <w:tc>
          <w:tcPr>
            <w:tcW w:w="5140" w:type="dxa"/>
            <w:vAlign w:val="bottom"/>
          </w:tcPr>
          <w:p>
            <w:pPr>
              <w:ind w:left="1580"/>
              <w:spacing w:after="0"/>
              <w:rPr>
                <w:sz w:val="20"/>
                <w:szCs w:val="20"/>
                <w:color w:val="auto"/>
              </w:rPr>
            </w:pPr>
            <w:r>
              <w:rPr>
                <w:rFonts w:ascii="Arial" w:cs="Arial" w:eastAsia="Arial" w:hAnsi="Arial"/>
                <w:sz w:val="18"/>
                <w:szCs w:val="18"/>
                <w:color w:val="auto"/>
              </w:rPr>
              <w:t>Poland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MP Services Sp. z o.o.</w:t>
            </w:r>
          </w:p>
        </w:tc>
        <w:tc>
          <w:tcPr>
            <w:tcW w:w="5140" w:type="dxa"/>
            <w:vAlign w:val="bottom"/>
          </w:tcPr>
          <w:p>
            <w:pPr>
              <w:ind w:left="1580"/>
              <w:spacing w:after="0"/>
              <w:rPr>
                <w:sz w:val="20"/>
                <w:szCs w:val="20"/>
                <w:color w:val="auto"/>
              </w:rPr>
            </w:pPr>
            <w:r>
              <w:rPr>
                <w:rFonts w:ascii="Arial" w:cs="Arial" w:eastAsia="Arial" w:hAnsi="Arial"/>
                <w:sz w:val="18"/>
                <w:szCs w:val="18"/>
                <w:color w:val="auto"/>
              </w:rPr>
              <w:t>Poland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Experis Lda.</w:t>
            </w:r>
          </w:p>
        </w:tc>
        <w:tc>
          <w:tcPr>
            <w:tcW w:w="5140" w:type="dxa"/>
            <w:vAlign w:val="bottom"/>
          </w:tcPr>
          <w:p>
            <w:pPr>
              <w:ind w:left="1580"/>
              <w:spacing w:after="0"/>
              <w:rPr>
                <w:sz w:val="20"/>
                <w:szCs w:val="20"/>
                <w:color w:val="auto"/>
              </w:rPr>
            </w:pPr>
            <w:r>
              <w:rPr>
                <w:rFonts w:ascii="Arial" w:cs="Arial" w:eastAsia="Arial" w:hAnsi="Arial"/>
                <w:sz w:val="18"/>
                <w:szCs w:val="18"/>
                <w:color w:val="auto"/>
              </w:rPr>
              <w:t>Portugal</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Portugal Empresa de Trabalho Temporario S.A.</w:t>
            </w:r>
          </w:p>
        </w:tc>
        <w:tc>
          <w:tcPr>
            <w:tcW w:w="5140" w:type="dxa"/>
            <w:vAlign w:val="bottom"/>
          </w:tcPr>
          <w:p>
            <w:pPr>
              <w:ind w:left="1580"/>
              <w:spacing w:after="0"/>
              <w:rPr>
                <w:sz w:val="20"/>
                <w:szCs w:val="20"/>
                <w:color w:val="auto"/>
              </w:rPr>
            </w:pPr>
            <w:r>
              <w:rPr>
                <w:rFonts w:ascii="Arial" w:cs="Arial" w:eastAsia="Arial" w:hAnsi="Arial"/>
                <w:sz w:val="18"/>
                <w:szCs w:val="18"/>
                <w:color w:val="auto"/>
              </w:rPr>
              <w:t>Portugal</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Portugal - SGPS, S.A.</w:t>
            </w:r>
          </w:p>
        </w:tc>
        <w:tc>
          <w:tcPr>
            <w:tcW w:w="5140" w:type="dxa"/>
            <w:vAlign w:val="bottom"/>
          </w:tcPr>
          <w:p>
            <w:pPr>
              <w:ind w:left="1580"/>
              <w:spacing w:after="0"/>
              <w:rPr>
                <w:sz w:val="20"/>
                <w:szCs w:val="20"/>
                <w:color w:val="auto"/>
              </w:rPr>
            </w:pPr>
            <w:r>
              <w:rPr>
                <w:rFonts w:ascii="Arial" w:cs="Arial" w:eastAsia="Arial" w:hAnsi="Arial"/>
                <w:sz w:val="18"/>
                <w:szCs w:val="18"/>
                <w:color w:val="auto"/>
              </w:rPr>
              <w:t>Portugal</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Talent Based Outsourcing, Unipessoal Lda.</w:t>
            </w:r>
          </w:p>
        </w:tc>
        <w:tc>
          <w:tcPr>
            <w:tcW w:w="5140" w:type="dxa"/>
            <w:vAlign w:val="bottom"/>
          </w:tcPr>
          <w:p>
            <w:pPr>
              <w:ind w:left="1580"/>
              <w:spacing w:after="0"/>
              <w:rPr>
                <w:sz w:val="20"/>
                <w:szCs w:val="20"/>
                <w:color w:val="auto"/>
              </w:rPr>
            </w:pPr>
            <w:r>
              <w:rPr>
                <w:rFonts w:ascii="Arial" w:cs="Arial" w:eastAsia="Arial" w:hAnsi="Arial"/>
                <w:sz w:val="18"/>
                <w:szCs w:val="18"/>
                <w:color w:val="auto"/>
              </w:rPr>
              <w:t>Portugal</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HR SRL</w:t>
            </w:r>
          </w:p>
        </w:tc>
        <w:tc>
          <w:tcPr>
            <w:tcW w:w="5140" w:type="dxa"/>
            <w:vAlign w:val="bottom"/>
          </w:tcPr>
          <w:p>
            <w:pPr>
              <w:ind w:left="1580"/>
              <w:spacing w:after="0"/>
              <w:rPr>
                <w:sz w:val="20"/>
                <w:szCs w:val="20"/>
                <w:color w:val="auto"/>
              </w:rPr>
            </w:pPr>
            <w:r>
              <w:rPr>
                <w:rFonts w:ascii="Arial" w:cs="Arial" w:eastAsia="Arial" w:hAnsi="Arial"/>
                <w:sz w:val="18"/>
                <w:szCs w:val="18"/>
                <w:color w:val="auto"/>
              </w:rPr>
              <w:t>Romania</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SC Manpower Romania SRL</w:t>
            </w:r>
          </w:p>
        </w:tc>
        <w:tc>
          <w:tcPr>
            <w:tcW w:w="5140" w:type="dxa"/>
            <w:vAlign w:val="bottom"/>
          </w:tcPr>
          <w:p>
            <w:pPr>
              <w:ind w:left="1580"/>
              <w:spacing w:after="0"/>
              <w:rPr>
                <w:sz w:val="20"/>
                <w:szCs w:val="20"/>
                <w:color w:val="auto"/>
              </w:rPr>
            </w:pPr>
            <w:r>
              <w:rPr>
                <w:rFonts w:ascii="Arial" w:cs="Arial" w:eastAsia="Arial" w:hAnsi="Arial"/>
                <w:sz w:val="18"/>
                <w:szCs w:val="18"/>
                <w:color w:val="auto"/>
              </w:rPr>
              <w:t>Romania</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Clarendon Parker Arabia</w:t>
            </w:r>
          </w:p>
        </w:tc>
        <w:tc>
          <w:tcPr>
            <w:tcW w:w="5140" w:type="dxa"/>
            <w:vAlign w:val="bottom"/>
          </w:tcPr>
          <w:p>
            <w:pPr>
              <w:ind w:left="1580"/>
              <w:spacing w:after="0"/>
              <w:rPr>
                <w:sz w:val="20"/>
                <w:szCs w:val="20"/>
                <w:color w:val="auto"/>
              </w:rPr>
            </w:pPr>
            <w:r>
              <w:rPr>
                <w:rFonts w:ascii="Arial" w:cs="Arial" w:eastAsia="Arial" w:hAnsi="Arial"/>
                <w:sz w:val="18"/>
                <w:szCs w:val="18"/>
                <w:color w:val="auto"/>
              </w:rPr>
              <w:t>Saudi Arabia</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Professional Singapore Pte Ltd</w:t>
            </w:r>
          </w:p>
        </w:tc>
        <w:tc>
          <w:tcPr>
            <w:tcW w:w="5140" w:type="dxa"/>
            <w:vAlign w:val="bottom"/>
          </w:tcPr>
          <w:p>
            <w:pPr>
              <w:ind w:left="1580"/>
              <w:spacing w:after="0"/>
              <w:rPr>
                <w:sz w:val="20"/>
                <w:szCs w:val="20"/>
                <w:color w:val="auto"/>
              </w:rPr>
            </w:pPr>
            <w:r>
              <w:rPr>
                <w:rFonts w:ascii="Arial" w:cs="Arial" w:eastAsia="Arial" w:hAnsi="Arial"/>
                <w:sz w:val="18"/>
                <w:szCs w:val="18"/>
                <w:color w:val="auto"/>
              </w:rPr>
              <w:t>Singapore</w:t>
            </w:r>
          </w:p>
        </w:tc>
      </w:tr>
      <w:tr>
        <w:trPr>
          <w:trHeight w:val="397"/>
        </w:trPr>
        <w:tc>
          <w:tcPr>
            <w:tcW w:w="61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30"/>
        </w:trPr>
        <w:tc>
          <w:tcPr>
            <w:tcW w:w="6100" w:type="dxa"/>
            <w:vAlign w:val="bottom"/>
          </w:tcPr>
          <w:p>
            <w:pPr>
              <w:ind w:left="120"/>
              <w:spacing w:after="0"/>
              <w:rPr>
                <w:sz w:val="20"/>
                <w:szCs w:val="20"/>
                <w:color w:val="auto"/>
              </w:rPr>
            </w:pPr>
            <w:r>
              <w:rPr>
                <w:rFonts w:ascii="Arial" w:cs="Arial" w:eastAsia="Arial" w:hAnsi="Arial"/>
                <w:sz w:val="18"/>
                <w:szCs w:val="18"/>
                <w:color w:val="auto"/>
              </w:rPr>
              <w:t>Manpower Staffing Services (Singapore) Pte. Ltd.</w:t>
            </w:r>
          </w:p>
        </w:tc>
        <w:tc>
          <w:tcPr>
            <w:tcW w:w="5140" w:type="dxa"/>
            <w:vAlign w:val="bottom"/>
          </w:tcPr>
          <w:p>
            <w:pPr>
              <w:ind w:left="1580"/>
              <w:spacing w:after="0"/>
              <w:rPr>
                <w:sz w:val="20"/>
                <w:szCs w:val="20"/>
                <w:color w:val="auto"/>
              </w:rPr>
            </w:pPr>
            <w:r>
              <w:rPr>
                <w:rFonts w:ascii="Arial" w:cs="Arial" w:eastAsia="Arial" w:hAnsi="Arial"/>
                <w:sz w:val="18"/>
                <w:szCs w:val="18"/>
                <w:color w:val="auto"/>
              </w:rPr>
              <w:t>Singapore</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Singapore Private Limited</w:t>
            </w:r>
          </w:p>
        </w:tc>
        <w:tc>
          <w:tcPr>
            <w:tcW w:w="5140" w:type="dxa"/>
            <w:vAlign w:val="bottom"/>
          </w:tcPr>
          <w:p>
            <w:pPr>
              <w:ind w:left="1580"/>
              <w:spacing w:after="0"/>
              <w:rPr>
                <w:sz w:val="20"/>
                <w:szCs w:val="20"/>
                <w:color w:val="auto"/>
              </w:rPr>
            </w:pPr>
            <w:r>
              <w:rPr>
                <w:rFonts w:ascii="Arial" w:cs="Arial" w:eastAsia="Arial" w:hAnsi="Arial"/>
                <w:sz w:val="18"/>
                <w:szCs w:val="18"/>
                <w:color w:val="auto"/>
              </w:rPr>
              <w:t>Singapore</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Right Management Singapore Pte. Ltd.</w:t>
            </w:r>
          </w:p>
        </w:tc>
        <w:tc>
          <w:tcPr>
            <w:tcW w:w="5140" w:type="dxa"/>
            <w:vAlign w:val="bottom"/>
          </w:tcPr>
          <w:p>
            <w:pPr>
              <w:ind w:left="1580"/>
              <w:spacing w:after="0"/>
              <w:rPr>
                <w:sz w:val="20"/>
                <w:szCs w:val="20"/>
                <w:color w:val="auto"/>
              </w:rPr>
            </w:pPr>
            <w:r>
              <w:rPr>
                <w:rFonts w:ascii="Arial" w:cs="Arial" w:eastAsia="Arial" w:hAnsi="Arial"/>
                <w:sz w:val="18"/>
                <w:szCs w:val="18"/>
                <w:color w:val="auto"/>
              </w:rPr>
              <w:t>Singapore</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Slovensko s.r.o.</w:t>
            </w:r>
          </w:p>
        </w:tc>
        <w:tc>
          <w:tcPr>
            <w:tcW w:w="5140" w:type="dxa"/>
            <w:vAlign w:val="bottom"/>
          </w:tcPr>
          <w:p>
            <w:pPr>
              <w:ind w:left="1580"/>
              <w:spacing w:after="0"/>
              <w:rPr>
                <w:sz w:val="20"/>
                <w:szCs w:val="20"/>
                <w:color w:val="auto"/>
              </w:rPr>
            </w:pPr>
            <w:r>
              <w:rPr>
                <w:rFonts w:ascii="Arial" w:cs="Arial" w:eastAsia="Arial" w:hAnsi="Arial"/>
                <w:sz w:val="18"/>
                <w:szCs w:val="18"/>
                <w:color w:val="auto"/>
              </w:rPr>
              <w:t>Slovakia</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Solutions s.r.o.</w:t>
            </w:r>
          </w:p>
        </w:tc>
        <w:tc>
          <w:tcPr>
            <w:tcW w:w="5140" w:type="dxa"/>
            <w:vAlign w:val="bottom"/>
          </w:tcPr>
          <w:p>
            <w:pPr>
              <w:ind w:left="1580"/>
              <w:spacing w:after="0"/>
              <w:rPr>
                <w:sz w:val="20"/>
                <w:szCs w:val="20"/>
                <w:color w:val="auto"/>
              </w:rPr>
            </w:pPr>
            <w:r>
              <w:rPr>
                <w:rFonts w:ascii="Arial" w:cs="Arial" w:eastAsia="Arial" w:hAnsi="Arial"/>
                <w:sz w:val="18"/>
                <w:szCs w:val="18"/>
                <w:color w:val="auto"/>
              </w:rPr>
              <w:t>Slovakia</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SA (Pty) Ltd.</w:t>
            </w:r>
          </w:p>
        </w:tc>
        <w:tc>
          <w:tcPr>
            <w:tcW w:w="5140" w:type="dxa"/>
            <w:vAlign w:val="bottom"/>
          </w:tcPr>
          <w:p>
            <w:pPr>
              <w:ind w:left="1580"/>
              <w:spacing w:after="0"/>
              <w:rPr>
                <w:sz w:val="20"/>
                <w:szCs w:val="20"/>
                <w:color w:val="auto"/>
              </w:rPr>
            </w:pPr>
            <w:r>
              <w:rPr>
                <w:rFonts w:ascii="Arial" w:cs="Arial" w:eastAsia="Arial" w:hAnsi="Arial"/>
                <w:sz w:val="18"/>
                <w:szCs w:val="18"/>
                <w:color w:val="auto"/>
              </w:rPr>
              <w:t>South Africa</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Experis ManpowerGroup S.L.U.</w:t>
            </w:r>
          </w:p>
        </w:tc>
        <w:tc>
          <w:tcPr>
            <w:tcW w:w="5140" w:type="dxa"/>
            <w:vAlign w:val="bottom"/>
          </w:tcPr>
          <w:p>
            <w:pPr>
              <w:ind w:left="1580"/>
              <w:spacing w:after="0"/>
              <w:rPr>
                <w:sz w:val="20"/>
                <w:szCs w:val="20"/>
                <w:color w:val="auto"/>
              </w:rPr>
            </w:pPr>
            <w:r>
              <w:rPr>
                <w:rFonts w:ascii="Arial" w:cs="Arial" w:eastAsia="Arial" w:hAnsi="Arial"/>
                <w:sz w:val="18"/>
                <w:szCs w:val="18"/>
                <w:color w:val="auto"/>
              </w:rPr>
              <w:t>Spain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Team E.T.T., S.A.U.</w:t>
            </w:r>
          </w:p>
        </w:tc>
        <w:tc>
          <w:tcPr>
            <w:tcW w:w="5140" w:type="dxa"/>
            <w:vAlign w:val="bottom"/>
          </w:tcPr>
          <w:p>
            <w:pPr>
              <w:ind w:left="1580"/>
              <w:spacing w:after="0"/>
              <w:rPr>
                <w:sz w:val="20"/>
                <w:szCs w:val="20"/>
                <w:color w:val="auto"/>
              </w:rPr>
            </w:pPr>
            <w:r>
              <w:rPr>
                <w:rFonts w:ascii="Arial" w:cs="Arial" w:eastAsia="Arial" w:hAnsi="Arial"/>
                <w:sz w:val="18"/>
                <w:szCs w:val="18"/>
                <w:color w:val="auto"/>
              </w:rPr>
              <w:t>Spain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Innovative Talent Solutions S.L.U.</w:t>
            </w:r>
          </w:p>
        </w:tc>
        <w:tc>
          <w:tcPr>
            <w:tcW w:w="5140" w:type="dxa"/>
            <w:vAlign w:val="bottom"/>
          </w:tcPr>
          <w:p>
            <w:pPr>
              <w:ind w:left="1580"/>
              <w:spacing w:after="0"/>
              <w:rPr>
                <w:sz w:val="20"/>
                <w:szCs w:val="20"/>
                <w:color w:val="auto"/>
              </w:rPr>
            </w:pPr>
            <w:r>
              <w:rPr>
                <w:rFonts w:ascii="Arial" w:cs="Arial" w:eastAsia="Arial" w:hAnsi="Arial"/>
                <w:sz w:val="18"/>
                <w:szCs w:val="18"/>
                <w:color w:val="auto"/>
              </w:rPr>
              <w:t>Spain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Solutions, S.L.U.</w:t>
            </w:r>
          </w:p>
        </w:tc>
        <w:tc>
          <w:tcPr>
            <w:tcW w:w="5140" w:type="dxa"/>
            <w:vAlign w:val="bottom"/>
          </w:tcPr>
          <w:p>
            <w:pPr>
              <w:ind w:left="1580"/>
              <w:spacing w:after="0"/>
              <w:rPr>
                <w:sz w:val="20"/>
                <w:szCs w:val="20"/>
                <w:color w:val="auto"/>
              </w:rPr>
            </w:pPr>
            <w:r>
              <w:rPr>
                <w:rFonts w:ascii="Arial" w:cs="Arial" w:eastAsia="Arial" w:hAnsi="Arial"/>
                <w:sz w:val="18"/>
                <w:szCs w:val="18"/>
                <w:color w:val="auto"/>
              </w:rPr>
              <w:t>Spain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Right Management Spain, S.L.U.</w:t>
            </w:r>
          </w:p>
        </w:tc>
        <w:tc>
          <w:tcPr>
            <w:tcW w:w="5140" w:type="dxa"/>
            <w:vAlign w:val="bottom"/>
          </w:tcPr>
          <w:p>
            <w:pPr>
              <w:ind w:left="1580"/>
              <w:spacing w:after="0"/>
              <w:rPr>
                <w:sz w:val="20"/>
                <w:szCs w:val="20"/>
                <w:color w:val="auto"/>
              </w:rPr>
            </w:pPr>
            <w:r>
              <w:rPr>
                <w:rFonts w:ascii="Arial" w:cs="Arial" w:eastAsia="Arial" w:hAnsi="Arial"/>
                <w:sz w:val="18"/>
                <w:szCs w:val="18"/>
                <w:color w:val="auto"/>
              </w:rPr>
              <w:t>Spain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Elan IT Resource AB</w:t>
            </w:r>
          </w:p>
        </w:tc>
        <w:tc>
          <w:tcPr>
            <w:tcW w:w="514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Experis AB</w:t>
            </w:r>
          </w:p>
        </w:tc>
        <w:tc>
          <w:tcPr>
            <w:tcW w:w="514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&amp; Jefferson Wells AB</w:t>
            </w:r>
          </w:p>
        </w:tc>
        <w:tc>
          <w:tcPr>
            <w:tcW w:w="514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AB</w:t>
            </w:r>
          </w:p>
        </w:tc>
        <w:tc>
          <w:tcPr>
            <w:tcW w:w="514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EL &amp; Tele AB</w:t>
            </w:r>
          </w:p>
        </w:tc>
        <w:tc>
          <w:tcPr>
            <w:tcW w:w="514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Matchning AB</w:t>
            </w:r>
          </w:p>
        </w:tc>
        <w:tc>
          <w:tcPr>
            <w:tcW w:w="514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Student AB</w:t>
            </w:r>
          </w:p>
        </w:tc>
        <w:tc>
          <w:tcPr>
            <w:tcW w:w="514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AB</w:t>
            </w:r>
          </w:p>
        </w:tc>
        <w:tc>
          <w:tcPr>
            <w:tcW w:w="514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Solutions AB</w:t>
            </w:r>
          </w:p>
        </w:tc>
        <w:tc>
          <w:tcPr>
            <w:tcW w:w="514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Solutions IT AB</w:t>
            </w:r>
          </w:p>
        </w:tc>
        <w:tc>
          <w:tcPr>
            <w:tcW w:w="514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Right Management Sweden AB</w:t>
            </w:r>
          </w:p>
        </w:tc>
        <w:tc>
          <w:tcPr>
            <w:tcW w:w="514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Experis AG</w:t>
            </w:r>
          </w:p>
        </w:tc>
        <w:tc>
          <w:tcPr>
            <w:tcW w:w="5140" w:type="dxa"/>
            <w:vAlign w:val="bottom"/>
          </w:tcPr>
          <w:p>
            <w:pPr>
              <w:ind w:left="1580"/>
              <w:spacing w:after="0"/>
              <w:rPr>
                <w:sz w:val="20"/>
                <w:szCs w:val="20"/>
                <w:color w:val="auto"/>
              </w:rPr>
            </w:pPr>
            <w:r>
              <w:rPr>
                <w:rFonts w:ascii="Arial" w:cs="Arial" w:eastAsia="Arial" w:hAnsi="Arial"/>
                <w:sz w:val="18"/>
                <w:szCs w:val="18"/>
                <w:color w:val="auto"/>
              </w:rPr>
              <w:t>Switzerland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Experis Schweiz AG</w:t>
            </w:r>
          </w:p>
        </w:tc>
        <w:tc>
          <w:tcPr>
            <w:tcW w:w="5140" w:type="dxa"/>
            <w:vAlign w:val="bottom"/>
          </w:tcPr>
          <w:p>
            <w:pPr>
              <w:ind w:left="1580"/>
              <w:spacing w:after="0"/>
              <w:rPr>
                <w:sz w:val="20"/>
                <w:szCs w:val="20"/>
                <w:color w:val="auto"/>
              </w:rPr>
            </w:pPr>
            <w:r>
              <w:rPr>
                <w:rFonts w:ascii="Arial" w:cs="Arial" w:eastAsia="Arial" w:hAnsi="Arial"/>
                <w:sz w:val="18"/>
                <w:szCs w:val="18"/>
                <w:color w:val="auto"/>
              </w:rPr>
              <w:t>Switzerland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M.S.A.</w:t>
            </w:r>
          </w:p>
        </w:tc>
        <w:tc>
          <w:tcPr>
            <w:tcW w:w="5140" w:type="dxa"/>
            <w:vAlign w:val="bottom"/>
          </w:tcPr>
          <w:p>
            <w:pPr>
              <w:ind w:left="1580"/>
              <w:spacing w:after="0"/>
              <w:rPr>
                <w:sz w:val="20"/>
                <w:szCs w:val="20"/>
                <w:color w:val="auto"/>
              </w:rPr>
            </w:pPr>
            <w:r>
              <w:rPr>
                <w:rFonts w:ascii="Arial" w:cs="Arial" w:eastAsia="Arial" w:hAnsi="Arial"/>
                <w:sz w:val="18"/>
                <w:szCs w:val="18"/>
                <w:color w:val="auto"/>
              </w:rPr>
              <w:t>Switzerland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AG</w:t>
            </w:r>
          </w:p>
        </w:tc>
        <w:tc>
          <w:tcPr>
            <w:tcW w:w="5140" w:type="dxa"/>
            <w:vAlign w:val="bottom"/>
          </w:tcPr>
          <w:p>
            <w:pPr>
              <w:ind w:left="1580"/>
              <w:spacing w:after="0"/>
              <w:rPr>
                <w:sz w:val="20"/>
                <w:szCs w:val="20"/>
                <w:color w:val="auto"/>
              </w:rPr>
            </w:pPr>
            <w:r>
              <w:rPr>
                <w:rFonts w:ascii="Arial" w:cs="Arial" w:eastAsia="Arial" w:hAnsi="Arial"/>
                <w:sz w:val="18"/>
                <w:szCs w:val="18"/>
                <w:color w:val="auto"/>
              </w:rPr>
              <w:t>Switzerland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ManpowerGroup SA</w:t>
            </w:r>
          </w:p>
        </w:tc>
        <w:tc>
          <w:tcPr>
            <w:tcW w:w="5140" w:type="dxa"/>
            <w:vAlign w:val="bottom"/>
          </w:tcPr>
          <w:p>
            <w:pPr>
              <w:ind w:left="1580"/>
              <w:spacing w:after="0"/>
              <w:rPr>
                <w:sz w:val="20"/>
                <w:szCs w:val="20"/>
                <w:color w:val="auto"/>
              </w:rPr>
            </w:pPr>
            <w:r>
              <w:rPr>
                <w:rFonts w:ascii="Arial" w:cs="Arial" w:eastAsia="Arial" w:hAnsi="Arial"/>
                <w:sz w:val="18"/>
                <w:szCs w:val="18"/>
                <w:color w:val="auto"/>
              </w:rPr>
              <w:t>Switzerland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Talent Solutions ManpowerGroup AG</w:t>
            </w:r>
          </w:p>
        </w:tc>
        <w:tc>
          <w:tcPr>
            <w:tcW w:w="5140" w:type="dxa"/>
            <w:vAlign w:val="bottom"/>
          </w:tcPr>
          <w:p>
            <w:pPr>
              <w:ind w:left="1580"/>
              <w:spacing w:after="0"/>
              <w:rPr>
                <w:sz w:val="20"/>
                <w:szCs w:val="20"/>
                <w:color w:val="auto"/>
              </w:rPr>
            </w:pPr>
            <w:r>
              <w:rPr>
                <w:rFonts w:ascii="Arial" w:cs="Arial" w:eastAsia="Arial" w:hAnsi="Arial"/>
                <w:sz w:val="18"/>
                <w:szCs w:val="18"/>
                <w:color w:val="auto"/>
              </w:rPr>
              <w:t>Switzerland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Services (Taiwan) Co., Ltd.</w:t>
            </w:r>
          </w:p>
        </w:tc>
        <w:tc>
          <w:tcPr>
            <w:tcW w:w="5140" w:type="dxa"/>
            <w:vAlign w:val="bottom"/>
          </w:tcPr>
          <w:p>
            <w:pPr>
              <w:ind w:left="1580"/>
              <w:spacing w:after="0"/>
              <w:rPr>
                <w:sz w:val="20"/>
                <w:szCs w:val="20"/>
                <w:color w:val="auto"/>
              </w:rPr>
            </w:pPr>
            <w:r>
              <w:rPr>
                <w:rFonts w:ascii="Arial" w:cs="Arial" w:eastAsia="Arial" w:hAnsi="Arial"/>
                <w:sz w:val="18"/>
                <w:szCs w:val="18"/>
                <w:color w:val="auto"/>
              </w:rPr>
              <w:t>Taiwan</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HR Power Solution Co., Ltd.</w:t>
            </w:r>
          </w:p>
        </w:tc>
        <w:tc>
          <w:tcPr>
            <w:tcW w:w="5140" w:type="dxa"/>
            <w:vAlign w:val="bottom"/>
          </w:tcPr>
          <w:p>
            <w:pPr>
              <w:ind w:left="1580"/>
              <w:spacing w:after="0"/>
              <w:rPr>
                <w:sz w:val="20"/>
                <w:szCs w:val="20"/>
                <w:color w:val="auto"/>
              </w:rPr>
            </w:pPr>
            <w:r>
              <w:rPr>
                <w:rFonts w:ascii="Arial" w:cs="Arial" w:eastAsia="Arial" w:hAnsi="Arial"/>
                <w:sz w:val="18"/>
                <w:szCs w:val="18"/>
                <w:color w:val="auto"/>
              </w:rPr>
              <w:t>Thailand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Borderless Talent Solution Limited</w:t>
            </w:r>
          </w:p>
        </w:tc>
        <w:tc>
          <w:tcPr>
            <w:tcW w:w="5140" w:type="dxa"/>
            <w:vAlign w:val="bottom"/>
          </w:tcPr>
          <w:p>
            <w:pPr>
              <w:ind w:left="1580"/>
              <w:spacing w:after="0"/>
              <w:rPr>
                <w:sz w:val="20"/>
                <w:szCs w:val="20"/>
                <w:color w:val="auto"/>
              </w:rPr>
            </w:pPr>
            <w:r>
              <w:rPr>
                <w:rFonts w:ascii="Arial" w:cs="Arial" w:eastAsia="Arial" w:hAnsi="Arial"/>
                <w:sz w:val="18"/>
                <w:szCs w:val="18"/>
                <w:color w:val="auto"/>
              </w:rPr>
              <w:t>Thailand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Professional and Executive Recruitment Co., Ltd.</w:t>
            </w:r>
          </w:p>
        </w:tc>
        <w:tc>
          <w:tcPr>
            <w:tcW w:w="5140" w:type="dxa"/>
            <w:vAlign w:val="bottom"/>
          </w:tcPr>
          <w:p>
            <w:pPr>
              <w:ind w:left="1580"/>
              <w:spacing w:after="0"/>
              <w:rPr>
                <w:sz w:val="20"/>
                <w:szCs w:val="20"/>
                <w:color w:val="auto"/>
              </w:rPr>
            </w:pPr>
            <w:r>
              <w:rPr>
                <w:rFonts w:ascii="Arial" w:cs="Arial" w:eastAsia="Arial" w:hAnsi="Arial"/>
                <w:sz w:val="18"/>
                <w:szCs w:val="18"/>
                <w:color w:val="auto"/>
              </w:rPr>
              <w:t>Thailand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Skillpower Services (Thailand) Co. Ltd.</w:t>
            </w:r>
          </w:p>
        </w:tc>
        <w:tc>
          <w:tcPr>
            <w:tcW w:w="5140" w:type="dxa"/>
            <w:vAlign w:val="bottom"/>
          </w:tcPr>
          <w:p>
            <w:pPr>
              <w:ind w:left="1580"/>
              <w:spacing w:after="0"/>
              <w:rPr>
                <w:sz w:val="20"/>
                <w:szCs w:val="20"/>
                <w:color w:val="auto"/>
              </w:rPr>
            </w:pPr>
            <w:r>
              <w:rPr>
                <w:rFonts w:ascii="Arial" w:cs="Arial" w:eastAsia="Arial" w:hAnsi="Arial"/>
                <w:sz w:val="18"/>
                <w:szCs w:val="18"/>
                <w:color w:val="auto"/>
              </w:rPr>
              <w:t>Thailand</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Insan Kaynaklari Limited Sirketi</w:t>
            </w:r>
          </w:p>
        </w:tc>
        <w:tc>
          <w:tcPr>
            <w:tcW w:w="5140" w:type="dxa"/>
            <w:vAlign w:val="bottom"/>
          </w:tcPr>
          <w:p>
            <w:pPr>
              <w:ind w:left="1580"/>
              <w:spacing w:after="0"/>
              <w:rPr>
                <w:sz w:val="20"/>
                <w:szCs w:val="20"/>
                <w:color w:val="auto"/>
              </w:rPr>
            </w:pPr>
            <w:r>
              <w:rPr>
                <w:rFonts w:ascii="Arial" w:cs="Arial" w:eastAsia="Arial" w:hAnsi="Arial"/>
                <w:sz w:val="18"/>
                <w:szCs w:val="18"/>
                <w:color w:val="auto"/>
              </w:rPr>
              <w:t>Turkey</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Secme ve Yerlestirme Hizmetleri Limited Sirketi</w:t>
            </w:r>
          </w:p>
        </w:tc>
        <w:tc>
          <w:tcPr>
            <w:tcW w:w="5140" w:type="dxa"/>
            <w:vAlign w:val="bottom"/>
          </w:tcPr>
          <w:p>
            <w:pPr>
              <w:ind w:left="1580"/>
              <w:spacing w:after="0"/>
              <w:rPr>
                <w:sz w:val="20"/>
                <w:szCs w:val="20"/>
                <w:color w:val="auto"/>
              </w:rPr>
            </w:pPr>
            <w:r>
              <w:rPr>
                <w:rFonts w:ascii="Arial" w:cs="Arial" w:eastAsia="Arial" w:hAnsi="Arial"/>
                <w:sz w:val="18"/>
                <w:szCs w:val="18"/>
                <w:color w:val="auto"/>
              </w:rPr>
              <w:t>Turkey</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Timberhorn IT Solutions, LLC</w:t>
            </w:r>
          </w:p>
        </w:tc>
        <w:tc>
          <w:tcPr>
            <w:tcW w:w="5140" w:type="dxa"/>
            <w:vAlign w:val="bottom"/>
          </w:tcPr>
          <w:p>
            <w:pPr>
              <w:ind w:left="1580"/>
              <w:spacing w:after="0"/>
              <w:rPr>
                <w:sz w:val="20"/>
                <w:szCs w:val="20"/>
                <w:color w:val="auto"/>
              </w:rPr>
            </w:pPr>
            <w:r>
              <w:rPr>
                <w:rFonts w:ascii="Arial" w:cs="Arial" w:eastAsia="Arial" w:hAnsi="Arial"/>
                <w:sz w:val="18"/>
                <w:szCs w:val="18"/>
                <w:color w:val="auto"/>
              </w:rPr>
              <w:t>TX</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Timberhorn, LLC</w:t>
            </w:r>
          </w:p>
        </w:tc>
        <w:tc>
          <w:tcPr>
            <w:tcW w:w="5140" w:type="dxa"/>
            <w:vAlign w:val="bottom"/>
          </w:tcPr>
          <w:p>
            <w:pPr>
              <w:ind w:left="1580"/>
              <w:spacing w:after="0"/>
              <w:rPr>
                <w:sz w:val="20"/>
                <w:szCs w:val="20"/>
                <w:color w:val="auto"/>
              </w:rPr>
            </w:pPr>
            <w:r>
              <w:rPr>
                <w:rFonts w:ascii="Arial" w:cs="Arial" w:eastAsia="Arial" w:hAnsi="Arial"/>
                <w:sz w:val="18"/>
                <w:szCs w:val="18"/>
                <w:color w:val="auto"/>
              </w:rPr>
              <w:t>TX</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Middle East FZ-LLC</w:t>
            </w:r>
          </w:p>
        </w:tc>
        <w:tc>
          <w:tcPr>
            <w:tcW w:w="5140" w:type="dxa"/>
            <w:vAlign w:val="bottom"/>
          </w:tcPr>
          <w:p>
            <w:pPr>
              <w:ind w:left="1580"/>
              <w:spacing w:after="0"/>
              <w:rPr>
                <w:sz w:val="20"/>
                <w:szCs w:val="20"/>
                <w:color w:val="auto"/>
              </w:rPr>
            </w:pPr>
            <w:r>
              <w:rPr>
                <w:rFonts w:ascii="Arial" w:cs="Arial" w:eastAsia="Arial" w:hAnsi="Arial"/>
                <w:sz w:val="18"/>
                <w:szCs w:val="18"/>
                <w:color w:val="auto"/>
              </w:rPr>
              <w:t>UAE</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Manpower, Middle East Ltd</w:t>
            </w:r>
          </w:p>
        </w:tc>
        <w:tc>
          <w:tcPr>
            <w:tcW w:w="5140" w:type="dxa"/>
            <w:vAlign w:val="bottom"/>
          </w:tcPr>
          <w:p>
            <w:pPr>
              <w:ind w:left="1580"/>
              <w:spacing w:after="0"/>
              <w:rPr>
                <w:sz w:val="20"/>
                <w:szCs w:val="20"/>
                <w:color w:val="auto"/>
              </w:rPr>
            </w:pPr>
            <w:r>
              <w:rPr>
                <w:rFonts w:ascii="Arial" w:cs="Arial" w:eastAsia="Arial" w:hAnsi="Arial"/>
                <w:sz w:val="18"/>
                <w:szCs w:val="18"/>
                <w:color w:val="auto"/>
              </w:rPr>
              <w:t>UAE</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777 Recruitment Limited</w:t>
            </w:r>
          </w:p>
        </w:tc>
        <w:tc>
          <w:tcPr>
            <w:tcW w:w="514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AviationPower UK Ltd.</w:t>
            </w:r>
          </w:p>
        </w:tc>
        <w:tc>
          <w:tcPr>
            <w:tcW w:w="514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Bafin Holdings</w:t>
            </w:r>
          </w:p>
        </w:tc>
        <w:tc>
          <w:tcPr>
            <w:tcW w:w="514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269"/>
        </w:trPr>
        <w:tc>
          <w:tcPr>
            <w:tcW w:w="6100" w:type="dxa"/>
            <w:vAlign w:val="bottom"/>
          </w:tcPr>
          <w:p>
            <w:pPr>
              <w:ind w:left="120"/>
              <w:spacing w:after="0"/>
              <w:rPr>
                <w:sz w:val="20"/>
                <w:szCs w:val="20"/>
                <w:color w:val="auto"/>
              </w:rPr>
            </w:pPr>
            <w:r>
              <w:rPr>
                <w:rFonts w:ascii="Arial" w:cs="Arial" w:eastAsia="Arial" w:hAnsi="Arial"/>
                <w:sz w:val="18"/>
                <w:szCs w:val="18"/>
                <w:color w:val="auto"/>
              </w:rPr>
              <w:t>Brook Street (UK) Limited</w:t>
            </w:r>
          </w:p>
        </w:tc>
        <w:tc>
          <w:tcPr>
            <w:tcW w:w="514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397"/>
        </w:trPr>
        <w:tc>
          <w:tcPr>
            <w:tcW w:w="61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Brook Street Bureau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BS Project Services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Comsys VMS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Experis Finance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Experis Group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Experis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Experis Resource Support Services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Jefferson Wells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Juice Resource Solutions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 Holdings (UK)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 IT Services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 Nominees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 Services Ltd.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 UK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ManpowerGroup (Scot) LP</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ManpowerGroup Digital Holdings Ltd.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ManpowerGroup Scotland LLP</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ManpowerGroup UK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Nicholas Andrews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People Source Consulting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People Source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Right Management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RMC EMEA Ltd.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SJB Corporate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SJB Services UK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The Empower Group Ltd.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Volaris Exec Recruitment Limited</w:t>
            </w:r>
          </w:p>
        </w:tc>
        <w:tc>
          <w:tcPr>
            <w:tcW w:w="5640" w:type="dxa"/>
            <w:vAlign w:val="bottom"/>
          </w:tcPr>
          <w:p>
            <w:pPr>
              <w:ind w:left="2080"/>
              <w:spacing w:after="0"/>
              <w:rPr>
                <w:sz w:val="20"/>
                <w:szCs w:val="20"/>
                <w:color w:val="auto"/>
              </w:rPr>
            </w:pPr>
            <w:r>
              <w:rPr>
                <w:rFonts w:ascii="Arial" w:cs="Arial" w:eastAsia="Arial" w:hAnsi="Arial"/>
                <w:sz w:val="18"/>
                <w:szCs w:val="18"/>
                <w:color w:val="auto"/>
              </w:rPr>
              <w:t>United Kingdom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Aris Sociedad Anonima</w:t>
            </w:r>
          </w:p>
        </w:tc>
        <w:tc>
          <w:tcPr>
            <w:tcW w:w="5640" w:type="dxa"/>
            <w:vAlign w:val="bottom"/>
          </w:tcPr>
          <w:p>
            <w:pPr>
              <w:ind w:left="2080"/>
              <w:spacing w:after="0"/>
              <w:rPr>
                <w:sz w:val="20"/>
                <w:szCs w:val="20"/>
                <w:color w:val="auto"/>
              </w:rPr>
            </w:pPr>
            <w:r>
              <w:rPr>
                <w:rFonts w:ascii="Arial" w:cs="Arial" w:eastAsia="Arial" w:hAnsi="Arial"/>
                <w:sz w:val="18"/>
                <w:szCs w:val="18"/>
                <w:color w:val="auto"/>
              </w:rPr>
              <w:t>Uruguay</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ManpowerGroup Public Sector Inc.</w:t>
            </w:r>
          </w:p>
        </w:tc>
        <w:tc>
          <w:tcPr>
            <w:tcW w:w="5640" w:type="dxa"/>
            <w:vAlign w:val="bottom"/>
          </w:tcPr>
          <w:p>
            <w:pPr>
              <w:ind w:left="2080"/>
              <w:spacing w:after="0"/>
              <w:rPr>
                <w:sz w:val="20"/>
                <w:szCs w:val="20"/>
                <w:color w:val="auto"/>
              </w:rPr>
            </w:pPr>
            <w:r>
              <w:rPr>
                <w:rFonts w:ascii="Arial" w:cs="Arial" w:eastAsia="Arial" w:hAnsi="Arial"/>
                <w:sz w:val="18"/>
                <w:szCs w:val="18"/>
                <w:color w:val="auto"/>
              </w:rPr>
              <w:t>VA</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 de Venezuela C.A.</w:t>
            </w:r>
          </w:p>
        </w:tc>
        <w:tc>
          <w:tcPr>
            <w:tcW w:w="5640" w:type="dxa"/>
            <w:vAlign w:val="bottom"/>
          </w:tcPr>
          <w:p>
            <w:pPr>
              <w:ind w:left="2080"/>
              <w:spacing w:after="0"/>
              <w:rPr>
                <w:sz w:val="20"/>
                <w:szCs w:val="20"/>
                <w:color w:val="auto"/>
              </w:rPr>
            </w:pPr>
            <w:r>
              <w:rPr>
                <w:rFonts w:ascii="Arial" w:cs="Arial" w:eastAsia="Arial" w:hAnsi="Arial"/>
                <w:sz w:val="18"/>
                <w:szCs w:val="18"/>
                <w:color w:val="auto"/>
              </w:rPr>
              <w:t>Venezuela</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 Empresa de Trabajo Temporal, C.A.</w:t>
            </w:r>
          </w:p>
        </w:tc>
        <w:tc>
          <w:tcPr>
            <w:tcW w:w="5640" w:type="dxa"/>
            <w:vAlign w:val="bottom"/>
          </w:tcPr>
          <w:p>
            <w:pPr>
              <w:ind w:left="2080"/>
              <w:spacing w:after="0"/>
              <w:rPr>
                <w:sz w:val="20"/>
                <w:szCs w:val="20"/>
                <w:color w:val="auto"/>
              </w:rPr>
            </w:pPr>
            <w:r>
              <w:rPr>
                <w:rFonts w:ascii="Arial" w:cs="Arial" w:eastAsia="Arial" w:hAnsi="Arial"/>
                <w:sz w:val="18"/>
                <w:szCs w:val="18"/>
                <w:color w:val="auto"/>
              </w:rPr>
              <w:t>Venezuela</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Servicios Alleray, C.A.</w:t>
            </w:r>
          </w:p>
        </w:tc>
        <w:tc>
          <w:tcPr>
            <w:tcW w:w="5640" w:type="dxa"/>
            <w:vAlign w:val="bottom"/>
          </w:tcPr>
          <w:p>
            <w:pPr>
              <w:ind w:left="2080"/>
              <w:spacing w:after="0"/>
              <w:rPr>
                <w:sz w:val="20"/>
                <w:szCs w:val="20"/>
                <w:color w:val="auto"/>
              </w:rPr>
            </w:pPr>
            <w:r>
              <w:rPr>
                <w:rFonts w:ascii="Arial" w:cs="Arial" w:eastAsia="Arial" w:hAnsi="Arial"/>
                <w:sz w:val="18"/>
                <w:szCs w:val="18"/>
                <w:color w:val="auto"/>
              </w:rPr>
              <w:t>Venezuela</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 Vietnam Company Ltd.</w:t>
            </w:r>
          </w:p>
        </w:tc>
        <w:tc>
          <w:tcPr>
            <w:tcW w:w="5640" w:type="dxa"/>
            <w:vAlign w:val="bottom"/>
          </w:tcPr>
          <w:p>
            <w:pPr>
              <w:ind w:left="2080"/>
              <w:spacing w:after="0"/>
              <w:rPr>
                <w:sz w:val="20"/>
                <w:szCs w:val="20"/>
                <w:color w:val="auto"/>
              </w:rPr>
            </w:pPr>
            <w:r>
              <w:rPr>
                <w:rFonts w:ascii="Arial" w:cs="Arial" w:eastAsia="Arial" w:hAnsi="Arial"/>
                <w:sz w:val="18"/>
                <w:szCs w:val="18"/>
                <w:color w:val="auto"/>
              </w:rPr>
              <w:t>Vietnam</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Experis US LLC</w:t>
            </w:r>
          </w:p>
        </w:tc>
        <w:tc>
          <w:tcPr>
            <w:tcW w:w="5640" w:type="dxa"/>
            <w:vAlign w:val="bottom"/>
          </w:tcPr>
          <w:p>
            <w:pPr>
              <w:ind w:left="2080"/>
              <w:spacing w:after="0"/>
              <w:rPr>
                <w:sz w:val="20"/>
                <w:szCs w:val="20"/>
                <w:color w:val="auto"/>
              </w:rPr>
            </w:pPr>
            <w:r>
              <w:rPr>
                <w:rFonts w:ascii="Arial" w:cs="Arial" w:eastAsia="Arial" w:hAnsi="Arial"/>
                <w:sz w:val="18"/>
                <w:szCs w:val="18"/>
                <w:color w:val="auto"/>
              </w:rPr>
              <w:t>WI</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 Nominees Inc.</w:t>
            </w:r>
          </w:p>
        </w:tc>
        <w:tc>
          <w:tcPr>
            <w:tcW w:w="5640" w:type="dxa"/>
            <w:vAlign w:val="bottom"/>
          </w:tcPr>
          <w:p>
            <w:pPr>
              <w:ind w:left="2080"/>
              <w:spacing w:after="0"/>
              <w:rPr>
                <w:sz w:val="20"/>
                <w:szCs w:val="20"/>
                <w:color w:val="auto"/>
              </w:rPr>
            </w:pPr>
            <w:r>
              <w:rPr>
                <w:rFonts w:ascii="Arial" w:cs="Arial" w:eastAsia="Arial" w:hAnsi="Arial"/>
                <w:sz w:val="18"/>
                <w:szCs w:val="18"/>
                <w:color w:val="auto"/>
              </w:rPr>
              <w:t>WI</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ManpowerGroup Global Inc.</w:t>
            </w:r>
          </w:p>
        </w:tc>
        <w:tc>
          <w:tcPr>
            <w:tcW w:w="5640" w:type="dxa"/>
            <w:vAlign w:val="bottom"/>
          </w:tcPr>
          <w:p>
            <w:pPr>
              <w:ind w:left="2080"/>
              <w:spacing w:after="0"/>
              <w:rPr>
                <w:sz w:val="20"/>
                <w:szCs w:val="20"/>
                <w:color w:val="auto"/>
              </w:rPr>
            </w:pPr>
            <w:r>
              <w:rPr>
                <w:rFonts w:ascii="Arial" w:cs="Arial" w:eastAsia="Arial" w:hAnsi="Arial"/>
                <w:sz w:val="18"/>
                <w:szCs w:val="18"/>
                <w:color w:val="auto"/>
              </w:rPr>
              <w:t>WI</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ManpowerGroup Mexico Holdings LLC</w:t>
            </w:r>
          </w:p>
        </w:tc>
        <w:tc>
          <w:tcPr>
            <w:tcW w:w="5640" w:type="dxa"/>
            <w:vAlign w:val="bottom"/>
          </w:tcPr>
          <w:p>
            <w:pPr>
              <w:ind w:left="2080"/>
              <w:spacing w:after="0"/>
              <w:rPr>
                <w:sz w:val="20"/>
                <w:szCs w:val="20"/>
                <w:color w:val="auto"/>
              </w:rPr>
            </w:pPr>
            <w:r>
              <w:rPr>
                <w:rFonts w:ascii="Arial" w:cs="Arial" w:eastAsia="Arial" w:hAnsi="Arial"/>
                <w:sz w:val="18"/>
                <w:szCs w:val="18"/>
                <w:color w:val="auto"/>
              </w:rPr>
              <w:t>WI</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ManpowerGroup US Inc.</w:t>
            </w:r>
          </w:p>
        </w:tc>
        <w:tc>
          <w:tcPr>
            <w:tcW w:w="5640" w:type="dxa"/>
            <w:vAlign w:val="bottom"/>
          </w:tcPr>
          <w:p>
            <w:pPr>
              <w:ind w:left="2080"/>
              <w:spacing w:after="0"/>
              <w:rPr>
                <w:sz w:val="20"/>
                <w:szCs w:val="20"/>
                <w:color w:val="auto"/>
              </w:rPr>
            </w:pPr>
            <w:r>
              <w:rPr>
                <w:rFonts w:ascii="Arial" w:cs="Arial" w:eastAsia="Arial" w:hAnsi="Arial"/>
                <w:sz w:val="18"/>
                <w:szCs w:val="18"/>
                <w:color w:val="auto"/>
              </w:rPr>
              <w:t>WI</w:t>
            </w:r>
          </w:p>
        </w:tc>
      </w:tr>
      <w:tr>
        <w:trPr>
          <w:trHeight w:val="269"/>
        </w:trPr>
        <w:tc>
          <w:tcPr>
            <w:tcW w:w="5600" w:type="dxa"/>
            <w:vAlign w:val="bottom"/>
          </w:tcPr>
          <w:p>
            <w:pPr>
              <w:ind w:left="120"/>
              <w:spacing w:after="0"/>
              <w:rPr>
                <w:sz w:val="20"/>
                <w:szCs w:val="20"/>
                <w:color w:val="auto"/>
              </w:rPr>
            </w:pPr>
            <w:r>
              <w:rPr>
                <w:rFonts w:ascii="Arial" w:cs="Arial" w:eastAsia="Arial" w:hAnsi="Arial"/>
                <w:sz w:val="18"/>
                <w:szCs w:val="18"/>
                <w:color w:val="auto"/>
              </w:rPr>
              <w:t>Signature Graphics of Milwaukee, LLC</w:t>
            </w:r>
          </w:p>
        </w:tc>
        <w:tc>
          <w:tcPr>
            <w:tcW w:w="5640" w:type="dxa"/>
            <w:vAlign w:val="bottom"/>
          </w:tcPr>
          <w:p>
            <w:pPr>
              <w:ind w:left="2080"/>
              <w:spacing w:after="0"/>
              <w:rPr>
                <w:sz w:val="20"/>
                <w:szCs w:val="20"/>
                <w:color w:val="auto"/>
              </w:rPr>
            </w:pPr>
            <w:r>
              <w:rPr>
                <w:rFonts w:ascii="Arial" w:cs="Arial" w:eastAsia="Arial" w:hAnsi="Arial"/>
                <w:sz w:val="18"/>
                <w:szCs w:val="18"/>
                <w:color w:val="auto"/>
              </w:rPr>
              <w:t>WI</w:t>
            </w:r>
          </w:p>
        </w:tc>
      </w:tr>
      <w:tr>
        <w:trPr>
          <w:trHeight w:val="1043"/>
        </w:trPr>
        <w:tc>
          <w:tcPr>
            <w:tcW w:w="560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23.1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Nos. 33-40441, 333-1040, 333-105205, 333-126703, 333-135000, 333-161765, 333-174305, 333-195833, and 333-238801 on Form S-8 and Registration Nos. 333-650 and 33-95896 on Form S-4 of our reports dated February 17, 2023, relating to the consolidated financial statements and consolidated financial statement schedule of ManpowerGroup Inc. and subsidiaries (the “Company”), and the effectiveness of the Company’s internal control over financial reporting, appearing in this Annual Report on Form 10-K of ManpowerGroup Inc. for the year ended December 31,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83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FOR ANNUAL REPORT ON FORM 10-K</w:t>
      </w:r>
    </w:p>
    <w:p>
      <w:pPr>
        <w:spacing w:after="0" w:line="200" w:lineRule="exact"/>
        <w:rPr>
          <w:sz w:val="20"/>
          <w:szCs w:val="20"/>
          <w:color w:val="auto"/>
        </w:rPr>
      </w:pPr>
    </w:p>
    <w:p>
      <w:pPr>
        <w:spacing w:after="0" w:line="220" w:lineRule="exact"/>
        <w:rPr>
          <w:sz w:val="20"/>
          <w:szCs w:val="20"/>
          <w:color w:val="auto"/>
        </w:rPr>
      </w:pPr>
    </w:p>
    <w:p>
      <w:pPr>
        <w:ind w:right="60" w:firstLine="749"/>
        <w:spacing w:after="0" w:line="235" w:lineRule="auto"/>
        <w:rPr>
          <w:sz w:val="20"/>
          <w:szCs w:val="20"/>
          <w:color w:val="auto"/>
        </w:rPr>
      </w:pPr>
      <w:r>
        <w:rPr>
          <w:rFonts w:ascii="Arial" w:cs="Arial" w:eastAsia="Arial" w:hAnsi="Arial"/>
          <w:sz w:val="18"/>
          <w:szCs w:val="18"/>
          <w:color w:val="auto"/>
        </w:rPr>
        <w:t>Each of the undersigned directors of ManpowerGroup Inc. (the “Company”) hereby constitutes and appoints Jonas Prising, John T. McGinnis and Richard Buchband,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2022,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396" w:lineRule="exact"/>
        <w:rPr>
          <w:sz w:val="20"/>
          <w:szCs w:val="20"/>
          <w:color w:val="auto"/>
        </w:rPr>
      </w:pPr>
    </w:p>
    <w:p>
      <w:pPr>
        <w:ind w:right="180" w:firstLine="749"/>
        <w:spacing w:after="0" w:line="262" w:lineRule="auto"/>
        <w:rPr>
          <w:sz w:val="20"/>
          <w:szCs w:val="20"/>
          <w:color w:val="auto"/>
        </w:rPr>
      </w:pPr>
      <w:r>
        <w:rPr>
          <w:rFonts w:ascii="Arial" w:cs="Arial" w:eastAsia="Arial" w:hAnsi="Arial"/>
          <w:sz w:val="18"/>
          <w:szCs w:val="18"/>
          <w:color w:val="auto"/>
        </w:rPr>
        <w:t>IN WITNESS WHEREOF, the undersigned have each executed this Power of Attorney for Annual Report on Form 10-K, on one or more counterparts, as of the 25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January, 2023.</w:t>
      </w:r>
    </w:p>
    <w:p>
      <w:pPr>
        <w:sectPr>
          <w:pgSz w:w="11900" w:h="16838" w:orient="portrait"/>
          <w:cols w:equalWidth="0" w:num="1">
            <w:col w:w="11240"/>
          </w:cols>
          <w:pgMar w:left="320" w:top="332"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Jean-Philippe Courtois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31115</wp:posOffset>
            </wp:positionV>
            <wp:extent cx="187071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1870710" cy="17145"/>
                    </a:xfrm>
                    <a:prstGeom prst="rect">
                      <a:avLst/>
                    </a:prstGeom>
                    <a:noFill/>
                  </pic:spPr>
                </pic:pic>
              </a:graphicData>
            </a:graphic>
          </wp:anchor>
        </w:drawing>
      </w:r>
    </w:p>
    <w:p>
      <w:pPr>
        <w:spacing w:after="0" w:line="9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Jean-Philippe Courtois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31115</wp:posOffset>
            </wp:positionV>
            <wp:extent cx="187071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1870710" cy="17145"/>
                    </a:xfrm>
                    <a:prstGeom prst="rect">
                      <a:avLst/>
                    </a:prstGeom>
                    <a:noFill/>
                  </pic:spPr>
                </pic:pic>
              </a:graphicData>
            </a:graphic>
          </wp:anchor>
        </w:drawing>
      </w:r>
    </w:p>
    <w:p>
      <w:pPr>
        <w:spacing w:after="0" w:line="190"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William Downe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31115</wp:posOffset>
            </wp:positionV>
            <wp:extent cx="187071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1870710" cy="17145"/>
                    </a:xfrm>
                    <a:prstGeom prst="rect">
                      <a:avLst/>
                    </a:prstGeom>
                    <a:noFill/>
                  </pic:spPr>
                </pic:pic>
              </a:graphicData>
            </a:graphic>
          </wp:anchor>
        </w:drawing>
      </w:r>
    </w:p>
    <w:p>
      <w:pPr>
        <w:spacing w:after="0" w:line="9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John F. Ferraro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William P. Gipson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31115</wp:posOffset>
            </wp:positionV>
            <wp:extent cx="187071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1870710" cy="17145"/>
                    </a:xfrm>
                    <a:prstGeom prst="rect">
                      <a:avLst/>
                    </a:prstGeom>
                    <a:noFill/>
                  </pic:spPr>
                </pic:pic>
              </a:graphicData>
            </a:graphic>
          </wp:anchor>
        </w:drawing>
      </w:r>
    </w:p>
    <w:p>
      <w:pPr>
        <w:spacing w:after="0" w:line="9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William P. Gipson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/s/ Patricia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38735</wp:posOffset>
            </wp:positionV>
            <wp:extent cx="187071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1870710" cy="17145"/>
                    </a:xfrm>
                    <a:prstGeom prst="rect">
                      <a:avLst/>
                    </a:prstGeom>
                    <a:noFill/>
                  </pic:spPr>
                </pic:pic>
              </a:graphicData>
            </a:graphic>
          </wp:anchor>
        </w:drawing>
      </w:r>
    </w:p>
    <w:p>
      <w:pPr>
        <w:spacing w:after="0" w:line="10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Patricia Hemingway Hall</w:t>
      </w:r>
    </w:p>
    <w:p>
      <w:pPr>
        <w:spacing w:after="0" w:line="38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31115</wp:posOffset>
            </wp:positionV>
            <wp:extent cx="187071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spacing w:after="0" w:line="8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Julie M. Howard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177673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1776730" cy="1714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Ulice Payne, Jr.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Muriel Pénicaud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177673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1776730" cy="1714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Muriel Pénicaud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177673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1776730" cy="1714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177673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1776730" cy="1714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Paul Read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177673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1776730" cy="1714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Elizabeth P. Sartain</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177673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177673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Micael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548640</wp:posOffset>
            </wp:positionV>
            <wp:extent cx="71583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6060" w:space="720"/>
            <w:col w:w="4460"/>
          </w:cols>
          <w:pgMar w:left="320" w:top="332" w:right="339" w:bottom="1440"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Chairman and Chief Executive Officer of ManpowerGroup Inc., certify that:</w:t>
      </w:r>
    </w:p>
    <w:p>
      <w:pPr>
        <w:spacing w:after="0" w:line="116" w:lineRule="exact"/>
        <w:rPr>
          <w:sz w:val="20"/>
          <w:szCs w:val="20"/>
          <w:color w:val="auto"/>
        </w:rPr>
      </w:pPr>
    </w:p>
    <w:p>
      <w:pPr>
        <w:ind w:left="780" w:hanging="368"/>
        <w:spacing w:after="0"/>
        <w:tabs>
          <w:tab w:leader="none" w:pos="7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ManpowerGroup Inc.;</w:t>
      </w:r>
    </w:p>
    <w:p>
      <w:pPr>
        <w:spacing w:after="0" w:line="115" w:lineRule="exact"/>
        <w:rPr>
          <w:rFonts w:ascii="Arial" w:cs="Arial" w:eastAsia="Arial" w:hAnsi="Arial"/>
          <w:sz w:val="18"/>
          <w:szCs w:val="18"/>
          <w:color w:val="auto"/>
        </w:rPr>
      </w:pPr>
    </w:p>
    <w:p>
      <w:pPr>
        <w:jc w:val="both"/>
        <w:ind w:left="780" w:right="20" w:hanging="368"/>
        <w:spacing w:after="0" w:line="262" w:lineRule="auto"/>
        <w:tabs>
          <w:tab w:leader="none" w:pos="7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80" w:right="260" w:hanging="368"/>
        <w:spacing w:after="0" w:line="306" w:lineRule="auto"/>
        <w:tabs>
          <w:tab w:leader="none" w:pos="7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780" w:right="20" w:hanging="368"/>
        <w:spacing w:after="0" w:line="262" w:lineRule="auto"/>
        <w:tabs>
          <w:tab w:leader="none" w:pos="7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2040" w:right="20" w:hanging="415"/>
        <w:spacing w:after="0" w:line="285" w:lineRule="auto"/>
        <w:tabs>
          <w:tab w:leader="none" w:pos="204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2040" w:right="160" w:hanging="415"/>
        <w:spacing w:after="0" w:line="285" w:lineRule="auto"/>
        <w:tabs>
          <w:tab w:leader="none" w:pos="204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ind w:left="2040" w:right="240" w:hanging="415"/>
        <w:spacing w:after="0" w:line="262" w:lineRule="auto"/>
        <w:tabs>
          <w:tab w:leader="none" w:pos="20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040" w:right="260" w:hanging="415"/>
        <w:spacing w:after="0" w:line="310" w:lineRule="auto"/>
        <w:tabs>
          <w:tab w:leader="none" w:pos="204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780" w:right="180" w:hanging="368"/>
        <w:spacing w:after="0" w:line="340" w:lineRule="auto"/>
        <w:tabs>
          <w:tab w:leader="none" w:pos="7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2040" w:right="440" w:hanging="415"/>
        <w:spacing w:after="0" w:line="262" w:lineRule="auto"/>
        <w:tabs>
          <w:tab w:leader="none" w:pos="208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040" w:right="40" w:hanging="415"/>
        <w:spacing w:after="0" w:line="275" w:lineRule="auto"/>
        <w:tabs>
          <w:tab w:leader="none" w:pos="20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17, 2023</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5706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4">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Jonas Prising</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583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18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116" w:lineRule="exact"/>
        <w:rPr>
          <w:sz w:val="20"/>
          <w:szCs w:val="20"/>
          <w:color w:val="auto"/>
        </w:rPr>
      </w:pPr>
    </w:p>
    <w:p>
      <w:pPr>
        <w:ind w:left="780" w:hanging="368"/>
        <w:spacing w:after="0"/>
        <w:tabs>
          <w:tab w:leader="none" w:pos="7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ManpowerGroup Inc.;</w:t>
      </w:r>
    </w:p>
    <w:p>
      <w:pPr>
        <w:spacing w:after="0" w:line="115" w:lineRule="exact"/>
        <w:rPr>
          <w:rFonts w:ascii="Arial" w:cs="Arial" w:eastAsia="Arial" w:hAnsi="Arial"/>
          <w:sz w:val="18"/>
          <w:szCs w:val="18"/>
          <w:color w:val="auto"/>
        </w:rPr>
      </w:pPr>
    </w:p>
    <w:p>
      <w:pPr>
        <w:jc w:val="both"/>
        <w:ind w:left="780" w:right="20" w:hanging="368"/>
        <w:spacing w:after="0" w:line="262" w:lineRule="auto"/>
        <w:tabs>
          <w:tab w:leader="none" w:pos="7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80" w:right="260" w:hanging="368"/>
        <w:spacing w:after="0" w:line="306" w:lineRule="auto"/>
        <w:tabs>
          <w:tab w:leader="none" w:pos="7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780" w:right="20" w:hanging="368"/>
        <w:spacing w:after="0" w:line="262" w:lineRule="auto"/>
        <w:tabs>
          <w:tab w:leader="none" w:pos="7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2040" w:right="20" w:hanging="415"/>
        <w:spacing w:after="0" w:line="285" w:lineRule="auto"/>
        <w:tabs>
          <w:tab w:leader="none" w:pos="204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2040" w:right="160" w:hanging="415"/>
        <w:spacing w:after="0" w:line="285" w:lineRule="auto"/>
        <w:tabs>
          <w:tab w:leader="none" w:pos="204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ind w:left="2040" w:right="240" w:hanging="415"/>
        <w:spacing w:after="0" w:line="262" w:lineRule="auto"/>
        <w:tabs>
          <w:tab w:leader="none" w:pos="20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040" w:right="260" w:hanging="415"/>
        <w:spacing w:after="0" w:line="310" w:lineRule="auto"/>
        <w:tabs>
          <w:tab w:leader="none" w:pos="204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780" w:right="180" w:hanging="368"/>
        <w:spacing w:after="0" w:line="340" w:lineRule="auto"/>
        <w:tabs>
          <w:tab w:leader="none" w:pos="7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2040" w:right="20" w:hanging="415"/>
        <w:spacing w:after="0" w:line="262" w:lineRule="auto"/>
        <w:tabs>
          <w:tab w:leader="none" w:pos="20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040" w:right="40" w:hanging="415"/>
        <w:spacing w:after="0" w:line="275" w:lineRule="auto"/>
        <w:tabs>
          <w:tab w:leader="none" w:pos="20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17, 2023</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57060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6">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T. McGinnis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583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31" w:lineRule="exact"/>
        <w:rPr>
          <w:sz w:val="20"/>
          <w:szCs w:val="20"/>
          <w:color w:val="auto"/>
        </w:rPr>
      </w:pPr>
    </w:p>
    <w:p>
      <w:pPr>
        <w:ind w:left="640" w:right="480" w:hanging="378"/>
        <w:spacing w:after="0" w:line="275" w:lineRule="auto"/>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2022 fully complies with the requirements of Section 13(a) or 15(d), as applicable, of the Securities Exchange Act of 1934, and</w:t>
      </w:r>
    </w:p>
    <w:p>
      <w:pPr>
        <w:spacing w:after="0" w:line="131" w:lineRule="exact"/>
        <w:rPr>
          <w:rFonts w:ascii="Arial" w:cs="Arial" w:eastAsia="Arial" w:hAnsi="Arial"/>
          <w:sz w:val="18"/>
          <w:szCs w:val="18"/>
          <w:color w:val="auto"/>
        </w:rPr>
      </w:pPr>
    </w:p>
    <w:p>
      <w:pPr>
        <w:ind w:left="640" w:hanging="378"/>
        <w:spacing w:after="0"/>
        <w:tabs>
          <w:tab w:leader="none" w:pos="6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9" w:lineRule="exact"/>
        <w:rPr>
          <w:rFonts w:ascii="Arial" w:cs="Arial" w:eastAsia="Arial" w:hAnsi="Arial"/>
          <w:sz w:val="16"/>
          <w:szCs w:val="16"/>
          <w:color w:val="auto"/>
        </w:rPr>
      </w:pPr>
    </w:p>
    <w:p>
      <w:pPr>
        <w:ind w:left="20" w:right="9160"/>
        <w:spacing w:after="0" w:line="594" w:lineRule="auto"/>
        <w:rPr>
          <w:rFonts w:ascii="Arial" w:cs="Arial" w:eastAsia="Arial" w:hAnsi="Arial"/>
          <w:sz w:val="16"/>
          <w:szCs w:val="16"/>
          <w:color w:val="auto"/>
        </w:rPr>
      </w:pPr>
      <w:r>
        <w:rPr>
          <w:rFonts w:ascii="Arial" w:cs="Arial" w:eastAsia="Arial" w:hAnsi="Arial"/>
          <w:sz w:val="17"/>
          <w:szCs w:val="17"/>
          <w:color w:val="auto"/>
        </w:rPr>
        <w:t>MANPOWERGROUP INC. Dated: February 17, 2023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5623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8">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Jonas Prising</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83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31" w:lineRule="exact"/>
        <w:rPr>
          <w:sz w:val="20"/>
          <w:szCs w:val="20"/>
          <w:color w:val="auto"/>
        </w:rPr>
      </w:pPr>
    </w:p>
    <w:p>
      <w:pPr>
        <w:ind w:left="640" w:right="480" w:hanging="378"/>
        <w:spacing w:after="0" w:line="275" w:lineRule="auto"/>
        <w:tabs>
          <w:tab w:leader="none" w:pos="6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2022 fully complies with the requirements of Section 13(a) or 15(d), as applicable, of the Securities Exchange Act of 1934, and</w:t>
      </w:r>
    </w:p>
    <w:p>
      <w:pPr>
        <w:spacing w:after="0" w:line="131" w:lineRule="exact"/>
        <w:rPr>
          <w:rFonts w:ascii="Arial" w:cs="Arial" w:eastAsia="Arial" w:hAnsi="Arial"/>
          <w:sz w:val="18"/>
          <w:szCs w:val="18"/>
          <w:color w:val="auto"/>
        </w:rPr>
      </w:pPr>
    </w:p>
    <w:p>
      <w:pPr>
        <w:ind w:left="640" w:hanging="378"/>
        <w:spacing w:after="0"/>
        <w:tabs>
          <w:tab w:leader="none" w:pos="6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9" w:lineRule="exact"/>
        <w:rPr>
          <w:rFonts w:ascii="Arial" w:cs="Arial" w:eastAsia="Arial" w:hAnsi="Arial"/>
          <w:sz w:val="16"/>
          <w:szCs w:val="16"/>
          <w:color w:val="auto"/>
        </w:rPr>
      </w:pPr>
    </w:p>
    <w:p>
      <w:pPr>
        <w:ind w:left="20" w:right="9160"/>
        <w:spacing w:after="0" w:line="594" w:lineRule="auto"/>
        <w:rPr>
          <w:rFonts w:ascii="Arial" w:cs="Arial" w:eastAsia="Arial" w:hAnsi="Arial"/>
          <w:sz w:val="16"/>
          <w:szCs w:val="16"/>
          <w:color w:val="auto"/>
        </w:rPr>
      </w:pPr>
      <w:r>
        <w:rPr>
          <w:rFonts w:ascii="Arial" w:cs="Arial" w:eastAsia="Arial" w:hAnsi="Arial"/>
          <w:sz w:val="17"/>
          <w:szCs w:val="17"/>
          <w:color w:val="auto"/>
        </w:rPr>
        <w:t>MANPOWERGROUP INC. Dated: February 17, 2023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56235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0">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T. McGinnis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83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85" w:name="page186"/>
    <w:bookmarkEnd w:id="1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1)"/>
      <w:numFmt w:val="lowerLetter"/>
      <w:start w:val="1"/>
    </w:lvl>
  </w:abstractNum>
  <w:abstractNum w:abstractNumId="20">
    <w:nsid w:val="4A2AC315"/>
    <w:multiLevelType w:val="hybridMultilevel"/>
    <w:lvl w:ilvl="0">
      <w:lvlJc w:val="left"/>
      <w:lvlText w:val="(%1)"/>
      <w:numFmt w:val="decimal"/>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1)"/>
      <w:numFmt w:val="decimal"/>
      <w:start w:val="1"/>
    </w:lvl>
  </w:abstractNum>
  <w:abstractNum w:abstractNumId="28">
    <w:nsid w:val="49DA307D"/>
    <w:multiLevelType w:val="hybridMultilevel"/>
    <w:lvl w:ilvl="0">
      <w:lvlJc w:val="left"/>
      <w:lvlText w:val="(%1)"/>
      <w:numFmt w:val="decimal"/>
      <w:start w:val="1"/>
    </w:lvl>
  </w:abstractNum>
  <w:abstractNum w:abstractNumId="29">
    <w:nsid w:val="7055A5F5"/>
    <w:multiLevelType w:val="hybridMultilevel"/>
    <w:lvl w:ilvl="0">
      <w:lvlJc w:val="left"/>
      <w:lvlText w:val="(%1)"/>
      <w:numFmt w:val="decimal"/>
      <w:start w:val="1"/>
    </w:lvl>
  </w:abstractNum>
  <w:abstractNum w:abstractNumId="30">
    <w:nsid w:val="5FB8370B"/>
    <w:multiLevelType w:val="hybridMultilevel"/>
    <w:lvl w:ilvl="0">
      <w:lvlJc w:val="left"/>
      <w:lvlText w:val="(%1)"/>
      <w:numFmt w:val="decimal"/>
      <w:start w:val="2"/>
    </w:lvl>
  </w:abstractNum>
  <w:abstractNum w:abstractNumId="31">
    <w:nsid w:val="50801EE1"/>
    <w:multiLevelType w:val="hybridMultilevel"/>
    <w:lvl w:ilvl="0">
      <w:lvlJc w:val="left"/>
      <w:lvlText w:val="•"/>
      <w:numFmt w:val="bullet"/>
      <w:start w:val="1"/>
    </w:lvl>
    <w:lvl w:ilvl="1">
      <w:lvlJc w:val="left"/>
      <w:lvlText w:val="•"/>
      <w:numFmt w:val="bullet"/>
      <w:start w:val="1"/>
    </w:lvl>
  </w:abstractNum>
  <w:abstractNum w:abstractNumId="32">
    <w:nsid w:val="488AC1A"/>
    <w:multiLevelType w:val="hybridMultilevel"/>
    <w:lvl w:ilvl="0">
      <w:lvlJc w:val="left"/>
      <w:lvlText w:val="(%1)"/>
      <w:numFmt w:val="decimal"/>
      <w:start w:val="3"/>
    </w:lvl>
  </w:abstractNum>
  <w:abstractNum w:abstractNumId="33">
    <w:nsid w:val="5FB8011C"/>
    <w:multiLevelType w:val="hybridMultilevel"/>
    <w:lvl w:ilvl="0">
      <w:lvlJc w:val="left"/>
      <w:lvlText w:val="(%1)"/>
      <w:numFmt w:val="decimal"/>
      <w:start w:val="1"/>
    </w:lvl>
  </w:abstractNum>
  <w:abstractNum w:abstractNumId="34">
    <w:nsid w:val="6AA78F7F"/>
    <w:multiLevelType w:val="hybridMultilevel"/>
    <w:lvl w:ilvl="0">
      <w:lvlJc w:val="left"/>
      <w:lvlText w:val="(%1)"/>
      <w:numFmt w:val="decimal"/>
      <w:start w:val="4"/>
    </w:lvl>
  </w:abstractNum>
  <w:abstractNum w:abstractNumId="35">
    <w:nsid w:val="7672BD23"/>
    <w:multiLevelType w:val="hybridMultilevel"/>
    <w:lvl w:ilvl="0">
      <w:lvlJc w:val="left"/>
      <w:lvlText w:val="(%1)"/>
      <w:numFmt w:val="decimal"/>
      <w:start w:val="1"/>
    </w:lvl>
  </w:abstractNum>
  <w:abstractNum w:abstractNumId="36">
    <w:nsid w:val="6FC75AF8"/>
    <w:multiLevelType w:val="hybridMultilevel"/>
    <w:lvl w:ilvl="0">
      <w:lvlJc w:val="left"/>
      <w:lvlText w:val="(%1)"/>
      <w:numFmt w:val="decimal"/>
      <w:start w:val="6"/>
    </w:lvl>
  </w:abstractNum>
  <w:abstractNum w:abstractNumId="37">
    <w:nsid w:val="6A5F7029"/>
    <w:multiLevelType w:val="hybridMultilevel"/>
    <w:lvl w:ilvl="0">
      <w:lvlJc w:val="left"/>
      <w:lvlText w:val="(%1)"/>
      <w:numFmt w:val="decimal"/>
      <w:start w:val="1"/>
    </w:lvl>
  </w:abstractNum>
  <w:abstractNum w:abstractNumId="38">
    <w:nsid w:val="7D5E18F8"/>
    <w:multiLevelType w:val="hybridMultilevel"/>
    <w:lvl w:ilvl="0">
      <w:lvlJc w:val="left"/>
      <w:lvlText w:val="(%1)"/>
      <w:numFmt w:val="decimal"/>
      <w:start w:val="9"/>
    </w:lvl>
  </w:abstractNum>
  <w:abstractNum w:abstractNumId="39">
    <w:nsid w:val="5F3534A4"/>
    <w:multiLevelType w:val="hybridMultilevel"/>
    <w:lvl w:ilvl="0">
      <w:lvlJc w:val="left"/>
      <w:lvlText w:val="(%1)"/>
      <w:numFmt w:val="decimal"/>
      <w:start w:val="12"/>
    </w:lvl>
  </w:abstractNum>
  <w:abstractNum w:abstractNumId="40">
    <w:nsid w:val="73A1821B"/>
    <w:multiLevelType w:val="hybridMultilevel"/>
    <w:lvl w:ilvl="0">
      <w:lvlJc w:val="left"/>
      <w:lvlText w:val="(%1)"/>
      <w:numFmt w:val="decimal"/>
      <w:start w:val="13"/>
    </w:lvl>
  </w:abstractNum>
  <w:abstractNum w:abstractNumId="41">
    <w:nsid w:val="7DE67713"/>
    <w:multiLevelType w:val="hybridMultilevel"/>
    <w:lvl w:ilvl="0">
      <w:lvlJc w:val="left"/>
      <w:lvlText w:val="(%1)"/>
      <w:numFmt w:val="decimal"/>
      <w:start w:val="1"/>
    </w:lvl>
  </w:abstractNum>
  <w:abstractNum w:abstractNumId="42">
    <w:nsid w:val="555C55B5"/>
    <w:multiLevelType w:val="hybridMultilevel"/>
    <w:lvl w:ilvl="0">
      <w:lvlJc w:val="left"/>
      <w:lvlText w:val="(%1)"/>
      <w:numFmt w:val="decimal"/>
      <w:start w:val="1"/>
    </w:lvl>
  </w:abstractNum>
  <w:abstractNum w:abstractNumId="43">
    <w:nsid w:val="3FA62ACA"/>
    <w:multiLevelType w:val="hybridMultilevel"/>
    <w:lvl w:ilvl="0">
      <w:lvlJc w:val="left"/>
      <w:lvlText w:val="(%1)"/>
      <w:numFmt w:val="decimal"/>
      <w:start w:val="14"/>
    </w:lvl>
  </w:abstractNum>
  <w:abstractNum w:abstractNumId="44">
    <w:nsid w:val="14FCE74E"/>
    <w:multiLevelType w:val="hybridMultilevel"/>
    <w:lvl w:ilvl="0">
      <w:lvlJc w:val="left"/>
      <w:lvlText w:val="(%1)"/>
      <w:numFmt w:val="lowerLetter"/>
      <w:start w:val="1"/>
    </w:lvl>
  </w:abstractNum>
  <w:abstractNum w:abstractNumId="45">
    <w:nsid w:val="6A3DD3E8"/>
    <w:multiLevelType w:val="hybridMultilevel"/>
    <w:lvl w:ilvl="0">
      <w:lvlJc w:val="left"/>
      <w:lvlText w:val="(%1)"/>
      <w:numFmt w:val="lowerLetter"/>
      <w:start w:val="1"/>
    </w:lvl>
  </w:abstractNum>
  <w:abstractNum w:abstractNumId="46">
    <w:nsid w:val="71C91298"/>
    <w:multiLevelType w:val="hybridMultilevel"/>
    <w:lvl w:ilvl="0">
      <w:lvlJc w:val="left"/>
      <w:lvlText w:val="(%1)"/>
      <w:numFmt w:val="lowerLetter"/>
      <w:start w:val="1"/>
    </w:lvl>
  </w:abstractNum>
  <w:abstractNum w:abstractNumId="47">
    <w:nsid w:val="9DAF632"/>
    <w:multiLevelType w:val="hybridMultilevel"/>
    <w:lvl w:ilvl="0">
      <w:lvlJc w:val="left"/>
      <w:lvlText w:val="(%1)"/>
      <w:numFmt w:val="decimal"/>
      <w:start w:val="1"/>
    </w:lvl>
  </w:abstractNum>
  <w:abstractNum w:abstractNumId="48">
    <w:nsid w:val="53299938"/>
    <w:multiLevelType w:val="hybridMultilevel"/>
    <w:lvl w:ilvl="0">
      <w:lvlJc w:val="left"/>
      <w:lvlText w:val="%1"/>
      <w:numFmt w:val="decimal"/>
      <w:start w:val="21"/>
    </w:lvl>
  </w:abstractNum>
  <w:abstractNum w:abstractNumId="49">
    <w:nsid w:val="1FBFE8E0"/>
    <w:multiLevelType w:val="hybridMultilevel"/>
    <w:lvl w:ilvl="0">
      <w:lvlJc w:val="left"/>
      <w:lvlText w:val="%1"/>
      <w:numFmt w:val="decimal"/>
      <w:start w:val="24"/>
    </w:lvl>
  </w:abstractNum>
  <w:abstractNum w:abstractNumId="50">
    <w:nsid w:val="5092CA79"/>
    <w:multiLevelType w:val="hybridMultilevel"/>
    <w:lvl w:ilvl="0">
      <w:lvlJc w:val="left"/>
      <w:lvlText w:val="%1"/>
      <w:numFmt w:val="decimal"/>
      <w:start w:val="104"/>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1."/>
      <w:numFmt w:val="decimal"/>
      <w:start w:val="1"/>
    </w:lvl>
    <w:lvl w:ilvl="1">
      <w:lvlJc w:val="left"/>
      <w:lvlText w:val="%2."/>
      <w:numFmt w:val="lowerLetter"/>
      <w:start w:val="1"/>
    </w:lvl>
  </w:abstractNum>
  <w:abstractNum w:abstractNumId="53">
    <w:nsid w:val="288F1A34"/>
    <w:multiLevelType w:val="hybridMultilevel"/>
    <w:lvl w:ilvl="0">
      <w:lvlJc w:val="left"/>
      <w:lvlText w:val="%1."/>
      <w:numFmt w:val="lowerLetter"/>
      <w:start w:val="3"/>
    </w:lvl>
    <w:lvl w:ilvl="1">
      <w:lvlJc w:val="left"/>
      <w:lvlText w:val="%2."/>
      <w:numFmt w:val="lowerRoman"/>
      <w:start w:val="1"/>
    </w:lvl>
  </w:abstractNum>
  <w:abstractNum w:abstractNumId="54">
    <w:nsid w:val="2A155DBC"/>
    <w:multiLevelType w:val="hybridMultilevel"/>
    <w:lvl w:ilvl="0">
      <w:lvlJc w:val="left"/>
      <w:lvlText w:val="%1."/>
      <w:numFmt w:val="lowerRoman"/>
      <w:start w:val="5"/>
    </w:lvl>
  </w:abstractNum>
  <w:abstractNum w:abstractNumId="55">
    <w:nsid w:val="1D9F6E5F"/>
    <w:multiLevelType w:val="hybridMultilevel"/>
    <w:lvl w:ilvl="0">
      <w:lvlJc w:val="left"/>
      <w:lvlText w:val="%1"/>
      <w:numFmt w:val="lowerRoman"/>
      <w:start w:val="1"/>
    </w:lvl>
    <w:lvl w:ilvl="1">
      <w:lvlJc w:val="left"/>
      <w:lvlText w:val="%2."/>
      <w:numFmt w:val="lowerLetter"/>
      <w:start w:val="4"/>
    </w:lvl>
  </w:abstractNum>
  <w:abstractNum w:abstractNumId="56">
    <w:nsid w:val="97E1B4E"/>
    <w:multiLevelType w:val="hybridMultilevel"/>
    <w:lvl w:ilvl="0">
      <w:lvlJc w:val="left"/>
      <w:lvlText w:val="(%1)"/>
      <w:numFmt w:val="lowerRoman"/>
      <w:start w:val="1"/>
    </w:lvl>
    <w:lvl w:ilvl="1">
      <w:lvlJc w:val="left"/>
      <w:lvlText w:val="%2"/>
      <w:numFmt w:val="lowerLetter"/>
      <w:start w:val="1"/>
    </w:lvl>
  </w:abstractNum>
  <w:abstractNum w:abstractNumId="57">
    <w:nsid w:val="51088277"/>
    <w:multiLevelType w:val="hybridMultilevel"/>
    <w:lvl w:ilvl="0">
      <w:lvlJc w:val="left"/>
      <w:lvlText w:val="%1."/>
      <w:numFmt w:val="lowerLetter"/>
      <w:start w:val="5"/>
    </w:lvl>
  </w:abstractNum>
  <w:abstractNum w:abstractNumId="58">
    <w:nsid w:val="1CA0C5F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59">
    <w:nsid w:val="53584BC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0">
    <w:nsid w:val="415E286C"/>
    <w:multiLevelType w:val="hybridMultilevel"/>
    <w:lvl w:ilvl="0">
      <w:lvlJc w:val="left"/>
      <w:lvlText w:val="%1"/>
      <w:numFmt w:val="lowerRoman"/>
      <w:start w:val="1"/>
    </w:lvl>
    <w:lvl w:ilvl="1">
      <w:lvlJc w:val="left"/>
      <w:lvlText w:val="%2."/>
      <w:numFmt w:val="lowerLetter"/>
      <w:start w:val="3"/>
    </w:lvl>
  </w:abstractNum>
  <w:abstractNum w:abstractNumId="61">
    <w:nsid w:val="7C58FD05"/>
    <w:multiLevelType w:val="hybridMultilevel"/>
    <w:lvl w:ilvl="0">
      <w:lvlJc w:val="left"/>
      <w:lvlText w:val="(%1)"/>
      <w:numFmt w:val="lowerRoman"/>
      <w:start w:val="1"/>
    </w:lvl>
    <w:lvl w:ilvl="1">
      <w:lvlJc w:val="left"/>
      <w:lvlText w:val="%2"/>
      <w:numFmt w:val="lowerLetter"/>
      <w:start w:val="1"/>
    </w:lvl>
  </w:abstractNum>
  <w:abstractNum w:abstractNumId="62">
    <w:nsid w:val="23D86AAC"/>
    <w:multiLevelType w:val="hybridMultilevel"/>
    <w:lvl w:ilvl="0">
      <w:lvlJc w:val="left"/>
      <w:lvlText w:val="%1"/>
      <w:numFmt w:val="lowerRoman"/>
      <w:start w:val="1"/>
    </w:lvl>
    <w:lvl w:ilvl="1">
      <w:lvlJc w:val="left"/>
      <w:lvlText w:val="%2."/>
      <w:numFmt w:val="lowerLetter"/>
      <w:start w:val="4"/>
    </w:lvl>
  </w:abstractNum>
  <w:abstractNum w:abstractNumId="63">
    <w:nsid w:val="45E6D486"/>
    <w:multiLevelType w:val="hybridMultilevel"/>
    <w:lvl w:ilvl="0">
      <w:lvlJc w:val="left"/>
      <w:lvlText w:val="(%1)"/>
      <w:numFmt w:val="lowerRoman"/>
      <w:start w:val="1"/>
    </w:lvl>
    <w:lvl w:ilvl="1">
      <w:lvlJc w:val="left"/>
      <w:lvlText w:val="%2."/>
      <w:numFmt w:val="lowerLetter"/>
      <w:start w:val="5"/>
    </w:lvl>
  </w:abstractNum>
  <w:abstractNum w:abstractNumId="64">
    <w:nsid w:val="5C10FE21"/>
    <w:multiLevelType w:val="hybridMultilevel"/>
    <w:lvl w:ilvl="0">
      <w:lvlJc w:val="left"/>
      <w:lvlText w:val="%1."/>
      <w:numFmt w:val="lowerLetter"/>
      <w:start w:val="6"/>
    </w:lvl>
  </w:abstractNum>
  <w:abstractNum w:abstractNumId="65">
    <w:nsid w:val="E7FFA2B"/>
    <w:multiLevelType w:val="hybridMultilevel"/>
    <w:lvl w:ilvl="0">
      <w:lvlJc w:val="left"/>
      <w:lvlText w:val="%1"/>
      <w:numFmt w:val="decimal"/>
      <w:start w:val="1"/>
    </w:lvl>
    <w:lvl w:ilvl="1">
      <w:lvlJc w:val="left"/>
      <w:lvlText w:val="%2."/>
      <w:numFmt w:val="lowerLetter"/>
      <w:start w:val="8"/>
    </w:lvl>
  </w:abstractNum>
  <w:abstractNum w:abstractNumId="66">
    <w:nsid w:val="3C5991AA"/>
    <w:multiLevelType w:val="hybridMultilevel"/>
    <w:lvl w:ilvl="0">
      <w:lvlJc w:val="left"/>
      <w:lvlText w:val="%1."/>
      <w:numFmt w:val="decimal"/>
      <w:start w:val="3"/>
    </w:lvl>
    <w:lvl w:ilvl="1">
      <w:lvlJc w:val="left"/>
      <w:lvlText w:val="%2."/>
      <w:numFmt w:val="lowerLetter"/>
      <w:start w:val="1"/>
    </w:lvl>
  </w:abstractNum>
  <w:abstractNum w:abstractNumId="67">
    <w:nsid w:val="4BD8591A"/>
    <w:multiLevelType w:val="hybridMultilevel"/>
    <w:lvl w:ilvl="0">
      <w:lvlJc w:val="left"/>
      <w:lvlText w:val="%1"/>
      <w:numFmt w:val="decimal"/>
      <w:start w:val="1"/>
    </w:lvl>
    <w:lvl w:ilvl="1">
      <w:lvlJc w:val="left"/>
      <w:lvlText w:val="%2."/>
      <w:numFmt w:val="lowerLetter"/>
      <w:start w:val="3"/>
    </w:lvl>
  </w:abstractNum>
  <w:abstractNum w:abstractNumId="68">
    <w:nsid w:val="78DF6A55"/>
    <w:multiLevelType w:val="hybridMultilevel"/>
    <w:lvl w:ilvl="0">
      <w:lvlJc w:val="left"/>
      <w:lvlText w:val="%1."/>
      <w:numFmt w:val="decimal"/>
      <w:start w:val="4"/>
    </w:lvl>
    <w:lvl w:ilvl="1">
      <w:lvlJc w:val="left"/>
      <w:lvlText w:val="%2"/>
      <w:numFmt w:val="lowerLetter"/>
      <w:start w:val="1"/>
    </w:lvl>
  </w:abstractNum>
  <w:abstractNum w:abstractNumId="69">
    <w:nsid w:val="39B7AAA2"/>
    <w:multiLevelType w:val="hybridMultilevel"/>
    <w:lvl w:ilvl="0">
      <w:lvlJc w:val="left"/>
      <w:lvlText w:val="%1)"/>
      <w:numFmt w:val="lowerLetter"/>
      <w:start w:val="1"/>
    </w:lvl>
  </w:abstractNum>
  <w:abstractNum w:abstractNumId="70">
    <w:nsid w:val="2B0D8DBE"/>
    <w:multiLevelType w:val="hybridMultilevel"/>
    <w:lvl w:ilvl="0">
      <w:lvlJc w:val="left"/>
      <w:lvlText w:val="%1."/>
      <w:numFmt w:val="decimal"/>
      <w:start w:val="7"/>
    </w:lvl>
    <w:lvl w:ilvl="1">
      <w:lvlJc w:val="left"/>
      <w:lvlText w:val="%2."/>
      <w:numFmt w:val="lowerLetter"/>
      <w:start w:val="1"/>
    </w:lvl>
  </w:abstractNum>
  <w:abstractNum w:abstractNumId="71">
    <w:nsid w:val="6C80EC70"/>
    <w:multiLevelType w:val="hybridMultilevel"/>
    <w:lvl w:ilvl="0">
      <w:lvlJc w:val="left"/>
      <w:lvlText w:val="%1"/>
      <w:numFmt w:val="decimal"/>
      <w:start w:val="1"/>
    </w:lvl>
    <w:lvl w:ilvl="1">
      <w:lvlJc w:val="left"/>
      <w:lvlText w:val="%2."/>
      <w:numFmt w:val="decimal"/>
      <w:start w:val="12"/>
    </w:lvl>
  </w:abstractNum>
  <w:abstractNum w:abstractNumId="72">
    <w:nsid w:val="379E21B5"/>
    <w:multiLevelType w:val="hybridMultilevel"/>
    <w:lvl w:ilvl="0">
      <w:lvlJc w:val="left"/>
      <w:lvlText w:val="%1."/>
      <w:numFmt w:val="decimal"/>
      <w:start w:val="15"/>
    </w:lvl>
    <w:lvl w:ilvl="1">
      <w:lvlJc w:val="left"/>
      <w:lvlText w:val="%2"/>
      <w:numFmt w:val="decimal"/>
      <w:start w:val="1"/>
    </w:lvl>
  </w:abstractNum>
  <w:abstractNum w:abstractNumId="73">
    <w:nsid w:val="69E373"/>
    <w:multiLevelType w:val="hybridMultilevel"/>
    <w:lvl w:ilvl="0">
      <w:lvlJc w:val="left"/>
      <w:lvlText w:val="(%1)"/>
      <w:numFmt w:val="lowerLetter"/>
      <w:start w:val="1"/>
    </w:lvl>
  </w:abstractNum>
  <w:abstractNum w:abstractNumId="74">
    <w:nsid w:val="2C27173B"/>
    <w:multiLevelType w:val="hybridMultilevel"/>
    <w:lvl w:ilvl="0">
      <w:lvlJc w:val="left"/>
      <w:lvlText w:val="%1"/>
      <w:numFmt w:val="decimal"/>
      <w:start w:val="1"/>
    </w:lvl>
    <w:lvl w:ilvl="1">
      <w:lvlJc w:val="left"/>
      <w:lvlText w:val="%2)"/>
      <w:numFmt w:val="lowerLetter"/>
      <w:start w:val="2"/>
    </w:lvl>
  </w:abstractNum>
  <w:abstractNum w:abstractNumId="75">
    <w:nsid w:val="4C9B0904"/>
    <w:multiLevelType w:val="hybridMultilevel"/>
    <w:lvl w:ilvl="0">
      <w:lvlJc w:val="left"/>
      <w:lvlText w:val="%1."/>
      <w:numFmt w:val="decimal"/>
      <w:start w:val="19"/>
    </w:lvl>
    <w:lvl w:ilvl="1">
      <w:lvlJc w:val="left"/>
      <w:lvlText w:val="%2"/>
      <w:numFmt w:val="lowerLetter"/>
      <w:start w:val="1"/>
    </w:lvl>
  </w:abstractNum>
  <w:abstractNum w:abstractNumId="76">
    <w:nsid w:val="6AA7B75C"/>
    <w:multiLevelType w:val="hybridMultilevel"/>
    <w:lvl w:ilvl="0">
      <w:lvlJc w:val="left"/>
      <w:lvlText w:val="%1."/>
      <w:numFmt w:val="decimal"/>
      <w:start w:val="1"/>
    </w:lvl>
    <w:lvl w:ilvl="1">
      <w:lvlJc w:val="left"/>
      <w:lvlText w:val="(%2)"/>
      <w:numFmt w:val="lowerLetter"/>
      <w:start w:val="1"/>
    </w:lvl>
  </w:abstractNum>
  <w:abstractNum w:abstractNumId="77">
    <w:nsid w:val="1DF029D3"/>
    <w:multiLevelType w:val="hybridMultilevel"/>
    <w:lvl w:ilvl="0">
      <w:lvlJc w:val="left"/>
      <w:lvlText w:val="(%1)"/>
      <w:numFmt w:val="lowerLetter"/>
      <w:start w:val="3"/>
    </w:lvl>
    <w:lvl w:ilvl="1">
      <w:lvlJc w:val="left"/>
      <w:lvlText w:val="(%2)"/>
      <w:numFmt w:val="lowerRoman"/>
      <w:start w:val="1"/>
    </w:lvl>
  </w:abstractNum>
  <w:abstractNum w:abstractNumId="78">
    <w:nsid w:val="5675FF36"/>
    <w:multiLevelType w:val="hybridMultilevel"/>
    <w:lvl w:ilvl="0">
      <w:lvlJc w:val="left"/>
      <w:lvlText w:val="(%1)"/>
      <w:numFmt w:val="lowerRoman"/>
      <w:start w:val="3"/>
    </w:lvl>
  </w:abstractNum>
  <w:abstractNum w:abstractNumId="79">
    <w:nsid w:val="3DD15094"/>
    <w:multiLevelType w:val="hybridMultilevel"/>
    <w:lvl w:ilvl="0">
      <w:lvlJc w:val="left"/>
      <w:lvlText w:val="(%1)"/>
      <w:numFmt w:val="lowerLetter"/>
      <w:start w:val="4"/>
    </w:lvl>
    <w:lvl w:ilvl="1">
      <w:lvlJc w:val="left"/>
      <w:lvlText w:val="(%2)"/>
      <w:numFmt w:val="lowerRoman"/>
      <w:start w:val="1"/>
    </w:lvl>
  </w:abstractNum>
  <w:abstractNum w:abstractNumId="80">
    <w:nsid w:val="3DB012B3"/>
    <w:multiLevelType w:val="hybridMultilevel"/>
    <w:lvl w:ilvl="0">
      <w:lvlJc w:val="left"/>
      <w:lvlText w:val="(%1)"/>
      <w:numFmt w:val="lowerRoman"/>
      <w:start w:val="5"/>
    </w:lvl>
  </w:abstractNum>
  <w:abstractNum w:abstractNumId="81">
    <w:nsid w:val="2708C9AF"/>
    <w:multiLevelType w:val="hybridMultilevel"/>
    <w:lvl w:ilvl="0">
      <w:lvlJc w:val="left"/>
      <w:lvlText w:val="(%1)"/>
      <w:numFmt w:val="lowerLetter"/>
      <w:start w:val="61"/>
    </w:lvl>
    <w:lvl w:ilvl="1">
      <w:lvlJc w:val="left"/>
      <w:lvlText w:val="(%2)"/>
      <w:numFmt w:val="lowerLetter"/>
      <w:start w:val="5"/>
    </w:lvl>
  </w:abstractNum>
  <w:abstractNum w:abstractNumId="82">
    <w:nsid w:val="5B25ACE2"/>
    <w:multiLevelType w:val="hybridMultilevel"/>
    <w:lvl w:ilvl="0">
      <w:lvlJc w:val="left"/>
      <w:lvlText w:val="(%1)"/>
      <w:numFmt w:val="lowerRoman"/>
      <w:start w:val="1"/>
    </w:lvl>
  </w:abstractNum>
  <w:abstractNum w:abstractNumId="83">
    <w:nsid w:val="175DFCF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4">
    <w:nsid w:val="4F97E3E4"/>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85">
    <w:nsid w:val="53B0A9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6">
    <w:nsid w:val="34FD6B4F"/>
    <w:multiLevelType w:val="hybridMultilevel"/>
    <w:lvl w:ilvl="0">
      <w:lvlJc w:val="left"/>
      <w:lvlText w:val="(%1)"/>
      <w:numFmt w:val="lowerLetter"/>
      <w:start w:val="3"/>
    </w:lvl>
    <w:lvl w:ilvl="1">
      <w:lvlJc w:val="left"/>
      <w:lvlText w:val="(%2)"/>
      <w:numFmt w:val="lowerRoman"/>
      <w:start w:val="1"/>
    </w:lvl>
  </w:abstractNum>
  <w:abstractNum w:abstractNumId="87">
    <w:nsid w:val="5915FF32"/>
    <w:multiLevelType w:val="hybridMultilevel"/>
    <w:lvl w:ilvl="0">
      <w:lvlJc w:val="left"/>
      <w:lvlText w:val="(%1)"/>
      <w:numFmt w:val="lowerRoman"/>
      <w:start w:val="5"/>
    </w:lvl>
  </w:abstractNum>
  <w:abstractNum w:abstractNumId="88">
    <w:nsid w:val="56438D15"/>
    <w:multiLevelType w:val="hybridMultilevel"/>
    <w:lvl w:ilvl="0">
      <w:lvlJc w:val="left"/>
      <w:lvlText w:val="(%1)"/>
      <w:numFmt w:val="lowerLetter"/>
      <w:start w:val="4"/>
    </w:lvl>
    <w:lvl w:ilvl="1">
      <w:lvlJc w:val="left"/>
      <w:lvlText w:val="(%2)"/>
      <w:numFmt w:val="lowerRoman"/>
      <w:start w:val="1"/>
    </w:lvl>
  </w:abstractNum>
  <w:abstractNum w:abstractNumId="89">
    <w:nsid w:val="519E3149"/>
    <w:multiLevelType w:val="hybridMultilevel"/>
    <w:lvl w:ilvl="0">
      <w:lvlJc w:val="left"/>
      <w:lvlText w:val="%1"/>
      <w:numFmt w:val="lowerLetter"/>
      <w:start w:val="1"/>
    </w:lvl>
    <w:lvl w:ilvl="1">
      <w:lvlJc w:val="left"/>
      <w:lvlText w:val="(%2)"/>
      <w:numFmt w:val="lowerLetter"/>
      <w:start w:val="22"/>
    </w:lvl>
  </w:abstractNum>
  <w:abstractNum w:abstractNumId="90">
    <w:nsid w:val="2C6E4AFD"/>
    <w:multiLevelType w:val="hybridMultilevel"/>
    <w:lvl w:ilvl="0">
      <w:lvlJc w:val="left"/>
      <w:lvlText w:val="(%1)"/>
      <w:numFmt w:val="lowerLetter"/>
      <w:start w:val="5"/>
    </w:lvl>
    <w:lvl w:ilvl="1">
      <w:lvlJc w:val="left"/>
      <w:lvlText w:val="%2"/>
      <w:numFmt w:val="lowerLetter"/>
      <w:start w:val="1"/>
    </w:lvl>
  </w:abstractNum>
  <w:abstractNum w:abstractNumId="91">
    <w:nsid w:val="17A1B582"/>
    <w:multiLevelType w:val="hybridMultilevel"/>
    <w:lvl w:ilvl="0">
      <w:lvlJc w:val="left"/>
      <w:lvlText w:val="(%1)"/>
      <w:numFmt w:val="lowerLetter"/>
      <w:start w:val="6"/>
    </w:lvl>
  </w:abstractNum>
  <w:abstractNum w:abstractNumId="92">
    <w:nsid w:val="4DF72E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93">
    <w:nsid w:val="5046B5A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94">
    <w:nsid w:val="5D888A08"/>
    <w:multiLevelType w:val="hybridMultilevel"/>
    <w:lvl w:ilvl="0">
      <w:lvlJc w:val="left"/>
      <w:lvlText w:val="%1"/>
      <w:numFmt w:val="decimal"/>
      <w:start w:val="1"/>
    </w:lvl>
    <w:lvl w:ilvl="1">
      <w:lvlJc w:val="left"/>
      <w:lvlText w:val="(%2)"/>
      <w:numFmt w:val="lowerLetter"/>
      <w:start w:val="2"/>
    </w:lvl>
  </w:abstractNum>
  <w:abstractNum w:abstractNumId="95">
    <w:nsid w:val="2A082C70"/>
    <w:multiLevelType w:val="hybridMultilevel"/>
    <w:lvl w:ilvl="0">
      <w:lvlJc w:val="left"/>
      <w:lvlText w:val="%1."/>
      <w:numFmt w:val="decimal"/>
      <w:start w:val="4"/>
    </w:lvl>
    <w:lvl w:ilvl="1">
      <w:lvlJc w:val="left"/>
      <w:lvlText w:val="%2"/>
      <w:numFmt w:val="lowerLetter"/>
      <w:start w:val="1"/>
    </w:lvl>
  </w:abstractNum>
  <w:abstractNum w:abstractNumId="96">
    <w:nsid w:val="5EC6AFD4"/>
    <w:multiLevelType w:val="hybridMultilevel"/>
    <w:lvl w:ilvl="0">
      <w:lvlJc w:val="left"/>
      <w:lvlText w:val="%1."/>
      <w:numFmt w:val="decimal"/>
      <w:start w:val="5"/>
    </w:lvl>
    <w:lvl w:ilvl="1">
      <w:lvlJc w:val="left"/>
      <w:lvlText w:val="(%2)"/>
      <w:numFmt w:val="lowerLetter"/>
      <w:start w:val="1"/>
    </w:lvl>
  </w:abstractNum>
  <w:abstractNum w:abstractNumId="97">
    <w:nsid w:val="19E21BB2"/>
    <w:multiLevelType w:val="hybridMultilevel"/>
    <w:lvl w:ilvl="0">
      <w:lvlJc w:val="left"/>
      <w:lvlText w:val="(%1)"/>
      <w:numFmt w:val="lowerLetter"/>
      <w:start w:val="1"/>
    </w:lvl>
  </w:abstractNum>
  <w:abstractNum w:abstractNumId="98">
    <w:nsid w:val="75E0858A"/>
    <w:multiLevelType w:val="hybridMultilevel"/>
    <w:lvl w:ilvl="0">
      <w:lvlJc w:val="left"/>
      <w:lvlText w:val="%1"/>
      <w:numFmt w:val="decimal"/>
      <w:start w:val="1"/>
    </w:lvl>
    <w:lvl w:ilvl="1">
      <w:lvlJc w:val="left"/>
      <w:lvlText w:val="(%2)"/>
      <w:numFmt w:val="lowerLetter"/>
      <w:start w:val="2"/>
    </w:lvl>
  </w:abstractNum>
  <w:abstractNum w:abstractNumId="99">
    <w:nsid w:val="57A61A29"/>
    <w:multiLevelType w:val="hybridMultilevel"/>
    <w:lvl w:ilvl="0">
      <w:lvlJc w:val="left"/>
      <w:lvlText w:val="%1."/>
      <w:numFmt w:val="decimal"/>
      <w:start w:val="8"/>
    </w:lvl>
    <w:lvl w:ilvl="1">
      <w:lvlJc w:val="left"/>
      <w:lvlText w:val="%2"/>
      <w:numFmt w:val="lowerLetter"/>
      <w:start w:val="1"/>
    </w:lvl>
  </w:abstractNum>
  <w:abstractNum w:abstractNumId="100">
    <w:nsid w:val="5399C654"/>
    <w:multiLevelType w:val="hybridMultilevel"/>
    <w:lvl w:ilvl="0">
      <w:lvlJc w:val="left"/>
      <w:lvlText w:val="%1."/>
      <w:numFmt w:val="decimal"/>
      <w:start w:val="12"/>
    </w:lvl>
  </w:abstractNum>
  <w:abstractNum w:abstractNumId="101">
    <w:nsid w:val="20EE1348"/>
    <w:multiLevelType w:val="hybridMultilevel"/>
    <w:lvl w:ilvl="0">
      <w:lvlJc w:val="left"/>
      <w:lvlText w:val="%1"/>
      <w:numFmt w:val="lowerLetter"/>
      <w:start w:val="1"/>
    </w:lvl>
    <w:lvl w:ilvl="1">
      <w:lvlJc w:val="left"/>
      <w:lvlText w:val="(%2)"/>
      <w:numFmt w:val="lowerLetter"/>
      <w:start w:val="1"/>
    </w:lvl>
  </w:abstractNum>
  <w:abstractNum w:abstractNumId="102">
    <w:nsid w:val="4427069A"/>
    <w:multiLevelType w:val="hybridMultilevel"/>
    <w:lvl w:ilvl="0">
      <w:lvlJc w:val="left"/>
      <w:lvlText w:val="(%1)"/>
      <w:numFmt w:val="lowerLetter"/>
      <w:start w:val="2"/>
    </w:lvl>
    <w:lvl w:ilvl="1">
      <w:lvlJc w:val="left"/>
      <w:lvlText w:val="%2"/>
      <w:numFmt w:val="lowerLetter"/>
      <w:start w:val="1"/>
    </w:lvl>
  </w:abstractNum>
  <w:abstractNum w:abstractNumId="103">
    <w:nsid w:val="B37E80A"/>
    <w:multiLevelType w:val="hybridMultilevel"/>
    <w:lvl w:ilvl="0">
      <w:lvlJc w:val="left"/>
      <w:lvlText w:val="%1."/>
      <w:numFmt w:val="decimal"/>
      <w:start w:val="19"/>
    </w:lvl>
  </w:abstractNum>
  <w:abstractNum w:abstractNumId="104">
    <w:nsid w:val="2157F6BC"/>
    <w:multiLevelType w:val="hybridMultilevel"/>
    <w:lvl w:ilvl="0">
      <w:lvlJc w:val="left"/>
      <w:lvlText w:val="%1."/>
      <w:numFmt w:val="decimal"/>
      <w:start w:val="1"/>
    </w:lvl>
    <w:lvl w:ilvl="1">
      <w:lvlJc w:val="left"/>
      <w:lvlText w:val="(%2)"/>
      <w:numFmt w:val="lowerLetter"/>
      <w:start w:val="1"/>
    </w:lvl>
  </w:abstractNum>
  <w:abstractNum w:abstractNumId="105">
    <w:nsid w:val="704E1DD5"/>
    <w:multiLevelType w:val="hybridMultilevel"/>
    <w:lvl w:ilvl="0">
      <w:lvlJc w:val="left"/>
      <w:lvlText w:val="(%1)"/>
      <w:numFmt w:val="lowerLetter"/>
      <w:start w:val="3"/>
    </w:lvl>
    <w:lvl w:ilvl="1">
      <w:lvlJc w:val="left"/>
      <w:lvlText w:val="(%2)"/>
      <w:numFmt w:val="lowerRoman"/>
      <w:start w:val="1"/>
    </w:lvl>
  </w:abstractNum>
  <w:abstractNum w:abstractNumId="106">
    <w:nsid w:val="57D2F10E"/>
    <w:multiLevelType w:val="hybridMultilevel"/>
    <w:lvl w:ilvl="0">
      <w:lvlJc w:val="left"/>
      <w:lvlText w:val="(%1)"/>
      <w:numFmt w:val="lowerRoman"/>
      <w:start w:val="3"/>
    </w:lvl>
  </w:abstractNum>
  <w:abstractNum w:abstractNumId="107">
    <w:nsid w:val="BFFAE18"/>
    <w:multiLevelType w:val="hybridMultilevel"/>
    <w:lvl w:ilvl="0">
      <w:lvlJc w:val="left"/>
      <w:lvlText w:val="(%1)"/>
      <w:numFmt w:val="lowerLetter"/>
      <w:start w:val="4"/>
    </w:lvl>
    <w:lvl w:ilvl="1">
      <w:lvlJc w:val="left"/>
      <w:lvlText w:val="(%2)"/>
      <w:numFmt w:val="lowerRoman"/>
      <w:start w:val="1"/>
    </w:lvl>
  </w:abstractNum>
  <w:abstractNum w:abstractNumId="108">
    <w:nsid w:val="E3E47A8"/>
    <w:multiLevelType w:val="hybridMultilevel"/>
    <w:lvl w:ilvl="0">
      <w:lvlJc w:val="left"/>
      <w:lvlText w:val="(%1)"/>
      <w:numFmt w:val="lowerRoman"/>
      <w:start w:val="5"/>
    </w:lvl>
  </w:abstractNum>
  <w:abstractNum w:abstractNumId="109">
    <w:nsid w:val="2E48F044"/>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110">
    <w:nsid w:val="49D0FE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11">
    <w:nsid w:val="4BEE5A5B"/>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12">
    <w:nsid w:val="5551B9F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3">
    <w:nsid w:val="24F6AB8E"/>
    <w:multiLevelType w:val="hybridMultilevel"/>
    <w:lvl w:ilvl="0">
      <w:lvlJc w:val="left"/>
      <w:lvlText w:val="(%1)"/>
      <w:numFmt w:val="lowerLetter"/>
      <w:start w:val="3"/>
    </w:lvl>
    <w:lvl w:ilvl="1">
      <w:lvlJc w:val="left"/>
      <w:lvlText w:val="(%2)"/>
      <w:numFmt w:val="lowerRoman"/>
      <w:start w:val="1"/>
    </w:lvl>
  </w:abstractNum>
  <w:abstractNum w:abstractNumId="114">
    <w:nsid w:val="634C574C"/>
    <w:multiLevelType w:val="hybridMultilevel"/>
    <w:lvl w:ilvl="0">
      <w:lvlJc w:val="left"/>
      <w:lvlText w:val="(%1)"/>
      <w:numFmt w:val="lowerRoman"/>
      <w:start w:val="5"/>
    </w:lvl>
  </w:abstractNum>
  <w:abstractNum w:abstractNumId="115">
    <w:nsid w:val="24E99DD7"/>
    <w:multiLevelType w:val="hybridMultilevel"/>
    <w:lvl w:ilvl="0">
      <w:lvlJc w:val="left"/>
      <w:lvlText w:val="(%1)"/>
      <w:numFmt w:val="lowerLetter"/>
      <w:start w:val="4"/>
    </w:lvl>
    <w:lvl w:ilvl="1">
      <w:lvlJc w:val="left"/>
      <w:lvlText w:val="(%2)"/>
      <w:numFmt w:val="lowerRoman"/>
      <w:start w:val="1"/>
    </w:lvl>
  </w:abstractNum>
  <w:abstractNum w:abstractNumId="116">
    <w:nsid w:val="2A31B62D"/>
    <w:multiLevelType w:val="hybridMultilevel"/>
    <w:lvl w:ilvl="0">
      <w:lvlJc w:val="left"/>
      <w:lvlText w:val="%1"/>
      <w:numFmt w:val="lowerLetter"/>
      <w:start w:val="1"/>
    </w:lvl>
    <w:lvl w:ilvl="1">
      <w:lvlJc w:val="left"/>
      <w:lvlText w:val="(%2)"/>
      <w:numFmt w:val="lowerLetter"/>
      <w:start w:val="22"/>
    </w:lvl>
  </w:abstractNum>
  <w:abstractNum w:abstractNumId="117">
    <w:nsid w:val="1849C29B"/>
    <w:multiLevelType w:val="hybridMultilevel"/>
    <w:lvl w:ilvl="0">
      <w:lvlJc w:val="left"/>
      <w:lvlText w:val="(%1)"/>
      <w:numFmt w:val="lowerLetter"/>
      <w:start w:val="5"/>
    </w:lvl>
    <w:lvl w:ilvl="1">
      <w:lvlJc w:val="left"/>
      <w:lvlText w:val="%2"/>
      <w:numFmt w:val="lowerLetter"/>
      <w:start w:val="1"/>
    </w:lvl>
  </w:abstractNum>
  <w:abstractNum w:abstractNumId="118">
    <w:nsid w:val="7DFF9D09"/>
    <w:multiLevelType w:val="hybridMultilevel"/>
    <w:lvl w:ilvl="0">
      <w:lvlJc w:val="left"/>
      <w:lvlText w:val="(%1)"/>
      <w:numFmt w:val="lowerLetter"/>
      <w:start w:val="6"/>
    </w:lvl>
  </w:abstractNum>
  <w:abstractNum w:abstractNumId="119">
    <w:nsid w:val="75434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120">
    <w:nsid w:val="69E7F3E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21">
    <w:nsid w:val="2A6DE806"/>
    <w:multiLevelType w:val="hybridMultilevel"/>
    <w:lvl w:ilvl="0">
      <w:lvlJc w:val="left"/>
      <w:lvlText w:val="%1"/>
      <w:numFmt w:val="decimal"/>
      <w:start w:val="1"/>
    </w:lvl>
    <w:lvl w:ilvl="1">
      <w:lvlJc w:val="left"/>
      <w:lvlText w:val="(%2)"/>
      <w:numFmt w:val="lowerLetter"/>
      <w:start w:val="2"/>
    </w:lvl>
  </w:abstractNum>
  <w:abstractNum w:abstractNumId="122">
    <w:nsid w:val="1816F8C4"/>
    <w:multiLevelType w:val="hybridMultilevel"/>
    <w:lvl w:ilvl="0">
      <w:lvlJc w:val="left"/>
      <w:lvlText w:val="%1."/>
      <w:numFmt w:val="decimal"/>
      <w:start w:val="4"/>
    </w:lvl>
    <w:lvl w:ilvl="1">
      <w:lvlJc w:val="left"/>
      <w:lvlText w:val="%2"/>
      <w:numFmt w:val="lowerLetter"/>
      <w:start w:val="1"/>
    </w:lvl>
  </w:abstractNum>
  <w:abstractNum w:abstractNumId="123">
    <w:nsid w:val="37DF2233"/>
    <w:multiLevelType w:val="hybridMultilevel"/>
    <w:lvl w:ilvl="0">
      <w:lvlJc w:val="left"/>
      <w:lvlText w:val="%1."/>
      <w:numFmt w:val="decimal"/>
      <w:start w:val="5"/>
    </w:lvl>
    <w:lvl w:ilvl="1">
      <w:lvlJc w:val="left"/>
      <w:lvlText w:val="(%2)"/>
      <w:numFmt w:val="lowerLetter"/>
      <w:start w:val="1"/>
    </w:lvl>
  </w:abstractNum>
  <w:abstractNum w:abstractNumId="124">
    <w:nsid w:val="7AB49DAF"/>
    <w:multiLevelType w:val="hybridMultilevel"/>
    <w:lvl w:ilvl="0">
      <w:lvlJc w:val="left"/>
      <w:lvlText w:val="(%1)"/>
      <w:numFmt w:val="lowerLetter"/>
      <w:start w:val="1"/>
    </w:lvl>
  </w:abstractNum>
  <w:abstractNum w:abstractNumId="125">
    <w:nsid w:val="759F82CD"/>
    <w:multiLevelType w:val="hybridMultilevel"/>
    <w:lvl w:ilvl="0">
      <w:lvlJc w:val="left"/>
      <w:lvlText w:val="%1"/>
      <w:numFmt w:val="decimal"/>
      <w:start w:val="1"/>
    </w:lvl>
    <w:lvl w:ilvl="1">
      <w:lvlJc w:val="left"/>
      <w:lvlText w:val="(%2)"/>
      <w:numFmt w:val="lowerLetter"/>
      <w:start w:val="2"/>
    </w:lvl>
  </w:abstractNum>
  <w:abstractNum w:abstractNumId="126">
    <w:nsid w:val="61E74EA3"/>
    <w:multiLevelType w:val="hybridMultilevel"/>
    <w:lvl w:ilvl="0">
      <w:lvlJc w:val="left"/>
      <w:lvlText w:val="%1."/>
      <w:numFmt w:val="decimal"/>
      <w:start w:val="8"/>
    </w:lvl>
    <w:lvl w:ilvl="1">
      <w:lvlJc w:val="left"/>
      <w:lvlText w:val="%2"/>
      <w:numFmt w:val="lowerLetter"/>
      <w:start w:val="1"/>
    </w:lvl>
  </w:abstractNum>
  <w:abstractNum w:abstractNumId="127">
    <w:nsid w:val="597B4D84"/>
    <w:multiLevelType w:val="hybridMultilevel"/>
    <w:lvl w:ilvl="0">
      <w:lvlJc w:val="left"/>
      <w:lvlText w:val="%1."/>
      <w:numFmt w:val="decimal"/>
      <w:start w:val="12"/>
    </w:lvl>
  </w:abstractNum>
  <w:abstractNum w:abstractNumId="128">
    <w:nsid w:val="F819E7F"/>
    <w:multiLevelType w:val="hybridMultilevel"/>
    <w:lvl w:ilvl="0">
      <w:lvlJc w:val="left"/>
      <w:lvlText w:val="%1"/>
      <w:numFmt w:val="lowerLetter"/>
      <w:start w:val="1"/>
    </w:lvl>
    <w:lvl w:ilvl="1">
      <w:lvlJc w:val="left"/>
      <w:lvlText w:val="(%2)"/>
      <w:numFmt w:val="lowerLetter"/>
      <w:start w:val="1"/>
    </w:lvl>
  </w:abstractNum>
  <w:abstractNum w:abstractNumId="129">
    <w:nsid w:val="57C7D42D"/>
    <w:multiLevelType w:val="hybridMultilevel"/>
    <w:lvl w:ilvl="0">
      <w:lvlJc w:val="left"/>
      <w:lvlText w:val="(%1)"/>
      <w:numFmt w:val="lowerLetter"/>
      <w:start w:val="2"/>
    </w:lvl>
    <w:lvl w:ilvl="1">
      <w:lvlJc w:val="left"/>
      <w:lvlText w:val="%2"/>
      <w:numFmt w:val="lowerLetter"/>
      <w:start w:val="1"/>
    </w:lvl>
  </w:abstractNum>
  <w:abstractNum w:abstractNumId="130">
    <w:nsid w:val="312167AD"/>
    <w:multiLevelType w:val="hybridMultilevel"/>
    <w:lvl w:ilvl="0">
      <w:lvlJc w:val="left"/>
      <w:lvlText w:val="%1."/>
      <w:numFmt w:val="decimal"/>
      <w:start w:val="19"/>
    </w:lvl>
  </w:abstractNum>
  <w:abstractNum w:abstractNumId="131">
    <w:nsid w:val="631B64D4"/>
    <w:multiLevelType w:val="hybridMultilevel"/>
    <w:lvl w:ilvl="0">
      <w:lvlJc w:val="left"/>
      <w:lvlText w:val="%1."/>
      <w:numFmt w:val="decimal"/>
      <w:start w:val="1"/>
    </w:lvl>
    <w:lvl w:ilvl="1">
      <w:lvlJc w:val="left"/>
      <w:lvlText w:val="(%2)"/>
      <w:numFmt w:val="lowerLetter"/>
      <w:start w:val="1"/>
    </w:lvl>
  </w:abstractNum>
  <w:abstractNum w:abstractNumId="132">
    <w:nsid w:val="78B5E776"/>
    <w:multiLevelType w:val="hybridMultilevel"/>
    <w:lvl w:ilvl="0">
      <w:lvlJc w:val="left"/>
      <w:lvlText w:val="(%1)"/>
      <w:numFmt w:val="lowerLetter"/>
      <w:start w:val="3"/>
    </w:lvl>
    <w:lvl w:ilvl="1">
      <w:lvlJc w:val="left"/>
      <w:lvlText w:val="(%2)"/>
      <w:numFmt w:val="lowerRoman"/>
      <w:start w:val="1"/>
    </w:lvl>
  </w:abstractNum>
  <w:abstractNum w:abstractNumId="133">
    <w:nsid w:val="75486E47"/>
    <w:multiLevelType w:val="hybridMultilevel"/>
    <w:lvl w:ilvl="0">
      <w:lvlJc w:val="left"/>
      <w:lvlText w:val="(%1)"/>
      <w:numFmt w:val="lowerRoman"/>
      <w:start w:val="3"/>
    </w:lvl>
  </w:abstractNum>
  <w:abstractNum w:abstractNumId="134">
    <w:nsid w:val="6E534CDE"/>
    <w:multiLevelType w:val="hybridMultilevel"/>
    <w:lvl w:ilvl="0">
      <w:lvlJc w:val="left"/>
      <w:lvlText w:val="(%1)"/>
      <w:numFmt w:val="lowerLetter"/>
      <w:start w:val="4"/>
    </w:lvl>
    <w:lvl w:ilvl="1">
      <w:lvlJc w:val="left"/>
      <w:lvlText w:val="(%2)"/>
      <w:numFmt w:val="lowerRoman"/>
      <w:start w:val="1"/>
    </w:lvl>
  </w:abstractNum>
  <w:abstractNum w:abstractNumId="135">
    <w:nsid w:val="1A0DDE32"/>
    <w:multiLevelType w:val="hybridMultilevel"/>
    <w:lvl w:ilvl="0">
      <w:lvlJc w:val="left"/>
      <w:lvlText w:val="(%1)"/>
      <w:numFmt w:val="lowerRoman"/>
      <w:start w:val="5"/>
    </w:lvl>
  </w:abstractNum>
  <w:abstractNum w:abstractNumId="136">
    <w:nsid w:val="65968C1C"/>
    <w:multiLevelType w:val="hybridMultilevel"/>
    <w:lvl w:ilvl="0">
      <w:lvlJc w:val="left"/>
      <w:lvlText w:val="(%1)"/>
      <w:numFmt w:val="lowerLetter"/>
      <w:start w:val="61"/>
    </w:lvl>
    <w:lvl w:ilvl="1">
      <w:lvlJc w:val="left"/>
      <w:lvlText w:val="(%2)"/>
      <w:numFmt w:val="lowerLetter"/>
      <w:start w:val="5"/>
    </w:lvl>
  </w:abstractNum>
  <w:abstractNum w:abstractNumId="137">
    <w:nsid w:val="46263DEC"/>
    <w:multiLevelType w:val="hybridMultilevel"/>
    <w:lvl w:ilvl="0">
      <w:lvlJc w:val="left"/>
      <w:lvlText w:val="(%1)"/>
      <w:numFmt w:val="lowerRoman"/>
      <w:start w:val="1"/>
    </w:lvl>
  </w:abstractNum>
  <w:abstractNum w:abstractNumId="138">
    <w:nsid w:val="260D8C4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9">
    <w:nsid w:val="73D4D3C4"/>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40">
    <w:nsid w:val="746F2E3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1">
    <w:nsid w:val="6FDE8AF6"/>
    <w:multiLevelType w:val="hybridMultilevel"/>
    <w:lvl w:ilvl="0">
      <w:lvlJc w:val="left"/>
      <w:lvlText w:val="(%1)"/>
      <w:numFmt w:val="lowerLetter"/>
      <w:start w:val="3"/>
    </w:lvl>
    <w:lvl w:ilvl="1">
      <w:lvlJc w:val="left"/>
      <w:lvlText w:val="(%2)"/>
      <w:numFmt w:val="lowerRoman"/>
      <w:start w:val="1"/>
    </w:lvl>
  </w:abstractNum>
  <w:abstractNum w:abstractNumId="142">
    <w:nsid w:val="3FC32E20"/>
    <w:multiLevelType w:val="hybridMultilevel"/>
    <w:lvl w:ilvl="0">
      <w:lvlJc w:val="left"/>
      <w:lvlText w:val="(%1)"/>
      <w:numFmt w:val="lowerRoman"/>
      <w:start w:val="5"/>
    </w:lvl>
  </w:abstractNum>
  <w:abstractNum w:abstractNumId="143">
    <w:nsid w:val="49C0E823"/>
    <w:multiLevelType w:val="hybridMultilevel"/>
    <w:lvl w:ilvl="0">
      <w:lvlJc w:val="left"/>
      <w:lvlText w:val="(%1)"/>
      <w:numFmt w:val="lowerLetter"/>
      <w:start w:val="4"/>
    </w:lvl>
    <w:lvl w:ilvl="1">
      <w:lvlJc w:val="left"/>
      <w:lvlText w:val="(%2)"/>
      <w:numFmt w:val="lowerRoman"/>
      <w:start w:val="1"/>
    </w:lvl>
  </w:abstractNum>
  <w:abstractNum w:abstractNumId="144">
    <w:nsid w:val="14D53685"/>
    <w:multiLevelType w:val="hybridMultilevel"/>
    <w:lvl w:ilvl="0">
      <w:lvlJc w:val="left"/>
      <w:lvlText w:val="%1"/>
      <w:numFmt w:val="lowerLetter"/>
      <w:start w:val="1"/>
    </w:lvl>
    <w:lvl w:ilvl="1">
      <w:lvlJc w:val="left"/>
      <w:lvlText w:val="(%2)"/>
      <w:numFmt w:val="lowerLetter"/>
      <w:start w:val="22"/>
    </w:lvl>
  </w:abstractNum>
  <w:abstractNum w:abstractNumId="145">
    <w:nsid w:val="230F856C"/>
    <w:multiLevelType w:val="hybridMultilevel"/>
    <w:lvl w:ilvl="0">
      <w:lvlJc w:val="left"/>
      <w:lvlText w:val="(%1)"/>
      <w:numFmt w:val="lowerLetter"/>
      <w:start w:val="5"/>
    </w:lvl>
    <w:lvl w:ilvl="1">
      <w:lvlJc w:val="left"/>
      <w:lvlText w:val="%2"/>
      <w:numFmt w:val="lowerLetter"/>
      <w:start w:val="1"/>
    </w:lvl>
  </w:abstractNum>
  <w:abstractNum w:abstractNumId="146">
    <w:nsid w:val="6EAA85FB"/>
    <w:multiLevelType w:val="hybridMultilevel"/>
    <w:lvl w:ilvl="0">
      <w:lvlJc w:val="left"/>
      <w:lvlText w:val="(%1)"/>
      <w:numFmt w:val="lowerLetter"/>
      <w:start w:val="6"/>
    </w:lvl>
  </w:abstractNum>
  <w:abstractNum w:abstractNumId="147">
    <w:nsid w:val="3F06E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148">
    <w:nsid w:val="3B59480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49">
    <w:nsid w:val="6CAA2304"/>
    <w:multiLevelType w:val="hybridMultilevel"/>
    <w:lvl w:ilvl="0">
      <w:lvlJc w:val="left"/>
      <w:lvlText w:val="%1"/>
      <w:numFmt w:val="decimal"/>
      <w:start w:val="1"/>
    </w:lvl>
    <w:lvl w:ilvl="1">
      <w:lvlJc w:val="left"/>
      <w:lvlText w:val="(%2)"/>
      <w:numFmt w:val="lowerLetter"/>
      <w:start w:val="2"/>
    </w:lvl>
  </w:abstractNum>
  <w:abstractNum w:abstractNumId="150">
    <w:nsid w:val="3F7C2FF4"/>
    <w:multiLevelType w:val="hybridMultilevel"/>
    <w:lvl w:ilvl="0">
      <w:lvlJc w:val="left"/>
      <w:lvlText w:val="%1."/>
      <w:numFmt w:val="decimal"/>
      <w:start w:val="4"/>
    </w:lvl>
    <w:lvl w:ilvl="1">
      <w:lvlJc w:val="left"/>
      <w:lvlText w:val="%2"/>
      <w:numFmt w:val="lowerLetter"/>
      <w:start w:val="1"/>
    </w:lvl>
  </w:abstractNum>
  <w:abstractNum w:abstractNumId="151">
    <w:nsid w:val="25413BEC"/>
    <w:multiLevelType w:val="hybridMultilevel"/>
    <w:lvl w:ilvl="0">
      <w:lvlJc w:val="left"/>
      <w:lvlText w:val="%1."/>
      <w:numFmt w:val="decimal"/>
      <w:start w:val="5"/>
    </w:lvl>
    <w:lvl w:ilvl="1">
      <w:lvlJc w:val="left"/>
      <w:lvlText w:val="(%2)"/>
      <w:numFmt w:val="lowerLetter"/>
      <w:start w:val="1"/>
    </w:lvl>
  </w:abstractNum>
  <w:abstractNum w:abstractNumId="152">
    <w:nsid w:val="17180B0B"/>
    <w:multiLevelType w:val="hybridMultilevel"/>
    <w:lvl w:ilvl="0">
      <w:lvlJc w:val="left"/>
      <w:lvlText w:val="%1"/>
      <w:numFmt w:val="decimal"/>
      <w:start w:val="1"/>
    </w:lvl>
    <w:lvl w:ilvl="1">
      <w:lvlJc w:val="left"/>
      <w:lvlText w:val="(%2)"/>
      <w:numFmt w:val="lowerLetter"/>
      <w:start w:val="1"/>
    </w:lvl>
  </w:abstractNum>
  <w:abstractNum w:abstractNumId="153">
    <w:nsid w:val="579328B9"/>
    <w:multiLevelType w:val="hybridMultilevel"/>
    <w:lvl w:ilvl="0">
      <w:lvlJc w:val="left"/>
      <w:lvlText w:val="%1."/>
      <w:numFmt w:val="decimal"/>
      <w:start w:val="8"/>
    </w:lvl>
    <w:lvl w:ilvl="1">
      <w:lvlJc w:val="left"/>
      <w:lvlText w:val="%2"/>
      <w:numFmt w:val="lowerLetter"/>
      <w:start w:val="1"/>
    </w:lvl>
  </w:abstractNum>
  <w:abstractNum w:abstractNumId="154">
    <w:nsid w:val="5D205E20"/>
    <w:multiLevelType w:val="hybridMultilevel"/>
    <w:lvl w:ilvl="0">
      <w:lvlJc w:val="left"/>
      <w:lvlText w:val="%1."/>
      <w:numFmt w:val="decimal"/>
      <w:start w:val="11"/>
    </w:lvl>
  </w:abstractNum>
  <w:abstractNum w:abstractNumId="155">
    <w:nsid w:val="11CCA8BA"/>
    <w:multiLevelType w:val="hybridMultilevel"/>
    <w:lvl w:ilvl="0">
      <w:lvlJc w:val="left"/>
      <w:lvlText w:val="%1"/>
      <w:numFmt w:val="lowerLetter"/>
      <w:start w:val="1"/>
    </w:lvl>
    <w:lvl w:ilvl="1">
      <w:lvlJc w:val="left"/>
      <w:lvlText w:val="(%2)"/>
      <w:numFmt w:val="lowerLetter"/>
      <w:start w:val="1"/>
    </w:lvl>
  </w:abstractNum>
  <w:abstractNum w:abstractNumId="156">
    <w:nsid w:val="4D32AB86"/>
    <w:multiLevelType w:val="hybridMultilevel"/>
    <w:lvl w:ilvl="0">
      <w:lvlJc w:val="left"/>
      <w:lvlText w:val="(%1)"/>
      <w:numFmt w:val="lowerLetter"/>
      <w:start w:val="2"/>
    </w:lvl>
    <w:lvl w:ilvl="1">
      <w:lvlJc w:val="left"/>
      <w:lvlText w:val="%2"/>
      <w:numFmt w:val="lowerLetter"/>
      <w:start w:val="1"/>
    </w:lvl>
  </w:abstractNum>
  <w:abstractNum w:abstractNumId="157">
    <w:nsid w:val="3F07ACC3"/>
    <w:multiLevelType w:val="hybridMultilevel"/>
    <w:lvl w:ilvl="0">
      <w:lvlJc w:val="left"/>
      <w:lvlText w:val="%1."/>
      <w:numFmt w:val="decimal"/>
      <w:start w:val="19"/>
    </w:lvl>
  </w:abstractNum>
  <w:abstractNum w:abstractNumId="158">
    <w:nsid w:val="6B47F63E"/>
    <w:multiLevelType w:val="hybridMultilevel"/>
    <w:lvl w:ilvl="0">
      <w:lvlJc w:val="left"/>
      <w:lvlText w:val="%1."/>
      <w:numFmt w:val="decimal"/>
      <w:start w:val="1"/>
    </w:lvl>
    <w:lvl w:ilvl="1">
      <w:lvlJc w:val="left"/>
      <w:lvlText w:val="(%2)"/>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39" Type="http://schemas.openxmlformats.org/officeDocument/2006/relationships/image" Target="media/image208.png"/><Relationship Id="rId240" Type="http://schemas.openxmlformats.org/officeDocument/2006/relationships/image" Target="media/image209.png"/><Relationship Id="rId241" Type="http://schemas.openxmlformats.org/officeDocument/2006/relationships/image" Target="media/image210.png"/><Relationship Id="rId242" Type="http://schemas.openxmlformats.org/officeDocument/2006/relationships/image" Target="media/image211.png"/><Relationship Id="rId243"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5"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68" Type="http://schemas.openxmlformats.org/officeDocument/2006/relationships/image" Target="media/image237.png"/><Relationship Id="rId269" Type="http://schemas.openxmlformats.org/officeDocument/2006/relationships/image" Target="media/image238.png"/><Relationship Id="rId270" Type="http://schemas.openxmlformats.org/officeDocument/2006/relationships/image" Target="media/image239.png"/><Relationship Id="rId271" Type="http://schemas.openxmlformats.org/officeDocument/2006/relationships/image" Target="media/image240.png"/><Relationship Id="rId272" Type="http://schemas.openxmlformats.org/officeDocument/2006/relationships/image" Target="media/image241.png"/><Relationship Id="rId273"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302" Type="http://schemas.openxmlformats.org/officeDocument/2006/relationships/image" Target="media/image271.png"/><Relationship Id="rId303" Type="http://schemas.openxmlformats.org/officeDocument/2006/relationships/image" Target="media/image272.png"/><Relationship Id="rId304" Type="http://schemas.openxmlformats.org/officeDocument/2006/relationships/image" Target="media/image273.png"/><Relationship Id="rId305" Type="http://schemas.openxmlformats.org/officeDocument/2006/relationships/image" Target="media/image274.png"/><Relationship Id="rId306" Type="http://schemas.openxmlformats.org/officeDocument/2006/relationships/image" Target="media/image275.png"/><Relationship Id="rId307" Type="http://schemas.openxmlformats.org/officeDocument/2006/relationships/image" Target="media/image276.png"/><Relationship Id="rId308" Type="http://schemas.openxmlformats.org/officeDocument/2006/relationships/image" Target="media/image277.png"/><Relationship Id="rId309" Type="http://schemas.openxmlformats.org/officeDocument/2006/relationships/image" Target="media/image278.png"/><Relationship Id="rId310" Type="http://schemas.openxmlformats.org/officeDocument/2006/relationships/image" Target="media/image279.png"/><Relationship Id="rId311" Type="http://schemas.openxmlformats.org/officeDocument/2006/relationships/image" Target="media/image280.png"/><Relationship Id="rId312" Type="http://schemas.openxmlformats.org/officeDocument/2006/relationships/image" Target="media/image281.png"/><Relationship Id="rId313" Type="http://schemas.openxmlformats.org/officeDocument/2006/relationships/image" Target="media/image282.png"/><Relationship Id="rId314" Type="http://schemas.openxmlformats.org/officeDocument/2006/relationships/image" Target="media/image283.png"/><Relationship Id="rId315"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2" Type="http://schemas.openxmlformats.org/officeDocument/2006/relationships/image" Target="media/image301.png"/><Relationship Id="rId333" Type="http://schemas.openxmlformats.org/officeDocument/2006/relationships/image" Target="media/image302.png"/><Relationship Id="rId334" Type="http://schemas.openxmlformats.org/officeDocument/2006/relationships/image" Target="media/image303.png"/><Relationship Id="rId335" Type="http://schemas.openxmlformats.org/officeDocument/2006/relationships/image" Target="media/image304.png"/><Relationship Id="rId336" Type="http://schemas.openxmlformats.org/officeDocument/2006/relationships/image" Target="media/image305.png"/><Relationship Id="rId337" Type="http://schemas.openxmlformats.org/officeDocument/2006/relationships/image" Target="media/image306.png"/><Relationship Id="rId338" Type="http://schemas.openxmlformats.org/officeDocument/2006/relationships/image" Target="media/image307.png"/><Relationship Id="rId339" Type="http://schemas.openxmlformats.org/officeDocument/2006/relationships/image" Target="media/image308.png"/><Relationship Id="rId340" Type="http://schemas.openxmlformats.org/officeDocument/2006/relationships/image" Target="media/image309.png"/><Relationship Id="rId341" Type="http://schemas.openxmlformats.org/officeDocument/2006/relationships/image" Target="media/image310.png"/><Relationship Id="rId45" Type="http://schemas.openxmlformats.org/officeDocument/2006/relationships/hyperlink" Target="https://www.sec.gov/ix?doc=/Archives/edgar/data/0000871763/000095017022001500/man-20211231.htm" TargetMode="External"/><Relationship Id="rId182" Type="http://schemas.openxmlformats.org/officeDocument/2006/relationships/hyperlink" Target="https://www.sec.gov/Archives/edgar/data/871763/000119312521254476/d112970dex21.htm" TargetMode="External"/><Relationship Id="rId187" Type="http://schemas.openxmlformats.org/officeDocument/2006/relationships/hyperlink" Target="https://www.sec.gov/Archives/edgar/data/871763/000087176313000024/exhibit_3-1.htm" TargetMode="External"/><Relationship Id="rId188" Type="http://schemas.openxmlformats.org/officeDocument/2006/relationships/hyperlink" Target="https://www.sec.gov/Archives/edgar/data/871763/000095017022015153/man-ex3_1.htm" TargetMode="External"/><Relationship Id="rId189" Type="http://schemas.openxmlformats.org/officeDocument/2006/relationships/hyperlink" Target="https://www.sec.gov/Archives/edgar/data/871763/000089271218000301/exhibit41.htm" TargetMode="External"/><Relationship Id="rId190" Type="http://schemas.openxmlformats.org/officeDocument/2006/relationships/hyperlink" Target="https://www.sec.gov/Archives/edgar/data/871763/000089271222000154/exhibit41.htm" TargetMode="External"/><Relationship Id="rId191" Type="http://schemas.openxmlformats.org/officeDocument/2006/relationships/hyperlink" Target="https://www.sec.gov/Archives/edgar/data/871763/000156459021006974/man-ex43_6.htm" TargetMode="External"/><Relationship Id="rId192" Type="http://schemas.openxmlformats.org/officeDocument/2006/relationships/hyperlink" Target="https://www.sec.gov/Archives/edgar/data/871763/000119312522162367/d350264dex101.htm" TargetMode="External"/><Relationship Id="rId193" Type="http://schemas.openxmlformats.org/officeDocument/2006/relationships/hyperlink" Target="https://www.sec.gov/Archives/edgar/data/871763/000087176311000011/exhibit_10-4.htm" TargetMode="External"/><Relationship Id="rId194" Type="http://schemas.openxmlformats.org/officeDocument/2006/relationships/hyperlink" Target="https://www.sec.gov/Archives/edgar/data/871763/000119312505051218/ddef14a.htm" TargetMode="External"/><Relationship Id="rId195" Type="http://schemas.openxmlformats.org/officeDocument/2006/relationships/hyperlink" Target="https://www.sec.gov/Archives/edgar/data/871763/000156459020005762/man-ex106a_524.htm" TargetMode="External"/><Relationship Id="rId196" Type="http://schemas.openxmlformats.org/officeDocument/2006/relationships/hyperlink" Target="https://www.sec.gov/Archives/edgar/data/871763/000095017022001500/man-ex10_6.htm" TargetMode="External"/><Relationship Id="rId197" Type="http://schemas.openxmlformats.org/officeDocument/2006/relationships/hyperlink" Target="https://www.sec.gov/Archives/edgar/data/871763/000089271220000224/exhibit41.htm" TargetMode="External"/><Relationship Id="rId198" Type="http://schemas.openxmlformats.org/officeDocument/2006/relationships/hyperlink" Target="https://www.sec.gov/Archives/edgar/data/871763/000119312506224722/dex991.htm" TargetMode="External"/><Relationship Id="rId199" Type="http://schemas.openxmlformats.org/officeDocument/2006/relationships/hyperlink" Target="https://www.sec.gov/Archives/edgar/data/871763/000087176319000059/q12019exhibit101.htm" TargetMode="External"/><Relationship Id="rId200" Type="http://schemas.openxmlformats.org/officeDocument/2006/relationships/hyperlink" Target="https://www.sec.gov/Archives/edgar/data/871763/000087176312000023/exhibit_10-4.htm" TargetMode="External"/><Relationship Id="rId201" Type="http://schemas.openxmlformats.org/officeDocument/2006/relationships/hyperlink" Target="https://www.sec.gov/Archives/edgar/data/871763/000087176314000019/exhibit_10-1.htm" TargetMode="External"/><Relationship Id="rId204" Type="http://schemas.openxmlformats.org/officeDocument/2006/relationships/hyperlink" Target="https://www.sec.gov/Archives/edgar/data/871763/000087176319000059/q12019exhibit102.htm" TargetMode="External"/><Relationship Id="rId207" Type="http://schemas.openxmlformats.org/officeDocument/2006/relationships/hyperlink" Target="https://www.sec.gov/Archives/edgar/data/871763/000156459021006974/man-ex107f_337.htm" TargetMode="External"/><Relationship Id="rId211" Type="http://schemas.openxmlformats.org/officeDocument/2006/relationships/hyperlink" Target="https://www.sec.gov/Archives/edgar/data/871763/000156459021025566/man-ex101_132.htm" TargetMode="External"/><Relationship Id="rId214" Type="http://schemas.openxmlformats.org/officeDocument/2006/relationships/hyperlink" Target="https://www.sec.gov/Archives/edgar/data/871763/000156459021025566/man-ex102_131.htm" TargetMode="External"/><Relationship Id="rId217" Type="http://schemas.openxmlformats.org/officeDocument/2006/relationships/hyperlink" Target="https://www.sec.gov/Archives/edgar/data/871763/000095017022008152/man-ex10_1.htm" TargetMode="External"/><Relationship Id="rId222" Type="http://schemas.openxmlformats.org/officeDocument/2006/relationships/hyperlink" Target="https://www.sec.gov/Archives/edgar/data/871763/000087176316000113/projectryeofferletterfinal.htm" TargetMode="External"/><Relationship Id="rId225" Type="http://schemas.openxmlformats.org/officeDocument/2006/relationships/hyperlink" Target="https://www.sec.gov/Archives/edgar/data/871763/000087176318000054/a02152018ex101manpowergro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2023-02-17T16:19:32Z</dcterms:created>
  <dcterms:modified xsi:type="dcterms:W3CDTF">2023-02-17T16:19:32Z</dcterms:modified>
</cp:coreProperties>
</file>