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19"/>
        <w:spacing w:after="0"/>
        <w:rPr>
          <w:sz w:val="20"/>
          <w:szCs w:val="20"/>
          <w:color w:val="auto"/>
        </w:rPr>
      </w:pPr>
      <w:r>
        <w:rPr>
          <w:rFonts w:ascii="Arial" w:cs="Arial" w:eastAsia="Arial" w:hAnsi="Arial"/>
          <w:sz w:val="27"/>
          <w:szCs w:val="27"/>
          <w:b w:val="1"/>
          <w:bCs w:val="1"/>
          <w:color w:val="auto"/>
        </w:rPr>
        <w:t>UNITED STATES</w:t>
      </w:r>
    </w:p>
    <w:p>
      <w:pPr>
        <w:spacing w:after="0" w:line="30" w:lineRule="exact"/>
        <w:rPr>
          <w:sz w:val="24"/>
          <w:szCs w:val="24"/>
          <w:color w:val="auto"/>
        </w:rPr>
      </w:pPr>
    </w:p>
    <w:p>
      <w:pPr>
        <w:jc w:val="center"/>
        <w:ind w:right="-1119"/>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1119"/>
        <w:spacing w:after="0"/>
        <w:rPr>
          <w:sz w:val="20"/>
          <w:szCs w:val="20"/>
          <w:color w:val="auto"/>
        </w:rPr>
      </w:pPr>
      <w:r>
        <w:rPr>
          <w:rFonts w:ascii="Arial" w:cs="Arial" w:eastAsia="Arial" w:hAnsi="Arial"/>
          <w:sz w:val="18"/>
          <w:szCs w:val="18"/>
          <w:b w:val="1"/>
          <w:bCs w:val="1"/>
          <w:color w:val="auto"/>
        </w:rPr>
        <w:t>Washington, D.C. 20549</w:t>
      </w:r>
    </w:p>
    <w:p>
      <w:pPr>
        <w:spacing w:after="0" w:line="171" w:lineRule="exact"/>
        <w:rPr>
          <w:sz w:val="24"/>
          <w:szCs w:val="24"/>
          <w:color w:val="auto"/>
        </w:rPr>
      </w:pPr>
    </w:p>
    <w:p>
      <w:pPr>
        <w:jc w:val="center"/>
        <w:ind w:right="-1119"/>
        <w:spacing w:after="0"/>
        <w:rPr>
          <w:sz w:val="20"/>
          <w:szCs w:val="20"/>
          <w:color w:val="auto"/>
        </w:rPr>
      </w:pPr>
      <w:r>
        <w:rPr>
          <w:rFonts w:ascii="Arial" w:cs="Arial" w:eastAsia="Arial" w:hAnsi="Arial"/>
          <w:sz w:val="27"/>
          <w:szCs w:val="27"/>
          <w:b w:val="1"/>
          <w:bCs w:val="1"/>
          <w:color w:val="auto"/>
        </w:rPr>
        <w:t>FORM 8-K</w:t>
      </w:r>
    </w:p>
    <w:p>
      <w:pPr>
        <w:spacing w:after="0" w:line="218" w:lineRule="exact"/>
        <w:rPr>
          <w:sz w:val="24"/>
          <w:szCs w:val="24"/>
          <w:color w:val="auto"/>
        </w:rPr>
      </w:pPr>
    </w:p>
    <w:p>
      <w:pPr>
        <w:jc w:val="center"/>
        <w:ind w:right="-1119"/>
        <w:spacing w:after="0"/>
        <w:rPr>
          <w:sz w:val="20"/>
          <w:szCs w:val="20"/>
          <w:color w:val="auto"/>
        </w:rPr>
      </w:pPr>
      <w:r>
        <w:rPr>
          <w:rFonts w:ascii="Arial" w:cs="Arial" w:eastAsia="Arial" w:hAnsi="Arial"/>
          <w:sz w:val="18"/>
          <w:szCs w:val="18"/>
          <w:b w:val="1"/>
          <w:bCs w:val="1"/>
          <w:color w:val="auto"/>
        </w:rPr>
        <w:t>CURRENT REPORT</w:t>
      </w:r>
    </w:p>
    <w:p>
      <w:pPr>
        <w:spacing w:after="0" w:line="213" w:lineRule="exact"/>
        <w:rPr>
          <w:sz w:val="24"/>
          <w:szCs w:val="24"/>
          <w:color w:val="auto"/>
        </w:rPr>
      </w:pPr>
    </w:p>
    <w:p>
      <w:pPr>
        <w:jc w:val="center"/>
        <w:ind w:right="-1119"/>
        <w:spacing w:after="0"/>
        <w:rPr>
          <w:sz w:val="20"/>
          <w:szCs w:val="20"/>
          <w:color w:val="auto"/>
        </w:rPr>
      </w:pPr>
      <w:r>
        <w:rPr>
          <w:rFonts w:ascii="Arial" w:cs="Arial" w:eastAsia="Arial" w:hAnsi="Arial"/>
          <w:sz w:val="15"/>
          <w:szCs w:val="15"/>
          <w:b w:val="1"/>
          <w:bCs w:val="1"/>
          <w:color w:val="auto"/>
        </w:rPr>
        <w:t>Pursuant to Section 13 or 15(d) of the Securities Exchange Act of 1934</w:t>
      </w:r>
    </w:p>
    <w:p>
      <w:pPr>
        <w:spacing w:after="0" w:line="220" w:lineRule="exact"/>
        <w:rPr>
          <w:sz w:val="24"/>
          <w:szCs w:val="24"/>
          <w:color w:val="auto"/>
        </w:rPr>
      </w:pPr>
    </w:p>
    <w:p>
      <w:pPr>
        <w:jc w:val="center"/>
        <w:ind w:right="-1119"/>
        <w:spacing w:after="0"/>
        <w:rPr>
          <w:sz w:val="20"/>
          <w:szCs w:val="20"/>
          <w:color w:val="auto"/>
        </w:rPr>
      </w:pPr>
      <w:r>
        <w:rPr>
          <w:rFonts w:ascii="Arial" w:cs="Arial" w:eastAsia="Arial" w:hAnsi="Arial"/>
          <w:sz w:val="15"/>
          <w:szCs w:val="15"/>
          <w:color w:val="auto"/>
        </w:rPr>
        <w:t>Date of Report (Date of earliest event reported): April 21, 2011</w:t>
      </w:r>
    </w:p>
    <w:p>
      <w:pPr>
        <w:spacing w:after="0" w:line="190" w:lineRule="exact"/>
        <w:rPr>
          <w:sz w:val="24"/>
          <w:szCs w:val="24"/>
          <w:color w:val="auto"/>
        </w:rPr>
      </w:pPr>
    </w:p>
    <w:p>
      <w:pPr>
        <w:jc w:val="center"/>
        <w:ind w:right="-1119"/>
        <w:spacing w:after="0"/>
        <w:rPr>
          <w:sz w:val="20"/>
          <w:szCs w:val="20"/>
          <w:color w:val="auto"/>
        </w:rPr>
      </w:pPr>
      <w:r>
        <w:rPr>
          <w:rFonts w:ascii="Arial" w:cs="Arial" w:eastAsia="Arial" w:hAnsi="Arial"/>
          <w:sz w:val="37"/>
          <w:szCs w:val="37"/>
          <w:b w:val="1"/>
          <w:bCs w:val="1"/>
          <w:color w:val="auto"/>
        </w:rPr>
        <w:t>MANPOWER INC.</w:t>
      </w:r>
    </w:p>
    <w:p>
      <w:pPr>
        <w:spacing w:after="0" w:line="31" w:lineRule="exact"/>
        <w:rPr>
          <w:sz w:val="24"/>
          <w:szCs w:val="24"/>
          <w:color w:val="auto"/>
        </w:rPr>
      </w:pPr>
    </w:p>
    <w:p>
      <w:pPr>
        <w:jc w:val="center"/>
        <w:ind w:right="-1119"/>
        <w:spacing w:after="0"/>
        <w:rPr>
          <w:sz w:val="20"/>
          <w:szCs w:val="20"/>
          <w:color w:val="auto"/>
        </w:rPr>
      </w:pPr>
      <w:r>
        <w:rPr>
          <w:rFonts w:ascii="Arial" w:cs="Arial" w:eastAsia="Arial" w:hAnsi="Arial"/>
          <w:sz w:val="18"/>
          <w:szCs w:val="18"/>
          <w:b w:val="1"/>
          <w:bCs w:val="1"/>
          <w:color w:val="auto"/>
        </w:rPr>
        <w:t>(d/b/a ManpowerGroup)</w:t>
      </w:r>
    </w:p>
    <w:p>
      <w:pPr>
        <w:spacing w:after="0" w:line="3" w:lineRule="exact"/>
        <w:rPr>
          <w:sz w:val="24"/>
          <w:szCs w:val="24"/>
          <w:color w:val="auto"/>
        </w:rPr>
      </w:pPr>
    </w:p>
    <w:p>
      <w:pPr>
        <w:ind w:left="4160"/>
        <w:spacing w:after="0"/>
        <w:rPr>
          <w:sz w:val="20"/>
          <w:szCs w:val="20"/>
          <w:color w:val="auto"/>
        </w:rPr>
      </w:pPr>
      <w:r>
        <w:rPr>
          <w:rFonts w:ascii="Arial" w:cs="Arial" w:eastAsia="Arial" w:hAnsi="Arial"/>
          <w:sz w:val="15"/>
          <w:szCs w:val="15"/>
          <w:color w:val="auto"/>
        </w:rPr>
        <w:t>(Exact name of registrant as specified in its charter)</w:t>
      </w:r>
    </w:p>
    <w:p>
      <w:pPr>
        <w:spacing w:after="0" w:line="383" w:lineRule="exact"/>
        <w:rPr>
          <w:sz w:val="24"/>
          <w:szCs w:val="24"/>
          <w:color w:val="auto"/>
        </w:rPr>
      </w:pPr>
    </w:p>
    <w:tbl>
      <w:tblPr>
        <w:tblLayout w:type="fixed"/>
        <w:tblInd w:w="1140" w:type="dxa"/>
        <w:tblCellMar>
          <w:top w:w="0" w:type="dxa"/>
          <w:left w:w="0" w:type="dxa"/>
          <w:bottom w:w="0" w:type="dxa"/>
          <w:right w:w="0" w:type="dxa"/>
        </w:tblCellMar>
      </w:tblPr>
      <w:tr>
        <w:trPr>
          <w:trHeight w:val="200"/>
        </w:trPr>
        <w:tc>
          <w:tcPr>
            <w:tcW w:w="3580" w:type="dxa"/>
            <w:vAlign w:val="bottom"/>
            <w:tcBorders>
              <w:bottom w:val="single" w:sz="8" w:color="auto"/>
            </w:tcBorders>
          </w:tcPr>
          <w:p>
            <w:pPr>
              <w:jc w:val="center"/>
              <w:ind w:right="524"/>
              <w:spacing w:after="0"/>
              <w:rPr>
                <w:sz w:val="20"/>
                <w:szCs w:val="20"/>
                <w:color w:val="auto"/>
              </w:rPr>
            </w:pPr>
            <w:r>
              <w:rPr>
                <w:rFonts w:ascii="Arial" w:cs="Arial" w:eastAsia="Arial" w:hAnsi="Arial"/>
                <w:sz w:val="15"/>
                <w:szCs w:val="15"/>
                <w:b w:val="1"/>
                <w:bCs w:val="1"/>
                <w:color w:val="auto"/>
                <w:w w:val="87"/>
              </w:rPr>
              <w:t>Wisconsin</w:t>
            </w:r>
          </w:p>
        </w:tc>
        <w:tc>
          <w:tcPr>
            <w:tcW w:w="2360" w:type="dxa"/>
            <w:vAlign w:val="bottom"/>
            <w:tcBorders>
              <w:bottom w:val="single" w:sz="8" w:color="auto"/>
            </w:tcBorders>
          </w:tcPr>
          <w:p>
            <w:pPr>
              <w:jc w:val="right"/>
              <w:ind w:right="1044"/>
              <w:spacing w:after="0"/>
              <w:rPr>
                <w:sz w:val="20"/>
                <w:szCs w:val="20"/>
                <w:color w:val="auto"/>
              </w:rPr>
            </w:pPr>
            <w:r>
              <w:rPr>
                <w:rFonts w:ascii="Arial" w:cs="Arial" w:eastAsia="Arial" w:hAnsi="Arial"/>
                <w:sz w:val="15"/>
                <w:szCs w:val="15"/>
                <w:b w:val="1"/>
                <w:bCs w:val="1"/>
                <w:color w:val="auto"/>
              </w:rPr>
              <w:t>1-10686</w:t>
            </w:r>
          </w:p>
        </w:tc>
        <w:tc>
          <w:tcPr>
            <w:tcW w:w="3220" w:type="dxa"/>
            <w:vAlign w:val="bottom"/>
            <w:tcBorders>
              <w:bottom w:val="single" w:sz="8" w:color="auto"/>
            </w:tcBorders>
          </w:tcPr>
          <w:p>
            <w:pPr>
              <w:jc w:val="right"/>
              <w:ind w:right="1064"/>
              <w:spacing w:after="0"/>
              <w:rPr>
                <w:sz w:val="20"/>
                <w:szCs w:val="20"/>
                <w:color w:val="auto"/>
              </w:rPr>
            </w:pPr>
            <w:r>
              <w:rPr>
                <w:rFonts w:ascii="Arial" w:cs="Arial" w:eastAsia="Arial" w:hAnsi="Arial"/>
                <w:sz w:val="15"/>
                <w:szCs w:val="15"/>
                <w:b w:val="1"/>
                <w:bCs w:val="1"/>
                <w:color w:val="auto"/>
              </w:rPr>
              <w:t>39-1672779</w:t>
            </w:r>
          </w:p>
        </w:tc>
      </w:tr>
      <w:tr>
        <w:trPr>
          <w:trHeight w:val="198"/>
        </w:trPr>
        <w:tc>
          <w:tcPr>
            <w:tcW w:w="3580" w:type="dxa"/>
            <w:vAlign w:val="bottom"/>
          </w:tcPr>
          <w:p>
            <w:pPr>
              <w:jc w:val="center"/>
              <w:ind w:right="524"/>
              <w:spacing w:after="0"/>
              <w:rPr>
                <w:sz w:val="20"/>
                <w:szCs w:val="20"/>
                <w:color w:val="auto"/>
              </w:rPr>
            </w:pPr>
            <w:r>
              <w:rPr>
                <w:rFonts w:ascii="Arial" w:cs="Arial" w:eastAsia="Arial" w:hAnsi="Arial"/>
                <w:sz w:val="15"/>
                <w:szCs w:val="15"/>
                <w:b w:val="1"/>
                <w:bCs w:val="1"/>
                <w:color w:val="auto"/>
                <w:w w:val="93"/>
              </w:rPr>
              <w:t>(State or other jurisdiction of incorporation)</w:t>
            </w:r>
          </w:p>
        </w:tc>
        <w:tc>
          <w:tcPr>
            <w:tcW w:w="2360" w:type="dxa"/>
            <w:vAlign w:val="bottom"/>
          </w:tcPr>
          <w:p>
            <w:pPr>
              <w:jc w:val="center"/>
              <w:ind w:right="304"/>
              <w:spacing w:after="0"/>
              <w:rPr>
                <w:sz w:val="20"/>
                <w:szCs w:val="20"/>
                <w:color w:val="auto"/>
              </w:rPr>
            </w:pPr>
            <w:r>
              <w:rPr>
                <w:rFonts w:ascii="Arial" w:cs="Arial" w:eastAsia="Arial" w:hAnsi="Arial"/>
                <w:sz w:val="15"/>
                <w:szCs w:val="15"/>
                <w:b w:val="1"/>
                <w:bCs w:val="1"/>
                <w:color w:val="auto"/>
                <w:w w:val="93"/>
              </w:rPr>
              <w:t>(Commission File Number)</w:t>
            </w:r>
          </w:p>
        </w:tc>
        <w:tc>
          <w:tcPr>
            <w:tcW w:w="3220" w:type="dxa"/>
            <w:vAlign w:val="bottom"/>
          </w:tcPr>
          <w:p>
            <w:pPr>
              <w:jc w:val="center"/>
              <w:ind w:left="164"/>
              <w:spacing w:after="0"/>
              <w:rPr>
                <w:sz w:val="20"/>
                <w:szCs w:val="20"/>
                <w:color w:val="auto"/>
              </w:rPr>
            </w:pPr>
            <w:r>
              <w:rPr>
                <w:rFonts w:ascii="Arial" w:cs="Arial" w:eastAsia="Arial" w:hAnsi="Arial"/>
                <w:sz w:val="15"/>
                <w:szCs w:val="15"/>
                <w:b w:val="1"/>
                <w:bCs w:val="1"/>
                <w:color w:val="auto"/>
                <w:w w:val="95"/>
              </w:rPr>
              <w:t>(IRS Employer Identification No.)</w:t>
            </w:r>
          </w:p>
        </w:tc>
      </w:tr>
      <w:tr>
        <w:trPr>
          <w:trHeight w:val="565"/>
        </w:trPr>
        <w:tc>
          <w:tcPr>
            <w:tcW w:w="3580" w:type="dxa"/>
            <w:vAlign w:val="bottom"/>
          </w:tcPr>
          <w:p>
            <w:pPr>
              <w:jc w:val="center"/>
              <w:ind w:left="744"/>
              <w:spacing w:after="0"/>
              <w:rPr>
                <w:sz w:val="20"/>
                <w:szCs w:val="20"/>
                <w:color w:val="auto"/>
              </w:rPr>
            </w:pPr>
            <w:r>
              <w:rPr>
                <w:rFonts w:ascii="Arial" w:cs="Arial" w:eastAsia="Arial" w:hAnsi="Arial"/>
                <w:sz w:val="15"/>
                <w:szCs w:val="15"/>
                <w:b w:val="1"/>
                <w:bCs w:val="1"/>
                <w:color w:val="auto"/>
                <w:w w:val="92"/>
              </w:rPr>
              <w:t>100 Manpower Place</w:t>
            </w:r>
          </w:p>
        </w:tc>
        <w:tc>
          <w:tcPr>
            <w:tcW w:w="236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00"/>
        </w:trPr>
        <w:tc>
          <w:tcPr>
            <w:tcW w:w="3580" w:type="dxa"/>
            <w:vAlign w:val="bottom"/>
            <w:tcBorders>
              <w:bottom w:val="single" w:sz="8" w:color="auto"/>
            </w:tcBorders>
          </w:tcPr>
          <w:p>
            <w:pPr>
              <w:jc w:val="center"/>
              <w:ind w:left="764"/>
              <w:spacing w:after="0"/>
              <w:rPr>
                <w:sz w:val="20"/>
                <w:szCs w:val="20"/>
                <w:color w:val="auto"/>
              </w:rPr>
            </w:pPr>
            <w:r>
              <w:rPr>
                <w:rFonts w:ascii="Arial" w:cs="Arial" w:eastAsia="Arial" w:hAnsi="Arial"/>
                <w:sz w:val="15"/>
                <w:szCs w:val="15"/>
                <w:b w:val="1"/>
                <w:bCs w:val="1"/>
                <w:color w:val="auto"/>
                <w:w w:val="92"/>
              </w:rPr>
              <w:t>Milwaukee, Wisconsin</w:t>
            </w:r>
          </w:p>
        </w:tc>
        <w:tc>
          <w:tcPr>
            <w:tcW w:w="236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tcPr>
          <w:p>
            <w:pPr>
              <w:jc w:val="right"/>
              <w:ind w:right="2124"/>
              <w:spacing w:after="0"/>
              <w:rPr>
                <w:sz w:val="20"/>
                <w:szCs w:val="20"/>
                <w:color w:val="auto"/>
              </w:rPr>
            </w:pPr>
            <w:r>
              <w:rPr>
                <w:rFonts w:ascii="Arial" w:cs="Arial" w:eastAsia="Arial" w:hAnsi="Arial"/>
                <w:sz w:val="15"/>
                <w:szCs w:val="15"/>
                <w:b w:val="1"/>
                <w:bCs w:val="1"/>
                <w:color w:val="auto"/>
              </w:rPr>
              <w:t>53212</w:t>
            </w:r>
          </w:p>
        </w:tc>
      </w:tr>
      <w:tr>
        <w:trPr>
          <w:trHeight w:val="198"/>
        </w:trPr>
        <w:tc>
          <w:tcPr>
            <w:tcW w:w="3580" w:type="dxa"/>
            <w:vAlign w:val="bottom"/>
          </w:tcPr>
          <w:p>
            <w:pPr>
              <w:jc w:val="center"/>
              <w:ind w:left="744"/>
              <w:spacing w:after="0"/>
              <w:rPr>
                <w:sz w:val="20"/>
                <w:szCs w:val="20"/>
                <w:color w:val="auto"/>
              </w:rPr>
            </w:pPr>
            <w:r>
              <w:rPr>
                <w:rFonts w:ascii="Arial" w:cs="Arial" w:eastAsia="Arial" w:hAnsi="Arial"/>
                <w:sz w:val="15"/>
                <w:szCs w:val="15"/>
                <w:b w:val="1"/>
                <w:bCs w:val="1"/>
                <w:color w:val="auto"/>
                <w:w w:val="89"/>
              </w:rPr>
              <w:t>(Address of principal executive offices)</w:t>
            </w:r>
          </w:p>
        </w:tc>
        <w:tc>
          <w:tcPr>
            <w:tcW w:w="2360" w:type="dxa"/>
            <w:vAlign w:val="bottom"/>
          </w:tcPr>
          <w:p>
            <w:pPr>
              <w:spacing w:after="0"/>
              <w:rPr>
                <w:sz w:val="17"/>
                <w:szCs w:val="17"/>
                <w:color w:val="auto"/>
              </w:rPr>
            </w:pPr>
          </w:p>
        </w:tc>
        <w:tc>
          <w:tcPr>
            <w:tcW w:w="3220" w:type="dxa"/>
            <w:vAlign w:val="bottom"/>
          </w:tcPr>
          <w:p>
            <w:pPr>
              <w:jc w:val="center"/>
              <w:ind w:right="1484"/>
              <w:spacing w:after="0"/>
              <w:rPr>
                <w:sz w:val="20"/>
                <w:szCs w:val="20"/>
                <w:color w:val="auto"/>
              </w:rPr>
            </w:pPr>
            <w:r>
              <w:rPr>
                <w:rFonts w:ascii="Arial" w:cs="Arial" w:eastAsia="Arial" w:hAnsi="Arial"/>
                <w:sz w:val="15"/>
                <w:szCs w:val="15"/>
                <w:b w:val="1"/>
                <w:bCs w:val="1"/>
                <w:color w:val="auto"/>
                <w:w w:val="94"/>
              </w:rPr>
              <w:t>(Zip Code)</w:t>
            </w:r>
          </w:p>
        </w:tc>
      </w:tr>
    </w:tbl>
    <w:p>
      <w:pPr>
        <w:spacing w:after="0" w:line="180" w:lineRule="exact"/>
        <w:rPr>
          <w:sz w:val="24"/>
          <w:szCs w:val="24"/>
          <w:color w:val="auto"/>
        </w:rPr>
      </w:pPr>
    </w:p>
    <w:p>
      <w:pPr>
        <w:ind w:left="3620"/>
        <w:spacing w:after="0"/>
        <w:rPr>
          <w:sz w:val="20"/>
          <w:szCs w:val="20"/>
          <w:color w:val="auto"/>
        </w:rPr>
      </w:pPr>
      <w:r>
        <w:rPr>
          <w:rFonts w:ascii="Arial" w:cs="Arial" w:eastAsia="Arial" w:hAnsi="Arial"/>
          <w:sz w:val="15"/>
          <w:szCs w:val="15"/>
          <w:color w:val="auto"/>
        </w:rPr>
        <w:t>Registrant's telephone number, including area code: (414) 961-1000</w:t>
      </w:r>
    </w:p>
    <w:p>
      <w:pPr>
        <w:spacing w:after="0" w:line="216"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28" w:lineRule="exact"/>
        <w:rPr>
          <w:sz w:val="24"/>
          <w:szCs w:val="24"/>
          <w:color w:val="auto"/>
        </w:rPr>
      </w:pPr>
    </w:p>
    <w:p>
      <w:pPr>
        <w:ind w:left="420"/>
        <w:spacing w:after="0"/>
        <w:rPr>
          <w:sz w:val="20"/>
          <w:szCs w:val="20"/>
          <w:color w:val="auto"/>
        </w:rPr>
      </w:pPr>
      <w:r>
        <w:rPr>
          <w:rFonts w:ascii="Arial" w:cs="Arial" w:eastAsia="Arial" w:hAnsi="Arial"/>
          <w:sz w:val="15"/>
          <w:szCs w:val="15"/>
          <w:color w:val="auto"/>
        </w:rPr>
        <w:t>Written communications pursuant to Rule 425 under the Securities Act (17 CFR 230.425)</w:t>
      </w:r>
    </w:p>
    <w:p>
      <w:pPr>
        <w:spacing w:after="0" w:line="216" w:lineRule="exact"/>
        <w:rPr>
          <w:sz w:val="24"/>
          <w:szCs w:val="24"/>
          <w:color w:val="auto"/>
        </w:rPr>
      </w:pPr>
    </w:p>
    <w:p>
      <w:pPr>
        <w:ind w:left="420"/>
        <w:spacing w:after="0"/>
        <w:rPr>
          <w:sz w:val="20"/>
          <w:szCs w:val="20"/>
          <w:color w:val="auto"/>
        </w:rPr>
      </w:pPr>
      <w:r>
        <w:rPr>
          <w:rFonts w:ascii="Arial" w:cs="Arial" w:eastAsia="Arial" w:hAnsi="Arial"/>
          <w:sz w:val="15"/>
          <w:szCs w:val="15"/>
          <w:color w:val="auto"/>
        </w:rPr>
        <w:t>Soliciting material pursuant to Rule 14a-12 under the Securities Act (17 CFR 240.14a-12)</w:t>
      </w:r>
    </w:p>
    <w:p>
      <w:pPr>
        <w:spacing w:after="0" w:line="216" w:lineRule="exact"/>
        <w:rPr>
          <w:sz w:val="24"/>
          <w:szCs w:val="24"/>
          <w:color w:val="auto"/>
        </w:rPr>
      </w:pPr>
    </w:p>
    <w:p>
      <w:pPr>
        <w:ind w:left="420"/>
        <w:spacing w:after="0"/>
        <w:rPr>
          <w:sz w:val="20"/>
          <w:szCs w:val="20"/>
          <w:color w:val="auto"/>
        </w:rPr>
      </w:pPr>
      <w:r>
        <w:rPr>
          <w:rFonts w:ascii="Arial" w:cs="Arial" w:eastAsia="Arial" w:hAnsi="Arial"/>
          <w:sz w:val="15"/>
          <w:szCs w:val="15"/>
          <w:color w:val="auto"/>
        </w:rPr>
        <w:t>Pre-commencement communications pursuant to Rule 14d-2(b) under the Exchange Act (17 CFR 240.14d-2(b))</w:t>
      </w:r>
    </w:p>
    <w:p>
      <w:pPr>
        <w:spacing w:after="0" w:line="216" w:lineRule="exact"/>
        <w:rPr>
          <w:sz w:val="24"/>
          <w:szCs w:val="24"/>
          <w:color w:val="auto"/>
        </w:rPr>
      </w:pPr>
    </w:p>
    <w:p>
      <w:pPr>
        <w:ind w:left="420"/>
        <w:spacing w:after="0"/>
        <w:rPr>
          <w:sz w:val="20"/>
          <w:szCs w:val="20"/>
          <w:color w:val="auto"/>
        </w:rPr>
      </w:pPr>
      <w:r>
        <w:rPr>
          <w:rFonts w:ascii="Arial" w:cs="Arial" w:eastAsia="Arial" w:hAnsi="Arial"/>
          <w:sz w:val="15"/>
          <w:szCs w:val="15"/>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410210</wp:posOffset>
            </wp:positionV>
            <wp:extent cx="7273290" cy="196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0300"/>
          </w:cols>
          <w:pgMar w:left="240" w:top="606" w:right="1359" w:bottom="1440" w:gutter="0" w:footer="0" w:header="0"/>
        </w:sectPr>
      </w:pPr>
    </w:p>
    <w:bookmarkStart w:id="1" w:name="page2"/>
    <w:bookmarkEnd w:id="1"/>
    <w:p>
      <w:pPr>
        <w:spacing w:after="0"/>
        <w:rPr>
          <w:sz w:val="20"/>
          <w:szCs w:val="20"/>
          <w:color w:val="auto"/>
        </w:rPr>
      </w:pPr>
      <w:r>
        <w:rPr>
          <w:rFonts w:ascii="Arial" w:cs="Arial" w:eastAsia="Arial" w:hAnsi="Arial"/>
          <w:sz w:val="15"/>
          <w:szCs w:val="15"/>
          <w:b w:val="1"/>
          <w:bCs w:val="1"/>
          <w:color w:val="auto"/>
        </w:rPr>
        <w:t>Item 2.02  Results of Operations and Financial Condition</w:t>
      </w:r>
    </w:p>
    <w:p>
      <w:pPr>
        <w:spacing w:after="0" w:line="220" w:lineRule="exact"/>
        <w:rPr>
          <w:sz w:val="20"/>
          <w:szCs w:val="20"/>
          <w:color w:val="auto"/>
        </w:rPr>
      </w:pPr>
    </w:p>
    <w:p>
      <w:pPr>
        <w:ind w:right="260" w:firstLine="549"/>
        <w:spacing w:after="0" w:line="284" w:lineRule="auto"/>
        <w:rPr>
          <w:sz w:val="20"/>
          <w:szCs w:val="20"/>
          <w:color w:val="auto"/>
        </w:rPr>
      </w:pPr>
      <w:r>
        <w:rPr>
          <w:rFonts w:ascii="Arial" w:cs="Arial" w:eastAsia="Arial" w:hAnsi="Arial"/>
          <w:sz w:val="15"/>
          <w:szCs w:val="15"/>
          <w:color w:val="auto"/>
        </w:rPr>
        <w:t>On April 21, 2011, we issued a press release announcing our results of operations for the three months ended March 31, 2011. A copy of the press release is attached hereto as Exhibit 99.1 and is incorporated herein by reference.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60" w:type="dxa"/>
            <w:vAlign w:val="bottom"/>
          </w:tcPr>
          <w:p>
            <w:pPr>
              <w:spacing w:after="0"/>
              <w:rPr>
                <w:sz w:val="20"/>
                <w:szCs w:val="20"/>
                <w:color w:val="auto"/>
              </w:rPr>
            </w:pPr>
            <w:r>
              <w:rPr>
                <w:rFonts w:ascii="Arial" w:cs="Arial" w:eastAsia="Arial" w:hAnsi="Arial"/>
                <w:sz w:val="15"/>
                <w:szCs w:val="15"/>
                <w:b w:val="1"/>
                <w:bCs w:val="1"/>
                <w:color w:val="auto"/>
              </w:rPr>
              <w:t>Item 9.01.</w:t>
            </w:r>
          </w:p>
        </w:tc>
        <w:tc>
          <w:tcPr>
            <w:tcW w:w="5900" w:type="dxa"/>
            <w:vAlign w:val="bottom"/>
          </w:tcPr>
          <w:p>
            <w:pPr>
              <w:ind w:left="520"/>
              <w:spacing w:after="0"/>
              <w:rPr>
                <w:sz w:val="20"/>
                <w:szCs w:val="20"/>
                <w:color w:val="auto"/>
              </w:rPr>
            </w:pPr>
            <w:r>
              <w:rPr>
                <w:rFonts w:ascii="Arial" w:cs="Arial" w:eastAsia="Arial" w:hAnsi="Arial"/>
                <w:sz w:val="15"/>
                <w:szCs w:val="15"/>
                <w:b w:val="1"/>
                <w:bCs w:val="1"/>
                <w:color w:val="auto"/>
              </w:rPr>
              <w:t>Exhibits</w:t>
            </w:r>
            <w:r>
              <w:rPr>
                <w:rFonts w:ascii="Arial" w:cs="Arial" w:eastAsia="Arial" w:hAnsi="Arial"/>
                <w:sz w:val="15"/>
                <w:szCs w:val="15"/>
                <w:color w:val="auto"/>
              </w:rPr>
              <w:t>.</w:t>
            </w:r>
          </w:p>
        </w:tc>
        <w:tc>
          <w:tcPr>
            <w:tcW w:w="4580" w:type="dxa"/>
            <w:vAlign w:val="bottom"/>
          </w:tcPr>
          <w:p>
            <w:pPr>
              <w:spacing w:after="0"/>
              <w:rPr>
                <w:sz w:val="17"/>
                <w:szCs w:val="17"/>
                <w:color w:val="auto"/>
              </w:rPr>
            </w:pPr>
          </w:p>
        </w:tc>
      </w:tr>
      <w:tr>
        <w:trPr>
          <w:trHeight w:val="391"/>
        </w:trPr>
        <w:tc>
          <w:tcPr>
            <w:tcW w:w="9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Exhibit No.</w:t>
            </w:r>
          </w:p>
        </w:tc>
        <w:tc>
          <w:tcPr>
            <w:tcW w:w="5900" w:type="dxa"/>
            <w:vAlign w:val="bottom"/>
            <w:tcBorders>
              <w:bottom w:val="single" w:sz="8" w:color="auto"/>
            </w:tcBorders>
          </w:tcPr>
          <w:p>
            <w:pPr>
              <w:ind w:left="240"/>
              <w:spacing w:after="0"/>
              <w:rPr>
                <w:sz w:val="20"/>
                <w:szCs w:val="20"/>
                <w:color w:val="auto"/>
              </w:rPr>
            </w:pPr>
            <w:r>
              <w:rPr>
                <w:rFonts w:ascii="Arial" w:cs="Arial" w:eastAsia="Arial" w:hAnsi="Arial"/>
                <w:sz w:val="15"/>
                <w:szCs w:val="15"/>
                <w:b w:val="1"/>
                <w:bCs w:val="1"/>
                <w:color w:val="auto"/>
              </w:rPr>
              <w:t>Description</w:t>
            </w:r>
          </w:p>
        </w:tc>
        <w:tc>
          <w:tcPr>
            <w:tcW w:w="4580" w:type="dxa"/>
            <w:vAlign w:val="bottom"/>
          </w:tcPr>
          <w:p>
            <w:pPr>
              <w:spacing w:after="0"/>
              <w:rPr>
                <w:sz w:val="24"/>
                <w:szCs w:val="24"/>
                <w:color w:val="auto"/>
              </w:rPr>
            </w:pPr>
          </w:p>
        </w:tc>
      </w:tr>
      <w:tr>
        <w:trPr>
          <w:trHeight w:val="172"/>
        </w:trPr>
        <w:tc>
          <w:tcPr>
            <w:tcW w:w="960" w:type="dxa"/>
            <w:vAlign w:val="bottom"/>
          </w:tcPr>
          <w:p>
            <w:pPr>
              <w:spacing w:after="0"/>
              <w:rPr>
                <w:sz w:val="20"/>
                <w:szCs w:val="20"/>
                <w:color w:val="auto"/>
              </w:rPr>
            </w:pPr>
            <w:r>
              <w:rPr>
                <w:rFonts w:ascii="Arial" w:cs="Arial" w:eastAsia="Arial" w:hAnsi="Arial"/>
                <w:sz w:val="15"/>
                <w:szCs w:val="15"/>
                <w:color w:val="auto"/>
              </w:rPr>
              <w:t>99.1</w:t>
            </w:r>
          </w:p>
        </w:tc>
        <w:tc>
          <w:tcPr>
            <w:tcW w:w="5900" w:type="dxa"/>
            <w:vAlign w:val="bottom"/>
          </w:tcPr>
          <w:p>
            <w:pPr>
              <w:ind w:left="240"/>
              <w:spacing w:after="0"/>
              <w:rPr>
                <w:sz w:val="20"/>
                <w:szCs w:val="20"/>
                <w:color w:val="auto"/>
              </w:rPr>
            </w:pPr>
            <w:r>
              <w:rPr>
                <w:rFonts w:ascii="Arial" w:cs="Arial" w:eastAsia="Arial" w:hAnsi="Arial"/>
                <w:sz w:val="15"/>
                <w:szCs w:val="15"/>
                <w:color w:val="auto"/>
              </w:rPr>
              <w:t>Press Release dated April 21, 2011</w:t>
            </w:r>
          </w:p>
        </w:tc>
        <w:tc>
          <w:tcPr>
            <w:tcW w:w="4580" w:type="dxa"/>
            <w:vAlign w:val="bottom"/>
          </w:tcPr>
          <w:p>
            <w:pPr>
              <w:spacing w:after="0"/>
              <w:rPr>
                <w:sz w:val="14"/>
                <w:szCs w:val="14"/>
                <w:color w:val="auto"/>
              </w:rPr>
            </w:pPr>
          </w:p>
        </w:tc>
      </w:tr>
      <w:tr>
        <w:trPr>
          <w:trHeight w:val="194"/>
        </w:trPr>
        <w:tc>
          <w:tcPr>
            <w:tcW w:w="960" w:type="dxa"/>
            <w:vAlign w:val="bottom"/>
          </w:tcPr>
          <w:p>
            <w:pPr>
              <w:spacing w:after="0"/>
              <w:rPr>
                <w:sz w:val="20"/>
                <w:szCs w:val="20"/>
                <w:color w:val="auto"/>
              </w:rPr>
            </w:pPr>
            <w:r>
              <w:rPr>
                <w:rFonts w:ascii="Arial" w:cs="Arial" w:eastAsia="Arial" w:hAnsi="Arial"/>
                <w:sz w:val="15"/>
                <w:szCs w:val="15"/>
                <w:color w:val="auto"/>
              </w:rPr>
              <w:t>99.2</w:t>
            </w:r>
          </w:p>
        </w:tc>
        <w:tc>
          <w:tcPr>
            <w:tcW w:w="5900" w:type="dxa"/>
            <w:vAlign w:val="bottom"/>
          </w:tcPr>
          <w:p>
            <w:pPr>
              <w:ind w:left="240"/>
              <w:spacing w:after="0"/>
              <w:rPr>
                <w:sz w:val="20"/>
                <w:szCs w:val="20"/>
                <w:color w:val="auto"/>
              </w:rPr>
            </w:pPr>
            <w:r>
              <w:rPr>
                <w:rFonts w:ascii="Arial" w:cs="Arial" w:eastAsia="Arial" w:hAnsi="Arial"/>
                <w:sz w:val="15"/>
                <w:szCs w:val="15"/>
                <w:color w:val="auto"/>
              </w:rPr>
              <w:t>Presentation materials for April 21, 2011 conference call</w:t>
            </w:r>
          </w:p>
        </w:tc>
        <w:tc>
          <w:tcPr>
            <w:tcW w:w="4580" w:type="dxa"/>
            <w:vAlign w:val="bottom"/>
          </w:tcPr>
          <w:p>
            <w:pPr>
              <w:spacing w:after="0"/>
              <w:rPr>
                <w:sz w:val="16"/>
                <w:szCs w:val="16"/>
                <w:color w:val="auto"/>
              </w:rPr>
            </w:pPr>
          </w:p>
        </w:tc>
      </w:tr>
      <w:tr>
        <w:trPr>
          <w:trHeight w:val="636"/>
        </w:trPr>
        <w:tc>
          <w:tcPr>
            <w:tcW w:w="960" w:type="dxa"/>
            <w:vAlign w:val="bottom"/>
            <w:tcBorders>
              <w:bottom w:val="single" w:sz="8" w:color="808080"/>
            </w:tcBorders>
          </w:tcPr>
          <w:p>
            <w:pPr>
              <w:spacing w:after="0"/>
              <w:rPr>
                <w:sz w:val="24"/>
                <w:szCs w:val="24"/>
                <w:color w:val="auto"/>
              </w:rPr>
            </w:pPr>
          </w:p>
        </w:tc>
        <w:tc>
          <w:tcPr>
            <w:tcW w:w="5900" w:type="dxa"/>
            <w:vAlign w:val="bottom"/>
            <w:tcBorders>
              <w:bottom w:val="single" w:sz="8" w:color="808080"/>
            </w:tcBorders>
          </w:tcPr>
          <w:p>
            <w:pPr>
              <w:spacing w:after="0"/>
              <w:rPr>
                <w:sz w:val="24"/>
                <w:szCs w:val="24"/>
                <w:color w:val="auto"/>
              </w:rPr>
            </w:pPr>
          </w:p>
        </w:tc>
        <w:tc>
          <w:tcPr>
            <w:tcW w:w="45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331" w:right="219" w:bottom="1440" w:gutter="0" w:footer="0" w:header="0"/>
        </w:sectPr>
      </w:pPr>
    </w:p>
    <w:bookmarkStart w:id="2" w:name="page3"/>
    <w:bookmarkEnd w:id="2"/>
    <w:p>
      <w:pPr>
        <w:jc w:val="center"/>
        <w:ind w:right="-419"/>
        <w:spacing w:after="0"/>
        <w:rPr>
          <w:sz w:val="20"/>
          <w:szCs w:val="20"/>
          <w:color w:val="auto"/>
        </w:rPr>
      </w:pPr>
      <w:r>
        <w:rPr>
          <w:rFonts w:ascii="Arial" w:cs="Arial" w:eastAsia="Arial" w:hAnsi="Arial"/>
          <w:sz w:val="15"/>
          <w:szCs w:val="15"/>
          <w:b w:val="1"/>
          <w:bCs w:val="1"/>
          <w:color w:val="auto"/>
        </w:rPr>
        <w:t>SIGNATURES</w:t>
      </w:r>
    </w:p>
    <w:p>
      <w:pPr>
        <w:spacing w:after="0" w:line="220" w:lineRule="exact"/>
        <w:rPr>
          <w:sz w:val="20"/>
          <w:szCs w:val="20"/>
          <w:color w:val="auto"/>
        </w:rPr>
      </w:pPr>
    </w:p>
    <w:p>
      <w:pPr>
        <w:ind w:firstLine="549"/>
        <w:spacing w:after="0" w:line="284"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hereunto duly authorized.</w:t>
      </w:r>
    </w:p>
    <w:p>
      <w:pPr>
        <w:spacing w:after="0" w:line="369" w:lineRule="exact"/>
        <w:rPr>
          <w:sz w:val="20"/>
          <w:szCs w:val="20"/>
          <w:color w:val="auto"/>
        </w:rPr>
      </w:pPr>
    </w:p>
    <w:p>
      <w:pPr>
        <w:ind w:left="3760"/>
        <w:spacing w:after="0"/>
        <w:rPr>
          <w:sz w:val="20"/>
          <w:szCs w:val="20"/>
          <w:color w:val="auto"/>
        </w:rPr>
      </w:pPr>
      <w:r>
        <w:rPr>
          <w:rFonts w:ascii="Arial" w:cs="Arial" w:eastAsia="Arial" w:hAnsi="Arial"/>
          <w:sz w:val="15"/>
          <w:szCs w:val="15"/>
          <w:color w:val="auto"/>
        </w:rPr>
        <w:t>MANPOWER INC.</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5"/>
          <w:szCs w:val="15"/>
          <w:color w:val="auto"/>
        </w:rPr>
        <w:t>(d/b/a ManpowerGroup)</w:t>
      </w:r>
    </w:p>
    <w:p>
      <w:pPr>
        <w:spacing w:after="0" w:line="183" w:lineRule="exact"/>
        <w:rPr>
          <w:sz w:val="20"/>
          <w:szCs w:val="20"/>
          <w:color w:val="auto"/>
        </w:rPr>
      </w:pPr>
    </w:p>
    <w:p>
      <w:pPr>
        <w:spacing w:after="0"/>
        <w:tabs>
          <w:tab w:leader="none" w:pos="3340" w:val="left"/>
          <w:tab w:leader="none" w:pos="3740" w:val="left"/>
        </w:tabs>
        <w:rPr>
          <w:sz w:val="20"/>
          <w:szCs w:val="20"/>
          <w:color w:val="auto"/>
        </w:rPr>
      </w:pPr>
      <w:r>
        <w:rPr>
          <w:rFonts w:ascii="Arial" w:cs="Arial" w:eastAsia="Arial" w:hAnsi="Arial"/>
          <w:sz w:val="15"/>
          <w:szCs w:val="15"/>
          <w:color w:val="auto"/>
        </w:rPr>
        <w:t>Dated: April 21, 2011</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2383155</wp:posOffset>
            </wp:positionH>
            <wp:positionV relativeFrom="paragraph">
              <wp:posOffset>13335</wp:posOffset>
            </wp:positionV>
            <wp:extent cx="1981835" cy="14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81835" cy="14605"/>
                    </a:xfrm>
                    <a:prstGeom prst="rect">
                      <a:avLst/>
                    </a:prstGeom>
                    <a:noFill/>
                  </pic:spPr>
                </pic:pic>
              </a:graphicData>
            </a:graphic>
          </wp:anchor>
        </w:drawing>
      </w:r>
    </w:p>
    <w:p>
      <w:pPr>
        <w:spacing w:after="0" w:line="13" w:lineRule="exact"/>
        <w:rPr>
          <w:sz w:val="20"/>
          <w:szCs w:val="20"/>
          <w:color w:val="auto"/>
        </w:rPr>
      </w:pPr>
    </w:p>
    <w:p>
      <w:pPr>
        <w:ind w:left="3760"/>
        <w:spacing w:after="0"/>
        <w:rPr>
          <w:sz w:val="20"/>
          <w:szCs w:val="20"/>
          <w:color w:val="auto"/>
        </w:rPr>
      </w:pPr>
      <w:r>
        <w:rPr>
          <w:rFonts w:ascii="Arial" w:cs="Arial" w:eastAsia="Arial" w:hAnsi="Arial"/>
          <w:sz w:val="15"/>
          <w:szCs w:val="15"/>
          <w:color w:val="auto"/>
        </w:rPr>
        <w:t>Michael J. Van Handel</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5"/>
          <w:szCs w:val="15"/>
          <w:color w:val="auto"/>
        </w:rPr>
        <w:t>Executive Vice President and</w:t>
      </w:r>
    </w:p>
    <w:p>
      <w:pPr>
        <w:spacing w:after="0" w:line="10" w:lineRule="exact"/>
        <w:rPr>
          <w:sz w:val="20"/>
          <w:szCs w:val="20"/>
          <w:color w:val="auto"/>
        </w:rPr>
      </w:pPr>
    </w:p>
    <w:p>
      <w:pPr>
        <w:ind w:left="3760"/>
        <w:spacing w:after="0"/>
        <w:rPr>
          <w:sz w:val="20"/>
          <w:szCs w:val="20"/>
          <w:color w:val="auto"/>
        </w:rPr>
      </w:pPr>
      <w:r>
        <w:rPr>
          <w:rFonts w:ascii="Arial" w:cs="Arial" w:eastAsia="Arial" w:hAnsi="Arial"/>
          <w:sz w:val="15"/>
          <w:szCs w:val="15"/>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403225</wp:posOffset>
            </wp:positionV>
            <wp:extent cx="7273290" cy="196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000"/>
          </w:cols>
          <w:pgMar w:left="240" w:top="331" w:right="659" w:bottom="1440" w:gutter="0" w:footer="0" w:header="0"/>
        </w:sectPr>
      </w:pPr>
    </w:p>
    <w:bookmarkStart w:id="3" w:name="page4"/>
    <w:bookmarkEnd w:id="3"/>
    <w:p>
      <w:pPr>
        <w:ind w:left="5120"/>
        <w:spacing w:after="0"/>
        <w:rPr>
          <w:sz w:val="20"/>
          <w:szCs w:val="20"/>
          <w:color w:val="auto"/>
        </w:rPr>
      </w:pPr>
      <w:r>
        <w:rPr>
          <w:rFonts w:ascii="Arial" w:cs="Arial" w:eastAsia="Arial" w:hAnsi="Arial"/>
          <w:sz w:val="15"/>
          <w:szCs w:val="15"/>
          <w:b w:val="1"/>
          <w:bCs w:val="1"/>
          <w:color w:val="auto"/>
        </w:rPr>
        <w:t>EXHIBIT INDEX</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9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Exhibit No.</w:t>
            </w:r>
          </w:p>
        </w:tc>
        <w:tc>
          <w:tcPr>
            <w:tcW w:w="5900" w:type="dxa"/>
            <w:vAlign w:val="bottom"/>
            <w:tcBorders>
              <w:bottom w:val="single" w:sz="8" w:color="auto"/>
            </w:tcBorders>
          </w:tcPr>
          <w:p>
            <w:pPr>
              <w:ind w:left="240"/>
              <w:spacing w:after="0"/>
              <w:rPr>
                <w:sz w:val="20"/>
                <w:szCs w:val="20"/>
                <w:color w:val="auto"/>
              </w:rPr>
            </w:pPr>
            <w:r>
              <w:rPr>
                <w:rFonts w:ascii="Arial" w:cs="Arial" w:eastAsia="Arial" w:hAnsi="Arial"/>
                <w:sz w:val="15"/>
                <w:szCs w:val="15"/>
                <w:b w:val="1"/>
                <w:bCs w:val="1"/>
                <w:color w:val="auto"/>
              </w:rPr>
              <w:t>Description</w:t>
            </w:r>
          </w:p>
        </w:tc>
      </w:tr>
      <w:tr>
        <w:trPr>
          <w:trHeight w:val="172"/>
        </w:trPr>
        <w:tc>
          <w:tcPr>
            <w:tcW w:w="960" w:type="dxa"/>
            <w:vAlign w:val="bottom"/>
          </w:tcPr>
          <w:p>
            <w:pPr>
              <w:spacing w:after="0"/>
              <w:rPr>
                <w:sz w:val="20"/>
                <w:szCs w:val="20"/>
                <w:color w:val="auto"/>
              </w:rPr>
            </w:pPr>
            <w:r>
              <w:rPr>
                <w:rFonts w:ascii="Arial" w:cs="Arial" w:eastAsia="Arial" w:hAnsi="Arial"/>
                <w:sz w:val="15"/>
                <w:szCs w:val="15"/>
                <w:color w:val="auto"/>
              </w:rPr>
              <w:t>99.1</w:t>
            </w:r>
          </w:p>
        </w:tc>
        <w:tc>
          <w:tcPr>
            <w:tcW w:w="5900" w:type="dxa"/>
            <w:vAlign w:val="bottom"/>
          </w:tcPr>
          <w:p>
            <w:pPr>
              <w:ind w:left="240"/>
              <w:spacing w:after="0"/>
              <w:rPr>
                <w:sz w:val="20"/>
                <w:szCs w:val="20"/>
                <w:color w:val="auto"/>
              </w:rPr>
            </w:pPr>
            <w:r>
              <w:rPr>
                <w:rFonts w:ascii="Arial" w:cs="Arial" w:eastAsia="Arial" w:hAnsi="Arial"/>
                <w:sz w:val="15"/>
                <w:szCs w:val="15"/>
                <w:color w:val="auto"/>
              </w:rPr>
              <w:t>Press Release dated April 21, 2011</w:t>
            </w:r>
          </w:p>
        </w:tc>
      </w:tr>
      <w:tr>
        <w:trPr>
          <w:trHeight w:val="194"/>
        </w:trPr>
        <w:tc>
          <w:tcPr>
            <w:tcW w:w="960" w:type="dxa"/>
            <w:vAlign w:val="bottom"/>
          </w:tcPr>
          <w:p>
            <w:pPr>
              <w:spacing w:after="0"/>
              <w:rPr>
                <w:sz w:val="20"/>
                <w:szCs w:val="20"/>
                <w:color w:val="auto"/>
              </w:rPr>
            </w:pPr>
            <w:r>
              <w:rPr>
                <w:rFonts w:ascii="Arial" w:cs="Arial" w:eastAsia="Arial" w:hAnsi="Arial"/>
                <w:sz w:val="15"/>
                <w:szCs w:val="15"/>
                <w:color w:val="auto"/>
              </w:rPr>
              <w:t>99.2</w:t>
            </w:r>
          </w:p>
        </w:tc>
        <w:tc>
          <w:tcPr>
            <w:tcW w:w="5900" w:type="dxa"/>
            <w:vAlign w:val="bottom"/>
          </w:tcPr>
          <w:p>
            <w:pPr>
              <w:ind w:left="240"/>
              <w:spacing w:after="0"/>
              <w:rPr>
                <w:sz w:val="20"/>
                <w:szCs w:val="20"/>
                <w:color w:val="auto"/>
              </w:rPr>
            </w:pPr>
            <w:r>
              <w:rPr>
                <w:rFonts w:ascii="Arial" w:cs="Arial" w:eastAsia="Arial" w:hAnsi="Arial"/>
                <w:sz w:val="15"/>
                <w:szCs w:val="15"/>
                <w:color w:val="auto"/>
              </w:rPr>
              <w:t>Presentation materials for April 21, 2011 conference call</w:t>
            </w:r>
          </w:p>
        </w:tc>
      </w:tr>
    </w:tbl>
    <w:p>
      <w:pPr>
        <w:sectPr>
          <w:pgSz w:w="11900" w:h="16838" w:orient="portrait"/>
          <w:cols w:equalWidth="0" w:num="1">
            <w:col w:w="10219"/>
          </w:cols>
          <w:pgMar w:left="240" w:top="331"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55015" cy="4140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55015" cy="41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4320" w:val="left"/>
        </w:tabs>
        <w:rPr>
          <w:sz w:val="20"/>
          <w:szCs w:val="20"/>
          <w:color w:val="auto"/>
        </w:rPr>
      </w:pPr>
      <w:r>
        <w:rPr>
          <w:rFonts w:ascii="Arial" w:cs="Arial" w:eastAsia="Arial" w:hAnsi="Arial"/>
          <w:sz w:val="15"/>
          <w:szCs w:val="15"/>
          <w:b w:val="1"/>
          <w:bCs w:val="1"/>
          <w:color w:val="auto"/>
        </w:rPr>
        <w:t>FOR IMMEDIATE RELEASE</w:t>
      </w:r>
      <w:r>
        <w:rPr>
          <w:sz w:val="20"/>
          <w:szCs w:val="20"/>
          <w:color w:val="auto"/>
        </w:rPr>
        <w:tab/>
      </w:r>
      <w:r>
        <w:rPr>
          <w:rFonts w:ascii="Arial" w:cs="Arial" w:eastAsia="Arial" w:hAnsi="Arial"/>
          <w:sz w:val="13"/>
          <w:szCs w:val="13"/>
          <w:b w:val="1"/>
          <w:bCs w:val="1"/>
          <w:color w:val="auto"/>
        </w:rPr>
        <w:t>Contact:</w:t>
      </w:r>
    </w:p>
    <w:p>
      <w:pPr>
        <w:spacing w:after="0" w:line="22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Mike Van Handel</w:t>
      </w:r>
    </w:p>
    <w:p>
      <w:pPr>
        <w:spacing w:after="0" w:line="2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+1.414.906.6305</w:t>
      </w:r>
    </w:p>
    <w:p>
      <w:pPr>
        <w:spacing w:after="0" w:line="1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michael.vanhandel@manpowergroup.com</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ManpowerGroup Reports 1</w:t>
      </w:r>
      <w:r>
        <w:rPr>
          <w:rFonts w:ascii="Arial" w:cs="Arial" w:eastAsia="Arial" w:hAnsi="Arial"/>
          <w:sz w:val="21"/>
          <w:szCs w:val="21"/>
          <w:b w:val="1"/>
          <w:bCs w:val="1"/>
          <w:color w:val="auto"/>
          <w:vertAlign w:val="superscript"/>
        </w:rPr>
        <w:t>st</w:t>
      </w:r>
      <w:r>
        <w:rPr>
          <w:rFonts w:ascii="Arial" w:cs="Arial" w:eastAsia="Arial" w:hAnsi="Arial"/>
          <w:sz w:val="15"/>
          <w:szCs w:val="15"/>
          <w:b w:val="1"/>
          <w:bCs w:val="1"/>
          <w:color w:val="auto"/>
        </w:rPr>
        <w:t xml:space="preserve"> Quarter 2011 Results</w:t>
      </w:r>
    </w:p>
    <w:p>
      <w:pPr>
        <w:spacing w:after="0" w:line="152" w:lineRule="exact"/>
        <w:rPr>
          <w:sz w:val="20"/>
          <w:szCs w:val="20"/>
          <w:color w:val="auto"/>
        </w:rPr>
      </w:pPr>
    </w:p>
    <w:p>
      <w:pPr>
        <w:ind w:right="420" w:firstLine="564"/>
        <w:spacing w:after="0" w:line="269" w:lineRule="auto"/>
        <w:rPr>
          <w:sz w:val="20"/>
          <w:szCs w:val="20"/>
          <w:color w:val="auto"/>
        </w:rPr>
      </w:pPr>
      <w:r>
        <w:rPr>
          <w:rFonts w:ascii="Arial" w:cs="Arial" w:eastAsia="Arial" w:hAnsi="Arial"/>
          <w:sz w:val="15"/>
          <w:szCs w:val="15"/>
          <w:color w:val="auto"/>
        </w:rPr>
        <w:t>MILWAUKEE, April 21, 2011 -- ManpowerGroup (NYSE: MAN) today reported that net earnings for the three months ended March 31, 2011 were $35.7 million, or 43 cents per diluted share, compared to net earnings of $2.8 million, or 4 cents per diluted share, a year earlier. Revenues for the first quarter were $5.1 billion, an increase of 24% from the year earlier period, or 22% in constant currency.</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Net earnings in the first quarter were favorably impacted by 3 cents per diluted share, as foreign currencies were relatively stronger compared to the prior year period.</w:t>
      </w:r>
    </w:p>
    <w:p>
      <w:pPr>
        <w:spacing w:after="0" w:line="216" w:lineRule="exact"/>
        <w:rPr>
          <w:sz w:val="20"/>
          <w:szCs w:val="20"/>
          <w:color w:val="auto"/>
        </w:rPr>
      </w:pPr>
    </w:p>
    <w:p>
      <w:pPr>
        <w:ind w:right="380"/>
        <w:spacing w:after="0" w:line="284" w:lineRule="auto"/>
        <w:rPr>
          <w:sz w:val="20"/>
          <w:szCs w:val="20"/>
          <w:color w:val="auto"/>
        </w:rPr>
      </w:pPr>
      <w:r>
        <w:rPr>
          <w:rFonts w:ascii="Arial" w:cs="Arial" w:eastAsia="Arial" w:hAnsi="Arial"/>
          <w:sz w:val="15"/>
          <w:szCs w:val="15"/>
          <w:color w:val="auto"/>
        </w:rPr>
        <w:t>Jeffrey A. Joerres, ManpowerGroup Chairman and CEO, said, “ManpowerGroup posted a very solid first quarter, with gains in both revenue and profitability coming from almost all business lines and geographies. Several European and emerging markets showed particularly strong trends.</w:t>
      </w:r>
    </w:p>
    <w:p>
      <w:pPr>
        <w:spacing w:after="0" w:line="163" w:lineRule="exact"/>
        <w:rPr>
          <w:sz w:val="20"/>
          <w:szCs w:val="20"/>
          <w:color w:val="auto"/>
        </w:rPr>
      </w:pPr>
    </w:p>
    <w:p>
      <w:pPr>
        <w:ind w:right="540"/>
        <w:spacing w:after="0" w:line="285" w:lineRule="auto"/>
        <w:rPr>
          <w:sz w:val="20"/>
          <w:szCs w:val="20"/>
          <w:color w:val="auto"/>
        </w:rPr>
      </w:pPr>
      <w:r>
        <w:rPr>
          <w:rFonts w:ascii="Arial" w:cs="Arial" w:eastAsia="Arial" w:hAnsi="Arial"/>
          <w:sz w:val="15"/>
          <w:szCs w:val="15"/>
          <w:color w:val="auto"/>
        </w:rPr>
        <w:t>“During the quarter, we launched the reinvention of the brand with the evolution to ManpowerGroup. We also launched our new brand family and our new professional resourcing company, Experis</w:t>
      </w:r>
      <w:r>
        <w:rPr>
          <w:rFonts w:ascii="Arial" w:cs="Arial" w:eastAsia="Arial" w:hAnsi="Arial"/>
          <w:sz w:val="21"/>
          <w:szCs w:val="21"/>
          <w:color w:val="auto"/>
          <w:vertAlign w:val="superscript"/>
        </w:rPr>
        <w:t>TM</w:t>
      </w:r>
      <w:r>
        <w:rPr>
          <w:rFonts w:ascii="Arial" w:cs="Arial" w:eastAsia="Arial" w:hAnsi="Arial"/>
          <w:sz w:val="15"/>
          <w:szCs w:val="15"/>
          <w:color w:val="auto"/>
        </w:rPr>
        <w:t>.</w:t>
      </w:r>
    </w:p>
    <w:p>
      <w:pPr>
        <w:spacing w:after="0" w:line="80" w:lineRule="exact"/>
        <w:rPr>
          <w:sz w:val="20"/>
          <w:szCs w:val="20"/>
          <w:color w:val="auto"/>
        </w:rPr>
      </w:pPr>
    </w:p>
    <w:p>
      <w:pPr>
        <w:ind w:right="360"/>
        <w:spacing w:after="0" w:line="284" w:lineRule="auto"/>
        <w:rPr>
          <w:sz w:val="20"/>
          <w:szCs w:val="20"/>
          <w:color w:val="auto"/>
        </w:rPr>
      </w:pPr>
      <w:r>
        <w:rPr>
          <w:rFonts w:ascii="Arial" w:cs="Arial" w:eastAsia="Arial" w:hAnsi="Arial"/>
          <w:sz w:val="15"/>
          <w:szCs w:val="15"/>
          <w:color w:val="auto"/>
        </w:rPr>
        <w:t>“Additionally, earlier this month we made an acquisition which is strategically significant – an IT resourcing company in India with 5 locations throughout the country. Not only does this give ManpowerGroup a strong foothold in India, but it also is a springboard for growth throughout the Asia Pacific Middle East region.</w:t>
      </w:r>
    </w:p>
    <w:p>
      <w:pPr>
        <w:spacing w:after="0" w:line="163" w:lineRule="exact"/>
        <w:rPr>
          <w:sz w:val="20"/>
          <w:szCs w:val="20"/>
          <w:color w:val="auto"/>
        </w:rPr>
      </w:pPr>
    </w:p>
    <w:p>
      <w:pPr>
        <w:ind w:right="400"/>
        <w:spacing w:after="0" w:line="284" w:lineRule="auto"/>
        <w:rPr>
          <w:sz w:val="20"/>
          <w:szCs w:val="20"/>
          <w:color w:val="auto"/>
        </w:rPr>
      </w:pPr>
      <w:r>
        <w:rPr>
          <w:rFonts w:ascii="Arial" w:cs="Arial" w:eastAsia="Arial" w:hAnsi="Arial"/>
          <w:sz w:val="15"/>
          <w:szCs w:val="15"/>
          <w:color w:val="auto"/>
        </w:rPr>
        <w:t>“We anticipate that favorable trends will continue into the second quarter, resulting in earnings per share of 74 cents to 82 cents. This includes a favorable impact of 8 cents per share related to currency changes in the quarter.”</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In conjunction with its first quarter earnings release, ManpowerGroup will broadcast its conference call live over the Internet on April 21, 2011 at 7:30 a.m. CDT (8:30 a.m. EDT).</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Interested parties are invited to listen to the webcast and view the presentation by logging on to </w:t>
      </w:r>
      <w:r>
        <w:rPr>
          <w:rFonts w:ascii="Arial" w:cs="Arial" w:eastAsia="Arial" w:hAnsi="Arial"/>
          <w:sz w:val="15"/>
          <w:szCs w:val="15"/>
          <w:u w:val="single" w:color="auto"/>
          <w:color w:val="auto"/>
        </w:rPr>
        <w:t>http://www.manpowergroup.com/investors</w:t>
      </w:r>
      <w:r>
        <w:rPr>
          <w:rFonts w:ascii="Arial" w:cs="Arial" w:eastAsia="Arial" w:hAnsi="Arial"/>
          <w:sz w:val="15"/>
          <w:szCs w:val="15"/>
          <w:color w:val="auto"/>
        </w:rPr>
        <w:t>.</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Supplemental financial information referenced in the conference call can be found at </w:t>
      </w:r>
      <w:r>
        <w:rPr>
          <w:rFonts w:ascii="Arial" w:cs="Arial" w:eastAsia="Arial" w:hAnsi="Arial"/>
          <w:sz w:val="15"/>
          <w:szCs w:val="15"/>
          <w:u w:val="single" w:color="auto"/>
          <w:color w:val="auto"/>
        </w:rPr>
        <w:t>http://www.manpowergroup.com/investors</w:t>
      </w:r>
      <w:r>
        <w:rPr>
          <w:rFonts w:ascii="Arial" w:cs="Arial" w:eastAsia="Arial" w:hAnsi="Arial"/>
          <w:sz w:val="15"/>
          <w:szCs w:val="15"/>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About ManpowerGroup™</w:t>
      </w:r>
    </w:p>
    <w:p>
      <w:pPr>
        <w:spacing w:after="0" w:line="25" w:lineRule="exact"/>
        <w:rPr>
          <w:sz w:val="20"/>
          <w:szCs w:val="20"/>
          <w:color w:val="auto"/>
        </w:rPr>
      </w:pPr>
    </w:p>
    <w:p>
      <w:pPr>
        <w:ind w:right="360"/>
        <w:spacing w:after="0" w:line="266" w:lineRule="auto"/>
        <w:rPr>
          <w:sz w:val="20"/>
          <w:szCs w:val="20"/>
          <w:color w:val="auto"/>
        </w:rPr>
      </w:pPr>
      <w:r>
        <w:rPr>
          <w:rFonts w:ascii="Arial" w:cs="Arial" w:eastAsia="Arial" w:hAnsi="Arial"/>
          <w:sz w:val="14"/>
          <w:szCs w:val="14"/>
          <w:color w:val="auto"/>
        </w:rPr>
        <w:t>ManpowerGroup™ (NYSE: MAN), the world leader in innovative workforce solutions, creates and delivers high-impact solutions that enable our clients to achieve their business goals and enhance their competitiveness. With over 60 years of experience, our $19 billion company creates unique time to value through a comprehensive suite of innovative solutions that help clients win in the Human Age. These solutions cover an entire range of talent-driven needs from recruitment and assessment, training and development, and career management, to outsourcing and workforce consulting. ManpowerGroup maintains the world’s largest and industry-leading network of nearly 3,900 offices in over 80 countries and territories, generating a dynamic mix of an unmatched global footprint with valuable insight and local expertise to meet the needs of its 400,000 clients per year, across all industry sectors, small and medium-sized enterprises, local, multinational and global companies. By connecting our deep understanding of human potential to the ambitions of clients, ManpowerGroup helps the organizations and individuals we serve achieve more than they imagined – because their success leads to our success. And by creating these powerful connections, we create power that drives organizations forward, accelerates personal success and builds more sustainable communities. We help power the world of work. The ManpowerGroup suite of solutions is offered through ManpowerGroup™ Solutions, Manpower</w:t>
      </w:r>
      <w:r>
        <w:rPr>
          <w:rFonts w:ascii="Arial" w:cs="Arial" w:eastAsia="Arial" w:hAnsi="Arial"/>
          <w:sz w:val="19"/>
          <w:szCs w:val="19"/>
          <w:color w:val="auto"/>
          <w:vertAlign w:val="superscript"/>
        </w:rPr>
        <w:t>®</w:t>
      </w:r>
      <w:r>
        <w:rPr>
          <w:rFonts w:ascii="Arial" w:cs="Arial" w:eastAsia="Arial" w:hAnsi="Arial"/>
          <w:sz w:val="14"/>
          <w:szCs w:val="14"/>
          <w:color w:val="auto"/>
        </w:rPr>
        <w:t>, Experis™ and Right Management</w:t>
      </w:r>
      <w:r>
        <w:rPr>
          <w:rFonts w:ascii="Arial" w:cs="Arial" w:eastAsia="Arial" w:hAnsi="Arial"/>
          <w:sz w:val="19"/>
          <w:szCs w:val="19"/>
          <w:color w:val="auto"/>
          <w:vertAlign w:val="superscript"/>
        </w:rPr>
        <w:t>®</w:t>
      </w:r>
      <w:r>
        <w:rPr>
          <w:rFonts w:ascii="Arial" w:cs="Arial" w:eastAsia="Arial" w:hAnsi="Arial"/>
          <w:sz w:val="14"/>
          <w:szCs w:val="14"/>
          <w:color w:val="auto"/>
        </w:rPr>
        <w:t xml:space="preserve">. Learn more about how the ManpowerGroup can help you win in the Human Age at </w:t>
      </w:r>
      <w:r>
        <w:rPr>
          <w:rFonts w:ascii="Arial" w:cs="Arial" w:eastAsia="Arial" w:hAnsi="Arial"/>
          <w:sz w:val="14"/>
          <w:szCs w:val="14"/>
          <w:u w:val="single" w:color="auto"/>
          <w:color w:val="auto"/>
        </w:rPr>
        <w:t>www.manpowergroup.com</w:t>
      </w:r>
      <w:r>
        <w:rPr>
          <w:rFonts w:ascii="Arial" w:cs="Arial" w:eastAsia="Arial" w:hAnsi="Arial"/>
          <w:sz w:val="14"/>
          <w:szCs w:val="14"/>
          <w:color w:val="auto"/>
        </w:rPr>
        <w:t xml:space="preserve">. Enter the Human Age at: </w:t>
      </w:r>
      <w:r>
        <w:rPr>
          <w:rFonts w:ascii="Arial" w:cs="Arial" w:eastAsia="Arial" w:hAnsi="Arial"/>
          <w:sz w:val="14"/>
          <w:szCs w:val="14"/>
          <w:u w:val="single" w:color="auto"/>
          <w:color w:val="auto"/>
        </w:rPr>
        <w:t>www.manpowergroup.com/humanage</w:t>
      </w:r>
      <w:r>
        <w:rPr>
          <w:rFonts w:ascii="Arial" w:cs="Arial" w:eastAsia="Arial" w:hAnsi="Arial"/>
          <w:sz w:val="14"/>
          <w:szCs w:val="14"/>
          <w:color w:val="auto"/>
        </w:rPr>
        <w:t>.</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Forward-Looking Statements</w:t>
      </w:r>
    </w:p>
    <w:p>
      <w:pPr>
        <w:spacing w:after="0" w:line="25" w:lineRule="exact"/>
        <w:rPr>
          <w:sz w:val="20"/>
          <w:szCs w:val="20"/>
          <w:color w:val="auto"/>
        </w:rPr>
      </w:pPr>
    </w:p>
    <w:p>
      <w:pPr>
        <w:ind w:right="480"/>
        <w:spacing w:after="0" w:line="311" w:lineRule="auto"/>
        <w:rPr>
          <w:sz w:val="20"/>
          <w:szCs w:val="20"/>
          <w:color w:val="auto"/>
        </w:rPr>
      </w:pPr>
      <w:r>
        <w:rPr>
          <w:rFonts w:ascii="Arial" w:cs="Arial" w:eastAsia="Arial" w:hAnsi="Arial"/>
          <w:sz w:val="13"/>
          <w:szCs w:val="13"/>
          <w:color w:val="auto"/>
        </w:rPr>
        <w:t>This news release contains statements, including earnings projections, that are forward-looking in nature and, accordingly, are subject to risks and uncertainties regarding the Company’s expected future results. The Company’s actual results may differ materially from those described or contemplated in the forward-looking statements. Factors that may cause the Company’s actual results to differ materially from those contained in the forward-looking statements can be found in the Company’s reports filed with the SEC, including the information under the heading ‘Risk Factors’ in its Annual Report on Form 10-K for the year ended December 31, 2010, which information is incorporated herein by reference.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279400</wp:posOffset>
            </wp:positionV>
            <wp:extent cx="7273290" cy="196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0"/>
          </w:cols>
          <w:pgMar w:left="240" w:top="116" w:right="219" w:bottom="1440" w:gutter="0" w:footer="0" w:header="0"/>
        </w:sectPr>
      </w:pPr>
    </w:p>
    <w:bookmarkStart w:id="5" w:name="page6"/>
    <w:bookmarkEnd w:id="5"/>
    <w:p>
      <w:pPr>
        <w:jc w:val="center"/>
        <w:ind w:right="131"/>
        <w:spacing w:after="0"/>
        <w:rPr>
          <w:sz w:val="20"/>
          <w:szCs w:val="20"/>
          <w:color w:val="auto"/>
        </w:rPr>
      </w:pPr>
      <w:r>
        <w:rPr>
          <w:rFonts w:ascii="Arial" w:cs="Arial" w:eastAsia="Arial" w:hAnsi="Arial"/>
          <w:sz w:val="18"/>
          <w:szCs w:val="18"/>
          <w:color w:val="auto"/>
        </w:rPr>
        <w:t>ManpowerGroup</w:t>
      </w:r>
    </w:p>
    <w:p>
      <w:pPr>
        <w:spacing w:after="0" w:line="19" w:lineRule="exact"/>
        <w:rPr>
          <w:sz w:val="20"/>
          <w:szCs w:val="20"/>
          <w:color w:val="auto"/>
        </w:rPr>
      </w:pPr>
    </w:p>
    <w:p>
      <w:pPr>
        <w:jc w:val="center"/>
        <w:ind w:right="131"/>
        <w:spacing w:after="0"/>
        <w:rPr>
          <w:sz w:val="20"/>
          <w:szCs w:val="20"/>
          <w:color w:val="auto"/>
        </w:rPr>
      </w:pPr>
      <w:r>
        <w:rPr>
          <w:rFonts w:ascii="Arial" w:cs="Arial" w:eastAsia="Arial" w:hAnsi="Arial"/>
          <w:sz w:val="15"/>
          <w:szCs w:val="15"/>
          <w:color w:val="auto"/>
        </w:rPr>
        <w:t>Results of Operations</w:t>
      </w:r>
    </w:p>
    <w:p>
      <w:pPr>
        <w:spacing w:after="0" w:line="9" w:lineRule="exact"/>
        <w:rPr>
          <w:sz w:val="20"/>
          <w:szCs w:val="20"/>
          <w:color w:val="auto"/>
        </w:rPr>
      </w:pPr>
    </w:p>
    <w:p>
      <w:pPr>
        <w:jc w:val="center"/>
        <w:ind w:right="131"/>
        <w:spacing w:after="0"/>
        <w:rPr>
          <w:sz w:val="20"/>
          <w:szCs w:val="20"/>
          <w:color w:val="auto"/>
        </w:rPr>
      </w:pPr>
      <w:r>
        <w:rPr>
          <w:rFonts w:ascii="Arial" w:cs="Arial" w:eastAsia="Arial" w:hAnsi="Arial"/>
          <w:sz w:val="15"/>
          <w:szCs w:val="15"/>
          <w:color w:val="auto"/>
        </w:rPr>
        <w:t>(In millions, except per share data)</w:t>
      </w:r>
    </w:p>
    <w:p>
      <w:pPr>
        <w:spacing w:after="0" w:line="179" w:lineRule="exact"/>
        <w:rPr>
          <w:sz w:val="20"/>
          <w:szCs w:val="20"/>
          <w:color w:val="auto"/>
        </w:rPr>
      </w:pPr>
    </w:p>
    <w:tbl>
      <w:tblPr>
        <w:tblLayout w:type="fixed"/>
        <w:tblInd w:w="9"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6"/>
          </w:tcPr>
          <w:p>
            <w:pPr>
              <w:jc w:val="center"/>
              <w:ind w:right="640"/>
              <w:spacing w:after="0"/>
              <w:rPr>
                <w:sz w:val="20"/>
                <w:szCs w:val="20"/>
                <w:color w:val="auto"/>
              </w:rPr>
            </w:pPr>
            <w:r>
              <w:rPr>
                <w:rFonts w:ascii="Arial" w:cs="Arial" w:eastAsia="Arial" w:hAnsi="Arial"/>
                <w:sz w:val="15"/>
                <w:szCs w:val="15"/>
                <w:b w:val="1"/>
                <w:bCs w:val="1"/>
                <w:color w:val="auto"/>
                <w:w w:val="93"/>
              </w:rPr>
              <w:t>Three Months Ended March 31</w:t>
            </w:r>
          </w:p>
        </w:tc>
        <w:tc>
          <w:tcPr>
            <w:tcW w:w="8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620"/>
              <w:spacing w:after="0"/>
              <w:rPr>
                <w:sz w:val="20"/>
                <w:szCs w:val="20"/>
                <w:color w:val="auto"/>
              </w:rPr>
            </w:pPr>
            <w:r>
              <w:rPr>
                <w:rFonts w:ascii="Arial" w:cs="Arial" w:eastAsia="Arial" w:hAnsi="Arial"/>
                <w:sz w:val="15"/>
                <w:szCs w:val="15"/>
                <w:b w:val="1"/>
                <w:bCs w:val="1"/>
                <w:color w:val="auto"/>
                <w:w w:val="94"/>
              </w:rPr>
              <w:t>% Variance</w:t>
            </w:r>
          </w:p>
        </w:tc>
        <w:tc>
          <w:tcPr>
            <w:tcW w:w="8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3"/>
          </w:tcPr>
          <w:p>
            <w:pPr>
              <w:ind w:left="40"/>
              <w:spacing w:after="0" w:line="169" w:lineRule="exact"/>
              <w:rPr>
                <w:sz w:val="20"/>
                <w:szCs w:val="20"/>
                <w:color w:val="auto"/>
              </w:rPr>
            </w:pPr>
            <w:r>
              <w:rPr>
                <w:rFonts w:ascii="Arial" w:cs="Arial" w:eastAsia="Arial" w:hAnsi="Arial"/>
                <w:sz w:val="15"/>
                <w:szCs w:val="15"/>
                <w:b w:val="1"/>
                <w:bCs w:val="1"/>
                <w:color w:val="auto"/>
              </w:rPr>
              <w:t>Amount</w:t>
            </w:r>
          </w:p>
        </w:tc>
        <w:tc>
          <w:tcPr>
            <w:tcW w:w="880" w:type="dxa"/>
            <w:vAlign w:val="bottom"/>
          </w:tcPr>
          <w:p>
            <w:pPr>
              <w:jc w:val="right"/>
              <w:ind w:right="204"/>
              <w:spacing w:after="0" w:line="169" w:lineRule="exact"/>
              <w:rPr>
                <w:sz w:val="20"/>
                <w:szCs w:val="20"/>
                <w:color w:val="auto"/>
              </w:rPr>
            </w:pPr>
            <w:r>
              <w:rPr>
                <w:rFonts w:ascii="Arial" w:cs="Arial" w:eastAsia="Arial" w:hAnsi="Arial"/>
                <w:sz w:val="15"/>
                <w:szCs w:val="15"/>
                <w:b w:val="1"/>
                <w:bCs w:val="1"/>
                <w:color w:val="auto"/>
                <w:w w:val="89"/>
              </w:rPr>
              <w:t>Constant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2011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2010</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Reported</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b w:val="1"/>
                <w:bCs w:val="1"/>
                <w:color w:val="auto"/>
                <w:w w:val="91"/>
              </w:rPr>
              <w:t>Currency</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3"/>
          </w:tcPr>
          <w:p>
            <w:pPr>
              <w:jc w:val="center"/>
              <w:ind w:left="684"/>
              <w:spacing w:after="0"/>
              <w:rPr>
                <w:sz w:val="20"/>
                <w:szCs w:val="20"/>
                <w:color w:val="auto"/>
              </w:rPr>
            </w:pPr>
            <w:r>
              <w:rPr>
                <w:rFonts w:ascii="Arial" w:cs="Arial" w:eastAsia="Arial" w:hAnsi="Arial"/>
                <w:sz w:val="15"/>
                <w:szCs w:val="15"/>
                <w:color w:val="auto"/>
                <w:w w:val="91"/>
              </w:rPr>
              <w:t>(Unaudited)</w:t>
            </w: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5"/>
                <w:szCs w:val="15"/>
                <w:color w:val="auto"/>
              </w:rPr>
              <w:t>Revenues from services (a)</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5,072.4</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4,099.3</w:t>
            </w: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23.7%</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21.8%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tcPr>
          <w:p>
            <w:pPr>
              <w:spacing w:after="0"/>
              <w:rPr>
                <w:sz w:val="20"/>
                <w:szCs w:val="20"/>
                <w:color w:val="auto"/>
              </w:rPr>
            </w:pPr>
            <w:r>
              <w:rPr>
                <w:rFonts w:ascii="Arial" w:cs="Arial" w:eastAsia="Arial" w:hAnsi="Arial"/>
                <w:sz w:val="15"/>
                <w:szCs w:val="15"/>
                <w:color w:val="auto"/>
              </w:rPr>
              <w:t>Cost of services</w:t>
            </w:r>
          </w:p>
        </w:tc>
        <w:tc>
          <w:tcPr>
            <w:tcW w:w="24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4,214.8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3,397.8</w:t>
            </w:r>
          </w:p>
        </w:tc>
        <w:tc>
          <w:tcPr>
            <w:tcW w:w="2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24.0%</w:t>
            </w:r>
          </w:p>
        </w:tc>
        <w:tc>
          <w:tcPr>
            <w:tcW w:w="26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22.1%</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ind w:left="40"/>
              <w:spacing w:after="0"/>
              <w:rPr>
                <w:sz w:val="20"/>
                <w:szCs w:val="20"/>
                <w:color w:val="auto"/>
              </w:rPr>
            </w:pPr>
            <w:r>
              <w:rPr>
                <w:rFonts w:ascii="Arial" w:cs="Arial" w:eastAsia="Arial" w:hAnsi="Arial"/>
                <w:sz w:val="15"/>
                <w:szCs w:val="15"/>
                <w:color w:val="auto"/>
              </w:rPr>
              <w:t>Gross profit</w:t>
            </w: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857.6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701.5</w:t>
            </w: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22.2%</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20.1%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tcPr>
          <w:p>
            <w:pPr>
              <w:spacing w:after="0"/>
              <w:rPr>
                <w:sz w:val="20"/>
                <w:szCs w:val="20"/>
                <w:color w:val="auto"/>
              </w:rPr>
            </w:pPr>
            <w:r>
              <w:rPr>
                <w:rFonts w:ascii="Arial" w:cs="Arial" w:eastAsia="Arial" w:hAnsi="Arial"/>
                <w:sz w:val="15"/>
                <w:szCs w:val="15"/>
                <w:color w:val="auto"/>
              </w:rPr>
              <w:t>Selling and administrative expenses</w:t>
            </w:r>
          </w:p>
        </w:tc>
        <w:tc>
          <w:tcPr>
            <w:tcW w:w="24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772.0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668.9</w:t>
            </w:r>
          </w:p>
        </w:tc>
        <w:tc>
          <w:tcPr>
            <w:tcW w:w="2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15.4%</w:t>
            </w:r>
          </w:p>
        </w:tc>
        <w:tc>
          <w:tcPr>
            <w:tcW w:w="26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13.7%</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ind w:left="40"/>
              <w:spacing w:after="0"/>
              <w:rPr>
                <w:sz w:val="20"/>
                <w:szCs w:val="20"/>
                <w:color w:val="auto"/>
              </w:rPr>
            </w:pPr>
            <w:r>
              <w:rPr>
                <w:rFonts w:ascii="Arial" w:cs="Arial" w:eastAsia="Arial" w:hAnsi="Arial"/>
                <w:sz w:val="15"/>
                <w:szCs w:val="15"/>
                <w:color w:val="auto"/>
              </w:rPr>
              <w:t>Operating profit</w:t>
            </w: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85.6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32.6</w:t>
            </w: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162.7%</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152.3%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tcPr>
          <w:p>
            <w:pPr>
              <w:spacing w:after="0"/>
              <w:rPr>
                <w:sz w:val="20"/>
                <w:szCs w:val="20"/>
                <w:color w:val="auto"/>
              </w:rPr>
            </w:pPr>
            <w:r>
              <w:rPr>
                <w:rFonts w:ascii="Arial" w:cs="Arial" w:eastAsia="Arial" w:hAnsi="Arial"/>
                <w:sz w:val="15"/>
                <w:szCs w:val="15"/>
                <w:color w:val="auto"/>
              </w:rPr>
              <w:t>Interest and other expenses</w:t>
            </w:r>
          </w:p>
        </w:tc>
        <w:tc>
          <w:tcPr>
            <w:tcW w:w="24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11.1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12.9</w:t>
            </w:r>
          </w:p>
        </w:tc>
        <w:tc>
          <w:tcPr>
            <w:tcW w:w="2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-13.7%</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ind w:left="40"/>
              <w:spacing w:after="0"/>
              <w:rPr>
                <w:sz w:val="20"/>
                <w:szCs w:val="20"/>
                <w:color w:val="auto"/>
              </w:rPr>
            </w:pPr>
            <w:r>
              <w:rPr>
                <w:rFonts w:ascii="Arial" w:cs="Arial" w:eastAsia="Arial" w:hAnsi="Arial"/>
                <w:sz w:val="15"/>
                <w:szCs w:val="15"/>
                <w:color w:val="auto"/>
              </w:rPr>
              <w:t>Earnings before income taxes</w:t>
            </w: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74.5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19.7</w:t>
            </w: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278.4%</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259.7%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tcPr>
          <w:p>
            <w:pPr>
              <w:spacing w:after="0"/>
              <w:rPr>
                <w:sz w:val="20"/>
                <w:szCs w:val="20"/>
                <w:color w:val="auto"/>
              </w:rPr>
            </w:pPr>
            <w:r>
              <w:rPr>
                <w:rFonts w:ascii="Arial" w:cs="Arial" w:eastAsia="Arial" w:hAnsi="Arial"/>
                <w:sz w:val="15"/>
                <w:szCs w:val="15"/>
                <w:color w:val="auto"/>
              </w:rPr>
              <w:t>Provision for income taxes</w:t>
            </w:r>
          </w:p>
        </w:tc>
        <w:tc>
          <w:tcPr>
            <w:tcW w:w="24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38.8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16.9</w:t>
            </w:r>
          </w:p>
        </w:tc>
        <w:tc>
          <w:tcPr>
            <w:tcW w:w="2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130.5%</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earnings</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35.7</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2.8</w:t>
            </w:r>
          </w:p>
        </w:tc>
        <w:tc>
          <w:tcPr>
            <w:tcW w:w="260" w:type="dxa"/>
            <w:vAlign w:val="bottom"/>
            <w:shd w:val="clear" w:color="auto" w:fill="CCEEFF"/>
          </w:tcPr>
          <w:p>
            <w:pPr>
              <w:spacing w:after="0"/>
              <w:rPr>
                <w:sz w:val="17"/>
                <w:szCs w:val="17"/>
                <w:color w:val="auto"/>
              </w:rPr>
            </w:pPr>
          </w:p>
        </w:tc>
        <w:tc>
          <w:tcPr>
            <w:tcW w:w="1400" w:type="dxa"/>
            <w:vAlign w:val="bottom"/>
            <w:gridSpan w:val="3"/>
            <w:shd w:val="clear" w:color="auto" w:fill="CCEEFF"/>
          </w:tcPr>
          <w:p>
            <w:pPr>
              <w:ind w:left="620"/>
              <w:spacing w:after="0"/>
              <w:rPr>
                <w:sz w:val="20"/>
                <w:szCs w:val="20"/>
                <w:color w:val="auto"/>
              </w:rPr>
            </w:pPr>
            <w:r>
              <w:rPr>
                <w:rFonts w:ascii="Arial" w:cs="Arial" w:eastAsia="Arial" w:hAnsi="Arial"/>
                <w:sz w:val="15"/>
                <w:szCs w:val="15"/>
                <w:color w:val="auto"/>
              </w:rPr>
              <w:t>N/A</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6000" w:type="dxa"/>
            <w:vAlign w:val="bottom"/>
          </w:tcPr>
          <w:p>
            <w:pPr>
              <w:spacing w:after="0" w:line="169" w:lineRule="exact"/>
              <w:rPr>
                <w:sz w:val="20"/>
                <w:szCs w:val="20"/>
                <w:color w:val="auto"/>
              </w:rPr>
            </w:pPr>
            <w:r>
              <w:rPr>
                <w:rFonts w:ascii="Arial" w:cs="Arial" w:eastAsia="Arial" w:hAnsi="Arial"/>
                <w:sz w:val="15"/>
                <w:szCs w:val="15"/>
                <w:color w:val="auto"/>
              </w:rPr>
              <w:t>Net earnings per share - basic</w:t>
            </w:r>
          </w:p>
        </w:tc>
        <w:tc>
          <w:tcPr>
            <w:tcW w:w="240" w:type="dxa"/>
            <w:vAlign w:val="bottom"/>
          </w:tcPr>
          <w:p>
            <w:pPr>
              <w:jc w:val="right"/>
              <w:ind w:right="84"/>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0.44</w:t>
            </w:r>
          </w:p>
        </w:tc>
        <w:tc>
          <w:tcPr>
            <w:tcW w:w="26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0.04</w:t>
            </w:r>
          </w:p>
        </w:tc>
        <w:tc>
          <w:tcPr>
            <w:tcW w:w="260" w:type="dxa"/>
            <w:vAlign w:val="bottom"/>
          </w:tcPr>
          <w:p>
            <w:pPr>
              <w:spacing w:after="0"/>
              <w:rPr>
                <w:sz w:val="14"/>
                <w:szCs w:val="14"/>
                <w:color w:val="auto"/>
              </w:rPr>
            </w:pPr>
          </w:p>
        </w:tc>
        <w:tc>
          <w:tcPr>
            <w:tcW w:w="1400" w:type="dxa"/>
            <w:vAlign w:val="bottom"/>
            <w:gridSpan w:val="3"/>
          </w:tcPr>
          <w:p>
            <w:pPr>
              <w:ind w:left="620"/>
              <w:spacing w:after="0" w:line="169" w:lineRule="exact"/>
              <w:rPr>
                <w:sz w:val="20"/>
                <w:szCs w:val="20"/>
                <w:color w:val="auto"/>
              </w:rPr>
            </w:pPr>
            <w:r>
              <w:rPr>
                <w:rFonts w:ascii="Arial" w:cs="Arial" w:eastAsia="Arial" w:hAnsi="Arial"/>
                <w:sz w:val="15"/>
                <w:szCs w:val="15"/>
                <w:color w:val="auto"/>
              </w:rPr>
              <w:t>N/A</w:t>
            </w: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0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Net earnings per share - diluted</w:t>
            </w:r>
          </w:p>
        </w:tc>
        <w:tc>
          <w:tcPr>
            <w:tcW w:w="240" w:type="dxa"/>
            <w:vAlign w:val="bottom"/>
            <w:shd w:val="clear" w:color="auto" w:fill="CCEEFF"/>
          </w:tcPr>
          <w:p>
            <w:pPr>
              <w:jc w:val="right"/>
              <w:ind w:right="84"/>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0.43</w:t>
            </w:r>
          </w:p>
        </w:tc>
        <w:tc>
          <w:tcPr>
            <w:tcW w:w="260" w:type="dxa"/>
            <w:vAlign w:val="bottom"/>
            <w:gridSpan w:val="2"/>
            <w:shd w:val="clear" w:color="auto" w:fill="CCEEFF"/>
          </w:tcPr>
          <w:p>
            <w:pPr>
              <w:jc w:val="right"/>
              <w:ind w:right="80"/>
              <w:spacing w:after="0" w:line="169" w:lineRule="exact"/>
              <w:rPr>
                <w:sz w:val="20"/>
                <w:szCs w:val="20"/>
                <w:color w:val="auto"/>
              </w:rPr>
            </w:pPr>
            <w:r>
              <w:rPr>
                <w:rFonts w:ascii="Arial" w:cs="Arial" w:eastAsia="Arial" w:hAnsi="Arial"/>
                <w:sz w:val="15"/>
                <w:szCs w:val="15"/>
                <w:color w:val="auto"/>
              </w:rPr>
              <w:t>$</w:t>
            </w:r>
          </w:p>
        </w:tc>
        <w:tc>
          <w:tcPr>
            <w:tcW w:w="122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0.04</w:t>
            </w:r>
          </w:p>
        </w:tc>
        <w:tc>
          <w:tcPr>
            <w:tcW w:w="260" w:type="dxa"/>
            <w:vAlign w:val="bottom"/>
            <w:shd w:val="clear" w:color="auto" w:fill="CCEEFF"/>
          </w:tcPr>
          <w:p>
            <w:pPr>
              <w:spacing w:after="0"/>
              <w:rPr>
                <w:sz w:val="16"/>
                <w:szCs w:val="16"/>
                <w:color w:val="auto"/>
              </w:rPr>
            </w:pPr>
          </w:p>
        </w:tc>
        <w:tc>
          <w:tcPr>
            <w:tcW w:w="1400" w:type="dxa"/>
            <w:vAlign w:val="bottom"/>
            <w:gridSpan w:val="3"/>
            <w:shd w:val="clear" w:color="auto" w:fill="CCEEFF"/>
          </w:tcPr>
          <w:p>
            <w:pPr>
              <w:ind w:left="620"/>
              <w:spacing w:after="0" w:line="169" w:lineRule="exact"/>
              <w:rPr>
                <w:sz w:val="20"/>
                <w:szCs w:val="20"/>
                <w:color w:val="auto"/>
              </w:rPr>
            </w:pPr>
            <w:r>
              <w:rPr>
                <w:rFonts w:ascii="Arial" w:cs="Arial" w:eastAsia="Arial" w:hAnsi="Arial"/>
                <w:sz w:val="15"/>
                <w:szCs w:val="15"/>
                <w:color w:val="auto"/>
              </w:rPr>
              <w:t>N/A</w:t>
            </w:r>
          </w:p>
        </w:tc>
        <w:tc>
          <w:tcPr>
            <w:tcW w:w="102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6000" w:type="dxa"/>
            <w:vAlign w:val="bottom"/>
          </w:tcPr>
          <w:p>
            <w:pPr>
              <w:spacing w:after="0" w:line="169" w:lineRule="exact"/>
              <w:rPr>
                <w:sz w:val="20"/>
                <w:szCs w:val="20"/>
                <w:color w:val="auto"/>
              </w:rPr>
            </w:pPr>
            <w:r>
              <w:rPr>
                <w:rFonts w:ascii="Arial" w:cs="Arial" w:eastAsia="Arial" w:hAnsi="Arial"/>
                <w:sz w:val="15"/>
                <w:szCs w:val="15"/>
                <w:color w:val="auto"/>
              </w:rPr>
              <w:t>Weighted average shares - basic</w:t>
            </w:r>
          </w:p>
        </w:tc>
        <w:tc>
          <w:tcPr>
            <w:tcW w:w="240" w:type="dxa"/>
            <w:vAlign w:val="bottom"/>
          </w:tcPr>
          <w:p>
            <w:pPr>
              <w:spacing w:after="0"/>
              <w:rPr>
                <w:sz w:val="14"/>
                <w:szCs w:val="14"/>
                <w:color w:val="auto"/>
              </w:rPr>
            </w:pPr>
          </w:p>
        </w:tc>
        <w:tc>
          <w:tcPr>
            <w:tcW w:w="102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81.9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78.6</w:t>
            </w:r>
          </w:p>
        </w:tc>
        <w:tc>
          <w:tcPr>
            <w:tcW w:w="260" w:type="dxa"/>
            <w:vAlign w:val="bottom"/>
          </w:tcPr>
          <w:p>
            <w:pPr>
              <w:spacing w:after="0"/>
              <w:rPr>
                <w:sz w:val="14"/>
                <w:szCs w:val="14"/>
                <w:color w:val="auto"/>
              </w:rPr>
            </w:pPr>
          </w:p>
        </w:tc>
        <w:tc>
          <w:tcPr>
            <w:tcW w:w="114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4.1%</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0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Weighted average shares - diluted</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83.6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79.9</w:t>
            </w:r>
          </w:p>
        </w:tc>
        <w:tc>
          <w:tcPr>
            <w:tcW w:w="2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4.7%</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9" w:right="340" w:hanging="9"/>
        <w:spacing w:after="0" w:line="269" w:lineRule="auto"/>
        <w:tabs>
          <w:tab w:leader="none" w:pos="216" w:val="left"/>
        </w:tabs>
        <w:numPr>
          <w:ilvl w:val="0"/>
          <w:numId w:val="1"/>
        </w:numPr>
        <w:rPr>
          <w:rFonts w:ascii="Arial" w:cs="Arial" w:eastAsia="Arial" w:hAnsi="Arial"/>
          <w:sz w:val="15"/>
          <w:szCs w:val="15"/>
          <w:color w:val="auto"/>
        </w:rPr>
      </w:pPr>
      <w:r>
        <w:rPr>
          <w:rFonts w:ascii="Arial" w:cs="Arial" w:eastAsia="Arial" w:hAnsi="Arial"/>
          <w:sz w:val="15"/>
          <w:szCs w:val="15"/>
          <w:color w:val="auto"/>
        </w:rPr>
        <w:t>Revenues from services include fees received from our franchise offices of $5.9 million and $4.6 million for the three months ended March 31, 2011 and 2010, respectively. These fees are primarily based on revenues generated by the franchise offices, which were $274.5 million and $193.9 million for the three months ended March 31, 2011 and 2010,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383540</wp:posOffset>
            </wp:positionV>
            <wp:extent cx="7273290" cy="196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1449"/>
          </w:cols>
          <w:pgMar w:left="231" w:top="532" w:right="219" w:bottom="1440" w:gutter="0" w:footer="0" w:header="0"/>
        </w:sectPr>
      </w:pPr>
    </w:p>
    <w:bookmarkStart w:id="6" w:name="page7"/>
    <w:bookmarkEnd w:id="6"/>
    <w:p>
      <w:pPr>
        <w:jc w:val="center"/>
        <w:ind w:right="131"/>
        <w:spacing w:after="0"/>
        <w:rPr>
          <w:sz w:val="20"/>
          <w:szCs w:val="20"/>
          <w:color w:val="auto"/>
        </w:rPr>
      </w:pPr>
      <w:r>
        <w:rPr>
          <w:rFonts w:ascii="Arial" w:cs="Arial" w:eastAsia="Arial" w:hAnsi="Arial"/>
          <w:sz w:val="18"/>
          <w:szCs w:val="18"/>
          <w:color w:val="auto"/>
        </w:rPr>
        <w:t>ManpowerGroup</w:t>
      </w:r>
    </w:p>
    <w:p>
      <w:pPr>
        <w:spacing w:after="0" w:line="19" w:lineRule="exact"/>
        <w:rPr>
          <w:sz w:val="20"/>
          <w:szCs w:val="20"/>
          <w:color w:val="auto"/>
        </w:rPr>
      </w:pPr>
    </w:p>
    <w:p>
      <w:pPr>
        <w:jc w:val="center"/>
        <w:ind w:right="131"/>
        <w:spacing w:after="0"/>
        <w:rPr>
          <w:sz w:val="20"/>
          <w:szCs w:val="20"/>
          <w:color w:val="auto"/>
        </w:rPr>
      </w:pPr>
      <w:r>
        <w:rPr>
          <w:rFonts w:ascii="Arial" w:cs="Arial" w:eastAsia="Arial" w:hAnsi="Arial"/>
          <w:sz w:val="15"/>
          <w:szCs w:val="15"/>
          <w:color w:val="auto"/>
        </w:rPr>
        <w:t>Operating Unit Results</w:t>
      </w:r>
    </w:p>
    <w:p>
      <w:pPr>
        <w:spacing w:after="0" w:line="9" w:lineRule="exact"/>
        <w:rPr>
          <w:sz w:val="20"/>
          <w:szCs w:val="20"/>
          <w:color w:val="auto"/>
        </w:rPr>
      </w:pPr>
    </w:p>
    <w:p>
      <w:pPr>
        <w:jc w:val="center"/>
        <w:ind w:right="131"/>
        <w:spacing w:after="0"/>
        <w:rPr>
          <w:sz w:val="20"/>
          <w:szCs w:val="20"/>
          <w:color w:val="auto"/>
        </w:rPr>
      </w:pPr>
      <w:r>
        <w:rPr>
          <w:rFonts w:ascii="Arial" w:cs="Arial" w:eastAsia="Arial" w:hAnsi="Arial"/>
          <w:sz w:val="15"/>
          <w:szCs w:val="15"/>
          <w:color w:val="auto"/>
        </w:rPr>
        <w:t>(In millions)</w:t>
      </w:r>
    </w:p>
    <w:p>
      <w:pPr>
        <w:spacing w:after="0" w:line="179" w:lineRule="exact"/>
        <w:rPr>
          <w:sz w:val="20"/>
          <w:szCs w:val="20"/>
          <w:color w:val="auto"/>
        </w:rPr>
      </w:pPr>
    </w:p>
    <w:tbl>
      <w:tblPr>
        <w:tblLayout w:type="fixed"/>
        <w:tblInd w:w="9"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6"/>
          </w:tcPr>
          <w:p>
            <w:pPr>
              <w:jc w:val="center"/>
              <w:ind w:right="640"/>
              <w:spacing w:after="0"/>
              <w:rPr>
                <w:sz w:val="20"/>
                <w:szCs w:val="20"/>
                <w:color w:val="auto"/>
              </w:rPr>
            </w:pPr>
            <w:r>
              <w:rPr>
                <w:rFonts w:ascii="Arial" w:cs="Arial" w:eastAsia="Arial" w:hAnsi="Arial"/>
                <w:sz w:val="15"/>
                <w:szCs w:val="15"/>
                <w:b w:val="1"/>
                <w:bCs w:val="1"/>
                <w:color w:val="auto"/>
                <w:w w:val="93"/>
              </w:rPr>
              <w:t>Three Months Ended March 31</w:t>
            </w:r>
          </w:p>
        </w:tc>
        <w:tc>
          <w:tcPr>
            <w:tcW w:w="8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620"/>
              <w:spacing w:after="0"/>
              <w:rPr>
                <w:sz w:val="20"/>
                <w:szCs w:val="20"/>
                <w:color w:val="auto"/>
              </w:rPr>
            </w:pPr>
            <w:r>
              <w:rPr>
                <w:rFonts w:ascii="Arial" w:cs="Arial" w:eastAsia="Arial" w:hAnsi="Arial"/>
                <w:sz w:val="15"/>
                <w:szCs w:val="15"/>
                <w:b w:val="1"/>
                <w:bCs w:val="1"/>
                <w:color w:val="auto"/>
                <w:w w:val="94"/>
              </w:rPr>
              <w:t>% Variance</w:t>
            </w:r>
          </w:p>
        </w:tc>
        <w:tc>
          <w:tcPr>
            <w:tcW w:w="8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3"/>
          </w:tcPr>
          <w:p>
            <w:pPr>
              <w:ind w:left="40"/>
              <w:spacing w:after="0" w:line="169" w:lineRule="exact"/>
              <w:rPr>
                <w:sz w:val="20"/>
                <w:szCs w:val="20"/>
                <w:color w:val="auto"/>
              </w:rPr>
            </w:pPr>
            <w:r>
              <w:rPr>
                <w:rFonts w:ascii="Arial" w:cs="Arial" w:eastAsia="Arial" w:hAnsi="Arial"/>
                <w:sz w:val="15"/>
                <w:szCs w:val="15"/>
                <w:b w:val="1"/>
                <w:bCs w:val="1"/>
                <w:color w:val="auto"/>
              </w:rPr>
              <w:t>Amount</w:t>
            </w:r>
          </w:p>
        </w:tc>
        <w:tc>
          <w:tcPr>
            <w:tcW w:w="880" w:type="dxa"/>
            <w:vAlign w:val="bottom"/>
          </w:tcPr>
          <w:p>
            <w:pPr>
              <w:jc w:val="right"/>
              <w:ind w:right="204"/>
              <w:spacing w:after="0" w:line="169" w:lineRule="exact"/>
              <w:rPr>
                <w:sz w:val="20"/>
                <w:szCs w:val="20"/>
                <w:color w:val="auto"/>
              </w:rPr>
            </w:pPr>
            <w:r>
              <w:rPr>
                <w:rFonts w:ascii="Arial" w:cs="Arial" w:eastAsia="Arial" w:hAnsi="Arial"/>
                <w:sz w:val="15"/>
                <w:szCs w:val="15"/>
                <w:b w:val="1"/>
                <w:bCs w:val="1"/>
                <w:color w:val="auto"/>
                <w:w w:val="89"/>
              </w:rPr>
              <w:t>Constant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2011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2010</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Reported</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b w:val="1"/>
                <w:bCs w:val="1"/>
                <w:color w:val="auto"/>
                <w:w w:val="91"/>
              </w:rPr>
              <w:t>Currency</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3"/>
          </w:tcPr>
          <w:p>
            <w:pPr>
              <w:jc w:val="center"/>
              <w:ind w:left="684"/>
              <w:spacing w:after="0"/>
              <w:rPr>
                <w:sz w:val="20"/>
                <w:szCs w:val="20"/>
                <w:color w:val="auto"/>
              </w:rPr>
            </w:pPr>
            <w:r>
              <w:rPr>
                <w:rFonts w:ascii="Arial" w:cs="Arial" w:eastAsia="Arial" w:hAnsi="Arial"/>
                <w:sz w:val="15"/>
                <w:szCs w:val="15"/>
                <w:color w:val="auto"/>
                <w:w w:val="91"/>
              </w:rPr>
              <w:t>(Unaudited)</w:t>
            </w: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5"/>
                <w:szCs w:val="15"/>
                <w:color w:val="auto"/>
              </w:rPr>
              <w:t>Revenues from Services: (a)</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tcPr>
          <w:p>
            <w:pPr>
              <w:ind w:left="40"/>
              <w:spacing w:after="0"/>
              <w:rPr>
                <w:sz w:val="20"/>
                <w:szCs w:val="20"/>
                <w:color w:val="auto"/>
              </w:rPr>
            </w:pPr>
            <w:r>
              <w:rPr>
                <w:rFonts w:ascii="Arial" w:cs="Arial" w:eastAsia="Arial" w:hAnsi="Arial"/>
                <w:sz w:val="15"/>
                <w:szCs w:val="15"/>
                <w:color w:val="auto"/>
              </w:rPr>
              <w:t>Americas: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United States (b)</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750.9</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482.7</w:t>
            </w: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55.6%</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55.6%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tcPr>
          <w:p>
            <w:pPr>
              <w:ind w:left="200"/>
              <w:spacing w:after="0"/>
              <w:rPr>
                <w:sz w:val="20"/>
                <w:szCs w:val="20"/>
                <w:color w:val="auto"/>
              </w:rPr>
            </w:pPr>
            <w:r>
              <w:rPr>
                <w:rFonts w:ascii="Arial" w:cs="Arial" w:eastAsia="Arial" w:hAnsi="Arial"/>
                <w:sz w:val="15"/>
                <w:szCs w:val="15"/>
                <w:color w:val="auto"/>
              </w:rPr>
              <w:t>Other Americas</w:t>
            </w:r>
          </w:p>
        </w:tc>
        <w:tc>
          <w:tcPr>
            <w:tcW w:w="2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361.8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294.5</w:t>
            </w:r>
          </w:p>
        </w:tc>
        <w:tc>
          <w:tcPr>
            <w:tcW w:w="2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22.8%</w:t>
            </w:r>
          </w:p>
        </w:tc>
        <w:tc>
          <w:tcPr>
            <w:tcW w:w="26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19.4%</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6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1,112.7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777.2</w:t>
            </w:r>
          </w:p>
        </w:tc>
        <w:tc>
          <w:tcPr>
            <w:tcW w:w="2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43.2%</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41.9%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tcBorders>
              <w:top w:val="single" w:sz="8" w:color="CCEEFF"/>
            </w:tcBorders>
          </w:tcPr>
          <w:p>
            <w:pPr>
              <w:ind w:left="40"/>
              <w:spacing w:after="0"/>
              <w:rPr>
                <w:sz w:val="20"/>
                <w:szCs w:val="20"/>
                <w:color w:val="auto"/>
              </w:rPr>
            </w:pPr>
            <w:r>
              <w:rPr>
                <w:rFonts w:ascii="Arial" w:cs="Arial" w:eastAsia="Arial" w:hAnsi="Arial"/>
                <w:sz w:val="15"/>
                <w:szCs w:val="15"/>
                <w:color w:val="auto"/>
              </w:rPr>
              <w:t>Southern Europe:</w:t>
            </w: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88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8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France</w:t>
            </w: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1,353.8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1,107.5</w:t>
            </w: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22.2%</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23.2%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tcPr>
          <w:p>
            <w:pPr>
              <w:ind w:left="200"/>
              <w:spacing w:after="0"/>
              <w:rPr>
                <w:sz w:val="20"/>
                <w:szCs w:val="20"/>
                <w:color w:val="auto"/>
              </w:rPr>
            </w:pPr>
            <w:r>
              <w:rPr>
                <w:rFonts w:ascii="Arial" w:cs="Arial" w:eastAsia="Arial" w:hAnsi="Arial"/>
                <w:sz w:val="15"/>
                <w:szCs w:val="15"/>
                <w:color w:val="auto"/>
              </w:rPr>
              <w:t>Italy</w:t>
            </w:r>
          </w:p>
        </w:tc>
        <w:tc>
          <w:tcPr>
            <w:tcW w:w="2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284.6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234.2</w:t>
            </w:r>
          </w:p>
        </w:tc>
        <w:tc>
          <w:tcPr>
            <w:tcW w:w="2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21.5%</w:t>
            </w:r>
          </w:p>
        </w:tc>
        <w:tc>
          <w:tcPr>
            <w:tcW w:w="26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22.4%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Other Southern Europe</w:t>
            </w: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180.0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158.4</w:t>
            </w: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13.7%</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13.1%</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0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1,818.4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1,500.1</w:t>
            </w:r>
          </w:p>
        </w:tc>
        <w:tc>
          <w:tcPr>
            <w:tcW w:w="2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21.2%</w:t>
            </w:r>
          </w:p>
        </w:tc>
        <w:tc>
          <w:tcPr>
            <w:tcW w:w="26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22.0%</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ind w:left="40"/>
              <w:spacing w:after="0"/>
              <w:rPr>
                <w:sz w:val="20"/>
                <w:szCs w:val="20"/>
                <w:color w:val="auto"/>
              </w:rPr>
            </w:pPr>
            <w:r>
              <w:rPr>
                <w:rFonts w:ascii="Arial" w:cs="Arial" w:eastAsia="Arial" w:hAnsi="Arial"/>
                <w:sz w:val="15"/>
                <w:szCs w:val="15"/>
                <w:color w:val="auto"/>
              </w:rPr>
              <w:t>Northern Europe</w:t>
            </w: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1,456.6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1,221.2</w:t>
            </w: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19.3%</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16.7%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tcPr>
          <w:p>
            <w:pPr>
              <w:ind w:left="40"/>
              <w:spacing w:after="0"/>
              <w:rPr>
                <w:sz w:val="20"/>
                <w:szCs w:val="20"/>
                <w:color w:val="auto"/>
              </w:rPr>
            </w:pPr>
            <w:r>
              <w:rPr>
                <w:rFonts w:ascii="Arial" w:cs="Arial" w:eastAsia="Arial" w:hAnsi="Arial"/>
                <w:sz w:val="15"/>
                <w:szCs w:val="15"/>
                <w:color w:val="auto"/>
              </w:rPr>
              <w:t>APME</w:t>
            </w:r>
          </w:p>
        </w:tc>
        <w:tc>
          <w:tcPr>
            <w:tcW w:w="2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602.9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497.5</w:t>
            </w:r>
          </w:p>
        </w:tc>
        <w:tc>
          <w:tcPr>
            <w:tcW w:w="2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21.2%</w:t>
            </w:r>
          </w:p>
        </w:tc>
        <w:tc>
          <w:tcPr>
            <w:tcW w:w="26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11.2%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ind w:left="40"/>
              <w:spacing w:after="0"/>
              <w:rPr>
                <w:sz w:val="20"/>
                <w:szCs w:val="20"/>
                <w:color w:val="auto"/>
              </w:rPr>
            </w:pPr>
            <w:r>
              <w:rPr>
                <w:rFonts w:ascii="Arial" w:cs="Arial" w:eastAsia="Arial" w:hAnsi="Arial"/>
                <w:sz w:val="15"/>
                <w:szCs w:val="15"/>
                <w:color w:val="auto"/>
              </w:rPr>
              <w:t>Right Management</w:t>
            </w: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81.8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103.3</w:t>
            </w: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-20.9%</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-22.7%</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0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5,072.4</w:t>
            </w:r>
          </w:p>
        </w:tc>
        <w:tc>
          <w:tcPr>
            <w:tcW w:w="2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4,099.3</w:t>
            </w:r>
          </w:p>
        </w:tc>
        <w:tc>
          <w:tcPr>
            <w:tcW w:w="2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23.7%</w:t>
            </w:r>
          </w:p>
        </w:tc>
        <w:tc>
          <w:tcPr>
            <w:tcW w:w="26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21.8%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restart"/>
          </w:tcPr>
          <w:p>
            <w:pPr>
              <w:spacing w:after="0"/>
              <w:rPr>
                <w:sz w:val="14"/>
                <w:szCs w:val="14"/>
                <w:color w:val="auto"/>
              </w:rPr>
            </w:pPr>
          </w:p>
        </w:tc>
        <w:tc>
          <w:tcPr>
            <w:tcW w:w="60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6000" w:type="dxa"/>
            <w:vAlign w:val="bottom"/>
          </w:tcPr>
          <w:p>
            <w:pPr>
              <w:spacing w:after="0"/>
              <w:rPr>
                <w:sz w:val="20"/>
                <w:szCs w:val="20"/>
                <w:color w:val="auto"/>
              </w:rPr>
            </w:pPr>
            <w:r>
              <w:rPr>
                <w:rFonts w:ascii="Arial" w:cs="Arial" w:eastAsia="Arial" w:hAnsi="Arial"/>
                <w:sz w:val="15"/>
                <w:szCs w:val="15"/>
                <w:color w:val="auto"/>
              </w:rPr>
              <w:t>Operating Unit Profit (Loss): (a)</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ind w:left="40"/>
              <w:spacing w:after="0"/>
              <w:rPr>
                <w:sz w:val="20"/>
                <w:szCs w:val="20"/>
                <w:color w:val="auto"/>
              </w:rPr>
            </w:pPr>
            <w:r>
              <w:rPr>
                <w:rFonts w:ascii="Arial" w:cs="Arial" w:eastAsia="Arial" w:hAnsi="Arial"/>
                <w:sz w:val="15"/>
                <w:szCs w:val="15"/>
                <w:color w:val="auto"/>
              </w:rPr>
              <w:t>Americas:</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tcPr>
          <w:p>
            <w:pPr>
              <w:ind w:left="200"/>
              <w:spacing w:after="0"/>
              <w:rPr>
                <w:sz w:val="20"/>
                <w:szCs w:val="20"/>
                <w:color w:val="auto"/>
              </w:rPr>
            </w:pPr>
            <w:r>
              <w:rPr>
                <w:rFonts w:ascii="Arial" w:cs="Arial" w:eastAsia="Arial" w:hAnsi="Arial"/>
                <w:sz w:val="15"/>
                <w:szCs w:val="15"/>
                <w:color w:val="auto"/>
              </w:rPr>
              <w:t>United States</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8.7</w:t>
            </w:r>
          </w:p>
        </w:tc>
        <w:tc>
          <w:tcPr>
            <w:tcW w:w="2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5"/>
                <w:szCs w:val="15"/>
                <w:color w:val="auto"/>
              </w:rPr>
              <w:t>(11.9)</w:t>
            </w:r>
          </w:p>
        </w:tc>
        <w:tc>
          <w:tcPr>
            <w:tcW w:w="260" w:type="dxa"/>
            <w:vAlign w:val="bottom"/>
          </w:tcPr>
          <w:p>
            <w:pPr>
              <w:spacing w:after="0"/>
              <w:rPr>
                <w:sz w:val="15"/>
                <w:szCs w:val="15"/>
                <w:color w:val="auto"/>
              </w:rPr>
            </w:pPr>
          </w:p>
        </w:tc>
        <w:tc>
          <w:tcPr>
            <w:tcW w:w="1400" w:type="dxa"/>
            <w:vAlign w:val="bottom"/>
            <w:gridSpan w:val="3"/>
          </w:tcPr>
          <w:p>
            <w:pPr>
              <w:ind w:left="620"/>
              <w:spacing w:after="0"/>
              <w:rPr>
                <w:sz w:val="20"/>
                <w:szCs w:val="20"/>
                <w:color w:val="auto"/>
              </w:rPr>
            </w:pPr>
            <w:r>
              <w:rPr>
                <w:rFonts w:ascii="Arial" w:cs="Arial" w:eastAsia="Arial" w:hAnsi="Arial"/>
                <w:sz w:val="15"/>
                <w:szCs w:val="15"/>
                <w:color w:val="auto"/>
              </w:rPr>
              <w:t>N/A</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Other Americas</w:t>
            </w: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12.8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9.6</w:t>
            </w: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32.9%</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30.6%</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0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21.5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5"/>
                <w:szCs w:val="15"/>
                <w:color w:val="auto"/>
              </w:rPr>
              <w:t>(2.3)</w:t>
            </w:r>
          </w:p>
        </w:tc>
        <w:tc>
          <w:tcPr>
            <w:tcW w:w="260" w:type="dxa"/>
            <w:vAlign w:val="bottom"/>
          </w:tcPr>
          <w:p>
            <w:pPr>
              <w:spacing w:after="0"/>
              <w:rPr>
                <w:sz w:val="16"/>
                <w:szCs w:val="16"/>
                <w:color w:val="auto"/>
              </w:rPr>
            </w:pPr>
          </w:p>
        </w:tc>
        <w:tc>
          <w:tcPr>
            <w:tcW w:w="1400" w:type="dxa"/>
            <w:vAlign w:val="bottom"/>
            <w:gridSpan w:val="3"/>
          </w:tcPr>
          <w:p>
            <w:pPr>
              <w:ind w:left="620"/>
              <w:spacing w:after="0"/>
              <w:rPr>
                <w:sz w:val="20"/>
                <w:szCs w:val="20"/>
                <w:color w:val="auto"/>
              </w:rPr>
            </w:pPr>
            <w:r>
              <w:rPr>
                <w:rFonts w:ascii="Arial" w:cs="Arial" w:eastAsia="Arial" w:hAnsi="Arial"/>
                <w:sz w:val="15"/>
                <w:szCs w:val="15"/>
                <w:color w:val="auto"/>
              </w:rPr>
              <w:t>N/A</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ind w:left="40"/>
              <w:spacing w:after="0"/>
              <w:rPr>
                <w:sz w:val="20"/>
                <w:szCs w:val="20"/>
                <w:color w:val="auto"/>
              </w:rPr>
            </w:pPr>
            <w:r>
              <w:rPr>
                <w:rFonts w:ascii="Arial" w:cs="Arial" w:eastAsia="Arial" w:hAnsi="Arial"/>
                <w:sz w:val="15"/>
                <w:szCs w:val="15"/>
                <w:color w:val="auto"/>
              </w:rPr>
              <w:t>Southern Europe:</w:t>
            </w: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tcPr>
          <w:p>
            <w:pPr>
              <w:ind w:left="200"/>
              <w:spacing w:after="0"/>
              <w:rPr>
                <w:sz w:val="20"/>
                <w:szCs w:val="20"/>
                <w:color w:val="auto"/>
              </w:rPr>
            </w:pPr>
            <w:r>
              <w:rPr>
                <w:rFonts w:ascii="Arial" w:cs="Arial" w:eastAsia="Arial" w:hAnsi="Arial"/>
                <w:sz w:val="15"/>
                <w:szCs w:val="15"/>
                <w:color w:val="auto"/>
              </w:rPr>
              <w:t>France</w:t>
            </w:r>
          </w:p>
        </w:tc>
        <w:tc>
          <w:tcPr>
            <w:tcW w:w="2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12.0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0.2</w:t>
            </w:r>
          </w:p>
        </w:tc>
        <w:tc>
          <w:tcPr>
            <w:tcW w:w="260" w:type="dxa"/>
            <w:vAlign w:val="bottom"/>
          </w:tcPr>
          <w:p>
            <w:pPr>
              <w:spacing w:after="0"/>
              <w:rPr>
                <w:sz w:val="15"/>
                <w:szCs w:val="15"/>
                <w:color w:val="auto"/>
              </w:rPr>
            </w:pPr>
          </w:p>
        </w:tc>
        <w:tc>
          <w:tcPr>
            <w:tcW w:w="1400" w:type="dxa"/>
            <w:vAlign w:val="bottom"/>
            <w:gridSpan w:val="3"/>
          </w:tcPr>
          <w:p>
            <w:pPr>
              <w:ind w:left="620"/>
              <w:spacing w:after="0"/>
              <w:rPr>
                <w:sz w:val="20"/>
                <w:szCs w:val="20"/>
                <w:color w:val="auto"/>
              </w:rPr>
            </w:pPr>
            <w:r>
              <w:rPr>
                <w:rFonts w:ascii="Arial" w:cs="Arial" w:eastAsia="Arial" w:hAnsi="Arial"/>
                <w:sz w:val="15"/>
                <w:szCs w:val="15"/>
                <w:color w:val="auto"/>
              </w:rPr>
              <w:t>N/A</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Italy</w:t>
            </w: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12.9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6.8</w:t>
            </w: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88.8%</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88.4%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tcPr>
          <w:p>
            <w:pPr>
              <w:ind w:left="200"/>
              <w:spacing w:after="0"/>
              <w:rPr>
                <w:sz w:val="20"/>
                <w:szCs w:val="20"/>
                <w:color w:val="auto"/>
              </w:rPr>
            </w:pPr>
            <w:r>
              <w:rPr>
                <w:rFonts w:ascii="Arial" w:cs="Arial" w:eastAsia="Arial" w:hAnsi="Arial"/>
                <w:sz w:val="15"/>
                <w:szCs w:val="15"/>
                <w:color w:val="auto"/>
              </w:rPr>
              <w:t>Other Southern Europe</w:t>
            </w:r>
          </w:p>
        </w:tc>
        <w:tc>
          <w:tcPr>
            <w:tcW w:w="2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2.2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5"/>
                <w:szCs w:val="15"/>
                <w:color w:val="auto"/>
              </w:rPr>
              <w:t>(0.9)</w:t>
            </w:r>
          </w:p>
        </w:tc>
        <w:tc>
          <w:tcPr>
            <w:tcW w:w="260" w:type="dxa"/>
            <w:vAlign w:val="bottom"/>
          </w:tcPr>
          <w:p>
            <w:pPr>
              <w:spacing w:after="0"/>
              <w:rPr>
                <w:sz w:val="15"/>
                <w:szCs w:val="15"/>
                <w:color w:val="auto"/>
              </w:rPr>
            </w:pPr>
          </w:p>
        </w:tc>
        <w:tc>
          <w:tcPr>
            <w:tcW w:w="1400" w:type="dxa"/>
            <w:vAlign w:val="bottom"/>
            <w:gridSpan w:val="3"/>
          </w:tcPr>
          <w:p>
            <w:pPr>
              <w:ind w:left="620"/>
              <w:spacing w:after="0"/>
              <w:rPr>
                <w:sz w:val="20"/>
                <w:szCs w:val="20"/>
                <w:color w:val="auto"/>
              </w:rPr>
            </w:pPr>
            <w:r>
              <w:rPr>
                <w:rFonts w:ascii="Arial" w:cs="Arial" w:eastAsia="Arial" w:hAnsi="Arial"/>
                <w:sz w:val="15"/>
                <w:szCs w:val="15"/>
                <w:color w:val="auto"/>
              </w:rPr>
              <w:t>N/A</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27.1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6.1</w:t>
            </w: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343.6%</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339.1%</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0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tcPr>
          <w:p>
            <w:pPr>
              <w:ind w:left="40"/>
              <w:spacing w:after="0"/>
              <w:rPr>
                <w:sz w:val="20"/>
                <w:szCs w:val="20"/>
                <w:color w:val="auto"/>
              </w:rPr>
            </w:pPr>
            <w:r>
              <w:rPr>
                <w:rFonts w:ascii="Arial" w:cs="Arial" w:eastAsia="Arial" w:hAnsi="Arial"/>
                <w:sz w:val="15"/>
                <w:szCs w:val="15"/>
                <w:color w:val="auto"/>
              </w:rPr>
              <w:t>Northern Europe</w:t>
            </w:r>
          </w:p>
        </w:tc>
        <w:tc>
          <w:tcPr>
            <w:tcW w:w="2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41.9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19.0</w:t>
            </w:r>
          </w:p>
        </w:tc>
        <w:tc>
          <w:tcPr>
            <w:tcW w:w="2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121.1%</w:t>
            </w:r>
          </w:p>
        </w:tc>
        <w:tc>
          <w:tcPr>
            <w:tcW w:w="26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112.5%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ind w:left="40"/>
              <w:spacing w:after="0"/>
              <w:rPr>
                <w:sz w:val="20"/>
                <w:szCs w:val="20"/>
                <w:color w:val="auto"/>
              </w:rPr>
            </w:pPr>
            <w:r>
              <w:rPr>
                <w:rFonts w:ascii="Arial" w:cs="Arial" w:eastAsia="Arial" w:hAnsi="Arial"/>
                <w:sz w:val="15"/>
                <w:szCs w:val="15"/>
                <w:color w:val="auto"/>
              </w:rPr>
              <w:t>APME</w:t>
            </w: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16.5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12.5</w:t>
            </w: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31.9%</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21.1%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tcPr>
          <w:p>
            <w:pPr>
              <w:ind w:left="40"/>
              <w:spacing w:after="0"/>
              <w:rPr>
                <w:sz w:val="20"/>
                <w:szCs w:val="20"/>
                <w:color w:val="auto"/>
              </w:rPr>
            </w:pPr>
            <w:r>
              <w:rPr>
                <w:rFonts w:ascii="Arial" w:cs="Arial" w:eastAsia="Arial" w:hAnsi="Arial"/>
                <w:sz w:val="15"/>
                <w:szCs w:val="15"/>
                <w:color w:val="auto"/>
              </w:rPr>
              <w:t>Right Management</w:t>
            </w:r>
          </w:p>
        </w:tc>
        <w:tc>
          <w:tcPr>
            <w:tcW w:w="2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3.3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12.5</w:t>
            </w:r>
          </w:p>
        </w:tc>
        <w:tc>
          <w:tcPr>
            <w:tcW w:w="2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-73.5%</w:t>
            </w:r>
          </w:p>
        </w:tc>
        <w:tc>
          <w:tcPr>
            <w:tcW w:w="26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-73.8%</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110.3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47.8</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tcPr>
          <w:p>
            <w:pPr>
              <w:spacing w:after="0"/>
              <w:rPr>
                <w:sz w:val="20"/>
                <w:szCs w:val="20"/>
                <w:color w:val="auto"/>
              </w:rPr>
            </w:pPr>
            <w:r>
              <w:rPr>
                <w:rFonts w:ascii="Arial" w:cs="Arial" w:eastAsia="Arial" w:hAnsi="Arial"/>
                <w:sz w:val="15"/>
                <w:szCs w:val="15"/>
                <w:color w:val="auto"/>
              </w:rPr>
              <w:t>Corporate expenses</w:t>
            </w:r>
          </w:p>
        </w:tc>
        <w:tc>
          <w:tcPr>
            <w:tcW w:w="240" w:type="dxa"/>
            <w:vAlign w:val="bottom"/>
          </w:tcPr>
          <w:p>
            <w:pPr>
              <w:spacing w:after="0"/>
              <w:rPr>
                <w:sz w:val="15"/>
                <w:szCs w:val="15"/>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(32.0)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5"/>
                <w:szCs w:val="15"/>
                <w:color w:val="auto"/>
              </w:rPr>
              <w:t>(24.0)</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5"/>
                <w:szCs w:val="15"/>
                <w:color w:val="auto"/>
              </w:rPr>
              <w:t>Intangible asset amortization expense</w:t>
            </w: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(9.6)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(4.9)</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tcPr>
          <w:p>
            <w:pPr>
              <w:spacing w:after="0"/>
              <w:rPr>
                <w:sz w:val="20"/>
                <w:szCs w:val="20"/>
                <w:color w:val="auto"/>
              </w:rPr>
            </w:pPr>
            <w:r>
              <w:rPr>
                <w:rFonts w:ascii="Arial" w:cs="Arial" w:eastAsia="Arial" w:hAnsi="Arial"/>
                <w:sz w:val="15"/>
                <w:szCs w:val="15"/>
                <w:color w:val="auto"/>
              </w:rPr>
              <w:t>Reclassification of French business tax</w:t>
            </w:r>
          </w:p>
        </w:tc>
        <w:tc>
          <w:tcPr>
            <w:tcW w:w="2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16.9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13.7</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Operating profit</w:t>
            </w: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85.6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32.6</w:t>
            </w: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162.7%</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152.3%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tcPr>
          <w:p>
            <w:pPr>
              <w:spacing w:after="0"/>
              <w:rPr>
                <w:sz w:val="20"/>
                <w:szCs w:val="20"/>
                <w:color w:val="auto"/>
              </w:rPr>
            </w:pPr>
            <w:r>
              <w:rPr>
                <w:rFonts w:ascii="Arial" w:cs="Arial" w:eastAsia="Arial" w:hAnsi="Arial"/>
                <w:sz w:val="15"/>
                <w:szCs w:val="15"/>
                <w:color w:val="auto"/>
              </w:rPr>
              <w:t>Interest and other expenses (c)</w:t>
            </w:r>
          </w:p>
        </w:tc>
        <w:tc>
          <w:tcPr>
            <w:tcW w:w="240" w:type="dxa"/>
            <w:vAlign w:val="bottom"/>
          </w:tcPr>
          <w:p>
            <w:pPr>
              <w:spacing w:after="0"/>
              <w:rPr>
                <w:sz w:val="15"/>
                <w:szCs w:val="15"/>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(11.1)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5"/>
                <w:szCs w:val="15"/>
                <w:color w:val="auto"/>
              </w:rPr>
              <w:t>(12.9)</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Earnings before income taxes</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74.5</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19.7</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both"/>
        <w:ind w:left="9" w:right="420" w:hanging="9"/>
        <w:spacing w:after="0" w:line="289" w:lineRule="auto"/>
        <w:tabs>
          <w:tab w:leader="none" w:pos="216" w:val="left"/>
        </w:tabs>
        <w:numPr>
          <w:ilvl w:val="0"/>
          <w:numId w:val="2"/>
        </w:numPr>
        <w:rPr>
          <w:rFonts w:ascii="Arial" w:cs="Arial" w:eastAsia="Arial" w:hAnsi="Arial"/>
          <w:sz w:val="14"/>
          <w:szCs w:val="14"/>
          <w:color w:val="auto"/>
        </w:rPr>
      </w:pPr>
      <w:r>
        <w:rPr>
          <w:rFonts w:ascii="Arial" w:cs="Arial" w:eastAsia="Arial" w:hAnsi="Arial"/>
          <w:sz w:val="14"/>
          <w:szCs w:val="14"/>
          <w:color w:val="auto"/>
        </w:rPr>
        <w:t>Effective January 1, 2011, we created a new organizational structure in Europe in order to elevate our service quality throughout Europe, Middle East and Africa. Other Southern Europe and Northern Europe, previously reported in Other EMEA, are now separate reportable segments. France, Italy, and Other Southern Europe are aggregated into our Southern Europe reportable segment. All previously reported results have been restated to conform to the current year presentation. Additionally, we changed the name of our Asia Pacific reportable segment to APME; the results of this reportable segment have not been restated as only the name has changed.</w:t>
      </w:r>
    </w:p>
    <w:p>
      <w:pPr>
        <w:spacing w:after="0" w:line="139" w:lineRule="exact"/>
        <w:rPr>
          <w:rFonts w:ascii="Arial" w:cs="Arial" w:eastAsia="Arial" w:hAnsi="Arial"/>
          <w:sz w:val="14"/>
          <w:szCs w:val="14"/>
          <w:color w:val="auto"/>
        </w:rPr>
      </w:pPr>
    </w:p>
    <w:p>
      <w:pPr>
        <w:jc w:val="both"/>
        <w:ind w:left="9" w:right="300" w:hanging="9"/>
        <w:spacing w:after="0" w:line="269" w:lineRule="auto"/>
        <w:tabs>
          <w:tab w:leader="none" w:pos="224" w:val="left"/>
        </w:tabs>
        <w:numPr>
          <w:ilvl w:val="0"/>
          <w:numId w:val="2"/>
        </w:numPr>
        <w:rPr>
          <w:rFonts w:ascii="Arial" w:cs="Arial" w:eastAsia="Arial" w:hAnsi="Arial"/>
          <w:sz w:val="15"/>
          <w:szCs w:val="15"/>
          <w:color w:val="auto"/>
        </w:rPr>
      </w:pPr>
      <w:r>
        <w:rPr>
          <w:rFonts w:ascii="Arial" w:cs="Arial" w:eastAsia="Arial" w:hAnsi="Arial"/>
          <w:sz w:val="15"/>
          <w:szCs w:val="15"/>
          <w:color w:val="auto"/>
        </w:rPr>
        <w:t>In the United States, revenues from services include fees received from our franchise offices of $2.7 million and $2.5 million for the three months ended March 31, 2011 and 2010, respectively. These fees are primarily based on revenues generated by the franchise offices, which were $148.5 million and $132.2 million for the three months ended March 31, 2011 and 2010, respectively.</w:t>
      </w:r>
    </w:p>
    <w:p>
      <w:pPr>
        <w:spacing w:after="0" w:line="151" w:lineRule="exact"/>
        <w:rPr>
          <w:rFonts w:ascii="Arial" w:cs="Arial" w:eastAsia="Arial" w:hAnsi="Arial"/>
          <w:sz w:val="15"/>
          <w:szCs w:val="15"/>
          <w:color w:val="auto"/>
        </w:rPr>
      </w:pPr>
    </w:p>
    <w:p>
      <w:pPr>
        <w:ind w:left="209" w:hanging="209"/>
        <w:spacing w:after="0"/>
        <w:tabs>
          <w:tab w:leader="none" w:pos="209"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components of interest and other expenses were:</w:t>
      </w:r>
    </w:p>
    <w:p>
      <w:pPr>
        <w:spacing w:after="0" w:line="21" w:lineRule="exact"/>
        <w:rPr>
          <w:sz w:val="20"/>
          <w:szCs w:val="20"/>
          <w:color w:val="auto"/>
        </w:rPr>
      </w:pPr>
    </w:p>
    <w:tbl>
      <w:tblPr>
        <w:tblLayout w:type="fixed"/>
        <w:tblInd w:w="9" w:type="dxa"/>
        <w:tblCellMar>
          <w:top w:w="0" w:type="dxa"/>
          <w:left w:w="0" w:type="dxa"/>
          <w:bottom w:w="0" w:type="dxa"/>
          <w:right w:w="0" w:type="dxa"/>
        </w:tblCellMar>
      </w:tblPr>
      <w:tr>
        <w:trPr>
          <w:trHeight w:val="183"/>
        </w:trPr>
        <w:tc>
          <w:tcPr>
            <w:tcW w:w="6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2011</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0" w:type="dxa"/>
            <w:vAlign w:val="bottom"/>
            <w:gridSpan w:val="2"/>
          </w:tcPr>
          <w:p>
            <w:pPr>
              <w:jc w:val="right"/>
              <w:ind w:right="2900"/>
              <w:spacing w:after="0"/>
              <w:rPr>
                <w:sz w:val="20"/>
                <w:szCs w:val="20"/>
                <w:color w:val="auto"/>
              </w:rPr>
            </w:pPr>
            <w:r>
              <w:rPr>
                <w:rFonts w:ascii="Arial" w:cs="Arial" w:eastAsia="Arial" w:hAnsi="Arial"/>
                <w:sz w:val="15"/>
                <w:szCs w:val="15"/>
                <w:b w:val="1"/>
                <w:bCs w:val="1"/>
                <w:color w:val="auto"/>
              </w:rPr>
              <w:t>2010</w:t>
            </w:r>
          </w:p>
        </w:tc>
      </w:tr>
      <w:tr>
        <w:trPr>
          <w:trHeight w:val="23"/>
        </w:trPr>
        <w:tc>
          <w:tcPr>
            <w:tcW w:w="60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183"/>
        </w:trPr>
        <w:tc>
          <w:tcPr>
            <w:tcW w:w="60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Interest expense</w:t>
            </w:r>
          </w:p>
        </w:tc>
        <w:tc>
          <w:tcPr>
            <w:tcW w:w="460" w:type="dxa"/>
            <w:vAlign w:val="bottom"/>
            <w:shd w:val="clear" w:color="auto" w:fill="CCEEFF"/>
          </w:tcPr>
          <w:p>
            <w:pPr>
              <w:jc w:val="right"/>
              <w:ind w:right="304"/>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10.2</w:t>
            </w:r>
          </w:p>
        </w:tc>
        <w:tc>
          <w:tcPr>
            <w:tcW w:w="54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w:t>
            </w:r>
          </w:p>
        </w:tc>
        <w:tc>
          <w:tcPr>
            <w:tcW w:w="3600" w:type="dxa"/>
            <w:vAlign w:val="bottom"/>
            <w:gridSpan w:val="2"/>
            <w:shd w:val="clear" w:color="auto" w:fill="CCEEFF"/>
          </w:tcPr>
          <w:p>
            <w:pPr>
              <w:jc w:val="right"/>
              <w:ind w:right="2900"/>
              <w:spacing w:after="0"/>
              <w:rPr>
                <w:sz w:val="20"/>
                <w:szCs w:val="20"/>
                <w:color w:val="auto"/>
              </w:rPr>
            </w:pPr>
            <w:r>
              <w:rPr>
                <w:rFonts w:ascii="Arial" w:cs="Arial" w:eastAsia="Arial" w:hAnsi="Arial"/>
                <w:sz w:val="15"/>
                <w:szCs w:val="15"/>
                <w:color w:val="auto"/>
              </w:rPr>
              <w:t>11.1</w:t>
            </w:r>
          </w:p>
        </w:tc>
      </w:tr>
      <w:tr>
        <w:trPr>
          <w:trHeight w:val="183"/>
        </w:trPr>
        <w:tc>
          <w:tcPr>
            <w:tcW w:w="6020" w:type="dxa"/>
            <w:vAlign w:val="bottom"/>
          </w:tcPr>
          <w:p>
            <w:pPr>
              <w:ind w:left="300"/>
              <w:spacing w:after="0"/>
              <w:rPr>
                <w:sz w:val="20"/>
                <w:szCs w:val="20"/>
                <w:color w:val="auto"/>
              </w:rPr>
            </w:pPr>
            <w:r>
              <w:rPr>
                <w:rFonts w:ascii="Arial" w:cs="Arial" w:eastAsia="Arial" w:hAnsi="Arial"/>
                <w:sz w:val="15"/>
                <w:szCs w:val="15"/>
                <w:color w:val="auto"/>
              </w:rPr>
              <w:t>Interest income</w:t>
            </w:r>
          </w:p>
        </w:tc>
        <w:tc>
          <w:tcPr>
            <w:tcW w:w="460" w:type="dxa"/>
            <w:vAlign w:val="bottom"/>
          </w:tcPr>
          <w:p>
            <w:pPr>
              <w:spacing w:after="0"/>
              <w:rPr>
                <w:sz w:val="15"/>
                <w:szCs w:val="15"/>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5"/>
                <w:szCs w:val="15"/>
                <w:color w:val="auto"/>
              </w:rPr>
              <w:t>(1.4)</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0" w:type="dxa"/>
            <w:vAlign w:val="bottom"/>
            <w:gridSpan w:val="2"/>
          </w:tcPr>
          <w:p>
            <w:pPr>
              <w:jc w:val="right"/>
              <w:ind w:right="2860"/>
              <w:spacing w:after="0"/>
              <w:rPr>
                <w:sz w:val="20"/>
                <w:szCs w:val="20"/>
                <w:color w:val="auto"/>
              </w:rPr>
            </w:pPr>
            <w:r>
              <w:rPr>
                <w:rFonts w:ascii="Arial" w:cs="Arial" w:eastAsia="Arial" w:hAnsi="Arial"/>
                <w:sz w:val="15"/>
                <w:szCs w:val="15"/>
                <w:color w:val="auto"/>
              </w:rPr>
              <w:t>(1.6)</w:t>
            </w:r>
          </w:p>
        </w:tc>
      </w:tr>
      <w:tr>
        <w:trPr>
          <w:trHeight w:val="183"/>
        </w:trPr>
        <w:tc>
          <w:tcPr>
            <w:tcW w:w="60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Foreign exchange losses</w:t>
            </w:r>
          </w:p>
        </w:tc>
        <w:tc>
          <w:tcPr>
            <w:tcW w:w="4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0.5</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600" w:type="dxa"/>
            <w:vAlign w:val="bottom"/>
            <w:gridSpan w:val="2"/>
            <w:shd w:val="clear" w:color="auto" w:fill="CCEEFF"/>
          </w:tcPr>
          <w:p>
            <w:pPr>
              <w:jc w:val="right"/>
              <w:ind w:right="2900"/>
              <w:spacing w:after="0"/>
              <w:rPr>
                <w:sz w:val="20"/>
                <w:szCs w:val="20"/>
                <w:color w:val="auto"/>
              </w:rPr>
            </w:pPr>
            <w:r>
              <w:rPr>
                <w:rFonts w:ascii="Arial" w:cs="Arial" w:eastAsia="Arial" w:hAnsi="Arial"/>
                <w:sz w:val="15"/>
                <w:szCs w:val="15"/>
                <w:color w:val="auto"/>
              </w:rPr>
              <w:t>1.9</w:t>
            </w:r>
          </w:p>
        </w:tc>
      </w:tr>
      <w:tr>
        <w:trPr>
          <w:trHeight w:val="183"/>
        </w:trPr>
        <w:tc>
          <w:tcPr>
            <w:tcW w:w="6020" w:type="dxa"/>
            <w:vAlign w:val="bottom"/>
          </w:tcPr>
          <w:p>
            <w:pPr>
              <w:ind w:left="300"/>
              <w:spacing w:after="0"/>
              <w:rPr>
                <w:sz w:val="20"/>
                <w:szCs w:val="20"/>
                <w:color w:val="auto"/>
              </w:rPr>
            </w:pPr>
            <w:r>
              <w:rPr>
                <w:rFonts w:ascii="Arial" w:cs="Arial" w:eastAsia="Arial" w:hAnsi="Arial"/>
                <w:sz w:val="15"/>
                <w:szCs w:val="15"/>
                <w:color w:val="auto"/>
              </w:rPr>
              <w:t>Miscellaneous expenses, net</w:t>
            </w:r>
          </w:p>
        </w:tc>
        <w:tc>
          <w:tcPr>
            <w:tcW w:w="46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1.8</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0" w:type="dxa"/>
            <w:vAlign w:val="bottom"/>
            <w:gridSpan w:val="2"/>
          </w:tcPr>
          <w:p>
            <w:pPr>
              <w:jc w:val="right"/>
              <w:ind w:right="2900"/>
              <w:spacing w:after="0"/>
              <w:rPr>
                <w:sz w:val="20"/>
                <w:szCs w:val="20"/>
                <w:color w:val="auto"/>
              </w:rPr>
            </w:pPr>
            <w:r>
              <w:rPr>
                <w:rFonts w:ascii="Arial" w:cs="Arial" w:eastAsia="Arial" w:hAnsi="Arial"/>
                <w:sz w:val="15"/>
                <w:szCs w:val="15"/>
                <w:color w:val="auto"/>
              </w:rPr>
              <w:t>1.5</w:t>
            </w:r>
          </w:p>
        </w:tc>
      </w:tr>
      <w:tr>
        <w:trPr>
          <w:trHeight w:val="23"/>
        </w:trPr>
        <w:tc>
          <w:tcPr>
            <w:tcW w:w="60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223"/>
        </w:trPr>
        <w:tc>
          <w:tcPr>
            <w:tcW w:w="60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304"/>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11.1</w:t>
            </w:r>
          </w:p>
        </w:tc>
        <w:tc>
          <w:tcPr>
            <w:tcW w:w="54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w:t>
            </w:r>
          </w:p>
        </w:tc>
        <w:tc>
          <w:tcPr>
            <w:tcW w:w="3600" w:type="dxa"/>
            <w:vAlign w:val="bottom"/>
            <w:gridSpan w:val="2"/>
            <w:shd w:val="clear" w:color="auto" w:fill="CCEEFF"/>
          </w:tcPr>
          <w:p>
            <w:pPr>
              <w:jc w:val="right"/>
              <w:ind w:right="2900"/>
              <w:spacing w:after="0"/>
              <w:rPr>
                <w:sz w:val="20"/>
                <w:szCs w:val="20"/>
                <w:color w:val="auto"/>
              </w:rPr>
            </w:pPr>
            <w:r>
              <w:rPr>
                <w:rFonts w:ascii="Arial" w:cs="Arial" w:eastAsia="Arial" w:hAnsi="Arial"/>
                <w:sz w:val="15"/>
                <w:szCs w:val="15"/>
                <w:color w:val="auto"/>
              </w:rPr>
              <w:t>12.9</w:t>
            </w:r>
          </w:p>
        </w:tc>
      </w:tr>
      <w:tr>
        <w:trPr>
          <w:trHeight w:val="622"/>
        </w:trPr>
        <w:tc>
          <w:tcPr>
            <w:tcW w:w="6020" w:type="dxa"/>
            <w:vAlign w:val="bottom"/>
            <w:tcBorders>
              <w:top w:val="single" w:sz="8" w:color="CCEEFF"/>
              <w:bottom w:val="single" w:sz="8" w:color="808080"/>
            </w:tcBorders>
          </w:tcPr>
          <w:p>
            <w:pPr>
              <w:spacing w:after="0"/>
              <w:rPr>
                <w:sz w:val="24"/>
                <w:szCs w:val="24"/>
                <w:color w:val="auto"/>
              </w:rPr>
            </w:pPr>
          </w:p>
        </w:tc>
        <w:tc>
          <w:tcPr>
            <w:tcW w:w="460" w:type="dxa"/>
            <w:vAlign w:val="bottom"/>
            <w:tcBorders>
              <w:top w:val="single" w:sz="8" w:color="auto"/>
              <w:bottom w:val="single" w:sz="8" w:color="808080"/>
            </w:tcBorders>
          </w:tcPr>
          <w:p>
            <w:pPr>
              <w:spacing w:after="0"/>
              <w:rPr>
                <w:sz w:val="24"/>
                <w:szCs w:val="24"/>
                <w:color w:val="auto"/>
              </w:rPr>
            </w:pPr>
          </w:p>
        </w:tc>
        <w:tc>
          <w:tcPr>
            <w:tcW w:w="680" w:type="dxa"/>
            <w:vAlign w:val="bottom"/>
            <w:tcBorders>
              <w:top w:val="single" w:sz="8" w:color="auto"/>
              <w:bottom w:val="single" w:sz="8" w:color="808080"/>
            </w:tcBorders>
          </w:tcPr>
          <w:p>
            <w:pPr>
              <w:spacing w:after="0"/>
              <w:rPr>
                <w:sz w:val="24"/>
                <w:szCs w:val="24"/>
                <w:color w:val="auto"/>
              </w:rPr>
            </w:pPr>
          </w:p>
        </w:tc>
        <w:tc>
          <w:tcPr>
            <w:tcW w:w="140" w:type="dxa"/>
            <w:vAlign w:val="bottom"/>
            <w:tcBorders>
              <w:top w:val="single" w:sz="8" w:color="CCEEFF"/>
              <w:bottom w:val="single" w:sz="8" w:color="808080"/>
            </w:tcBorders>
          </w:tcPr>
          <w:p>
            <w:pPr>
              <w:spacing w:after="0"/>
              <w:rPr>
                <w:sz w:val="24"/>
                <w:szCs w:val="24"/>
                <w:color w:val="auto"/>
              </w:rPr>
            </w:pPr>
          </w:p>
        </w:tc>
        <w:tc>
          <w:tcPr>
            <w:tcW w:w="80" w:type="dxa"/>
            <w:vAlign w:val="bottom"/>
            <w:tcBorders>
              <w:top w:val="single" w:sz="8" w:color="CCEEFF"/>
              <w:bottom w:val="single" w:sz="8" w:color="808080"/>
            </w:tcBorders>
          </w:tcPr>
          <w:p>
            <w:pPr>
              <w:spacing w:after="0"/>
              <w:rPr>
                <w:sz w:val="24"/>
                <w:szCs w:val="24"/>
                <w:color w:val="auto"/>
              </w:rPr>
            </w:pPr>
          </w:p>
        </w:tc>
        <w:tc>
          <w:tcPr>
            <w:tcW w:w="460" w:type="dxa"/>
            <w:vAlign w:val="bottom"/>
            <w:tcBorders>
              <w:top w:val="single" w:sz="8" w:color="auto"/>
              <w:bottom w:val="single" w:sz="8" w:color="808080"/>
            </w:tcBorders>
          </w:tcPr>
          <w:p>
            <w:pPr>
              <w:spacing w:after="0"/>
              <w:rPr>
                <w:sz w:val="24"/>
                <w:szCs w:val="24"/>
                <w:color w:val="auto"/>
              </w:rPr>
            </w:pPr>
          </w:p>
        </w:tc>
        <w:tc>
          <w:tcPr>
            <w:tcW w:w="700" w:type="dxa"/>
            <w:vAlign w:val="bottom"/>
            <w:tcBorders>
              <w:top w:val="single" w:sz="8" w:color="auto"/>
              <w:bottom w:val="single" w:sz="8" w:color="808080"/>
            </w:tcBorders>
          </w:tcPr>
          <w:p>
            <w:pPr>
              <w:spacing w:after="0"/>
              <w:rPr>
                <w:sz w:val="24"/>
                <w:szCs w:val="24"/>
                <w:color w:val="auto"/>
              </w:rPr>
            </w:pPr>
          </w:p>
        </w:tc>
        <w:tc>
          <w:tcPr>
            <w:tcW w:w="2900" w:type="dxa"/>
            <w:vAlign w:val="bottom"/>
            <w:tcBorders>
              <w:top w:val="single" w:sz="8" w:color="CCEEFF"/>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7257415</wp:posOffset>
            </wp:positionH>
            <wp:positionV relativeFrom="paragraph">
              <wp:posOffset>-12700</wp:posOffset>
            </wp:positionV>
            <wp:extent cx="1270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1270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9"/>
          </w:cols>
          <w:pgMar w:left="231" w:top="326" w:right="219" w:bottom="1440" w:gutter="0" w:footer="0" w:header="0"/>
        </w:sectPr>
      </w:pPr>
    </w:p>
    <w:bookmarkStart w:id="7" w:name="page8"/>
    <w:bookmarkEnd w:id="7"/>
    <w:p>
      <w:pPr>
        <w:jc w:val="center"/>
        <w:ind w:right="120"/>
        <w:spacing w:after="0"/>
        <w:rPr>
          <w:sz w:val="20"/>
          <w:szCs w:val="20"/>
          <w:color w:val="auto"/>
        </w:rPr>
      </w:pPr>
      <w:r>
        <w:rPr>
          <w:rFonts w:ascii="Arial" w:cs="Arial" w:eastAsia="Arial" w:hAnsi="Arial"/>
          <w:sz w:val="18"/>
          <w:szCs w:val="18"/>
          <w:color w:val="auto"/>
        </w:rPr>
        <w:t>ManpowerGroup</w:t>
      </w:r>
    </w:p>
    <w:p>
      <w:pPr>
        <w:spacing w:after="0" w:line="19" w:lineRule="exact"/>
        <w:rPr>
          <w:sz w:val="20"/>
          <w:szCs w:val="20"/>
          <w:color w:val="auto"/>
        </w:rPr>
      </w:pPr>
    </w:p>
    <w:p>
      <w:pPr>
        <w:jc w:val="center"/>
        <w:ind w:right="120"/>
        <w:spacing w:after="0"/>
        <w:rPr>
          <w:sz w:val="20"/>
          <w:szCs w:val="20"/>
          <w:color w:val="auto"/>
        </w:rPr>
      </w:pPr>
      <w:r>
        <w:rPr>
          <w:rFonts w:ascii="Arial" w:cs="Arial" w:eastAsia="Arial" w:hAnsi="Arial"/>
          <w:sz w:val="15"/>
          <w:szCs w:val="15"/>
          <w:color w:val="auto"/>
        </w:rPr>
        <w:t>Consolidated Balance Sheets</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5"/>
          <w:szCs w:val="15"/>
          <w:color w:val="auto"/>
        </w:rPr>
        <w:t>(In millions)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rPr>
              <w:t>Mar. 31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gridSpan w:val="2"/>
          </w:tcPr>
          <w:p>
            <w:pPr>
              <w:jc w:val="center"/>
              <w:ind w:right="420"/>
              <w:spacing w:after="0"/>
              <w:rPr>
                <w:sz w:val="20"/>
                <w:szCs w:val="20"/>
                <w:color w:val="auto"/>
              </w:rPr>
            </w:pPr>
            <w:r>
              <w:rPr>
                <w:rFonts w:ascii="Arial" w:cs="Arial" w:eastAsia="Arial" w:hAnsi="Arial"/>
                <w:sz w:val="15"/>
                <w:szCs w:val="15"/>
                <w:b w:val="1"/>
                <w:bCs w:val="1"/>
                <w:color w:val="auto"/>
                <w:w w:val="87"/>
              </w:rPr>
              <w:t>Dec. 31</w:t>
            </w:r>
          </w:p>
        </w:tc>
      </w:tr>
      <w:tr>
        <w:trPr>
          <w:trHeight w:val="200"/>
        </w:trPr>
        <w:tc>
          <w:tcPr>
            <w:tcW w:w="88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b w:val="1"/>
                <w:bCs w:val="1"/>
                <w:color w:val="auto"/>
              </w:rPr>
              <w:t>2011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2010</w:t>
            </w:r>
          </w:p>
        </w:tc>
        <w:tc>
          <w:tcPr>
            <w:tcW w:w="120" w:type="dxa"/>
            <w:vAlign w:val="bottom"/>
          </w:tcPr>
          <w:p>
            <w:pPr>
              <w:spacing w:after="0"/>
              <w:rPr>
                <w:sz w:val="17"/>
                <w:szCs w:val="17"/>
                <w:color w:val="auto"/>
              </w:rPr>
            </w:pPr>
          </w:p>
        </w:tc>
      </w:tr>
      <w:tr>
        <w:trPr>
          <w:trHeight w:val="183"/>
        </w:trPr>
        <w:tc>
          <w:tcPr>
            <w:tcW w:w="8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4"/>
          </w:tcPr>
          <w:p>
            <w:pPr>
              <w:jc w:val="right"/>
              <w:ind w:right="40"/>
              <w:spacing w:after="0"/>
              <w:rPr>
                <w:sz w:val="20"/>
                <w:szCs w:val="20"/>
                <w:color w:val="auto"/>
              </w:rPr>
            </w:pPr>
            <w:r>
              <w:rPr>
                <w:rFonts w:ascii="Arial" w:cs="Arial" w:eastAsia="Arial" w:hAnsi="Arial"/>
                <w:sz w:val="15"/>
                <w:szCs w:val="15"/>
                <w:color w:val="auto"/>
              </w:rPr>
              <w:t>(Unaudited)</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88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3"/>
        </w:trPr>
        <w:tc>
          <w:tcPr>
            <w:tcW w:w="8800" w:type="dxa"/>
            <w:vAlign w:val="bottom"/>
          </w:tcPr>
          <w:p>
            <w:pPr>
              <w:spacing w:after="0"/>
              <w:rPr>
                <w:sz w:val="20"/>
                <w:szCs w:val="20"/>
                <w:color w:val="auto"/>
              </w:rPr>
            </w:pPr>
            <w:r>
              <w:rPr>
                <w:rFonts w:ascii="Arial" w:cs="Arial" w:eastAsia="Arial" w:hAnsi="Arial"/>
                <w:sz w:val="15"/>
                <w:szCs w:val="15"/>
                <w:b w:val="1"/>
                <w:bCs w:val="1"/>
                <w:color w:val="auto"/>
              </w:rPr>
              <w:t>Current assets:</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8800" w:type="dxa"/>
            <w:vAlign w:val="bottom"/>
            <w:shd w:val="clear" w:color="auto" w:fill="CCEEFF"/>
          </w:tcPr>
          <w:p>
            <w:pPr>
              <w:ind w:left="60"/>
              <w:spacing w:after="0"/>
              <w:rPr>
                <w:sz w:val="20"/>
                <w:szCs w:val="20"/>
                <w:color w:val="auto"/>
              </w:rPr>
            </w:pPr>
            <w:r>
              <w:rPr>
                <w:rFonts w:ascii="Arial" w:cs="Arial" w:eastAsia="Arial" w:hAnsi="Arial"/>
                <w:sz w:val="15"/>
                <w:szCs w:val="15"/>
                <w:color w:val="auto"/>
              </w:rPr>
              <w:t>Cash and cash equivalents</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649.5</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772.6</w:t>
            </w:r>
          </w:p>
        </w:tc>
      </w:tr>
      <w:tr>
        <w:trPr>
          <w:trHeight w:val="183"/>
        </w:trPr>
        <w:tc>
          <w:tcPr>
            <w:tcW w:w="8800" w:type="dxa"/>
            <w:vAlign w:val="bottom"/>
          </w:tcPr>
          <w:p>
            <w:pPr>
              <w:ind w:left="60"/>
              <w:spacing w:after="0"/>
              <w:rPr>
                <w:sz w:val="20"/>
                <w:szCs w:val="20"/>
                <w:color w:val="auto"/>
              </w:rPr>
            </w:pPr>
            <w:r>
              <w:rPr>
                <w:rFonts w:ascii="Arial" w:cs="Arial" w:eastAsia="Arial" w:hAnsi="Arial"/>
                <w:sz w:val="15"/>
                <w:szCs w:val="15"/>
                <w:color w:val="auto"/>
              </w:rPr>
              <w:t>Accounts receivable, net</w:t>
            </w:r>
          </w:p>
        </w:tc>
        <w:tc>
          <w:tcPr>
            <w:tcW w:w="20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4,201.0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3,844.1</w:t>
            </w:r>
          </w:p>
        </w:tc>
      </w:tr>
      <w:tr>
        <w:trPr>
          <w:trHeight w:val="183"/>
        </w:trPr>
        <w:tc>
          <w:tcPr>
            <w:tcW w:w="8800" w:type="dxa"/>
            <w:vAlign w:val="bottom"/>
            <w:shd w:val="clear" w:color="auto" w:fill="CCEEFF"/>
          </w:tcPr>
          <w:p>
            <w:pPr>
              <w:ind w:left="60"/>
              <w:spacing w:after="0"/>
              <w:rPr>
                <w:sz w:val="20"/>
                <w:szCs w:val="20"/>
                <w:color w:val="auto"/>
              </w:rPr>
            </w:pPr>
            <w:r>
              <w:rPr>
                <w:rFonts w:ascii="Arial" w:cs="Arial" w:eastAsia="Arial" w:hAnsi="Arial"/>
                <w:sz w:val="15"/>
                <w:szCs w:val="15"/>
                <w:color w:val="auto"/>
              </w:rPr>
              <w:t>Prepaid expenses and other assets</w:t>
            </w:r>
          </w:p>
        </w:tc>
        <w:tc>
          <w:tcPr>
            <w:tcW w:w="2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204.9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197.6</w:t>
            </w:r>
          </w:p>
        </w:tc>
      </w:tr>
      <w:tr>
        <w:trPr>
          <w:trHeight w:val="183"/>
        </w:trPr>
        <w:tc>
          <w:tcPr>
            <w:tcW w:w="8800" w:type="dxa"/>
            <w:vAlign w:val="bottom"/>
          </w:tcPr>
          <w:p>
            <w:pPr>
              <w:ind w:left="60"/>
              <w:spacing w:after="0"/>
              <w:rPr>
                <w:sz w:val="20"/>
                <w:szCs w:val="20"/>
                <w:color w:val="auto"/>
              </w:rPr>
            </w:pPr>
            <w:r>
              <w:rPr>
                <w:rFonts w:ascii="Arial" w:cs="Arial" w:eastAsia="Arial" w:hAnsi="Arial"/>
                <w:sz w:val="15"/>
                <w:szCs w:val="15"/>
                <w:color w:val="auto"/>
              </w:rPr>
              <w:t>Future income tax benefits</w:t>
            </w: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61.1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59.7</w:t>
            </w:r>
          </w:p>
        </w:tc>
      </w:tr>
      <w:tr>
        <w:trPr>
          <w:trHeight w:val="23"/>
        </w:trPr>
        <w:tc>
          <w:tcPr>
            <w:tcW w:w="88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8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Total current assets</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5,116.5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4,874.0</w:t>
            </w:r>
          </w:p>
        </w:tc>
      </w:tr>
      <w:tr>
        <w:trPr>
          <w:trHeight w:val="183"/>
        </w:trPr>
        <w:tc>
          <w:tcPr>
            <w:tcW w:w="8800" w:type="dxa"/>
            <w:vAlign w:val="bottom"/>
          </w:tcPr>
          <w:p>
            <w:pPr>
              <w:spacing w:after="0"/>
              <w:rPr>
                <w:sz w:val="20"/>
                <w:szCs w:val="20"/>
                <w:color w:val="auto"/>
              </w:rPr>
            </w:pPr>
            <w:r>
              <w:rPr>
                <w:rFonts w:ascii="Arial" w:cs="Arial" w:eastAsia="Arial" w:hAnsi="Arial"/>
                <w:sz w:val="15"/>
                <w:szCs w:val="15"/>
                <w:b w:val="1"/>
                <w:bCs w:val="1"/>
                <w:color w:val="auto"/>
              </w:rPr>
              <w:t>Other assets:</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8800" w:type="dxa"/>
            <w:vAlign w:val="bottom"/>
            <w:shd w:val="clear" w:color="auto" w:fill="CCEEFF"/>
          </w:tcPr>
          <w:p>
            <w:pPr>
              <w:ind w:left="60"/>
              <w:spacing w:after="0"/>
              <w:rPr>
                <w:sz w:val="20"/>
                <w:szCs w:val="20"/>
                <w:color w:val="auto"/>
              </w:rPr>
            </w:pPr>
            <w:r>
              <w:rPr>
                <w:rFonts w:ascii="Arial" w:cs="Arial" w:eastAsia="Arial" w:hAnsi="Arial"/>
                <w:sz w:val="15"/>
                <w:szCs w:val="15"/>
                <w:color w:val="auto"/>
              </w:rPr>
              <w:t>Goodwill and other intangible assets, net</w:t>
            </w:r>
          </w:p>
        </w:tc>
        <w:tc>
          <w:tcPr>
            <w:tcW w:w="2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1,335.7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1,330.3</w:t>
            </w:r>
          </w:p>
        </w:tc>
      </w:tr>
      <w:tr>
        <w:trPr>
          <w:trHeight w:val="183"/>
        </w:trPr>
        <w:tc>
          <w:tcPr>
            <w:tcW w:w="8800" w:type="dxa"/>
            <w:vAlign w:val="bottom"/>
          </w:tcPr>
          <w:p>
            <w:pPr>
              <w:ind w:left="60"/>
              <w:spacing w:after="0"/>
              <w:rPr>
                <w:sz w:val="20"/>
                <w:szCs w:val="20"/>
                <w:color w:val="auto"/>
              </w:rPr>
            </w:pPr>
            <w:r>
              <w:rPr>
                <w:rFonts w:ascii="Arial" w:cs="Arial" w:eastAsia="Arial" w:hAnsi="Arial"/>
                <w:sz w:val="15"/>
                <w:szCs w:val="15"/>
                <w:color w:val="auto"/>
              </w:rPr>
              <w:t>Other assets</w:t>
            </w: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393.6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355.1</w:t>
            </w:r>
          </w:p>
        </w:tc>
      </w:tr>
      <w:tr>
        <w:trPr>
          <w:trHeight w:val="23"/>
        </w:trPr>
        <w:tc>
          <w:tcPr>
            <w:tcW w:w="88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8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Total other assets</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1,729.3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1,685.4</w:t>
            </w:r>
          </w:p>
        </w:tc>
      </w:tr>
      <w:tr>
        <w:trPr>
          <w:trHeight w:val="183"/>
        </w:trPr>
        <w:tc>
          <w:tcPr>
            <w:tcW w:w="8800" w:type="dxa"/>
            <w:vAlign w:val="bottom"/>
          </w:tcPr>
          <w:p>
            <w:pPr>
              <w:spacing w:after="0"/>
              <w:rPr>
                <w:sz w:val="20"/>
                <w:szCs w:val="20"/>
                <w:color w:val="auto"/>
              </w:rPr>
            </w:pPr>
            <w:r>
              <w:rPr>
                <w:rFonts w:ascii="Arial" w:cs="Arial" w:eastAsia="Arial" w:hAnsi="Arial"/>
                <w:sz w:val="15"/>
                <w:szCs w:val="15"/>
                <w:b w:val="1"/>
                <w:bCs w:val="1"/>
                <w:color w:val="auto"/>
              </w:rPr>
              <w:t>Property and equipment:</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8800" w:type="dxa"/>
            <w:vAlign w:val="bottom"/>
            <w:shd w:val="clear" w:color="auto" w:fill="CCEEFF"/>
          </w:tcPr>
          <w:p>
            <w:pPr>
              <w:ind w:left="60"/>
              <w:spacing w:after="0"/>
              <w:rPr>
                <w:sz w:val="20"/>
                <w:szCs w:val="20"/>
                <w:color w:val="auto"/>
              </w:rPr>
            </w:pPr>
            <w:r>
              <w:rPr>
                <w:rFonts w:ascii="Arial" w:cs="Arial" w:eastAsia="Arial" w:hAnsi="Arial"/>
                <w:sz w:val="15"/>
                <w:szCs w:val="15"/>
                <w:color w:val="auto"/>
              </w:rPr>
              <w:t>Land, buildings, leasehold improvements and equipment</w:t>
            </w:r>
          </w:p>
        </w:tc>
        <w:tc>
          <w:tcPr>
            <w:tcW w:w="2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714.4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688.8</w:t>
            </w:r>
          </w:p>
        </w:tc>
      </w:tr>
      <w:tr>
        <w:trPr>
          <w:trHeight w:val="183"/>
        </w:trPr>
        <w:tc>
          <w:tcPr>
            <w:tcW w:w="8800" w:type="dxa"/>
            <w:vAlign w:val="bottom"/>
          </w:tcPr>
          <w:p>
            <w:pPr>
              <w:ind w:left="60"/>
              <w:spacing w:after="0"/>
              <w:rPr>
                <w:sz w:val="20"/>
                <w:szCs w:val="20"/>
                <w:color w:val="auto"/>
              </w:rPr>
            </w:pPr>
            <w:r>
              <w:rPr>
                <w:rFonts w:ascii="Arial" w:cs="Arial" w:eastAsia="Arial" w:hAnsi="Arial"/>
                <w:sz w:val="15"/>
                <w:szCs w:val="15"/>
                <w:color w:val="auto"/>
              </w:rPr>
              <w:t>Less: accumulated depreciation and amortization</w:t>
            </w: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542.8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518.5</w:t>
            </w:r>
          </w:p>
        </w:tc>
      </w:tr>
      <w:tr>
        <w:trPr>
          <w:trHeight w:val="23"/>
        </w:trPr>
        <w:tc>
          <w:tcPr>
            <w:tcW w:w="88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88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Net property and equipment</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170.3</w:t>
            </w:r>
          </w:p>
        </w:tc>
      </w:tr>
      <w:tr>
        <w:trPr>
          <w:trHeight w:val="23"/>
        </w:trPr>
        <w:tc>
          <w:tcPr>
            <w:tcW w:w="88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3"/>
        </w:trPr>
        <w:tc>
          <w:tcPr>
            <w:tcW w:w="8800" w:type="dxa"/>
            <w:vAlign w:val="bottom"/>
          </w:tcPr>
          <w:p>
            <w:pPr>
              <w:ind w:left="300"/>
              <w:spacing w:after="0"/>
              <w:rPr>
                <w:sz w:val="20"/>
                <w:szCs w:val="20"/>
                <w:color w:val="auto"/>
              </w:rPr>
            </w:pPr>
            <w:r>
              <w:rPr>
                <w:rFonts w:ascii="Arial" w:cs="Arial" w:eastAsia="Arial" w:hAnsi="Arial"/>
                <w:sz w:val="15"/>
                <w:szCs w:val="15"/>
                <w:color w:val="auto"/>
              </w:rPr>
              <w:t>Total assets</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7,017.4</w:t>
            </w:r>
          </w:p>
        </w:tc>
        <w:tc>
          <w:tcPr>
            <w:tcW w:w="120" w:type="dxa"/>
            <w:vAlign w:val="bottom"/>
          </w:tcPr>
          <w:p>
            <w:pPr>
              <w:spacing w:after="0"/>
              <w:rPr>
                <w:sz w:val="15"/>
                <w:szCs w:val="15"/>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6,729.7</w:t>
            </w:r>
          </w:p>
        </w:tc>
      </w:tr>
      <w:tr>
        <w:trPr>
          <w:trHeight w:val="20"/>
        </w:trPr>
        <w:tc>
          <w:tcPr>
            <w:tcW w:w="8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9"/>
        </w:trPr>
        <w:tc>
          <w:tcPr>
            <w:tcW w:w="880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LIABILITIES AND SHAREHOLDERS' EQUITY</w:t>
            </w: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83"/>
        </w:trPr>
        <w:tc>
          <w:tcPr>
            <w:tcW w:w="8800" w:type="dxa"/>
            <w:vAlign w:val="bottom"/>
          </w:tcPr>
          <w:p>
            <w:pPr>
              <w:spacing w:after="0"/>
              <w:rPr>
                <w:sz w:val="20"/>
                <w:szCs w:val="20"/>
                <w:color w:val="auto"/>
              </w:rPr>
            </w:pPr>
            <w:r>
              <w:rPr>
                <w:rFonts w:ascii="Arial" w:cs="Arial" w:eastAsia="Arial" w:hAnsi="Arial"/>
                <w:sz w:val="15"/>
                <w:szCs w:val="15"/>
                <w:b w:val="1"/>
                <w:bCs w:val="1"/>
                <w:color w:val="auto"/>
              </w:rPr>
              <w:t>Current liabilities:</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8800" w:type="dxa"/>
            <w:vAlign w:val="bottom"/>
            <w:shd w:val="clear" w:color="auto" w:fill="CCEEFF"/>
          </w:tcPr>
          <w:p>
            <w:pPr>
              <w:ind w:left="60"/>
              <w:spacing w:after="0"/>
              <w:rPr>
                <w:sz w:val="20"/>
                <w:szCs w:val="20"/>
                <w:color w:val="auto"/>
              </w:rPr>
            </w:pPr>
            <w:r>
              <w:rPr>
                <w:rFonts w:ascii="Arial" w:cs="Arial" w:eastAsia="Arial" w:hAnsi="Arial"/>
                <w:sz w:val="15"/>
                <w:szCs w:val="15"/>
                <w:color w:val="auto"/>
              </w:rPr>
              <w:t>Accounts payable</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1,454.9</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1,313.9</w:t>
            </w:r>
          </w:p>
        </w:tc>
      </w:tr>
      <w:tr>
        <w:trPr>
          <w:trHeight w:val="183"/>
        </w:trPr>
        <w:tc>
          <w:tcPr>
            <w:tcW w:w="8800" w:type="dxa"/>
            <w:vAlign w:val="bottom"/>
          </w:tcPr>
          <w:p>
            <w:pPr>
              <w:ind w:left="60"/>
              <w:spacing w:after="0"/>
              <w:rPr>
                <w:sz w:val="20"/>
                <w:szCs w:val="20"/>
                <w:color w:val="auto"/>
              </w:rPr>
            </w:pPr>
            <w:r>
              <w:rPr>
                <w:rFonts w:ascii="Arial" w:cs="Arial" w:eastAsia="Arial" w:hAnsi="Arial"/>
                <w:sz w:val="15"/>
                <w:szCs w:val="15"/>
                <w:color w:val="auto"/>
              </w:rPr>
              <w:t>Employee compensation payable</w:t>
            </w:r>
          </w:p>
        </w:tc>
        <w:tc>
          <w:tcPr>
            <w:tcW w:w="20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195.3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240.2</w:t>
            </w:r>
          </w:p>
        </w:tc>
      </w:tr>
      <w:tr>
        <w:trPr>
          <w:trHeight w:val="183"/>
        </w:trPr>
        <w:tc>
          <w:tcPr>
            <w:tcW w:w="8800" w:type="dxa"/>
            <w:vAlign w:val="bottom"/>
            <w:shd w:val="clear" w:color="auto" w:fill="CCEEFF"/>
          </w:tcPr>
          <w:p>
            <w:pPr>
              <w:ind w:left="60"/>
              <w:spacing w:after="0"/>
              <w:rPr>
                <w:sz w:val="20"/>
                <w:szCs w:val="20"/>
                <w:color w:val="auto"/>
              </w:rPr>
            </w:pPr>
            <w:r>
              <w:rPr>
                <w:rFonts w:ascii="Arial" w:cs="Arial" w:eastAsia="Arial" w:hAnsi="Arial"/>
                <w:sz w:val="15"/>
                <w:szCs w:val="15"/>
                <w:color w:val="auto"/>
              </w:rPr>
              <w:t>Accrued liabilities</w:t>
            </w:r>
          </w:p>
        </w:tc>
        <w:tc>
          <w:tcPr>
            <w:tcW w:w="2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555.0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547.4</w:t>
            </w:r>
          </w:p>
        </w:tc>
      </w:tr>
      <w:tr>
        <w:trPr>
          <w:trHeight w:val="183"/>
        </w:trPr>
        <w:tc>
          <w:tcPr>
            <w:tcW w:w="8800" w:type="dxa"/>
            <w:vAlign w:val="bottom"/>
          </w:tcPr>
          <w:p>
            <w:pPr>
              <w:ind w:left="60"/>
              <w:spacing w:after="0"/>
              <w:rPr>
                <w:sz w:val="20"/>
                <w:szCs w:val="20"/>
                <w:color w:val="auto"/>
              </w:rPr>
            </w:pPr>
            <w:r>
              <w:rPr>
                <w:rFonts w:ascii="Arial" w:cs="Arial" w:eastAsia="Arial" w:hAnsi="Arial"/>
                <w:sz w:val="15"/>
                <w:szCs w:val="15"/>
                <w:color w:val="auto"/>
              </w:rPr>
              <w:t>Accrued payroll taxes and insurance</w:t>
            </w:r>
          </w:p>
        </w:tc>
        <w:tc>
          <w:tcPr>
            <w:tcW w:w="20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665.4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677.7</w:t>
            </w:r>
          </w:p>
        </w:tc>
      </w:tr>
      <w:tr>
        <w:trPr>
          <w:trHeight w:val="183"/>
        </w:trPr>
        <w:tc>
          <w:tcPr>
            <w:tcW w:w="8800" w:type="dxa"/>
            <w:vAlign w:val="bottom"/>
            <w:shd w:val="clear" w:color="auto" w:fill="CCEEFF"/>
          </w:tcPr>
          <w:p>
            <w:pPr>
              <w:ind w:left="60"/>
              <w:spacing w:after="0"/>
              <w:rPr>
                <w:sz w:val="20"/>
                <w:szCs w:val="20"/>
                <w:color w:val="auto"/>
              </w:rPr>
            </w:pPr>
            <w:r>
              <w:rPr>
                <w:rFonts w:ascii="Arial" w:cs="Arial" w:eastAsia="Arial" w:hAnsi="Arial"/>
                <w:sz w:val="15"/>
                <w:szCs w:val="15"/>
                <w:color w:val="auto"/>
              </w:rPr>
              <w:t>Value added taxes payable</w:t>
            </w:r>
          </w:p>
        </w:tc>
        <w:tc>
          <w:tcPr>
            <w:tcW w:w="2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512.3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482.2</w:t>
            </w:r>
          </w:p>
        </w:tc>
      </w:tr>
      <w:tr>
        <w:trPr>
          <w:trHeight w:val="183"/>
        </w:trPr>
        <w:tc>
          <w:tcPr>
            <w:tcW w:w="8800" w:type="dxa"/>
            <w:vAlign w:val="bottom"/>
          </w:tcPr>
          <w:p>
            <w:pPr>
              <w:ind w:left="60"/>
              <w:spacing w:after="0"/>
              <w:rPr>
                <w:sz w:val="20"/>
                <w:szCs w:val="20"/>
                <w:color w:val="auto"/>
              </w:rPr>
            </w:pPr>
            <w:r>
              <w:rPr>
                <w:rFonts w:ascii="Arial" w:cs="Arial" w:eastAsia="Arial" w:hAnsi="Arial"/>
                <w:sz w:val="15"/>
                <w:szCs w:val="15"/>
                <w:color w:val="auto"/>
              </w:rPr>
              <w:t>Short-term borrowings and current maturities of long-term debt</w:t>
            </w: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38.2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28.7</w:t>
            </w:r>
          </w:p>
        </w:tc>
      </w:tr>
      <w:tr>
        <w:trPr>
          <w:trHeight w:val="23"/>
        </w:trPr>
        <w:tc>
          <w:tcPr>
            <w:tcW w:w="88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8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Total current liabilities</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3,421.1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3,290.1</w:t>
            </w:r>
          </w:p>
        </w:tc>
      </w:tr>
      <w:tr>
        <w:trPr>
          <w:trHeight w:val="183"/>
        </w:trPr>
        <w:tc>
          <w:tcPr>
            <w:tcW w:w="8800" w:type="dxa"/>
            <w:vAlign w:val="bottom"/>
          </w:tcPr>
          <w:p>
            <w:pPr>
              <w:spacing w:after="0"/>
              <w:rPr>
                <w:sz w:val="20"/>
                <w:szCs w:val="20"/>
                <w:color w:val="auto"/>
              </w:rPr>
            </w:pPr>
            <w:r>
              <w:rPr>
                <w:rFonts w:ascii="Arial" w:cs="Arial" w:eastAsia="Arial" w:hAnsi="Arial"/>
                <w:sz w:val="15"/>
                <w:szCs w:val="15"/>
                <w:b w:val="1"/>
                <w:bCs w:val="1"/>
                <w:color w:val="auto"/>
              </w:rPr>
              <w:t>Other liabilities:</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8800" w:type="dxa"/>
            <w:vAlign w:val="bottom"/>
            <w:shd w:val="clear" w:color="auto" w:fill="CCEEFF"/>
          </w:tcPr>
          <w:p>
            <w:pPr>
              <w:ind w:left="60"/>
              <w:spacing w:after="0"/>
              <w:rPr>
                <w:sz w:val="20"/>
                <w:szCs w:val="20"/>
                <w:color w:val="auto"/>
              </w:rPr>
            </w:pPr>
            <w:r>
              <w:rPr>
                <w:rFonts w:ascii="Arial" w:cs="Arial" w:eastAsia="Arial" w:hAnsi="Arial"/>
                <w:sz w:val="15"/>
                <w:szCs w:val="15"/>
                <w:color w:val="auto"/>
              </w:rPr>
              <w:t>Long-term debt</w:t>
            </w:r>
          </w:p>
        </w:tc>
        <w:tc>
          <w:tcPr>
            <w:tcW w:w="2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708.1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669.3</w:t>
            </w:r>
          </w:p>
        </w:tc>
      </w:tr>
      <w:tr>
        <w:trPr>
          <w:trHeight w:val="183"/>
        </w:trPr>
        <w:tc>
          <w:tcPr>
            <w:tcW w:w="8800" w:type="dxa"/>
            <w:vAlign w:val="bottom"/>
          </w:tcPr>
          <w:p>
            <w:pPr>
              <w:ind w:left="60"/>
              <w:spacing w:after="0"/>
              <w:rPr>
                <w:sz w:val="20"/>
                <w:szCs w:val="20"/>
                <w:color w:val="auto"/>
              </w:rPr>
            </w:pPr>
            <w:r>
              <w:rPr>
                <w:rFonts w:ascii="Arial" w:cs="Arial" w:eastAsia="Arial" w:hAnsi="Arial"/>
                <w:sz w:val="15"/>
                <w:szCs w:val="15"/>
                <w:color w:val="auto"/>
              </w:rPr>
              <w:t>Other long-term liabilities</w:t>
            </w: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390.9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373.1</w:t>
            </w:r>
          </w:p>
        </w:tc>
      </w:tr>
      <w:tr>
        <w:trPr>
          <w:trHeight w:val="23"/>
        </w:trPr>
        <w:tc>
          <w:tcPr>
            <w:tcW w:w="88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8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Total other liabilities</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1,099.0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1,042.4</w:t>
            </w:r>
          </w:p>
        </w:tc>
      </w:tr>
      <w:tr>
        <w:trPr>
          <w:trHeight w:val="183"/>
        </w:trPr>
        <w:tc>
          <w:tcPr>
            <w:tcW w:w="8800" w:type="dxa"/>
            <w:vAlign w:val="bottom"/>
          </w:tcPr>
          <w:p>
            <w:pPr>
              <w:spacing w:after="0"/>
              <w:rPr>
                <w:sz w:val="20"/>
                <w:szCs w:val="20"/>
                <w:color w:val="auto"/>
              </w:rPr>
            </w:pPr>
            <w:r>
              <w:rPr>
                <w:rFonts w:ascii="Arial" w:cs="Arial" w:eastAsia="Arial" w:hAnsi="Arial"/>
                <w:sz w:val="15"/>
                <w:szCs w:val="15"/>
                <w:b w:val="1"/>
                <w:bCs w:val="1"/>
                <w:color w:val="auto"/>
              </w:rPr>
              <w:t>Shareholders' equity:</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8800" w:type="dxa"/>
            <w:vAlign w:val="bottom"/>
            <w:shd w:val="clear" w:color="auto" w:fill="CCEEFF"/>
          </w:tcPr>
          <w:p>
            <w:pPr>
              <w:ind w:left="60"/>
              <w:spacing w:after="0"/>
              <w:rPr>
                <w:sz w:val="20"/>
                <w:szCs w:val="20"/>
                <w:color w:val="auto"/>
              </w:rPr>
            </w:pPr>
            <w:r>
              <w:rPr>
                <w:rFonts w:ascii="Arial" w:cs="Arial" w:eastAsia="Arial" w:hAnsi="Arial"/>
                <w:sz w:val="15"/>
                <w:szCs w:val="15"/>
                <w:color w:val="auto"/>
              </w:rPr>
              <w:t>Common stock</w:t>
            </w:r>
          </w:p>
        </w:tc>
        <w:tc>
          <w:tcPr>
            <w:tcW w:w="2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1.1</w:t>
            </w:r>
          </w:p>
        </w:tc>
      </w:tr>
      <w:tr>
        <w:trPr>
          <w:trHeight w:val="183"/>
        </w:trPr>
        <w:tc>
          <w:tcPr>
            <w:tcW w:w="8800" w:type="dxa"/>
            <w:vAlign w:val="bottom"/>
          </w:tcPr>
          <w:p>
            <w:pPr>
              <w:ind w:left="60"/>
              <w:spacing w:after="0"/>
              <w:rPr>
                <w:sz w:val="20"/>
                <w:szCs w:val="20"/>
                <w:color w:val="auto"/>
              </w:rPr>
            </w:pPr>
            <w:r>
              <w:rPr>
                <w:rFonts w:ascii="Arial" w:cs="Arial" w:eastAsia="Arial" w:hAnsi="Arial"/>
                <w:sz w:val="15"/>
                <w:szCs w:val="15"/>
                <w:color w:val="auto"/>
              </w:rPr>
              <w:t>Capital in excess of par value</w:t>
            </w:r>
          </w:p>
        </w:tc>
        <w:tc>
          <w:tcPr>
            <w:tcW w:w="20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2,797.9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2,781.7</w:t>
            </w:r>
          </w:p>
        </w:tc>
      </w:tr>
      <w:tr>
        <w:trPr>
          <w:trHeight w:val="183"/>
        </w:trPr>
        <w:tc>
          <w:tcPr>
            <w:tcW w:w="8800" w:type="dxa"/>
            <w:vAlign w:val="bottom"/>
            <w:shd w:val="clear" w:color="auto" w:fill="CCEEFF"/>
          </w:tcPr>
          <w:p>
            <w:pPr>
              <w:ind w:left="60"/>
              <w:spacing w:after="0"/>
              <w:rPr>
                <w:sz w:val="20"/>
                <w:szCs w:val="20"/>
                <w:color w:val="auto"/>
              </w:rPr>
            </w:pPr>
            <w:r>
              <w:rPr>
                <w:rFonts w:ascii="Arial" w:cs="Arial" w:eastAsia="Arial" w:hAnsi="Arial"/>
                <w:sz w:val="15"/>
                <w:szCs w:val="15"/>
                <w:color w:val="auto"/>
              </w:rPr>
              <w:t>Retained earnings</w:t>
            </w:r>
          </w:p>
        </w:tc>
        <w:tc>
          <w:tcPr>
            <w:tcW w:w="2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820.9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785.2</w:t>
            </w:r>
          </w:p>
        </w:tc>
      </w:tr>
      <w:tr>
        <w:trPr>
          <w:trHeight w:val="183"/>
        </w:trPr>
        <w:tc>
          <w:tcPr>
            <w:tcW w:w="8800" w:type="dxa"/>
            <w:vAlign w:val="bottom"/>
          </w:tcPr>
          <w:p>
            <w:pPr>
              <w:ind w:left="60"/>
              <w:spacing w:after="0"/>
              <w:rPr>
                <w:sz w:val="20"/>
                <w:szCs w:val="20"/>
                <w:color w:val="auto"/>
              </w:rPr>
            </w:pPr>
            <w:r>
              <w:rPr>
                <w:rFonts w:ascii="Arial" w:cs="Arial" w:eastAsia="Arial" w:hAnsi="Arial"/>
                <w:sz w:val="15"/>
                <w:szCs w:val="15"/>
                <w:color w:val="auto"/>
              </w:rPr>
              <w:t>Accumulated other comprehensive income</w:t>
            </w:r>
          </w:p>
        </w:tc>
        <w:tc>
          <w:tcPr>
            <w:tcW w:w="20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137.8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87.0</w:t>
            </w:r>
          </w:p>
        </w:tc>
      </w:tr>
      <w:tr>
        <w:trPr>
          <w:trHeight w:val="183"/>
        </w:trPr>
        <w:tc>
          <w:tcPr>
            <w:tcW w:w="8800" w:type="dxa"/>
            <w:vAlign w:val="bottom"/>
            <w:shd w:val="clear" w:color="auto" w:fill="CCEEFF"/>
          </w:tcPr>
          <w:p>
            <w:pPr>
              <w:ind w:left="60"/>
              <w:spacing w:after="0"/>
              <w:rPr>
                <w:sz w:val="20"/>
                <w:szCs w:val="20"/>
                <w:color w:val="auto"/>
              </w:rPr>
            </w:pPr>
            <w:r>
              <w:rPr>
                <w:rFonts w:ascii="Arial" w:cs="Arial" w:eastAsia="Arial" w:hAnsi="Arial"/>
                <w:sz w:val="15"/>
                <w:szCs w:val="15"/>
                <w:color w:val="auto"/>
              </w:rPr>
              <w:t>Treasury stock, at cost</w:t>
            </w:r>
          </w:p>
        </w:tc>
        <w:tc>
          <w:tcPr>
            <w:tcW w:w="2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(1,260.4)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(1,257.8)</w:t>
            </w:r>
          </w:p>
        </w:tc>
      </w:tr>
      <w:tr>
        <w:trPr>
          <w:trHeight w:val="23"/>
        </w:trPr>
        <w:tc>
          <w:tcPr>
            <w:tcW w:w="88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3"/>
        </w:trPr>
        <w:tc>
          <w:tcPr>
            <w:tcW w:w="8800" w:type="dxa"/>
            <w:vAlign w:val="bottom"/>
          </w:tcPr>
          <w:p>
            <w:pPr>
              <w:ind w:left="220"/>
              <w:spacing w:after="0"/>
              <w:rPr>
                <w:sz w:val="20"/>
                <w:szCs w:val="20"/>
                <w:color w:val="auto"/>
              </w:rPr>
            </w:pPr>
            <w:r>
              <w:rPr>
                <w:rFonts w:ascii="Arial" w:cs="Arial" w:eastAsia="Arial" w:hAnsi="Arial"/>
                <w:sz w:val="15"/>
                <w:szCs w:val="15"/>
                <w:color w:val="auto"/>
              </w:rPr>
              <w:t>Total shareholders' equity</w:t>
            </w: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2,497.3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2,397.2</w:t>
            </w:r>
          </w:p>
        </w:tc>
      </w:tr>
      <w:tr>
        <w:trPr>
          <w:trHeight w:val="23"/>
        </w:trPr>
        <w:tc>
          <w:tcPr>
            <w:tcW w:w="88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88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Total liabilities and shareholders' equity</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7,017.4</w:t>
            </w:r>
          </w:p>
        </w:tc>
        <w:tc>
          <w:tcPr>
            <w:tcW w:w="1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6,729.7</w:t>
            </w:r>
          </w:p>
        </w:tc>
      </w:tr>
      <w:tr>
        <w:trPr>
          <w:trHeight w:val="622"/>
        </w:trPr>
        <w:tc>
          <w:tcPr>
            <w:tcW w:w="8800" w:type="dxa"/>
            <w:vAlign w:val="bottom"/>
            <w:tcBorders>
              <w:top w:val="single" w:sz="8" w:color="CCEEFF"/>
              <w:bottom w:val="single" w:sz="8" w:color="808080"/>
            </w:tcBorders>
          </w:tcPr>
          <w:p>
            <w:pPr>
              <w:spacing w:after="0"/>
              <w:rPr>
                <w:sz w:val="24"/>
                <w:szCs w:val="24"/>
                <w:color w:val="auto"/>
              </w:rPr>
            </w:pPr>
          </w:p>
        </w:tc>
        <w:tc>
          <w:tcPr>
            <w:tcW w:w="200" w:type="dxa"/>
            <w:vAlign w:val="bottom"/>
            <w:tcBorders>
              <w:top w:val="single" w:sz="8" w:color="auto"/>
              <w:bottom w:val="single" w:sz="8" w:color="808080"/>
            </w:tcBorders>
          </w:tcPr>
          <w:p>
            <w:pPr>
              <w:spacing w:after="0"/>
              <w:rPr>
                <w:sz w:val="24"/>
                <w:szCs w:val="24"/>
                <w:color w:val="auto"/>
              </w:rPr>
            </w:pPr>
          </w:p>
        </w:tc>
        <w:tc>
          <w:tcPr>
            <w:tcW w:w="960" w:type="dxa"/>
            <w:vAlign w:val="bottom"/>
            <w:tcBorders>
              <w:top w:val="single" w:sz="8" w:color="auto"/>
              <w:bottom w:val="single" w:sz="8" w:color="808080"/>
            </w:tcBorders>
          </w:tcPr>
          <w:p>
            <w:pPr>
              <w:spacing w:after="0"/>
              <w:rPr>
                <w:sz w:val="24"/>
                <w:szCs w:val="24"/>
                <w:color w:val="auto"/>
              </w:rPr>
            </w:pPr>
          </w:p>
        </w:tc>
        <w:tc>
          <w:tcPr>
            <w:tcW w:w="120" w:type="dxa"/>
            <w:vAlign w:val="bottom"/>
            <w:tcBorders>
              <w:top w:val="single" w:sz="8" w:color="CCEEFF"/>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300" w:type="dxa"/>
            <w:vAlign w:val="bottom"/>
            <w:tcBorders>
              <w:top w:val="single" w:sz="8" w:color="auto"/>
              <w:bottom w:val="single" w:sz="8" w:color="808080"/>
            </w:tcBorders>
          </w:tcPr>
          <w:p>
            <w:pPr>
              <w:spacing w:after="0"/>
              <w:rPr>
                <w:sz w:val="24"/>
                <w:szCs w:val="24"/>
                <w:color w:val="auto"/>
              </w:rPr>
            </w:pPr>
          </w:p>
        </w:tc>
        <w:tc>
          <w:tcPr>
            <w:tcW w:w="840" w:type="dxa"/>
            <w:vAlign w:val="bottom"/>
            <w:tcBorders>
              <w:top w:val="single" w:sz="8" w:color="auto"/>
              <w:bottom w:val="single" w:sz="8" w:color="808080"/>
            </w:tcBorders>
          </w:tcPr>
          <w:p>
            <w:pPr>
              <w:spacing w:after="0"/>
              <w:rPr>
                <w:sz w:val="24"/>
                <w:szCs w:val="24"/>
                <w:color w:val="auto"/>
              </w:rPr>
            </w:pPr>
          </w:p>
        </w:tc>
        <w:tc>
          <w:tcPr>
            <w:tcW w:w="120" w:type="dxa"/>
            <w:vAlign w:val="bottom"/>
            <w:tcBorders>
              <w:top w:val="single" w:sz="8" w:color="CCEEFF"/>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532" w:right="219" w:bottom="1440" w:gutter="0" w:footer="0" w:header="0"/>
        </w:sectPr>
      </w:pPr>
    </w:p>
    <w:bookmarkStart w:id="8" w:name="page9"/>
    <w:bookmarkEnd w:id="8"/>
    <w:p>
      <w:pPr>
        <w:jc w:val="center"/>
        <w:ind w:right="120"/>
        <w:spacing w:after="0"/>
        <w:rPr>
          <w:sz w:val="20"/>
          <w:szCs w:val="20"/>
          <w:color w:val="auto"/>
        </w:rPr>
      </w:pPr>
      <w:r>
        <w:rPr>
          <w:rFonts w:ascii="Arial" w:cs="Arial" w:eastAsia="Arial" w:hAnsi="Arial"/>
          <w:sz w:val="18"/>
          <w:szCs w:val="18"/>
          <w:color w:val="auto"/>
        </w:rPr>
        <w:t>ManpowerGroup</w:t>
      </w:r>
    </w:p>
    <w:p>
      <w:pPr>
        <w:spacing w:after="0" w:line="19" w:lineRule="exact"/>
        <w:rPr>
          <w:sz w:val="20"/>
          <w:szCs w:val="20"/>
          <w:color w:val="auto"/>
        </w:rPr>
      </w:pPr>
    </w:p>
    <w:p>
      <w:pPr>
        <w:jc w:val="center"/>
        <w:ind w:right="120"/>
        <w:spacing w:after="0"/>
        <w:rPr>
          <w:sz w:val="20"/>
          <w:szCs w:val="20"/>
          <w:color w:val="auto"/>
        </w:rPr>
      </w:pPr>
      <w:r>
        <w:rPr>
          <w:rFonts w:ascii="Arial" w:cs="Arial" w:eastAsia="Arial" w:hAnsi="Arial"/>
          <w:sz w:val="15"/>
          <w:szCs w:val="15"/>
          <w:color w:val="auto"/>
        </w:rPr>
        <w:t>Consolidated Statements of Cash Flows</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5"/>
          <w:szCs w:val="15"/>
          <w:color w:val="auto"/>
        </w:rPr>
        <w:t>(In millions)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8780" w:type="dxa"/>
            <w:vAlign w:val="bottom"/>
          </w:tcPr>
          <w:p>
            <w:pPr>
              <w:spacing w:after="0"/>
              <w:rPr>
                <w:sz w:val="15"/>
                <w:szCs w:val="15"/>
                <w:color w:val="auto"/>
              </w:rPr>
            </w:pPr>
          </w:p>
        </w:tc>
        <w:tc>
          <w:tcPr>
            <w:tcW w:w="2640" w:type="dxa"/>
            <w:vAlign w:val="bottom"/>
            <w:gridSpan w:val="7"/>
          </w:tcPr>
          <w:p>
            <w:pPr>
              <w:jc w:val="center"/>
              <w:ind w:right="100"/>
              <w:spacing w:after="0"/>
              <w:rPr>
                <w:sz w:val="20"/>
                <w:szCs w:val="20"/>
                <w:color w:val="auto"/>
              </w:rPr>
            </w:pPr>
            <w:r>
              <w:rPr>
                <w:rFonts w:ascii="Arial" w:cs="Arial" w:eastAsia="Arial" w:hAnsi="Arial"/>
                <w:sz w:val="15"/>
                <w:szCs w:val="15"/>
                <w:b w:val="1"/>
                <w:bCs w:val="1"/>
                <w:color w:val="auto"/>
                <w:w w:val="92"/>
              </w:rPr>
              <w:t>Three Months Ended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78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4"/>
          </w:tcPr>
          <w:p>
            <w:pPr>
              <w:jc w:val="center"/>
              <w:ind w:left="4"/>
              <w:spacing w:after="0"/>
              <w:rPr>
                <w:sz w:val="20"/>
                <w:szCs w:val="20"/>
                <w:color w:val="auto"/>
              </w:rPr>
            </w:pPr>
            <w:r>
              <w:rPr>
                <w:rFonts w:ascii="Arial" w:cs="Arial" w:eastAsia="Arial" w:hAnsi="Arial"/>
                <w:sz w:val="15"/>
                <w:szCs w:val="15"/>
                <w:b w:val="1"/>
                <w:bCs w:val="1"/>
                <w:color w:val="auto"/>
                <w:w w:val="95"/>
              </w:rPr>
              <w:t>March 31</w:t>
            </w:r>
          </w:p>
        </w:tc>
        <w:tc>
          <w:tcPr>
            <w:tcW w:w="8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78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2011</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2010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gridSpan w:val="4"/>
          </w:tcPr>
          <w:p>
            <w:pPr>
              <w:jc w:val="center"/>
              <w:ind w:left="4"/>
              <w:spacing w:after="0"/>
              <w:rPr>
                <w:sz w:val="20"/>
                <w:szCs w:val="20"/>
                <w:color w:val="auto"/>
              </w:rPr>
            </w:pPr>
            <w:r>
              <w:rPr>
                <w:rFonts w:ascii="Arial" w:cs="Arial" w:eastAsia="Arial" w:hAnsi="Arial"/>
                <w:sz w:val="15"/>
                <w:szCs w:val="15"/>
                <w:color w:val="auto"/>
                <w:w w:val="94"/>
              </w:rPr>
              <w:t>(Unaudited)</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Cash Flows from Operating Activities:</w:t>
            </w:r>
          </w:p>
        </w:tc>
        <w:tc>
          <w:tcPr>
            <w:tcW w:w="7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tcPr>
          <w:p>
            <w:pPr>
              <w:ind w:left="40"/>
              <w:spacing w:after="0"/>
              <w:rPr>
                <w:sz w:val="20"/>
                <w:szCs w:val="20"/>
                <w:color w:val="auto"/>
              </w:rPr>
            </w:pPr>
            <w:r>
              <w:rPr>
                <w:rFonts w:ascii="Arial" w:cs="Arial" w:eastAsia="Arial" w:hAnsi="Arial"/>
                <w:sz w:val="15"/>
                <w:szCs w:val="15"/>
                <w:color w:val="auto"/>
              </w:rPr>
              <w:t>Net earnings</w:t>
            </w:r>
          </w:p>
        </w:tc>
        <w:tc>
          <w:tcPr>
            <w:tcW w:w="740" w:type="dxa"/>
            <w:vAlign w:val="bottom"/>
          </w:tcPr>
          <w:p>
            <w:pPr>
              <w:jc w:val="right"/>
              <w:ind w:right="584"/>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20"/>
              <w:spacing w:after="0"/>
              <w:rPr>
                <w:sz w:val="20"/>
                <w:szCs w:val="20"/>
                <w:color w:val="auto"/>
              </w:rPr>
            </w:pPr>
            <w:r>
              <w:rPr>
                <w:rFonts w:ascii="Arial" w:cs="Arial" w:eastAsia="Arial" w:hAnsi="Arial"/>
                <w:sz w:val="15"/>
                <w:szCs w:val="15"/>
                <w:color w:val="auto"/>
              </w:rPr>
              <w:t>35.7</w:t>
            </w:r>
          </w:p>
        </w:tc>
        <w:tc>
          <w:tcPr>
            <w:tcW w:w="4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Adjustments to reconcile net earnings to net cash used in operating activities:</w:t>
            </w:r>
          </w:p>
        </w:tc>
        <w:tc>
          <w:tcPr>
            <w:tcW w:w="7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tcPr>
          <w:p>
            <w:pPr>
              <w:ind w:left="200"/>
              <w:spacing w:after="0"/>
              <w:rPr>
                <w:sz w:val="20"/>
                <w:szCs w:val="20"/>
                <w:color w:val="auto"/>
              </w:rPr>
            </w:pPr>
            <w:r>
              <w:rPr>
                <w:rFonts w:ascii="Arial" w:cs="Arial" w:eastAsia="Arial" w:hAnsi="Arial"/>
                <w:sz w:val="15"/>
                <w:szCs w:val="15"/>
                <w:color w:val="auto"/>
              </w:rPr>
              <w:t>Depreciation and amortization</w:t>
            </w:r>
          </w:p>
        </w:tc>
        <w:tc>
          <w:tcPr>
            <w:tcW w:w="740" w:type="dxa"/>
            <w:vAlign w:val="bottom"/>
          </w:tcPr>
          <w:p>
            <w:pPr>
              <w:spacing w:after="0"/>
              <w:rPr>
                <w:sz w:val="15"/>
                <w:szCs w:val="15"/>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5"/>
                <w:szCs w:val="15"/>
                <w:color w:val="auto"/>
              </w:rPr>
              <w:t>25.9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5"/>
                <w:szCs w:val="15"/>
                <w:color w:val="auto"/>
              </w:rPr>
              <w:t>21.4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Deferred income taxes</w:t>
            </w:r>
          </w:p>
        </w:tc>
        <w:tc>
          <w:tcPr>
            <w:tcW w:w="74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(9.5)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tcPr>
          <w:p>
            <w:pPr>
              <w:ind w:left="200"/>
              <w:spacing w:after="0"/>
              <w:rPr>
                <w:sz w:val="20"/>
                <w:szCs w:val="20"/>
                <w:color w:val="auto"/>
              </w:rPr>
            </w:pPr>
            <w:r>
              <w:rPr>
                <w:rFonts w:ascii="Arial" w:cs="Arial" w:eastAsia="Arial" w:hAnsi="Arial"/>
                <w:sz w:val="15"/>
                <w:szCs w:val="15"/>
                <w:color w:val="auto"/>
              </w:rPr>
              <w:t>Provision for doubtful accounts</w:t>
            </w:r>
          </w:p>
        </w:tc>
        <w:tc>
          <w:tcPr>
            <w:tcW w:w="740" w:type="dxa"/>
            <w:vAlign w:val="bottom"/>
          </w:tcPr>
          <w:p>
            <w:pPr>
              <w:spacing w:after="0"/>
              <w:rPr>
                <w:sz w:val="15"/>
                <w:szCs w:val="15"/>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5"/>
                <w:szCs w:val="15"/>
                <w:color w:val="auto"/>
              </w:rPr>
              <w:t>5.9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5"/>
                <w:szCs w:val="15"/>
                <w:color w:val="auto"/>
              </w:rPr>
              <w:t>4.1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Share-based compensation</w:t>
            </w:r>
          </w:p>
        </w:tc>
        <w:tc>
          <w:tcPr>
            <w:tcW w:w="74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tcPr>
          <w:p>
            <w:pPr>
              <w:ind w:left="200"/>
              <w:spacing w:after="0"/>
              <w:rPr>
                <w:sz w:val="20"/>
                <w:szCs w:val="20"/>
                <w:color w:val="auto"/>
              </w:rPr>
            </w:pPr>
            <w:r>
              <w:rPr>
                <w:rFonts w:ascii="Arial" w:cs="Arial" w:eastAsia="Arial" w:hAnsi="Arial"/>
                <w:sz w:val="15"/>
                <w:szCs w:val="15"/>
                <w:color w:val="auto"/>
              </w:rPr>
              <w:t>Excess tax benefit on exercise of stock options</w:t>
            </w:r>
          </w:p>
        </w:tc>
        <w:tc>
          <w:tcPr>
            <w:tcW w:w="740" w:type="dxa"/>
            <w:vAlign w:val="bottom"/>
          </w:tcPr>
          <w:p>
            <w:pPr>
              <w:spacing w:after="0"/>
              <w:rPr>
                <w:sz w:val="15"/>
                <w:szCs w:val="15"/>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rPr>
              <w:t>(0.5)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Changes in operating assets and liabilities, excluding the impact of acquisitions:</w:t>
            </w:r>
          </w:p>
        </w:tc>
        <w:tc>
          <w:tcPr>
            <w:tcW w:w="7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tcPr>
          <w:p>
            <w:pPr>
              <w:ind w:left="200"/>
              <w:spacing w:after="0"/>
              <w:rPr>
                <w:sz w:val="20"/>
                <w:szCs w:val="20"/>
                <w:color w:val="auto"/>
              </w:rPr>
            </w:pPr>
            <w:r>
              <w:rPr>
                <w:rFonts w:ascii="Arial" w:cs="Arial" w:eastAsia="Arial" w:hAnsi="Arial"/>
                <w:sz w:val="15"/>
                <w:szCs w:val="15"/>
                <w:color w:val="auto"/>
              </w:rPr>
              <w:t>Accounts receivable</w:t>
            </w:r>
          </w:p>
        </w:tc>
        <w:tc>
          <w:tcPr>
            <w:tcW w:w="740" w:type="dxa"/>
            <w:vAlign w:val="bottom"/>
          </w:tcPr>
          <w:p>
            <w:pPr>
              <w:spacing w:after="0"/>
              <w:rPr>
                <w:sz w:val="15"/>
                <w:szCs w:val="15"/>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w w:val="92"/>
              </w:rPr>
              <w:t>(212.9)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5"/>
                <w:szCs w:val="15"/>
                <w:color w:val="auto"/>
              </w:rPr>
              <w:t>(127.1)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Other assets</w:t>
            </w:r>
          </w:p>
        </w:tc>
        <w:tc>
          <w:tcPr>
            <w:tcW w:w="74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(35.6)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tcPr>
          <w:p>
            <w:pPr>
              <w:ind w:left="200"/>
              <w:spacing w:after="0"/>
              <w:rPr>
                <w:sz w:val="20"/>
                <w:szCs w:val="20"/>
                <w:color w:val="auto"/>
              </w:rPr>
            </w:pPr>
            <w:r>
              <w:rPr>
                <w:rFonts w:ascii="Arial" w:cs="Arial" w:eastAsia="Arial" w:hAnsi="Arial"/>
                <w:sz w:val="15"/>
                <w:szCs w:val="15"/>
                <w:color w:val="auto"/>
              </w:rPr>
              <w:t>Other liabilities</w:t>
            </w:r>
          </w:p>
        </w:tc>
        <w:tc>
          <w:tcPr>
            <w:tcW w:w="740" w:type="dxa"/>
            <w:vAlign w:val="bottom"/>
          </w:tcPr>
          <w:p>
            <w:pPr>
              <w:spacing w:after="0"/>
              <w:rPr>
                <w:sz w:val="15"/>
                <w:szCs w:val="15"/>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rPr>
              <w:t>(12.8)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5"/>
                <w:szCs w:val="15"/>
                <w:color w:val="auto"/>
              </w:rPr>
              <w:t>95.5</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5"/>
                <w:szCs w:val="15"/>
                <w:color w:val="auto"/>
              </w:rPr>
              <w:t>Cash used in operating activities</w:t>
            </w:r>
          </w:p>
        </w:tc>
        <w:tc>
          <w:tcPr>
            <w:tcW w:w="7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2"/>
              </w:rPr>
              <w:t>(159.7)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(43.0)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tcBorders>
              <w:top w:val="single" w:sz="8" w:color="CCEEFF"/>
            </w:tcBorders>
          </w:tcPr>
          <w:p>
            <w:pPr>
              <w:spacing w:after="0"/>
              <w:rPr>
                <w:sz w:val="20"/>
                <w:szCs w:val="20"/>
                <w:color w:val="auto"/>
              </w:rPr>
            </w:pPr>
            <w:r>
              <w:rPr>
                <w:rFonts w:ascii="Arial" w:cs="Arial" w:eastAsia="Arial" w:hAnsi="Arial"/>
                <w:sz w:val="15"/>
                <w:szCs w:val="15"/>
                <w:b w:val="1"/>
                <w:bCs w:val="1"/>
                <w:color w:val="auto"/>
              </w:rPr>
              <w:t>Cash Flows from Investing Activities:</w:t>
            </w:r>
          </w:p>
        </w:tc>
        <w:tc>
          <w:tcPr>
            <w:tcW w:w="74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shd w:val="clear" w:color="auto" w:fill="CCEEFF"/>
          </w:tcPr>
          <w:p>
            <w:pPr>
              <w:ind w:left="40"/>
              <w:spacing w:after="0"/>
              <w:rPr>
                <w:sz w:val="20"/>
                <w:szCs w:val="20"/>
                <w:color w:val="auto"/>
              </w:rPr>
            </w:pPr>
            <w:r>
              <w:rPr>
                <w:rFonts w:ascii="Arial" w:cs="Arial" w:eastAsia="Arial" w:hAnsi="Arial"/>
                <w:sz w:val="15"/>
                <w:szCs w:val="15"/>
                <w:color w:val="auto"/>
              </w:rPr>
              <w:t>Capital expenditures</w:t>
            </w:r>
          </w:p>
        </w:tc>
        <w:tc>
          <w:tcPr>
            <w:tcW w:w="74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(11.2)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tcPr>
          <w:p>
            <w:pPr>
              <w:ind w:left="40"/>
              <w:spacing w:after="0"/>
              <w:rPr>
                <w:sz w:val="20"/>
                <w:szCs w:val="20"/>
                <w:color w:val="auto"/>
              </w:rPr>
            </w:pPr>
            <w:r>
              <w:rPr>
                <w:rFonts w:ascii="Arial" w:cs="Arial" w:eastAsia="Arial" w:hAnsi="Arial"/>
                <w:sz w:val="15"/>
                <w:szCs w:val="15"/>
                <w:color w:val="auto"/>
              </w:rPr>
              <w:t>Acquisitions of businesses, net of cash acquired</w:t>
            </w:r>
          </w:p>
        </w:tc>
        <w:tc>
          <w:tcPr>
            <w:tcW w:w="740" w:type="dxa"/>
            <w:vAlign w:val="bottom"/>
          </w:tcPr>
          <w:p>
            <w:pPr>
              <w:spacing w:after="0"/>
              <w:rPr>
                <w:sz w:val="15"/>
                <w:szCs w:val="15"/>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shd w:val="clear" w:color="auto" w:fill="CCEEFF"/>
          </w:tcPr>
          <w:p>
            <w:pPr>
              <w:ind w:left="40"/>
              <w:spacing w:after="0"/>
              <w:rPr>
                <w:sz w:val="20"/>
                <w:szCs w:val="20"/>
                <w:color w:val="auto"/>
              </w:rPr>
            </w:pPr>
            <w:r>
              <w:rPr>
                <w:rFonts w:ascii="Arial" w:cs="Arial" w:eastAsia="Arial" w:hAnsi="Arial"/>
                <w:sz w:val="15"/>
                <w:szCs w:val="15"/>
                <w:color w:val="auto"/>
              </w:rPr>
              <w:t>Proceeds from sales of property and equipment</w:t>
            </w:r>
          </w:p>
        </w:tc>
        <w:tc>
          <w:tcPr>
            <w:tcW w:w="7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87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8780" w:type="dxa"/>
            <w:vAlign w:val="bottom"/>
          </w:tcPr>
          <w:p>
            <w:pPr>
              <w:ind w:left="420"/>
              <w:spacing w:after="0"/>
              <w:rPr>
                <w:sz w:val="20"/>
                <w:szCs w:val="20"/>
                <w:color w:val="auto"/>
              </w:rPr>
            </w:pPr>
            <w:r>
              <w:rPr>
                <w:rFonts w:ascii="Arial" w:cs="Arial" w:eastAsia="Arial" w:hAnsi="Arial"/>
                <w:sz w:val="15"/>
                <w:szCs w:val="15"/>
                <w:color w:val="auto"/>
              </w:rPr>
              <w:t>Cash used in investing activities</w:t>
            </w:r>
          </w:p>
        </w:tc>
        <w:tc>
          <w:tcPr>
            <w:tcW w:w="74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rPr>
              <w:t>(10.1)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5"/>
                <w:szCs w:val="15"/>
                <w:color w:val="auto"/>
              </w:rPr>
              <w:t>(7.6)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7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tcPr>
          <w:p>
            <w:pPr>
              <w:ind w:left="40"/>
              <w:spacing w:after="0"/>
              <w:rPr>
                <w:sz w:val="20"/>
                <w:szCs w:val="20"/>
                <w:color w:val="auto"/>
              </w:rPr>
            </w:pPr>
            <w:r>
              <w:rPr>
                <w:rFonts w:ascii="Arial" w:cs="Arial" w:eastAsia="Arial" w:hAnsi="Arial"/>
                <w:sz w:val="15"/>
                <w:szCs w:val="15"/>
                <w:color w:val="auto"/>
              </w:rPr>
              <w:t>Net change in short-term borrowings</w:t>
            </w:r>
          </w:p>
        </w:tc>
        <w:tc>
          <w:tcPr>
            <w:tcW w:w="740" w:type="dxa"/>
            <w:vAlign w:val="bottom"/>
          </w:tcPr>
          <w:p>
            <w:pPr>
              <w:spacing w:after="0"/>
              <w:rPr>
                <w:sz w:val="15"/>
                <w:szCs w:val="15"/>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5"/>
                <w:szCs w:val="15"/>
                <w:color w:val="auto"/>
              </w:rPr>
              <w:t>9.6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shd w:val="clear" w:color="auto" w:fill="CCEEFF"/>
          </w:tcPr>
          <w:p>
            <w:pPr>
              <w:ind w:left="40"/>
              <w:spacing w:after="0"/>
              <w:rPr>
                <w:sz w:val="20"/>
                <w:szCs w:val="20"/>
                <w:color w:val="auto"/>
              </w:rPr>
            </w:pPr>
            <w:r>
              <w:rPr>
                <w:rFonts w:ascii="Arial" w:cs="Arial" w:eastAsia="Arial" w:hAnsi="Arial"/>
                <w:sz w:val="15"/>
                <w:szCs w:val="15"/>
                <w:color w:val="auto"/>
              </w:rPr>
              <w:t>Proceeds from long-term debt</w:t>
            </w:r>
          </w:p>
        </w:tc>
        <w:tc>
          <w:tcPr>
            <w:tcW w:w="74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0.1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tcPr>
          <w:p>
            <w:pPr>
              <w:ind w:left="40"/>
              <w:spacing w:after="0"/>
              <w:rPr>
                <w:sz w:val="20"/>
                <w:szCs w:val="20"/>
                <w:color w:val="auto"/>
              </w:rPr>
            </w:pPr>
            <w:r>
              <w:rPr>
                <w:rFonts w:ascii="Arial" w:cs="Arial" w:eastAsia="Arial" w:hAnsi="Arial"/>
                <w:sz w:val="15"/>
                <w:szCs w:val="15"/>
                <w:color w:val="auto"/>
              </w:rPr>
              <w:t>Repayments of long-term debt</w:t>
            </w:r>
          </w:p>
        </w:tc>
        <w:tc>
          <w:tcPr>
            <w:tcW w:w="740" w:type="dxa"/>
            <w:vAlign w:val="bottom"/>
          </w:tcPr>
          <w:p>
            <w:pPr>
              <w:spacing w:after="0"/>
              <w:rPr>
                <w:sz w:val="15"/>
                <w:szCs w:val="15"/>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rPr>
              <w:t>(0.1)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5"/>
                <w:szCs w:val="15"/>
                <w:color w:val="auto"/>
              </w:rPr>
              <w:t>(0.7)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shd w:val="clear" w:color="auto" w:fill="CCEEFF"/>
          </w:tcPr>
          <w:p>
            <w:pPr>
              <w:ind w:left="40"/>
              <w:spacing w:after="0"/>
              <w:rPr>
                <w:sz w:val="20"/>
                <w:szCs w:val="20"/>
                <w:color w:val="auto"/>
              </w:rPr>
            </w:pPr>
            <w:r>
              <w:rPr>
                <w:rFonts w:ascii="Arial" w:cs="Arial" w:eastAsia="Arial" w:hAnsi="Arial"/>
                <w:sz w:val="15"/>
                <w:szCs w:val="15"/>
                <w:color w:val="auto"/>
              </w:rPr>
              <w:t>Proceeds from share-based awards</w:t>
            </w:r>
          </w:p>
        </w:tc>
        <w:tc>
          <w:tcPr>
            <w:tcW w:w="74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tcPr>
          <w:p>
            <w:pPr>
              <w:ind w:left="40"/>
              <w:spacing w:after="0"/>
              <w:rPr>
                <w:sz w:val="20"/>
                <w:szCs w:val="20"/>
                <w:color w:val="auto"/>
              </w:rPr>
            </w:pPr>
            <w:r>
              <w:rPr>
                <w:rFonts w:ascii="Arial" w:cs="Arial" w:eastAsia="Arial" w:hAnsi="Arial"/>
                <w:sz w:val="15"/>
                <w:szCs w:val="15"/>
                <w:color w:val="auto"/>
              </w:rPr>
              <w:t>Excess tax benefit on exercise of stock options</w:t>
            </w:r>
          </w:p>
        </w:tc>
        <w:tc>
          <w:tcPr>
            <w:tcW w:w="7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0.5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5"/>
                <w:szCs w:val="15"/>
                <w:color w:val="auto"/>
              </w:rPr>
              <w:t>Cash provided by financing activities</w:t>
            </w:r>
          </w:p>
        </w:tc>
        <w:tc>
          <w:tcPr>
            <w:tcW w:w="7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6.0</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87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8780" w:type="dxa"/>
            <w:vAlign w:val="bottom"/>
          </w:tcPr>
          <w:p>
            <w:pPr>
              <w:spacing w:after="0"/>
              <w:rPr>
                <w:sz w:val="20"/>
                <w:szCs w:val="20"/>
                <w:color w:val="auto"/>
              </w:rPr>
            </w:pPr>
            <w:r>
              <w:rPr>
                <w:rFonts w:ascii="Arial" w:cs="Arial" w:eastAsia="Arial" w:hAnsi="Arial"/>
                <w:sz w:val="15"/>
                <w:szCs w:val="15"/>
                <w:color w:val="auto"/>
              </w:rPr>
              <w:t>Effect of exchange rate changes on cash</w:t>
            </w:r>
          </w:p>
        </w:tc>
        <w:tc>
          <w:tcPr>
            <w:tcW w:w="7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31.4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5"/>
                <w:szCs w:val="15"/>
                <w:color w:val="auto"/>
              </w:rPr>
              <w:t>(26.2)</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5"/>
                <w:szCs w:val="15"/>
                <w:color w:val="auto"/>
              </w:rPr>
              <w:t>Change in cash and cash equivalents</w:t>
            </w:r>
          </w:p>
        </w:tc>
        <w:tc>
          <w:tcPr>
            <w:tcW w:w="74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2"/>
              </w:rPr>
              <w:t>(123.1)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(70.8)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tcPr>
          <w:p>
            <w:pPr>
              <w:spacing w:after="0"/>
              <w:rPr>
                <w:sz w:val="20"/>
                <w:szCs w:val="20"/>
                <w:color w:val="auto"/>
              </w:rPr>
            </w:pPr>
            <w:r>
              <w:rPr>
                <w:rFonts w:ascii="Arial" w:cs="Arial" w:eastAsia="Arial" w:hAnsi="Arial"/>
                <w:sz w:val="15"/>
                <w:szCs w:val="15"/>
                <w:color w:val="auto"/>
              </w:rPr>
              <w:t>Cash and cash equivalents, beginning of period</w:t>
            </w:r>
          </w:p>
        </w:tc>
        <w:tc>
          <w:tcPr>
            <w:tcW w:w="7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772.6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5"/>
                <w:szCs w:val="15"/>
                <w:color w:val="auto"/>
              </w:rPr>
              <w:t>1,014.6</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 end of period</w:t>
            </w:r>
          </w:p>
        </w:tc>
        <w:tc>
          <w:tcPr>
            <w:tcW w:w="740" w:type="dxa"/>
            <w:vAlign w:val="bottom"/>
            <w:shd w:val="clear" w:color="auto" w:fill="CCEEFF"/>
          </w:tcPr>
          <w:p>
            <w:pPr>
              <w:jc w:val="right"/>
              <w:ind w:right="584"/>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649.5</w:t>
            </w:r>
          </w:p>
        </w:tc>
        <w:tc>
          <w:tcPr>
            <w:tcW w:w="1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943.8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40"/>
          </w:cols>
          <w:pgMar w:left="240" w:top="532" w:right="21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145415</wp:posOffset>
            </wp:positionV>
            <wp:extent cx="6969760" cy="5227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69760" cy="5227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40"/>
        <w:spacing w:after="0"/>
        <w:rPr>
          <w:sz w:val="20"/>
          <w:szCs w:val="20"/>
          <w:color w:val="auto"/>
        </w:rPr>
      </w:pPr>
      <w:r>
        <w:rPr>
          <w:rFonts w:ascii="Arial" w:cs="Arial" w:eastAsia="Arial" w:hAnsi="Arial"/>
          <w:sz w:val="49"/>
          <w:szCs w:val="49"/>
          <w:color w:val="498BB8"/>
        </w:rPr>
        <w:t>ManpowerGroup</w:t>
      </w:r>
    </w:p>
    <w:p>
      <w:pPr>
        <w:spacing w:after="0" w:line="49" w:lineRule="exact"/>
        <w:rPr>
          <w:sz w:val="20"/>
          <w:szCs w:val="20"/>
          <w:color w:val="auto"/>
        </w:rPr>
      </w:pPr>
    </w:p>
    <w:p>
      <w:pPr>
        <w:ind w:left="140"/>
        <w:spacing w:after="0"/>
        <w:rPr>
          <w:sz w:val="20"/>
          <w:szCs w:val="20"/>
          <w:color w:val="auto"/>
        </w:rPr>
      </w:pPr>
      <w:r>
        <w:rPr>
          <w:rFonts w:ascii="Arial" w:cs="Arial" w:eastAsia="Arial" w:hAnsi="Arial"/>
          <w:sz w:val="37"/>
          <w:szCs w:val="37"/>
          <w:color w:val="498BB8"/>
        </w:rPr>
        <w:t>2011 1</w:t>
      </w:r>
      <w:r>
        <w:rPr>
          <w:rFonts w:ascii="Arial" w:cs="Arial" w:eastAsia="Arial" w:hAnsi="Arial"/>
          <w:sz w:val="51"/>
          <w:szCs w:val="51"/>
          <w:color w:val="498BB8"/>
          <w:vertAlign w:val="superscript"/>
        </w:rPr>
        <w:t>st</w:t>
      </w:r>
      <w:r>
        <w:rPr>
          <w:rFonts w:ascii="Arial" w:cs="Arial" w:eastAsia="Arial" w:hAnsi="Arial"/>
          <w:sz w:val="37"/>
          <w:szCs w:val="37"/>
          <w:color w:val="498BB8"/>
        </w:rPr>
        <w:t xml:space="preserve"> Quarter</w:t>
      </w:r>
    </w:p>
    <w:p>
      <w:pPr>
        <w:ind w:left="140"/>
        <w:spacing w:after="0"/>
        <w:rPr>
          <w:sz w:val="20"/>
          <w:szCs w:val="20"/>
          <w:color w:val="auto"/>
        </w:rPr>
      </w:pPr>
      <w:r>
        <w:rPr>
          <w:rFonts w:ascii="Arial" w:cs="Arial" w:eastAsia="Arial" w:hAnsi="Arial"/>
          <w:sz w:val="37"/>
          <w:szCs w:val="37"/>
          <w:color w:val="498BB8"/>
        </w:rPr>
        <w:t>April 21,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765175</wp:posOffset>
            </wp:positionV>
            <wp:extent cx="7273290" cy="196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0240"/>
          </w:cols>
          <w:pgMar w:left="1440" w:top="115" w:right="219" w:bottom="1440" w:gutter="0" w:footer="0" w:header="0"/>
        </w:sectPr>
      </w:pPr>
    </w:p>
    <w:bookmarkStart w:id="10" w:name="page11"/>
    <w:bookmarkEnd w:id="10"/>
    <w:p>
      <w:pPr>
        <w:spacing w:after="0"/>
        <w:tabs>
          <w:tab w:leader="none" w:pos="7600" w:val="left"/>
        </w:tabs>
        <w:rPr>
          <w:sz w:val="20"/>
          <w:szCs w:val="20"/>
          <w:color w:val="auto"/>
        </w:rPr>
      </w:pPr>
      <w:r>
        <w:rPr>
          <w:rFonts w:ascii="Arial" w:cs="Arial" w:eastAsia="Arial" w:hAnsi="Arial"/>
          <w:sz w:val="24"/>
          <w:szCs w:val="24"/>
          <w:b w:val="1"/>
          <w:bCs w:val="1"/>
          <w:color w:val="FFFFFF"/>
        </w:rPr>
        <w:drawing>
          <wp:anchor simplePos="0" relativeHeight="251657728" behindDoc="1" locked="0" layoutInCell="0" allowOverlap="1">
            <wp:simplePos x="0" y="0"/>
            <wp:positionH relativeFrom="page">
              <wp:posOffset>299720</wp:posOffset>
            </wp:positionH>
            <wp:positionV relativeFrom="page">
              <wp:posOffset>168910</wp:posOffset>
            </wp:positionV>
            <wp:extent cx="6969760" cy="5227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6969760" cy="5227320"/>
                    </a:xfrm>
                    <a:prstGeom prst="rect">
                      <a:avLst/>
                    </a:prstGeom>
                    <a:noFill/>
                  </pic:spPr>
                </pic:pic>
              </a:graphicData>
            </a:graphic>
          </wp:anchor>
        </w:drawing>
        <w:t>ManpowerGroup 2011 1</w:t>
      </w:r>
      <w:r>
        <w:rPr>
          <w:rFonts w:ascii="Arial" w:cs="Arial" w:eastAsia="Arial" w:hAnsi="Arial"/>
          <w:sz w:val="17"/>
          <w:szCs w:val="17"/>
          <w:b w:val="1"/>
          <w:bCs w:val="1"/>
          <w:color w:val="FFFFFF"/>
        </w:rPr>
        <w:t>st</w:t>
      </w:r>
      <w:r>
        <w:rPr>
          <w:rFonts w:ascii="Arial" w:cs="Arial" w:eastAsia="Arial" w:hAnsi="Arial"/>
          <w:sz w:val="24"/>
          <w:szCs w:val="24"/>
          <w:b w:val="1"/>
          <w:bCs w:val="1"/>
          <w:color w:val="FFFFFF"/>
        </w:rPr>
        <w:t xml:space="preserve"> Quarter Results</w:t>
      </w:r>
      <w:r>
        <w:rPr>
          <w:sz w:val="20"/>
          <w:szCs w:val="20"/>
          <w:color w:val="auto"/>
        </w:rPr>
        <w:tab/>
      </w:r>
      <w:r>
        <w:rPr>
          <w:rFonts w:ascii="Arial" w:cs="Arial" w:eastAsia="Arial" w:hAnsi="Arial"/>
          <w:sz w:val="24"/>
          <w:szCs w:val="24"/>
          <w:b w:val="1"/>
          <w:bCs w:val="1"/>
          <w:color w:val="FFFFFF"/>
        </w:rPr>
        <w:t>April 2011</w:t>
      </w:r>
    </w:p>
    <w:p>
      <w:pPr>
        <w:sectPr>
          <w:pgSz w:w="11900" w:h="16838" w:orient="portrait"/>
          <w:cols w:equalWidth="0" w:num="1">
            <w:col w:w="9579"/>
          </w:cols>
          <w:pgMar w:left="880" w:top="438" w:right="1440" w:bottom="1440" w:gutter="0" w:footer="0" w:header="0"/>
        </w:sectPr>
      </w:pPr>
    </w:p>
    <w:p>
      <w:pPr>
        <w:spacing w:after="0" w:line="200" w:lineRule="exact"/>
        <w:rPr>
          <w:sz w:val="20"/>
          <w:szCs w:val="20"/>
          <w:color w:val="auto"/>
        </w:rPr>
      </w:pPr>
    </w:p>
    <w:p>
      <w:pPr>
        <w:spacing w:after="0" w:line="235" w:lineRule="exact"/>
        <w:rPr>
          <w:sz w:val="20"/>
          <w:szCs w:val="20"/>
          <w:color w:val="auto"/>
        </w:rPr>
      </w:pPr>
    </w:p>
    <w:p>
      <w:pPr>
        <w:ind w:left="140"/>
        <w:spacing w:after="0"/>
        <w:rPr>
          <w:sz w:val="20"/>
          <w:szCs w:val="20"/>
          <w:color w:val="auto"/>
        </w:rPr>
      </w:pPr>
      <w:r>
        <w:rPr>
          <w:rFonts w:ascii="Arial" w:cs="Arial" w:eastAsia="Arial" w:hAnsi="Arial"/>
          <w:sz w:val="49"/>
          <w:szCs w:val="49"/>
          <w:color w:val="5F81AA"/>
        </w:rPr>
        <w:t>Forward-Looking Statement</w:t>
      </w:r>
    </w:p>
    <w:p>
      <w:pPr>
        <w:spacing w:after="0" w:line="200" w:lineRule="exact"/>
        <w:rPr>
          <w:sz w:val="20"/>
          <w:szCs w:val="20"/>
          <w:color w:val="auto"/>
        </w:rPr>
      </w:pPr>
    </w:p>
    <w:p>
      <w:pPr>
        <w:spacing w:after="0" w:line="260" w:lineRule="exact"/>
        <w:rPr>
          <w:sz w:val="20"/>
          <w:szCs w:val="20"/>
          <w:color w:val="auto"/>
        </w:rPr>
      </w:pPr>
    </w:p>
    <w:p>
      <w:pPr>
        <w:ind w:left="140" w:right="2619"/>
        <w:spacing w:after="0" w:line="250" w:lineRule="auto"/>
        <w:rPr>
          <w:sz w:val="20"/>
          <w:szCs w:val="20"/>
          <w:color w:val="auto"/>
        </w:rPr>
      </w:pPr>
      <w:r>
        <w:rPr>
          <w:rFonts w:ascii="Arial" w:cs="Arial" w:eastAsia="Arial" w:hAnsi="Arial"/>
          <w:sz w:val="24"/>
          <w:szCs w:val="24"/>
          <w:color w:val="67696F"/>
        </w:rPr>
        <w:t>This presentation includes forward-looking statements, including earnings projections which are subject to risks and uncertainties. Actual results might differ materially from those projected in the forward-looking statements. Additional information concerning factors that could cause actual results to materially differ from those in the forward-looking statements is contained in the Manpower Inc. Annual Report on Form 10-K dated December 31, 2010, which information is incorporated herein by reference, and such other factors as may be described from time to time in the Company’s SEC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2406650</wp:posOffset>
            </wp:positionV>
            <wp:extent cx="7273290" cy="196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9579"/>
          </w:cols>
          <w:pgMar w:left="880" w:top="438" w:right="1440" w:bottom="1440" w:gutter="0" w:footer="0" w:header="0"/>
          <w:type w:val="continuous"/>
        </w:sectPr>
      </w:pPr>
    </w:p>
    <w:bookmarkStart w:id="11" w:name="page12"/>
    <w:bookmarkEnd w:id="11"/>
    <w:p>
      <w:pPr>
        <w:ind w:left="640"/>
        <w:spacing w:after="0"/>
        <w:tabs>
          <w:tab w:leader="none" w:pos="9340" w:val="left"/>
        </w:tabs>
        <w:rPr>
          <w:sz w:val="20"/>
          <w:szCs w:val="20"/>
          <w:color w:val="auto"/>
        </w:rPr>
      </w:pPr>
      <w:r>
        <w:rPr>
          <w:rFonts w:ascii="Arial" w:cs="Arial" w:eastAsia="Arial" w:hAnsi="Arial"/>
          <w:sz w:val="24"/>
          <w:szCs w:val="24"/>
          <w:b w:val="1"/>
          <w:bCs w:val="1"/>
          <w:color w:val="FFFFFF"/>
        </w:rPr>
        <w:drawing>
          <wp:anchor simplePos="0" relativeHeight="251657728" behindDoc="1" locked="0" layoutInCell="0" allowOverlap="1">
            <wp:simplePos x="0" y="0"/>
            <wp:positionH relativeFrom="page">
              <wp:posOffset>299720</wp:posOffset>
            </wp:positionH>
            <wp:positionV relativeFrom="page">
              <wp:posOffset>168910</wp:posOffset>
            </wp:positionV>
            <wp:extent cx="6969760" cy="5227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969760" cy="5227320"/>
                    </a:xfrm>
                    <a:prstGeom prst="rect">
                      <a:avLst/>
                    </a:prstGeom>
                    <a:noFill/>
                  </pic:spPr>
                </pic:pic>
              </a:graphicData>
            </a:graphic>
          </wp:anchor>
        </w:drawing>
        <w:t>ManpowerGroup 2011 1</w:t>
      </w:r>
      <w:r>
        <w:rPr>
          <w:rFonts w:ascii="Arial" w:cs="Arial" w:eastAsia="Arial" w:hAnsi="Arial"/>
          <w:sz w:val="17"/>
          <w:szCs w:val="17"/>
          <w:b w:val="1"/>
          <w:bCs w:val="1"/>
          <w:color w:val="FFFFFF"/>
        </w:rPr>
        <w:t>st</w:t>
      </w:r>
      <w:r>
        <w:rPr>
          <w:rFonts w:ascii="Arial" w:cs="Arial" w:eastAsia="Arial" w:hAnsi="Arial"/>
          <w:sz w:val="24"/>
          <w:szCs w:val="24"/>
          <w:b w:val="1"/>
          <w:bCs w:val="1"/>
          <w:color w:val="FFFFFF"/>
        </w:rPr>
        <w:t xml:space="preserve"> Quarter Results</w:t>
      </w:r>
      <w:r>
        <w:rPr>
          <w:sz w:val="20"/>
          <w:szCs w:val="20"/>
          <w:color w:val="auto"/>
        </w:rPr>
        <w:tab/>
      </w:r>
      <w:r>
        <w:rPr>
          <w:rFonts w:ascii="Arial" w:cs="Arial" w:eastAsia="Arial" w:hAnsi="Arial"/>
          <w:sz w:val="24"/>
          <w:szCs w:val="24"/>
          <w:b w:val="1"/>
          <w:bCs w:val="1"/>
          <w:color w:val="FFFFFF"/>
        </w:rPr>
        <w:t>April 2011</w:t>
      </w:r>
    </w:p>
    <w:p>
      <w:pPr>
        <w:spacing w:after="0" w:line="200" w:lineRule="exact"/>
        <w:rPr>
          <w:sz w:val="20"/>
          <w:szCs w:val="20"/>
          <w:color w:val="auto"/>
        </w:rPr>
      </w:pPr>
    </w:p>
    <w:p>
      <w:pPr>
        <w:spacing w:after="0" w:line="360" w:lineRule="exact"/>
        <w:rPr>
          <w:sz w:val="20"/>
          <w:szCs w:val="20"/>
          <w:color w:val="auto"/>
        </w:rPr>
      </w:pPr>
    </w:p>
    <w:p>
      <w:pPr>
        <w:ind w:left="1040"/>
        <w:spacing w:after="0"/>
        <w:rPr>
          <w:sz w:val="20"/>
          <w:szCs w:val="20"/>
          <w:color w:val="auto"/>
        </w:rPr>
      </w:pPr>
      <w:r>
        <w:rPr>
          <w:rFonts w:ascii="Arial" w:cs="Arial" w:eastAsia="Arial" w:hAnsi="Arial"/>
          <w:sz w:val="49"/>
          <w:szCs w:val="49"/>
          <w:color w:val="5F81AA"/>
        </w:rPr>
        <w:t>Consolidated Financial Highlights</w:t>
      </w:r>
    </w:p>
    <w:p>
      <w:pPr>
        <w:sectPr>
          <w:pgSz w:w="11900" w:h="16838" w:orient="portrait"/>
          <w:cols w:equalWidth="0" w:num="1">
            <w:col w:w="11440"/>
          </w:cols>
          <w:pgMar w:left="240" w:top="438"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left="1820"/>
        <w:spacing w:after="0"/>
        <w:rPr>
          <w:sz w:val="20"/>
          <w:szCs w:val="20"/>
          <w:color w:val="auto"/>
        </w:rPr>
      </w:pPr>
      <w:r>
        <w:rPr>
          <w:rFonts w:ascii="Arial" w:cs="Arial" w:eastAsia="Arial" w:hAnsi="Arial"/>
          <w:sz w:val="37"/>
          <w:szCs w:val="37"/>
          <w:color w:val="auto"/>
        </w:rPr>
        <w:t>24%</w:t>
      </w:r>
    </w:p>
    <w:p>
      <w:pPr>
        <w:spacing w:after="0" w:line="9" w:lineRule="exact"/>
        <w:rPr>
          <w:sz w:val="20"/>
          <w:szCs w:val="20"/>
          <w:color w:val="auto"/>
        </w:rPr>
      </w:pPr>
    </w:p>
    <w:p>
      <w:pPr>
        <w:jc w:val="center"/>
        <w:ind w:left="1840"/>
        <w:spacing w:after="0"/>
        <w:rPr>
          <w:sz w:val="20"/>
          <w:szCs w:val="20"/>
          <w:color w:val="auto"/>
        </w:rPr>
      </w:pPr>
      <w:r>
        <w:rPr>
          <w:rFonts w:ascii="Arial" w:cs="Arial" w:eastAsia="Arial" w:hAnsi="Arial"/>
          <w:sz w:val="37"/>
          <w:szCs w:val="37"/>
          <w:color w:val="auto"/>
        </w:rPr>
        <w:t>22% CC</w:t>
      </w:r>
    </w:p>
    <w:p>
      <w:pPr>
        <w:spacing w:after="0" w:line="226" w:lineRule="exact"/>
        <w:rPr>
          <w:sz w:val="20"/>
          <w:szCs w:val="20"/>
          <w:color w:val="auto"/>
        </w:rPr>
      </w:pPr>
    </w:p>
    <w:p>
      <w:pPr>
        <w:ind w:left="2200"/>
        <w:spacing w:after="0"/>
        <w:rPr>
          <w:sz w:val="20"/>
          <w:szCs w:val="20"/>
          <w:color w:val="auto"/>
        </w:rPr>
      </w:pPr>
      <w:r>
        <w:rPr>
          <w:rFonts w:ascii="Arial" w:cs="Arial" w:eastAsia="Arial" w:hAnsi="Arial"/>
          <w:sz w:val="37"/>
          <w:szCs w:val="37"/>
          <w:color w:val="auto"/>
        </w:rPr>
        <w:t>20 bps</w:t>
      </w:r>
    </w:p>
    <w:p>
      <w:pPr>
        <w:spacing w:after="0" w:line="283" w:lineRule="exact"/>
        <w:rPr>
          <w:sz w:val="20"/>
          <w:szCs w:val="20"/>
          <w:color w:val="auto"/>
        </w:rPr>
      </w:pPr>
    </w:p>
    <w:p>
      <w:pPr>
        <w:ind w:left="2340"/>
        <w:spacing w:after="0"/>
        <w:rPr>
          <w:sz w:val="20"/>
          <w:szCs w:val="20"/>
          <w:color w:val="auto"/>
        </w:rPr>
      </w:pPr>
      <w:r>
        <w:rPr>
          <w:rFonts w:ascii="Arial" w:cs="Arial" w:eastAsia="Arial" w:hAnsi="Arial"/>
          <w:sz w:val="37"/>
          <w:szCs w:val="37"/>
          <w:color w:val="auto"/>
        </w:rPr>
        <w:t>163%</w:t>
      </w:r>
    </w:p>
    <w:p>
      <w:pPr>
        <w:spacing w:after="0" w:line="9" w:lineRule="exact"/>
        <w:rPr>
          <w:sz w:val="20"/>
          <w:szCs w:val="20"/>
          <w:color w:val="auto"/>
        </w:rPr>
      </w:pPr>
    </w:p>
    <w:p>
      <w:pPr>
        <w:ind w:left="2000"/>
        <w:spacing w:after="0"/>
        <w:rPr>
          <w:sz w:val="20"/>
          <w:szCs w:val="20"/>
          <w:color w:val="auto"/>
        </w:rPr>
      </w:pPr>
      <w:r>
        <w:rPr>
          <w:rFonts w:ascii="Arial" w:cs="Arial" w:eastAsia="Arial" w:hAnsi="Arial"/>
          <w:sz w:val="36"/>
          <w:szCs w:val="36"/>
          <w:color w:val="auto"/>
        </w:rPr>
        <w:t>152% CC</w:t>
      </w:r>
    </w:p>
    <w:p>
      <w:pPr>
        <w:spacing w:after="0" w:line="226" w:lineRule="exact"/>
        <w:rPr>
          <w:sz w:val="20"/>
          <w:szCs w:val="20"/>
          <w:color w:val="auto"/>
        </w:rPr>
      </w:pPr>
    </w:p>
    <w:p>
      <w:pPr>
        <w:ind w:left="2200"/>
        <w:spacing w:after="0"/>
        <w:rPr>
          <w:sz w:val="20"/>
          <w:szCs w:val="20"/>
          <w:color w:val="auto"/>
        </w:rPr>
      </w:pPr>
      <w:r>
        <w:rPr>
          <w:rFonts w:ascii="Arial" w:cs="Arial" w:eastAsia="Arial" w:hAnsi="Arial"/>
          <w:sz w:val="37"/>
          <w:szCs w:val="37"/>
          <w:color w:val="auto"/>
        </w:rPr>
        <w:t>90 bps</w:t>
      </w:r>
    </w:p>
    <w:p>
      <w:pPr>
        <w:spacing w:after="0" w:line="261" w:lineRule="exact"/>
        <w:rPr>
          <w:sz w:val="20"/>
          <w:szCs w:val="20"/>
          <w:color w:val="auto"/>
        </w:rPr>
      </w:pPr>
    </w:p>
    <w:p>
      <w:pPr>
        <w:ind w:left="2320"/>
        <w:spacing w:after="0"/>
        <w:rPr>
          <w:sz w:val="20"/>
          <w:szCs w:val="20"/>
          <w:color w:val="auto"/>
        </w:rPr>
      </w:pPr>
      <w:r>
        <w:rPr>
          <w:rFonts w:ascii="Arial" w:cs="Arial" w:eastAsia="Arial" w:hAnsi="Arial"/>
          <w:sz w:val="37"/>
          <w:szCs w:val="37"/>
          <w:color w:val="auto"/>
        </w:rPr>
        <w:t>N/A</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37"/>
          <w:szCs w:val="37"/>
          <w:color w:val="auto"/>
        </w:rPr>
        <w:t>N/A</w:t>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Q1 Highlights</w:t>
      </w:r>
    </w:p>
    <w:p>
      <w:pPr>
        <w:spacing w:after="0" w:line="309" w:lineRule="exact"/>
        <w:rPr>
          <w:sz w:val="20"/>
          <w:szCs w:val="20"/>
          <w:color w:val="auto"/>
        </w:rPr>
      </w:pPr>
    </w:p>
    <w:p>
      <w:pPr>
        <w:ind w:left="100"/>
        <w:spacing w:after="0"/>
        <w:rPr>
          <w:sz w:val="20"/>
          <w:szCs w:val="20"/>
          <w:color w:val="auto"/>
        </w:rPr>
      </w:pPr>
      <w:r>
        <w:rPr>
          <w:rFonts w:ascii="Arial" w:cs="Arial" w:eastAsia="Arial" w:hAnsi="Arial"/>
          <w:sz w:val="40"/>
          <w:szCs w:val="40"/>
          <w:b w:val="1"/>
          <w:bCs w:val="1"/>
          <w:color w:val="auto"/>
        </w:rPr>
        <w:t xml:space="preserve">Revenue </w:t>
      </w:r>
      <w:r>
        <w:rPr>
          <w:rFonts w:ascii="Arial" w:cs="Arial" w:eastAsia="Arial" w:hAnsi="Arial"/>
          <w:sz w:val="42"/>
          <w:szCs w:val="42"/>
          <w:b w:val="1"/>
          <w:bCs w:val="1"/>
          <w:color w:val="6698C2"/>
        </w:rPr>
        <w:t>$5.1B</w:t>
      </w:r>
    </w:p>
    <w:p>
      <w:pPr>
        <w:spacing w:after="0" w:line="397" w:lineRule="exact"/>
        <w:rPr>
          <w:sz w:val="20"/>
          <w:szCs w:val="20"/>
          <w:color w:val="auto"/>
        </w:rPr>
      </w:pPr>
    </w:p>
    <w:p>
      <w:pPr>
        <w:ind w:left="100" w:right="2600" w:hanging="10"/>
        <w:spacing w:after="0" w:line="454" w:lineRule="auto"/>
        <w:rPr>
          <w:sz w:val="20"/>
          <w:szCs w:val="20"/>
          <w:color w:val="auto"/>
        </w:rPr>
      </w:pPr>
      <w:r>
        <w:rPr>
          <w:rFonts w:ascii="Arial" w:cs="Arial" w:eastAsia="Arial" w:hAnsi="Arial"/>
          <w:sz w:val="40"/>
          <w:szCs w:val="40"/>
          <w:b w:val="1"/>
          <w:bCs w:val="1"/>
          <w:color w:val="auto"/>
        </w:rPr>
        <w:t xml:space="preserve">Gross Margin </w:t>
      </w:r>
      <w:r>
        <w:rPr>
          <w:rFonts w:ascii="Arial" w:cs="Arial" w:eastAsia="Arial" w:hAnsi="Arial"/>
          <w:sz w:val="42"/>
          <w:szCs w:val="42"/>
          <w:b w:val="1"/>
          <w:bCs w:val="1"/>
          <w:color w:val="6698C2"/>
        </w:rPr>
        <w:t>16.9%</w:t>
      </w:r>
      <w:r>
        <w:rPr>
          <w:rFonts w:ascii="Arial" w:cs="Arial" w:eastAsia="Arial" w:hAnsi="Arial"/>
          <w:sz w:val="40"/>
          <w:szCs w:val="40"/>
          <w:b w:val="1"/>
          <w:bCs w:val="1"/>
          <w:color w:val="auto"/>
        </w:rPr>
        <w:t xml:space="preserve"> Operating Income </w:t>
      </w:r>
      <w:r>
        <w:rPr>
          <w:rFonts w:ascii="Arial" w:cs="Arial" w:eastAsia="Arial" w:hAnsi="Arial"/>
          <w:sz w:val="42"/>
          <w:szCs w:val="42"/>
          <w:b w:val="1"/>
          <w:bCs w:val="1"/>
          <w:color w:val="6698C2"/>
        </w:rPr>
        <w:t>$86M</w:t>
      </w:r>
      <w:r>
        <w:rPr>
          <w:rFonts w:ascii="Arial" w:cs="Arial" w:eastAsia="Arial" w:hAnsi="Arial"/>
          <w:sz w:val="40"/>
          <w:szCs w:val="40"/>
          <w:b w:val="1"/>
          <w:bCs w:val="1"/>
          <w:color w:val="auto"/>
        </w:rPr>
        <w:t xml:space="preserve"> OP Margin </w:t>
      </w:r>
      <w:r>
        <w:rPr>
          <w:rFonts w:ascii="Arial" w:cs="Arial" w:eastAsia="Arial" w:hAnsi="Arial"/>
          <w:sz w:val="42"/>
          <w:szCs w:val="42"/>
          <w:b w:val="1"/>
          <w:bCs w:val="1"/>
          <w:color w:val="6698C2"/>
        </w:rPr>
        <w:t>1.7%</w:t>
      </w:r>
    </w:p>
    <w:p>
      <w:pPr>
        <w:spacing w:after="0" w:line="3" w:lineRule="exact"/>
        <w:rPr>
          <w:sz w:val="20"/>
          <w:szCs w:val="20"/>
          <w:color w:val="auto"/>
        </w:rPr>
      </w:pPr>
    </w:p>
    <w:p>
      <w:pPr>
        <w:ind w:left="80"/>
        <w:spacing w:after="0"/>
        <w:rPr>
          <w:sz w:val="20"/>
          <w:szCs w:val="20"/>
          <w:color w:val="auto"/>
        </w:rPr>
      </w:pPr>
      <w:r>
        <w:rPr>
          <w:rFonts w:ascii="Arial" w:cs="Arial" w:eastAsia="Arial" w:hAnsi="Arial"/>
          <w:sz w:val="40"/>
          <w:szCs w:val="40"/>
          <w:b w:val="1"/>
          <w:bCs w:val="1"/>
          <w:color w:val="auto"/>
        </w:rPr>
        <w:t xml:space="preserve">EPS </w:t>
      </w:r>
      <w:r>
        <w:rPr>
          <w:rFonts w:ascii="Arial" w:cs="Arial" w:eastAsia="Arial" w:hAnsi="Arial"/>
          <w:sz w:val="42"/>
          <w:szCs w:val="42"/>
          <w:b w:val="1"/>
          <w:bCs w:val="1"/>
          <w:color w:val="6698C2"/>
        </w:rPr>
        <w:t>$0.43</w:t>
      </w:r>
    </w:p>
    <w:p>
      <w:pPr>
        <w:spacing w:after="0" w:line="457" w:lineRule="exact"/>
        <w:rPr>
          <w:sz w:val="20"/>
          <w:szCs w:val="20"/>
          <w:color w:val="auto"/>
        </w:rPr>
      </w:pPr>
    </w:p>
    <w:p>
      <w:pPr>
        <w:sectPr>
          <w:pgSz w:w="11900" w:h="16838" w:orient="portrait"/>
          <w:cols w:equalWidth="0" w:num="2">
            <w:col w:w="3580" w:space="540"/>
            <w:col w:w="7320"/>
          </w:cols>
          <w:pgMar w:left="240" w:top="438" w:right="219" w:bottom="1440" w:gutter="0" w:footer="0" w:header="0"/>
          <w:type w:val="continuous"/>
        </w:sect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340" w:type="dxa"/>
            <w:vAlign w:val="bottom"/>
          </w:tcPr>
          <w:p>
            <w:pPr>
              <w:ind w:left="960"/>
              <w:spacing w:after="0"/>
              <w:rPr>
                <w:sz w:val="20"/>
                <w:szCs w:val="20"/>
                <w:color w:val="auto"/>
              </w:rPr>
            </w:pPr>
            <w:r>
              <w:rPr>
                <w:rFonts w:ascii="Arial" w:cs="Arial" w:eastAsia="Arial" w:hAnsi="Arial"/>
                <w:sz w:val="17"/>
                <w:szCs w:val="17"/>
                <w:b w:val="1"/>
                <w:bCs w:val="1"/>
                <w:color w:val="auto"/>
              </w:rPr>
              <w:t>Throughout this presentation, the difference between reported variances and Constant Currency (CC) variances</w:t>
            </w:r>
          </w:p>
        </w:tc>
        <w:tc>
          <w:tcPr>
            <w:tcW w:w="1100" w:type="dxa"/>
            <w:vAlign w:val="bottom"/>
            <w:vMerge w:val="restart"/>
          </w:tcPr>
          <w:p>
            <w:pPr>
              <w:jc w:val="right"/>
              <w:ind w:right="711"/>
              <w:spacing w:after="0"/>
              <w:rPr>
                <w:sz w:val="20"/>
                <w:szCs w:val="20"/>
                <w:color w:val="auto"/>
              </w:rPr>
            </w:pPr>
            <w:r>
              <w:rPr>
                <w:rFonts w:ascii="Arial" w:cs="Arial" w:eastAsia="Arial" w:hAnsi="Arial"/>
                <w:sz w:val="14"/>
                <w:szCs w:val="14"/>
                <w:color w:val="898989"/>
              </w:rPr>
              <w:t>3</w:t>
            </w:r>
          </w:p>
        </w:tc>
        <w:tc>
          <w:tcPr>
            <w:tcW w:w="0" w:type="dxa"/>
            <w:vAlign w:val="bottom"/>
          </w:tcPr>
          <w:p>
            <w:pPr>
              <w:spacing w:after="0"/>
              <w:rPr>
                <w:sz w:val="1"/>
                <w:szCs w:val="1"/>
                <w:color w:val="auto"/>
              </w:rPr>
            </w:pPr>
          </w:p>
        </w:tc>
      </w:tr>
      <w:tr>
        <w:trPr>
          <w:trHeight w:val="97"/>
        </w:trPr>
        <w:tc>
          <w:tcPr>
            <w:tcW w:w="10340" w:type="dxa"/>
            <w:vAlign w:val="bottom"/>
            <w:vMerge w:val="restart"/>
          </w:tcPr>
          <w:p>
            <w:pPr>
              <w:ind w:left="960"/>
              <w:spacing w:after="0"/>
              <w:rPr>
                <w:sz w:val="20"/>
                <w:szCs w:val="20"/>
                <w:color w:val="auto"/>
              </w:rPr>
            </w:pPr>
            <w:r>
              <w:rPr>
                <w:rFonts w:ascii="Arial" w:cs="Arial" w:eastAsia="Arial" w:hAnsi="Arial"/>
                <w:sz w:val="17"/>
                <w:szCs w:val="17"/>
                <w:b w:val="1"/>
                <w:bCs w:val="1"/>
                <w:color w:val="auto"/>
              </w:rPr>
              <w:t>represents the impact of currency on our financial results. Constant Currency is further explained on our Web site.</w:t>
            </w: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034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9"/>
        </w:trPr>
        <w:tc>
          <w:tcPr>
            <w:tcW w:w="1034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438" w:right="219" w:bottom="1440" w:gutter="0" w:footer="0" w:header="0"/>
          <w:type w:val="continuous"/>
        </w:sectPr>
      </w:pPr>
    </w:p>
    <w:bookmarkStart w:id="12" w:name="page13"/>
    <w:bookmarkEnd w:id="12"/>
    <w:p>
      <w:pPr>
        <w:spacing w:after="0"/>
        <w:tabs>
          <w:tab w:leader="none" w:pos="8700" w:val="left"/>
        </w:tabs>
        <w:rPr>
          <w:sz w:val="20"/>
          <w:szCs w:val="20"/>
          <w:color w:val="auto"/>
        </w:rPr>
      </w:pPr>
      <w:r>
        <w:rPr>
          <w:rFonts w:ascii="Arial" w:cs="Arial" w:eastAsia="Arial" w:hAnsi="Arial"/>
          <w:sz w:val="24"/>
          <w:szCs w:val="24"/>
          <w:b w:val="1"/>
          <w:bCs w:val="1"/>
          <w:color w:val="FFFFFF"/>
        </w:rPr>
        <w:drawing>
          <wp:anchor simplePos="0" relativeHeight="251657728" behindDoc="1" locked="0" layoutInCell="0" allowOverlap="1">
            <wp:simplePos x="0" y="0"/>
            <wp:positionH relativeFrom="page">
              <wp:posOffset>299720</wp:posOffset>
            </wp:positionH>
            <wp:positionV relativeFrom="page">
              <wp:posOffset>168910</wp:posOffset>
            </wp:positionV>
            <wp:extent cx="6969760" cy="5227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6969760" cy="5227320"/>
                    </a:xfrm>
                    <a:prstGeom prst="rect">
                      <a:avLst/>
                    </a:prstGeom>
                    <a:noFill/>
                  </pic:spPr>
                </pic:pic>
              </a:graphicData>
            </a:graphic>
          </wp:anchor>
        </w:drawing>
        <w:t>ManpowerGroup 2011 1</w:t>
      </w:r>
      <w:r>
        <w:rPr>
          <w:rFonts w:ascii="Arial" w:cs="Arial" w:eastAsia="Arial" w:hAnsi="Arial"/>
          <w:sz w:val="17"/>
          <w:szCs w:val="17"/>
          <w:b w:val="1"/>
          <w:bCs w:val="1"/>
          <w:color w:val="FFFFFF"/>
        </w:rPr>
        <w:t>st</w:t>
      </w:r>
      <w:r>
        <w:rPr>
          <w:rFonts w:ascii="Arial" w:cs="Arial" w:eastAsia="Arial" w:hAnsi="Arial"/>
          <w:sz w:val="24"/>
          <w:szCs w:val="24"/>
          <w:b w:val="1"/>
          <w:bCs w:val="1"/>
          <w:color w:val="FFFFFF"/>
        </w:rPr>
        <w:t xml:space="preserve"> Quarter Results</w:t>
      </w:r>
      <w:r>
        <w:rPr>
          <w:sz w:val="20"/>
          <w:szCs w:val="20"/>
          <w:color w:val="auto"/>
        </w:rPr>
        <w:tab/>
      </w:r>
      <w:r>
        <w:rPr>
          <w:rFonts w:ascii="Arial" w:cs="Arial" w:eastAsia="Arial" w:hAnsi="Arial"/>
          <w:sz w:val="24"/>
          <w:szCs w:val="24"/>
          <w:b w:val="1"/>
          <w:bCs w:val="1"/>
          <w:color w:val="FFFFFF"/>
        </w:rPr>
        <w:t>April 2011</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0"/>
        <w:spacing w:after="0"/>
        <w:rPr>
          <w:sz w:val="20"/>
          <w:szCs w:val="20"/>
          <w:color w:val="auto"/>
        </w:rPr>
      </w:pPr>
      <w:r>
        <w:rPr>
          <w:rFonts w:ascii="Arial" w:cs="Arial" w:eastAsia="Arial" w:hAnsi="Arial"/>
          <w:sz w:val="49"/>
          <w:szCs w:val="49"/>
          <w:color w:val="5F81AA"/>
        </w:rPr>
        <w:t>Consolidated Gross Margin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4"/>
          <w:szCs w:val="14"/>
          <w:color w:val="898989"/>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409575</wp:posOffset>
            </wp:positionV>
            <wp:extent cx="7273290" cy="196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0020"/>
          </w:cols>
          <w:pgMar w:left="880" w:top="438" w:right="999" w:bottom="1440" w:gutter="0" w:footer="0" w:header="0"/>
        </w:sectPr>
      </w:pPr>
    </w:p>
    <w:bookmarkStart w:id="13" w:name="page14"/>
    <w:bookmarkEnd w:id="13"/>
    <w:p>
      <w:pPr>
        <w:spacing w:after="0"/>
        <w:tabs>
          <w:tab w:leader="none" w:pos="8700" w:val="left"/>
        </w:tabs>
        <w:rPr>
          <w:sz w:val="20"/>
          <w:szCs w:val="20"/>
          <w:color w:val="auto"/>
        </w:rPr>
      </w:pPr>
      <w:r>
        <w:rPr>
          <w:rFonts w:ascii="Arial" w:cs="Arial" w:eastAsia="Arial" w:hAnsi="Arial"/>
          <w:sz w:val="24"/>
          <w:szCs w:val="24"/>
          <w:b w:val="1"/>
          <w:bCs w:val="1"/>
          <w:color w:val="FFFFFF"/>
        </w:rPr>
        <w:drawing>
          <wp:anchor simplePos="0" relativeHeight="251657728" behindDoc="1" locked="0" layoutInCell="0" allowOverlap="1">
            <wp:simplePos x="0" y="0"/>
            <wp:positionH relativeFrom="page">
              <wp:posOffset>299720</wp:posOffset>
            </wp:positionH>
            <wp:positionV relativeFrom="page">
              <wp:posOffset>168910</wp:posOffset>
            </wp:positionV>
            <wp:extent cx="6969760" cy="5227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6969760" cy="5227320"/>
                    </a:xfrm>
                    <a:prstGeom prst="rect">
                      <a:avLst/>
                    </a:prstGeom>
                    <a:noFill/>
                  </pic:spPr>
                </pic:pic>
              </a:graphicData>
            </a:graphic>
          </wp:anchor>
        </w:drawing>
        <w:t>ManpowerGroup 2011 1</w:t>
      </w:r>
      <w:r>
        <w:rPr>
          <w:rFonts w:ascii="Arial" w:cs="Arial" w:eastAsia="Arial" w:hAnsi="Arial"/>
          <w:sz w:val="17"/>
          <w:szCs w:val="17"/>
          <w:b w:val="1"/>
          <w:bCs w:val="1"/>
          <w:color w:val="FFFFFF"/>
        </w:rPr>
        <w:t>st</w:t>
      </w:r>
      <w:r>
        <w:rPr>
          <w:rFonts w:ascii="Arial" w:cs="Arial" w:eastAsia="Arial" w:hAnsi="Arial"/>
          <w:sz w:val="24"/>
          <w:szCs w:val="24"/>
          <w:b w:val="1"/>
          <w:bCs w:val="1"/>
          <w:color w:val="FFFFFF"/>
        </w:rPr>
        <w:t xml:space="preserve"> Quarter Results</w:t>
      </w:r>
      <w:r>
        <w:rPr>
          <w:sz w:val="20"/>
          <w:szCs w:val="20"/>
          <w:color w:val="auto"/>
        </w:rPr>
        <w:tab/>
      </w:r>
      <w:r>
        <w:rPr>
          <w:rFonts w:ascii="Arial" w:cs="Arial" w:eastAsia="Arial" w:hAnsi="Arial"/>
          <w:sz w:val="24"/>
          <w:szCs w:val="24"/>
          <w:b w:val="1"/>
          <w:bCs w:val="1"/>
          <w:color w:val="FFFFFF"/>
        </w:rPr>
        <w:t>April 2011</w:t>
      </w:r>
    </w:p>
    <w:p>
      <w:pPr>
        <w:spacing w:after="0" w:line="200" w:lineRule="exact"/>
        <w:rPr>
          <w:sz w:val="20"/>
          <w:szCs w:val="20"/>
          <w:color w:val="auto"/>
        </w:rPr>
      </w:pPr>
    </w:p>
    <w:p>
      <w:pPr>
        <w:spacing w:after="0" w:line="230" w:lineRule="exact"/>
        <w:rPr>
          <w:sz w:val="20"/>
          <w:szCs w:val="20"/>
          <w:color w:val="auto"/>
        </w:rPr>
      </w:pPr>
    </w:p>
    <w:p>
      <w:pPr>
        <w:ind w:left="180"/>
        <w:spacing w:after="0"/>
        <w:rPr>
          <w:sz w:val="20"/>
          <w:szCs w:val="20"/>
          <w:color w:val="auto"/>
        </w:rPr>
      </w:pPr>
      <w:r>
        <w:rPr>
          <w:rFonts w:ascii="Arial" w:cs="Arial" w:eastAsia="Arial" w:hAnsi="Arial"/>
          <w:sz w:val="44"/>
          <w:szCs w:val="44"/>
          <w:color w:val="5F81AA"/>
        </w:rPr>
        <w:t>SG&amp;A Expense Sequential Bridge - Q1 vs. Q4</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24"/>
          <w:szCs w:val="24"/>
          <w:color w:val="5F81AA"/>
        </w:rPr>
        <w:t>(in millions of USD)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Arial" w:cs="Arial" w:eastAsia="Arial" w:hAnsi="Arial"/>
          <w:sz w:val="14"/>
          <w:szCs w:val="14"/>
          <w:color w:val="898989"/>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409575</wp:posOffset>
            </wp:positionV>
            <wp:extent cx="7273290" cy="196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0020"/>
          </w:cols>
          <w:pgMar w:left="880" w:top="438" w:right="999" w:bottom="1440" w:gutter="0" w:footer="0" w:header="0"/>
        </w:sectPr>
      </w:pPr>
    </w:p>
    <w:bookmarkStart w:id="14" w:name="page15"/>
    <w:bookmarkEnd w:id="14"/>
    <w:p>
      <w:pPr>
        <w:spacing w:after="0"/>
        <w:tabs>
          <w:tab w:leader="none" w:pos="8700" w:val="left"/>
        </w:tabs>
        <w:rPr>
          <w:sz w:val="20"/>
          <w:szCs w:val="20"/>
          <w:color w:val="auto"/>
        </w:rPr>
      </w:pPr>
      <w:r>
        <w:rPr>
          <w:rFonts w:ascii="Arial" w:cs="Arial" w:eastAsia="Arial" w:hAnsi="Arial"/>
          <w:sz w:val="24"/>
          <w:szCs w:val="24"/>
          <w:b w:val="1"/>
          <w:bCs w:val="1"/>
          <w:color w:val="FFFFFF"/>
        </w:rPr>
        <w:drawing>
          <wp:anchor simplePos="0" relativeHeight="251657728" behindDoc="1" locked="0" layoutInCell="0" allowOverlap="1">
            <wp:simplePos x="0" y="0"/>
            <wp:positionH relativeFrom="page">
              <wp:posOffset>299720</wp:posOffset>
            </wp:positionH>
            <wp:positionV relativeFrom="page">
              <wp:posOffset>168910</wp:posOffset>
            </wp:positionV>
            <wp:extent cx="6969760" cy="5227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6969760" cy="5227320"/>
                    </a:xfrm>
                    <a:prstGeom prst="rect">
                      <a:avLst/>
                    </a:prstGeom>
                    <a:noFill/>
                  </pic:spPr>
                </pic:pic>
              </a:graphicData>
            </a:graphic>
          </wp:anchor>
        </w:drawing>
        <w:t>ManpowerGroup 2011 1</w:t>
      </w:r>
      <w:r>
        <w:rPr>
          <w:rFonts w:ascii="Arial" w:cs="Arial" w:eastAsia="Arial" w:hAnsi="Arial"/>
          <w:sz w:val="17"/>
          <w:szCs w:val="17"/>
          <w:b w:val="1"/>
          <w:bCs w:val="1"/>
          <w:color w:val="FFFFFF"/>
        </w:rPr>
        <w:t>st</w:t>
      </w:r>
      <w:r>
        <w:rPr>
          <w:rFonts w:ascii="Arial" w:cs="Arial" w:eastAsia="Arial" w:hAnsi="Arial"/>
          <w:sz w:val="24"/>
          <w:szCs w:val="24"/>
          <w:b w:val="1"/>
          <w:bCs w:val="1"/>
          <w:color w:val="FFFFFF"/>
        </w:rPr>
        <w:t xml:space="preserve"> Quarter Results</w:t>
      </w:r>
      <w:r>
        <w:rPr>
          <w:sz w:val="20"/>
          <w:szCs w:val="20"/>
          <w:color w:val="auto"/>
        </w:rPr>
        <w:tab/>
      </w:r>
      <w:r>
        <w:rPr>
          <w:rFonts w:ascii="Arial" w:cs="Arial" w:eastAsia="Arial" w:hAnsi="Arial"/>
          <w:sz w:val="24"/>
          <w:szCs w:val="24"/>
          <w:b w:val="1"/>
          <w:bCs w:val="1"/>
          <w:color w:val="FFFFFF"/>
        </w:rPr>
        <w:t>April 2011</w:t>
      </w:r>
    </w:p>
    <w:p>
      <w:pPr>
        <w:spacing w:after="0" w:line="200" w:lineRule="exact"/>
        <w:rPr>
          <w:sz w:val="20"/>
          <w:szCs w:val="20"/>
          <w:color w:val="auto"/>
        </w:rPr>
      </w:pPr>
    </w:p>
    <w:p>
      <w:pPr>
        <w:spacing w:after="0" w:line="212" w:lineRule="exact"/>
        <w:rPr>
          <w:sz w:val="20"/>
          <w:szCs w:val="20"/>
          <w:color w:val="auto"/>
        </w:rPr>
      </w:pPr>
    </w:p>
    <w:p>
      <w:pPr>
        <w:ind w:left="400"/>
        <w:spacing w:after="0"/>
        <w:rPr>
          <w:sz w:val="20"/>
          <w:szCs w:val="20"/>
          <w:color w:val="auto"/>
        </w:rPr>
      </w:pPr>
      <w:r>
        <w:rPr>
          <w:rFonts w:ascii="Arial" w:cs="Arial" w:eastAsia="Arial" w:hAnsi="Arial"/>
          <w:sz w:val="49"/>
          <w:szCs w:val="49"/>
          <w:color w:val="5F81AA"/>
        </w:rPr>
        <w:t>Americas Segment</w:t>
      </w:r>
    </w:p>
    <w:p>
      <w:pPr>
        <w:spacing w:after="0" w:line="4" w:lineRule="exact"/>
        <w:rPr>
          <w:sz w:val="20"/>
          <w:szCs w:val="20"/>
          <w:color w:val="auto"/>
        </w:rPr>
      </w:pPr>
    </w:p>
    <w:p>
      <w:pPr>
        <w:ind w:left="400"/>
        <w:spacing w:after="0"/>
        <w:rPr>
          <w:sz w:val="20"/>
          <w:szCs w:val="20"/>
          <w:color w:val="auto"/>
        </w:rPr>
      </w:pPr>
      <w:r>
        <w:rPr>
          <w:rFonts w:ascii="Arial" w:cs="Arial" w:eastAsia="Arial" w:hAnsi="Arial"/>
          <w:sz w:val="30"/>
          <w:szCs w:val="30"/>
          <w:color w:val="5F81AA"/>
        </w:rPr>
        <w:t>(22% of Revenue)</w:t>
      </w:r>
    </w:p>
    <w:p>
      <w:pPr>
        <w:spacing w:after="0" w:line="200" w:lineRule="exact"/>
        <w:rPr>
          <w:sz w:val="20"/>
          <w:szCs w:val="20"/>
          <w:color w:val="auto"/>
        </w:rPr>
      </w:pPr>
    </w:p>
    <w:p>
      <w:pPr>
        <w:spacing w:after="0" w:line="234" w:lineRule="exact"/>
        <w:rPr>
          <w:sz w:val="20"/>
          <w:szCs w:val="20"/>
          <w:color w:val="auto"/>
        </w:rPr>
      </w:pPr>
    </w:p>
    <w:p>
      <w:pPr>
        <w:ind w:left="3660"/>
        <w:spacing w:after="0"/>
        <w:rPr>
          <w:sz w:val="20"/>
          <w:szCs w:val="20"/>
          <w:color w:val="auto"/>
        </w:rPr>
      </w:pPr>
      <w:r>
        <w:rPr>
          <w:rFonts w:ascii="Arial" w:cs="Arial" w:eastAsia="Arial" w:hAnsi="Arial"/>
          <w:sz w:val="40"/>
          <w:szCs w:val="40"/>
          <w:b w:val="1"/>
          <w:bCs w:val="1"/>
          <w:color w:val="auto"/>
        </w:rPr>
        <w:t xml:space="preserve">Q1 Financial Highlights </w:t>
      </w:r>
      <w:r>
        <w:rPr>
          <w:rFonts w:ascii="Arial" w:cs="Arial" w:eastAsia="Arial" w:hAnsi="Arial"/>
          <w:sz w:val="33"/>
          <w:szCs w:val="33"/>
          <w:b w:val="1"/>
          <w:bCs w:val="1"/>
          <w:color w:val="4F81BD"/>
          <w:vertAlign w:val="superscript"/>
        </w:rPr>
        <w:t>(1)</w:t>
      </w:r>
    </w:p>
    <w:p>
      <w:pPr>
        <w:spacing w:after="0" w:line="307" w:lineRule="exact"/>
        <w:rPr>
          <w:sz w:val="20"/>
          <w:szCs w:val="20"/>
          <w:color w:val="auto"/>
        </w:rPr>
      </w:pPr>
    </w:p>
    <w:tbl>
      <w:tblPr>
        <w:tblLayout w:type="fixed"/>
        <w:tblInd w:w="1880" w:type="dxa"/>
        <w:tblCellMar>
          <w:top w:w="0" w:type="dxa"/>
          <w:left w:w="0" w:type="dxa"/>
          <w:bottom w:w="0" w:type="dxa"/>
          <w:right w:w="0" w:type="dxa"/>
        </w:tblCellMar>
      </w:tblPr>
      <w:tr>
        <w:trPr>
          <w:trHeight w:val="441"/>
        </w:trPr>
        <w:tc>
          <w:tcPr>
            <w:tcW w:w="1640" w:type="dxa"/>
            <w:vAlign w:val="bottom"/>
          </w:tcPr>
          <w:p>
            <w:pPr>
              <w:ind w:left="440"/>
              <w:spacing w:after="0"/>
              <w:rPr>
                <w:sz w:val="20"/>
                <w:szCs w:val="20"/>
                <w:color w:val="auto"/>
              </w:rPr>
            </w:pPr>
            <w:r>
              <w:rPr>
                <w:rFonts w:ascii="Arial" w:cs="Arial" w:eastAsia="Arial" w:hAnsi="Arial"/>
                <w:sz w:val="37"/>
                <w:szCs w:val="37"/>
                <w:color w:val="auto"/>
              </w:rPr>
              <w:t>43%</w:t>
            </w:r>
          </w:p>
        </w:tc>
        <w:tc>
          <w:tcPr>
            <w:tcW w:w="3220" w:type="dxa"/>
            <w:vAlign w:val="bottom"/>
            <w:vMerge w:val="restart"/>
          </w:tcPr>
          <w:p>
            <w:pPr>
              <w:ind w:left="280"/>
              <w:spacing w:after="0"/>
              <w:rPr>
                <w:sz w:val="20"/>
                <w:szCs w:val="20"/>
                <w:color w:val="auto"/>
              </w:rPr>
            </w:pPr>
            <w:r>
              <w:rPr>
                <w:rFonts w:ascii="Arial" w:cs="Arial" w:eastAsia="Arial" w:hAnsi="Arial"/>
                <w:sz w:val="40"/>
                <w:szCs w:val="40"/>
                <w:b w:val="1"/>
                <w:bCs w:val="1"/>
                <w:color w:val="auto"/>
              </w:rPr>
              <w:t xml:space="preserve">Revenue </w:t>
            </w:r>
            <w:r>
              <w:rPr>
                <w:rFonts w:ascii="Arial" w:cs="Arial" w:eastAsia="Arial" w:hAnsi="Arial"/>
                <w:sz w:val="42"/>
                <w:szCs w:val="42"/>
                <w:b w:val="1"/>
                <w:bCs w:val="1"/>
                <w:color w:val="6698C2"/>
              </w:rPr>
              <w:t>$1.1B</w:t>
            </w:r>
          </w:p>
        </w:tc>
        <w:tc>
          <w:tcPr>
            <w:tcW w:w="0" w:type="dxa"/>
            <w:vAlign w:val="bottom"/>
          </w:tcPr>
          <w:p>
            <w:pPr>
              <w:spacing w:after="0"/>
              <w:rPr>
                <w:sz w:val="1"/>
                <w:szCs w:val="1"/>
                <w:color w:val="auto"/>
              </w:rPr>
            </w:pPr>
          </w:p>
        </w:tc>
      </w:tr>
      <w:tr>
        <w:trPr>
          <w:trHeight w:val="235"/>
        </w:trPr>
        <w:tc>
          <w:tcPr>
            <w:tcW w:w="1640" w:type="dxa"/>
            <w:vAlign w:val="bottom"/>
            <w:vMerge w:val="restart"/>
          </w:tcPr>
          <w:p>
            <w:pPr>
              <w:spacing w:after="0"/>
              <w:rPr>
                <w:sz w:val="20"/>
                <w:szCs w:val="20"/>
                <w:color w:val="auto"/>
              </w:rPr>
            </w:pPr>
            <w:r>
              <w:rPr>
                <w:rFonts w:ascii="Arial" w:cs="Arial" w:eastAsia="Arial" w:hAnsi="Arial"/>
                <w:sz w:val="37"/>
                <w:szCs w:val="37"/>
                <w:color w:val="auto"/>
              </w:rPr>
              <w:t>42% CC</w:t>
            </w:r>
          </w:p>
        </w:tc>
        <w:tc>
          <w:tcPr>
            <w:tcW w:w="3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1640" w:type="dxa"/>
            <w:vAlign w:val="bottom"/>
            <w:vMerge w:val="continue"/>
          </w:tcPr>
          <w:p>
            <w:pPr>
              <w:spacing w:after="0"/>
              <w:rPr>
                <w:sz w:val="19"/>
                <w:szCs w:val="19"/>
                <w:color w:val="auto"/>
              </w:rPr>
            </w:pPr>
          </w:p>
        </w:tc>
        <w:tc>
          <w:tcPr>
            <w:tcW w:w="3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5"/>
        </w:trPr>
        <w:tc>
          <w:tcPr>
            <w:tcW w:w="1640" w:type="dxa"/>
            <w:vAlign w:val="bottom"/>
          </w:tcPr>
          <w:p>
            <w:pPr>
              <w:ind w:left="420"/>
              <w:spacing w:after="0"/>
              <w:rPr>
                <w:sz w:val="20"/>
                <w:szCs w:val="20"/>
                <w:color w:val="auto"/>
              </w:rPr>
            </w:pPr>
            <w:r>
              <w:rPr>
                <w:rFonts w:ascii="Arial" w:cs="Arial" w:eastAsia="Arial" w:hAnsi="Arial"/>
                <w:sz w:val="37"/>
                <w:szCs w:val="37"/>
                <w:color w:val="auto"/>
              </w:rPr>
              <w:t>N/A</w:t>
            </w:r>
          </w:p>
        </w:tc>
        <w:tc>
          <w:tcPr>
            <w:tcW w:w="3220" w:type="dxa"/>
            <w:vAlign w:val="bottom"/>
            <w:vMerge w:val="restart"/>
          </w:tcPr>
          <w:p>
            <w:pPr>
              <w:ind w:left="300"/>
              <w:spacing w:after="0"/>
              <w:rPr>
                <w:sz w:val="20"/>
                <w:szCs w:val="20"/>
                <w:color w:val="auto"/>
              </w:rPr>
            </w:pPr>
            <w:r>
              <w:rPr>
                <w:rFonts w:ascii="Arial" w:cs="Arial" w:eastAsia="Arial" w:hAnsi="Arial"/>
                <w:sz w:val="40"/>
                <w:szCs w:val="40"/>
                <w:b w:val="1"/>
                <w:bCs w:val="1"/>
                <w:color w:val="auto"/>
              </w:rPr>
              <w:t xml:space="preserve">OUP </w:t>
            </w:r>
            <w:r>
              <w:rPr>
                <w:rFonts w:ascii="Arial" w:cs="Arial" w:eastAsia="Arial" w:hAnsi="Arial"/>
                <w:sz w:val="42"/>
                <w:szCs w:val="42"/>
                <w:b w:val="1"/>
                <w:bCs w:val="1"/>
                <w:color w:val="6698C2"/>
              </w:rPr>
              <w:t>$22M</w:t>
            </w:r>
          </w:p>
        </w:tc>
        <w:tc>
          <w:tcPr>
            <w:tcW w:w="0" w:type="dxa"/>
            <w:vAlign w:val="bottom"/>
          </w:tcPr>
          <w:p>
            <w:pPr>
              <w:spacing w:after="0"/>
              <w:rPr>
                <w:sz w:val="1"/>
                <w:szCs w:val="1"/>
                <w:color w:val="auto"/>
              </w:rPr>
            </w:pPr>
          </w:p>
        </w:tc>
      </w:tr>
      <w:tr>
        <w:trPr>
          <w:trHeight w:val="235"/>
        </w:trPr>
        <w:tc>
          <w:tcPr>
            <w:tcW w:w="1640" w:type="dxa"/>
            <w:vAlign w:val="bottom"/>
            <w:vMerge w:val="restart"/>
          </w:tcPr>
          <w:p>
            <w:pPr>
              <w:ind w:left="420"/>
              <w:spacing w:after="0"/>
              <w:rPr>
                <w:sz w:val="20"/>
                <w:szCs w:val="20"/>
                <w:color w:val="auto"/>
              </w:rPr>
            </w:pPr>
            <w:r>
              <w:rPr>
                <w:rFonts w:ascii="Arial" w:cs="Arial" w:eastAsia="Arial" w:hAnsi="Arial"/>
                <w:sz w:val="37"/>
                <w:szCs w:val="37"/>
                <w:color w:val="auto"/>
              </w:rPr>
              <w:t>N/A</w:t>
            </w:r>
          </w:p>
        </w:tc>
        <w:tc>
          <w:tcPr>
            <w:tcW w:w="3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640" w:type="dxa"/>
            <w:vAlign w:val="bottom"/>
            <w:vMerge w:val="continue"/>
          </w:tcPr>
          <w:p>
            <w:pPr>
              <w:spacing w:after="0"/>
              <w:rPr>
                <w:sz w:val="20"/>
                <w:szCs w:val="20"/>
                <w:color w:val="auto"/>
              </w:rPr>
            </w:pPr>
          </w:p>
        </w:tc>
        <w:tc>
          <w:tcPr>
            <w:tcW w:w="3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73" w:lineRule="exact"/>
        <w:rPr>
          <w:sz w:val="20"/>
          <w:szCs w:val="20"/>
          <w:color w:val="auto"/>
        </w:rPr>
      </w:pPr>
    </w:p>
    <w:p>
      <w:pPr>
        <w:ind w:left="1940"/>
        <w:spacing w:after="0"/>
        <w:tabs>
          <w:tab w:leader="none" w:pos="3780" w:val="left"/>
        </w:tabs>
        <w:rPr>
          <w:sz w:val="20"/>
          <w:szCs w:val="20"/>
          <w:color w:val="auto"/>
        </w:rPr>
      </w:pPr>
      <w:r>
        <w:rPr>
          <w:rFonts w:ascii="Arial" w:cs="Arial" w:eastAsia="Arial" w:hAnsi="Arial"/>
          <w:sz w:val="37"/>
          <w:szCs w:val="37"/>
          <w:color w:val="auto"/>
        </w:rPr>
        <w:t>220 bps</w:t>
      </w:r>
      <w:r>
        <w:rPr>
          <w:sz w:val="20"/>
          <w:szCs w:val="20"/>
          <w:color w:val="auto"/>
        </w:rPr>
        <w:tab/>
      </w:r>
      <w:r>
        <w:rPr>
          <w:rFonts w:ascii="Arial" w:cs="Arial" w:eastAsia="Arial" w:hAnsi="Arial"/>
          <w:sz w:val="40"/>
          <w:szCs w:val="40"/>
          <w:b w:val="1"/>
          <w:bCs w:val="1"/>
          <w:color w:val="auto"/>
        </w:rPr>
        <w:t xml:space="preserve">OUP Margin </w:t>
      </w:r>
      <w:r>
        <w:rPr>
          <w:rFonts w:ascii="Arial" w:cs="Arial" w:eastAsia="Arial" w:hAnsi="Arial"/>
          <w:sz w:val="42"/>
          <w:szCs w:val="42"/>
          <w:b w:val="1"/>
          <w:bCs w:val="1"/>
          <w:color w:val="6698C2"/>
        </w:rPr>
        <w:t>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760" w:hanging="259"/>
        <w:spacing w:after="0"/>
        <w:tabs>
          <w:tab w:leader="none" w:pos="760" w:val="left"/>
        </w:tabs>
        <w:numPr>
          <w:ilvl w:val="0"/>
          <w:numId w:val="3"/>
        </w:numPr>
        <w:rPr>
          <w:rFonts w:ascii="Arial" w:cs="Arial" w:eastAsia="Arial" w:hAnsi="Arial"/>
          <w:sz w:val="26"/>
          <w:szCs w:val="26"/>
          <w:color w:val="auto"/>
          <w:vertAlign w:val="superscript"/>
        </w:rPr>
      </w:pPr>
      <w:r>
        <w:rPr>
          <w:rFonts w:ascii="Arial" w:cs="Arial" w:eastAsia="Arial" w:hAnsi="Arial"/>
          <w:sz w:val="18"/>
          <w:szCs w:val="18"/>
          <w:color w:val="auto"/>
        </w:rPr>
        <w:t>Included in these amounts is the US, which had revenue of $751M (+56%) and OUP of $9M.</w:t>
      </w:r>
    </w:p>
    <w:p>
      <w:pPr>
        <w:spacing w:after="0" w:line="200" w:lineRule="exact"/>
        <w:rPr>
          <w:sz w:val="20"/>
          <w:szCs w:val="20"/>
          <w:color w:val="auto"/>
        </w:rPr>
      </w:pPr>
    </w:p>
    <w:p>
      <w:pPr>
        <w:spacing w:after="0" w:line="240"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Operating Unit Profit (OUP) is the measure that we use to evaluate segment performance.</w:t>
      </w:r>
    </w:p>
    <w:p>
      <w:pPr>
        <w:spacing w:after="0" w:line="23" w:lineRule="exact"/>
        <w:rPr>
          <w:sz w:val="20"/>
          <w:szCs w:val="20"/>
          <w:color w:val="auto"/>
        </w:rPr>
      </w:pPr>
    </w:p>
    <w:p>
      <w:pPr>
        <w:ind w:left="500"/>
        <w:spacing w:after="0" w:line="206" w:lineRule="auto"/>
        <w:rPr>
          <w:sz w:val="20"/>
          <w:szCs w:val="20"/>
          <w:color w:val="auto"/>
        </w:rPr>
      </w:pPr>
      <w:r>
        <w:rPr>
          <w:rFonts w:ascii="Arial" w:cs="Arial" w:eastAsia="Arial" w:hAnsi="Arial"/>
          <w:sz w:val="20"/>
          <w:szCs w:val="20"/>
          <w:b w:val="1"/>
          <w:bCs w:val="1"/>
          <w:color w:val="auto"/>
        </w:rPr>
        <w:t xml:space="preserve">OUP is equal to segment revenues less direct costs and branch and national </w:t>
      </w:r>
      <w:r>
        <w:rPr>
          <w:rFonts w:ascii="Arial" w:cs="Arial" w:eastAsia="Arial" w:hAnsi="Arial"/>
          <w:sz w:val="27"/>
          <w:szCs w:val="27"/>
          <w:color w:val="898989"/>
          <w:vertAlign w:val="subscript"/>
        </w:rPr>
        <w:t>6</w:t>
      </w:r>
      <w:r>
        <w:rPr>
          <w:rFonts w:ascii="Arial" w:cs="Arial" w:eastAsia="Arial" w:hAnsi="Arial"/>
          <w:sz w:val="20"/>
          <w:szCs w:val="20"/>
          <w:b w:val="1"/>
          <w:bCs w:val="1"/>
          <w:color w:val="auto"/>
        </w:rPr>
        <w:t xml:space="preserve"> headquarters operating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288290</wp:posOffset>
            </wp:positionV>
            <wp:extent cx="7273290" cy="196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0020"/>
          </w:cols>
          <w:pgMar w:left="880" w:top="438" w:right="999" w:bottom="1440" w:gutter="0" w:footer="0" w:header="0"/>
        </w:sectPr>
      </w:pPr>
    </w:p>
    <w:bookmarkStart w:id="15" w:name="page16"/>
    <w:bookmarkEnd w:id="15"/>
    <w:p>
      <w:pPr>
        <w:spacing w:after="0"/>
        <w:tabs>
          <w:tab w:leader="none" w:pos="8700" w:val="left"/>
        </w:tabs>
        <w:rPr>
          <w:sz w:val="20"/>
          <w:szCs w:val="20"/>
          <w:color w:val="auto"/>
        </w:rPr>
      </w:pPr>
      <w:r>
        <w:rPr>
          <w:rFonts w:ascii="Arial" w:cs="Arial" w:eastAsia="Arial" w:hAnsi="Arial"/>
          <w:sz w:val="24"/>
          <w:szCs w:val="24"/>
          <w:b w:val="1"/>
          <w:bCs w:val="1"/>
          <w:color w:val="FFFFFF"/>
        </w:rPr>
        <w:drawing>
          <wp:anchor simplePos="0" relativeHeight="251657728" behindDoc="1" locked="0" layoutInCell="0" allowOverlap="1">
            <wp:simplePos x="0" y="0"/>
            <wp:positionH relativeFrom="page">
              <wp:posOffset>299720</wp:posOffset>
            </wp:positionH>
            <wp:positionV relativeFrom="page">
              <wp:posOffset>168910</wp:posOffset>
            </wp:positionV>
            <wp:extent cx="6969760" cy="5227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6969760" cy="5227320"/>
                    </a:xfrm>
                    <a:prstGeom prst="rect">
                      <a:avLst/>
                    </a:prstGeom>
                    <a:noFill/>
                  </pic:spPr>
                </pic:pic>
              </a:graphicData>
            </a:graphic>
          </wp:anchor>
        </w:drawing>
        <w:t>ManpowerGroup 2011 1</w:t>
      </w:r>
      <w:r>
        <w:rPr>
          <w:rFonts w:ascii="Arial" w:cs="Arial" w:eastAsia="Arial" w:hAnsi="Arial"/>
          <w:sz w:val="17"/>
          <w:szCs w:val="17"/>
          <w:b w:val="1"/>
          <w:bCs w:val="1"/>
          <w:color w:val="FFFFFF"/>
        </w:rPr>
        <w:t>st</w:t>
      </w:r>
      <w:r>
        <w:rPr>
          <w:rFonts w:ascii="Arial" w:cs="Arial" w:eastAsia="Arial" w:hAnsi="Arial"/>
          <w:sz w:val="24"/>
          <w:szCs w:val="24"/>
          <w:b w:val="1"/>
          <w:bCs w:val="1"/>
          <w:color w:val="FFFFFF"/>
        </w:rPr>
        <w:t xml:space="preserve"> Quarter Results</w:t>
      </w:r>
      <w:r>
        <w:rPr>
          <w:sz w:val="20"/>
          <w:szCs w:val="20"/>
          <w:color w:val="auto"/>
        </w:rPr>
        <w:tab/>
      </w:r>
      <w:r>
        <w:rPr>
          <w:rFonts w:ascii="Arial" w:cs="Arial" w:eastAsia="Arial" w:hAnsi="Arial"/>
          <w:sz w:val="24"/>
          <w:szCs w:val="24"/>
          <w:b w:val="1"/>
          <w:bCs w:val="1"/>
          <w:color w:val="FFFFFF"/>
        </w:rPr>
        <w:t>April 2011</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00"/>
        <w:spacing w:after="0"/>
        <w:rPr>
          <w:sz w:val="20"/>
          <w:szCs w:val="20"/>
          <w:color w:val="auto"/>
        </w:rPr>
      </w:pPr>
      <w:r>
        <w:rPr>
          <w:rFonts w:ascii="Arial" w:cs="Arial" w:eastAsia="Arial" w:hAnsi="Arial"/>
          <w:sz w:val="49"/>
          <w:szCs w:val="49"/>
          <w:color w:val="5F81AA"/>
        </w:rPr>
        <w:t>Americas - Q1 Revenue Growth YoY</w:t>
      </w:r>
    </w:p>
    <w:p>
      <w:pPr>
        <w:spacing w:after="0" w:line="182" w:lineRule="exact"/>
        <w:rPr>
          <w:sz w:val="20"/>
          <w:szCs w:val="20"/>
          <w:color w:val="auto"/>
        </w:rPr>
      </w:pPr>
    </w:p>
    <w:p>
      <w:pPr>
        <w:ind w:left="500" w:right="8000" w:firstLine="1"/>
        <w:spacing w:after="0" w:line="283" w:lineRule="auto"/>
        <w:tabs>
          <w:tab w:leader="none" w:pos="767" w:val="left"/>
        </w:tabs>
        <w:numPr>
          <w:ilvl w:val="0"/>
          <w:numId w:val="4"/>
        </w:numPr>
        <w:rPr>
          <w:rFonts w:ascii="Arial" w:cs="Arial" w:eastAsia="Arial" w:hAnsi="Arial"/>
          <w:sz w:val="23"/>
          <w:szCs w:val="23"/>
          <w:b w:val="1"/>
          <w:bCs w:val="1"/>
          <w:color w:val="auto"/>
        </w:rPr>
      </w:pPr>
      <w:r>
        <w:rPr>
          <w:rFonts w:ascii="Arial" w:cs="Arial" w:eastAsia="Arial" w:hAnsi="Arial"/>
          <w:sz w:val="23"/>
          <w:szCs w:val="23"/>
          <w:b w:val="1"/>
          <w:bCs w:val="1"/>
          <w:color w:val="auto"/>
        </w:rPr>
        <w:t>of Segment Revenue</w:t>
      </w:r>
    </w:p>
    <w:p>
      <w:pPr>
        <w:spacing w:after="0" w:line="152" w:lineRule="exact"/>
        <w:rPr>
          <w:sz w:val="20"/>
          <w:szCs w:val="20"/>
          <w:color w:val="auto"/>
        </w:rPr>
      </w:pPr>
    </w:p>
    <w:p>
      <w:pPr>
        <w:ind w:left="700"/>
        <w:spacing w:after="0"/>
        <w:rPr>
          <w:sz w:val="20"/>
          <w:szCs w:val="20"/>
          <w:color w:val="auto"/>
        </w:rPr>
      </w:pPr>
      <w:r>
        <w:rPr>
          <w:rFonts w:ascii="Arial" w:cs="Arial" w:eastAsia="Arial" w:hAnsi="Arial"/>
          <w:sz w:val="27"/>
          <w:szCs w:val="27"/>
          <w:b w:val="1"/>
          <w:bCs w:val="1"/>
          <w:color w:val="6698C2"/>
        </w:rPr>
        <w:t>68%</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700"/>
        <w:spacing w:after="0"/>
        <w:rPr>
          <w:sz w:val="20"/>
          <w:szCs w:val="20"/>
          <w:color w:val="auto"/>
        </w:rPr>
      </w:pPr>
      <w:r>
        <w:rPr>
          <w:rFonts w:ascii="Arial" w:cs="Arial" w:eastAsia="Arial" w:hAnsi="Arial"/>
          <w:sz w:val="27"/>
          <w:szCs w:val="27"/>
          <w:b w:val="1"/>
          <w:bCs w:val="1"/>
          <w:color w:val="6698C2"/>
        </w:rPr>
        <w:t>11%</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820"/>
        <w:spacing w:after="0"/>
        <w:rPr>
          <w:sz w:val="20"/>
          <w:szCs w:val="20"/>
          <w:color w:val="auto"/>
        </w:rPr>
      </w:pPr>
      <w:r>
        <w:rPr>
          <w:rFonts w:ascii="Arial" w:cs="Arial" w:eastAsia="Arial" w:hAnsi="Arial"/>
          <w:sz w:val="27"/>
          <w:szCs w:val="27"/>
          <w:b w:val="1"/>
          <w:bCs w:val="1"/>
          <w:color w:val="6698C2"/>
        </w:rPr>
        <w:t>7%</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700"/>
        <w:spacing w:after="0"/>
        <w:rPr>
          <w:sz w:val="20"/>
          <w:szCs w:val="20"/>
          <w:color w:val="auto"/>
        </w:rPr>
      </w:pPr>
      <w:r>
        <w:rPr>
          <w:rFonts w:ascii="Arial" w:cs="Arial" w:eastAsia="Arial" w:hAnsi="Arial"/>
          <w:sz w:val="27"/>
          <w:szCs w:val="27"/>
          <w:b w:val="1"/>
          <w:bCs w:val="1"/>
          <w:color w:val="6698C2"/>
        </w:rPr>
        <w:t>14%</w:t>
      </w:r>
    </w:p>
    <w:p>
      <w:pPr>
        <w:sectPr>
          <w:pgSz w:w="11900" w:h="16838" w:orient="portrait"/>
          <w:cols w:equalWidth="0" w:num="1">
            <w:col w:w="10020"/>
          </w:cols>
          <w:pgMar w:left="880" w:top="438"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700"/>
        <w:spacing w:after="0"/>
        <w:rPr>
          <w:sz w:val="20"/>
          <w:szCs w:val="20"/>
          <w:color w:val="auto"/>
        </w:rPr>
      </w:pPr>
      <w:r>
        <w:rPr>
          <w:rFonts w:ascii="Arial" w:cs="Arial" w:eastAsia="Arial" w:hAnsi="Arial"/>
          <w:sz w:val="21"/>
          <w:szCs w:val="21"/>
          <w:b w:val="1"/>
          <w:bCs w:val="1"/>
          <w:color w:val="auto"/>
        </w:rPr>
        <w:t>Revenue</w:t>
      </w:r>
    </w:p>
    <w:p>
      <w:pPr>
        <w:spacing w:after="0" w:line="36" w:lineRule="exact"/>
        <w:rPr>
          <w:sz w:val="20"/>
          <w:szCs w:val="20"/>
          <w:color w:val="auto"/>
        </w:rPr>
      </w:pPr>
    </w:p>
    <w:p>
      <w:pPr>
        <w:ind w:left="3780"/>
        <w:spacing w:after="0"/>
        <w:rPr>
          <w:sz w:val="20"/>
          <w:szCs w:val="20"/>
          <w:color w:val="auto"/>
        </w:rPr>
      </w:pPr>
      <w:r>
        <w:rPr>
          <w:rFonts w:ascii="Arial" w:cs="Arial" w:eastAsia="Arial" w:hAnsi="Arial"/>
          <w:sz w:val="21"/>
          <w:szCs w:val="21"/>
          <w:b w:val="1"/>
          <w:bCs w:val="1"/>
          <w:color w:val="auto"/>
        </w:rPr>
        <w:t>Growth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Revenue Growth - CC</w:t>
      </w:r>
    </w:p>
    <w:p>
      <w:pPr>
        <w:spacing w:after="0" w:line="477" w:lineRule="exact"/>
        <w:rPr>
          <w:sz w:val="20"/>
          <w:szCs w:val="20"/>
          <w:color w:val="auto"/>
        </w:rPr>
      </w:pPr>
    </w:p>
    <w:p>
      <w:pPr>
        <w:sectPr>
          <w:pgSz w:w="11900" w:h="16838" w:orient="portrait"/>
          <w:cols w:equalWidth="0" w:num="2">
            <w:col w:w="4760" w:space="720"/>
            <w:col w:w="4540"/>
          </w:cols>
          <w:pgMar w:left="880" w:top="438" w:right="999" w:bottom="1440" w:gutter="0" w:footer="0" w:header="0"/>
          <w:type w:val="continuous"/>
        </w:sectPr>
      </w:pPr>
    </w:p>
    <w:p>
      <w:pPr>
        <w:spacing w:after="0" w:line="39" w:lineRule="exact"/>
        <w:rPr>
          <w:sz w:val="20"/>
          <w:szCs w:val="20"/>
          <w:color w:val="auto"/>
        </w:rPr>
      </w:pPr>
    </w:p>
    <w:p>
      <w:pPr>
        <w:jc w:val="right"/>
        <w:spacing w:after="0"/>
        <w:rPr>
          <w:sz w:val="20"/>
          <w:szCs w:val="20"/>
          <w:color w:val="auto"/>
        </w:rPr>
      </w:pPr>
      <w:r>
        <w:rPr>
          <w:rFonts w:ascii="Arial" w:cs="Arial" w:eastAsia="Arial" w:hAnsi="Arial"/>
          <w:sz w:val="14"/>
          <w:szCs w:val="14"/>
          <w:color w:val="898989"/>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409575</wp:posOffset>
            </wp:positionV>
            <wp:extent cx="7273290" cy="196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0020"/>
          </w:cols>
          <w:pgMar w:left="880" w:top="438" w:right="999" w:bottom="1440" w:gutter="0" w:footer="0" w:header="0"/>
          <w:type w:val="continuous"/>
        </w:sectPr>
      </w:pPr>
    </w:p>
    <w:bookmarkStart w:id="16" w:name="page17"/>
    <w:bookmarkEnd w:id="16"/>
    <w:p>
      <w:pPr>
        <w:spacing w:after="0"/>
        <w:tabs>
          <w:tab w:leader="none" w:pos="8700" w:val="left"/>
        </w:tabs>
        <w:rPr>
          <w:sz w:val="20"/>
          <w:szCs w:val="20"/>
          <w:color w:val="auto"/>
        </w:rPr>
      </w:pPr>
      <w:r>
        <w:rPr>
          <w:rFonts w:ascii="Arial" w:cs="Arial" w:eastAsia="Arial" w:hAnsi="Arial"/>
          <w:sz w:val="24"/>
          <w:szCs w:val="24"/>
          <w:b w:val="1"/>
          <w:bCs w:val="1"/>
          <w:color w:val="FFFFFF"/>
        </w:rPr>
        <w:drawing>
          <wp:anchor simplePos="0" relativeHeight="251657728" behindDoc="1" locked="0" layoutInCell="0" allowOverlap="1">
            <wp:simplePos x="0" y="0"/>
            <wp:positionH relativeFrom="page">
              <wp:posOffset>299720</wp:posOffset>
            </wp:positionH>
            <wp:positionV relativeFrom="page">
              <wp:posOffset>168910</wp:posOffset>
            </wp:positionV>
            <wp:extent cx="6969760" cy="5227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6969760" cy="5227320"/>
                    </a:xfrm>
                    <a:prstGeom prst="rect">
                      <a:avLst/>
                    </a:prstGeom>
                    <a:noFill/>
                  </pic:spPr>
                </pic:pic>
              </a:graphicData>
            </a:graphic>
          </wp:anchor>
        </w:drawing>
        <w:t>ManpowerGroup 2011 1</w:t>
      </w:r>
      <w:r>
        <w:rPr>
          <w:rFonts w:ascii="Arial" w:cs="Arial" w:eastAsia="Arial" w:hAnsi="Arial"/>
          <w:sz w:val="17"/>
          <w:szCs w:val="17"/>
          <w:b w:val="1"/>
          <w:bCs w:val="1"/>
          <w:color w:val="FFFFFF"/>
        </w:rPr>
        <w:t>st</w:t>
      </w:r>
      <w:r>
        <w:rPr>
          <w:rFonts w:ascii="Arial" w:cs="Arial" w:eastAsia="Arial" w:hAnsi="Arial"/>
          <w:sz w:val="24"/>
          <w:szCs w:val="24"/>
          <w:b w:val="1"/>
          <w:bCs w:val="1"/>
          <w:color w:val="FFFFFF"/>
        </w:rPr>
        <w:t xml:space="preserve"> Quarter Results</w:t>
      </w:r>
      <w:r>
        <w:rPr>
          <w:sz w:val="20"/>
          <w:szCs w:val="20"/>
          <w:color w:val="auto"/>
        </w:rPr>
        <w:tab/>
      </w:r>
      <w:r>
        <w:rPr>
          <w:rFonts w:ascii="Arial" w:cs="Arial" w:eastAsia="Arial" w:hAnsi="Arial"/>
          <w:sz w:val="24"/>
          <w:szCs w:val="24"/>
          <w:b w:val="1"/>
          <w:bCs w:val="1"/>
          <w:color w:val="FFFFFF"/>
        </w:rPr>
        <w:t>April 2011</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00"/>
        <w:spacing w:after="0"/>
        <w:rPr>
          <w:sz w:val="20"/>
          <w:szCs w:val="20"/>
          <w:color w:val="auto"/>
        </w:rPr>
      </w:pPr>
      <w:r>
        <w:rPr>
          <w:rFonts w:ascii="Arial" w:cs="Arial" w:eastAsia="Arial" w:hAnsi="Arial"/>
          <w:sz w:val="49"/>
          <w:szCs w:val="49"/>
          <w:color w:val="5F81AA"/>
        </w:rPr>
        <w:t>Southern Europe Segment</w:t>
      </w:r>
    </w:p>
    <w:p>
      <w:pPr>
        <w:spacing w:after="0" w:line="4" w:lineRule="exact"/>
        <w:rPr>
          <w:sz w:val="20"/>
          <w:szCs w:val="20"/>
          <w:color w:val="auto"/>
        </w:rPr>
      </w:pPr>
    </w:p>
    <w:p>
      <w:pPr>
        <w:ind w:left="400"/>
        <w:spacing w:after="0"/>
        <w:rPr>
          <w:sz w:val="20"/>
          <w:szCs w:val="20"/>
          <w:color w:val="auto"/>
        </w:rPr>
      </w:pPr>
      <w:r>
        <w:rPr>
          <w:rFonts w:ascii="Arial" w:cs="Arial" w:eastAsia="Arial" w:hAnsi="Arial"/>
          <w:sz w:val="30"/>
          <w:szCs w:val="30"/>
          <w:color w:val="5F81AA"/>
        </w:rPr>
        <w:t>(36% of Revenue)</w:t>
      </w:r>
    </w:p>
    <w:p>
      <w:pPr>
        <w:spacing w:after="0" w:line="200" w:lineRule="exact"/>
        <w:rPr>
          <w:sz w:val="20"/>
          <w:szCs w:val="20"/>
          <w:color w:val="auto"/>
        </w:rPr>
      </w:pPr>
    </w:p>
    <w:p>
      <w:pPr>
        <w:spacing w:after="0" w:line="257" w:lineRule="exact"/>
        <w:rPr>
          <w:sz w:val="20"/>
          <w:szCs w:val="20"/>
          <w:color w:val="auto"/>
        </w:rPr>
      </w:pPr>
    </w:p>
    <w:p>
      <w:pPr>
        <w:ind w:left="3740"/>
        <w:spacing w:after="0"/>
        <w:rPr>
          <w:sz w:val="20"/>
          <w:szCs w:val="20"/>
          <w:color w:val="auto"/>
        </w:rPr>
      </w:pPr>
      <w:r>
        <w:rPr>
          <w:rFonts w:ascii="Arial" w:cs="Arial" w:eastAsia="Arial" w:hAnsi="Arial"/>
          <w:sz w:val="40"/>
          <w:szCs w:val="40"/>
          <w:b w:val="1"/>
          <w:bCs w:val="1"/>
          <w:color w:val="auto"/>
        </w:rPr>
        <w:t xml:space="preserve">Q1 Financial Highlights </w:t>
      </w:r>
      <w:r>
        <w:rPr>
          <w:rFonts w:ascii="Arial" w:cs="Arial" w:eastAsia="Arial" w:hAnsi="Arial"/>
          <w:sz w:val="33"/>
          <w:szCs w:val="33"/>
          <w:b w:val="1"/>
          <w:bCs w:val="1"/>
          <w:color w:val="4F81BD"/>
          <w:vertAlign w:val="superscript"/>
        </w:rPr>
        <w:t>(1)</w:t>
      </w:r>
    </w:p>
    <w:p>
      <w:pPr>
        <w:spacing w:after="0" w:line="318" w:lineRule="exact"/>
        <w:rPr>
          <w:sz w:val="20"/>
          <w:szCs w:val="20"/>
          <w:color w:val="auto"/>
        </w:rPr>
      </w:pPr>
    </w:p>
    <w:tbl>
      <w:tblPr>
        <w:tblLayout w:type="fixed"/>
        <w:tblInd w:w="1860" w:type="dxa"/>
        <w:tblCellMar>
          <w:top w:w="0" w:type="dxa"/>
          <w:left w:w="0" w:type="dxa"/>
          <w:bottom w:w="0" w:type="dxa"/>
          <w:right w:w="0" w:type="dxa"/>
        </w:tblCellMar>
      </w:tblPr>
      <w:tr>
        <w:trPr>
          <w:trHeight w:val="441"/>
        </w:trPr>
        <w:tc>
          <w:tcPr>
            <w:tcW w:w="1780" w:type="dxa"/>
            <w:vAlign w:val="bottom"/>
          </w:tcPr>
          <w:p>
            <w:pPr>
              <w:jc w:val="center"/>
              <w:ind w:right="17"/>
              <w:spacing w:after="0"/>
              <w:rPr>
                <w:sz w:val="20"/>
                <w:szCs w:val="20"/>
                <w:color w:val="auto"/>
              </w:rPr>
            </w:pPr>
            <w:r>
              <w:rPr>
                <w:rFonts w:ascii="Arial" w:cs="Arial" w:eastAsia="Arial" w:hAnsi="Arial"/>
                <w:sz w:val="37"/>
                <w:szCs w:val="37"/>
                <w:color w:val="auto"/>
                <w:w w:val="99"/>
              </w:rPr>
              <w:t>21%</w:t>
            </w:r>
          </w:p>
        </w:tc>
        <w:tc>
          <w:tcPr>
            <w:tcW w:w="2000" w:type="dxa"/>
            <w:vAlign w:val="bottom"/>
            <w:vMerge w:val="restart"/>
          </w:tcPr>
          <w:p>
            <w:pPr>
              <w:ind w:left="240"/>
              <w:spacing w:after="0"/>
              <w:rPr>
                <w:sz w:val="20"/>
                <w:szCs w:val="20"/>
                <w:color w:val="auto"/>
              </w:rPr>
            </w:pPr>
            <w:r>
              <w:rPr>
                <w:rFonts w:ascii="Arial" w:cs="Arial" w:eastAsia="Arial" w:hAnsi="Arial"/>
                <w:sz w:val="40"/>
                <w:szCs w:val="40"/>
                <w:b w:val="1"/>
                <w:bCs w:val="1"/>
                <w:color w:val="auto"/>
              </w:rPr>
              <w:t>Revenue</w:t>
            </w:r>
          </w:p>
        </w:tc>
        <w:tc>
          <w:tcPr>
            <w:tcW w:w="1240" w:type="dxa"/>
            <w:vAlign w:val="bottom"/>
            <w:vMerge w:val="restart"/>
          </w:tcPr>
          <w:p>
            <w:pPr>
              <w:ind w:left="100"/>
              <w:spacing w:after="0"/>
              <w:rPr>
                <w:sz w:val="20"/>
                <w:szCs w:val="20"/>
                <w:color w:val="auto"/>
              </w:rPr>
            </w:pPr>
            <w:r>
              <w:rPr>
                <w:rFonts w:ascii="Arial" w:cs="Arial" w:eastAsia="Arial" w:hAnsi="Arial"/>
                <w:sz w:val="43"/>
                <w:szCs w:val="43"/>
                <w:b w:val="1"/>
                <w:bCs w:val="1"/>
                <w:color w:val="6698C2"/>
                <w:w w:val="97"/>
              </w:rPr>
              <w:t>$1.8B</w:t>
            </w:r>
          </w:p>
        </w:tc>
        <w:tc>
          <w:tcPr>
            <w:tcW w:w="0" w:type="dxa"/>
            <w:vAlign w:val="bottom"/>
          </w:tcPr>
          <w:p>
            <w:pPr>
              <w:spacing w:after="0"/>
              <w:rPr>
                <w:sz w:val="1"/>
                <w:szCs w:val="1"/>
                <w:color w:val="auto"/>
              </w:rPr>
            </w:pPr>
          </w:p>
        </w:tc>
      </w:tr>
      <w:tr>
        <w:trPr>
          <w:trHeight w:val="247"/>
        </w:trPr>
        <w:tc>
          <w:tcPr>
            <w:tcW w:w="1780" w:type="dxa"/>
            <w:vAlign w:val="bottom"/>
            <w:vMerge w:val="restart"/>
          </w:tcPr>
          <w:p>
            <w:pPr>
              <w:jc w:val="center"/>
              <w:ind w:right="97"/>
              <w:spacing w:after="0"/>
              <w:rPr>
                <w:sz w:val="20"/>
                <w:szCs w:val="20"/>
                <w:color w:val="auto"/>
              </w:rPr>
            </w:pPr>
            <w:r>
              <w:rPr>
                <w:rFonts w:ascii="Arial" w:cs="Arial" w:eastAsia="Arial" w:hAnsi="Arial"/>
                <w:sz w:val="37"/>
                <w:szCs w:val="37"/>
                <w:color w:val="auto"/>
                <w:w w:val="99"/>
              </w:rPr>
              <w:t>22%</w:t>
            </w:r>
          </w:p>
        </w:tc>
        <w:tc>
          <w:tcPr>
            <w:tcW w:w="2000" w:type="dxa"/>
            <w:vAlign w:val="bottom"/>
            <w:vMerge w:val="continue"/>
          </w:tcPr>
          <w:p>
            <w:pPr>
              <w:spacing w:after="0"/>
              <w:rPr>
                <w:sz w:val="21"/>
                <w:szCs w:val="21"/>
                <w:color w:val="auto"/>
              </w:rPr>
            </w:pPr>
          </w:p>
        </w:tc>
        <w:tc>
          <w:tcPr>
            <w:tcW w:w="1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1780" w:type="dxa"/>
            <w:vAlign w:val="bottom"/>
            <w:vMerge w:val="continue"/>
          </w:tcPr>
          <w:p>
            <w:pPr>
              <w:spacing w:after="0"/>
              <w:rPr>
                <w:sz w:val="16"/>
                <w:szCs w:val="16"/>
                <w:color w:val="auto"/>
              </w:rPr>
            </w:pPr>
          </w:p>
        </w:tc>
        <w:tc>
          <w:tcPr>
            <w:tcW w:w="20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1780" w:type="dxa"/>
            <w:vAlign w:val="bottom"/>
          </w:tcPr>
          <w:p>
            <w:pPr>
              <w:jc w:val="center"/>
              <w:ind w:right="97"/>
              <w:spacing w:after="0" w:line="330" w:lineRule="exact"/>
              <w:rPr>
                <w:sz w:val="20"/>
                <w:szCs w:val="20"/>
                <w:color w:val="auto"/>
              </w:rPr>
            </w:pPr>
            <w:r>
              <w:rPr>
                <w:rFonts w:ascii="Arial" w:cs="Arial" w:eastAsia="Arial" w:hAnsi="Arial"/>
                <w:sz w:val="37"/>
                <w:szCs w:val="37"/>
                <w:color w:val="auto"/>
              </w:rPr>
              <w:t>CC</w:t>
            </w:r>
          </w:p>
        </w:tc>
        <w:tc>
          <w:tcPr>
            <w:tcW w:w="2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1780" w:type="dxa"/>
            <w:vAlign w:val="bottom"/>
          </w:tcPr>
          <w:p>
            <w:pPr>
              <w:jc w:val="center"/>
              <w:ind w:right="57"/>
              <w:spacing w:after="0" w:line="343" w:lineRule="exact"/>
              <w:rPr>
                <w:sz w:val="20"/>
                <w:szCs w:val="20"/>
                <w:color w:val="auto"/>
              </w:rPr>
            </w:pPr>
            <w:r>
              <w:rPr>
                <w:rFonts w:ascii="Arial" w:cs="Arial" w:eastAsia="Arial" w:hAnsi="Arial"/>
                <w:sz w:val="37"/>
                <w:szCs w:val="37"/>
                <w:color w:val="auto"/>
                <w:w w:val="99"/>
              </w:rPr>
              <w:t>344%</w:t>
            </w:r>
          </w:p>
        </w:tc>
        <w:tc>
          <w:tcPr>
            <w:tcW w:w="3240" w:type="dxa"/>
            <w:vAlign w:val="bottom"/>
            <w:gridSpan w:val="2"/>
            <w:vMerge w:val="restart"/>
          </w:tcPr>
          <w:p>
            <w:pPr>
              <w:ind w:left="260"/>
              <w:spacing w:after="0"/>
              <w:rPr>
                <w:sz w:val="20"/>
                <w:szCs w:val="20"/>
                <w:color w:val="auto"/>
              </w:rPr>
            </w:pPr>
            <w:r>
              <w:rPr>
                <w:rFonts w:ascii="Arial" w:cs="Arial" w:eastAsia="Arial" w:hAnsi="Arial"/>
                <w:sz w:val="40"/>
                <w:szCs w:val="40"/>
                <w:b w:val="1"/>
                <w:bCs w:val="1"/>
                <w:color w:val="auto"/>
              </w:rPr>
              <w:t xml:space="preserve">OUP </w:t>
            </w:r>
            <w:r>
              <w:rPr>
                <w:rFonts w:ascii="Arial" w:cs="Arial" w:eastAsia="Arial" w:hAnsi="Arial"/>
                <w:sz w:val="42"/>
                <w:szCs w:val="42"/>
                <w:b w:val="1"/>
                <w:bCs w:val="1"/>
                <w:color w:val="6698C2"/>
              </w:rPr>
              <w:t>$27M</w:t>
            </w:r>
          </w:p>
        </w:tc>
        <w:tc>
          <w:tcPr>
            <w:tcW w:w="0" w:type="dxa"/>
            <w:vAlign w:val="bottom"/>
          </w:tcPr>
          <w:p>
            <w:pPr>
              <w:spacing w:after="0"/>
              <w:rPr>
                <w:sz w:val="1"/>
                <w:szCs w:val="1"/>
                <w:color w:val="auto"/>
              </w:rPr>
            </w:pPr>
          </w:p>
        </w:tc>
      </w:tr>
      <w:tr>
        <w:trPr>
          <w:trHeight w:val="265"/>
        </w:trPr>
        <w:tc>
          <w:tcPr>
            <w:tcW w:w="1780" w:type="dxa"/>
            <w:vAlign w:val="bottom"/>
            <w:vMerge w:val="restart"/>
          </w:tcPr>
          <w:p>
            <w:pPr>
              <w:jc w:val="center"/>
              <w:ind w:right="37"/>
              <w:spacing w:after="0"/>
              <w:rPr>
                <w:sz w:val="20"/>
                <w:szCs w:val="20"/>
                <w:color w:val="auto"/>
              </w:rPr>
            </w:pPr>
            <w:r>
              <w:rPr>
                <w:rFonts w:ascii="Arial" w:cs="Arial" w:eastAsia="Arial" w:hAnsi="Arial"/>
                <w:sz w:val="37"/>
                <w:szCs w:val="37"/>
                <w:color w:val="auto"/>
                <w:w w:val="98"/>
              </w:rPr>
              <w:t>339% CC</w:t>
            </w:r>
          </w:p>
        </w:tc>
        <w:tc>
          <w:tcPr>
            <w:tcW w:w="324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1780" w:type="dxa"/>
            <w:vAlign w:val="bottom"/>
            <w:vMerge w:val="continue"/>
          </w:tcPr>
          <w:p>
            <w:pPr>
              <w:spacing w:after="0"/>
              <w:rPr>
                <w:sz w:val="15"/>
                <w:szCs w:val="15"/>
                <w:color w:val="auto"/>
              </w:rPr>
            </w:pPr>
          </w:p>
        </w:tc>
        <w:tc>
          <w:tcPr>
            <w:tcW w:w="2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30" w:lineRule="exact"/>
        <w:rPr>
          <w:sz w:val="20"/>
          <w:szCs w:val="20"/>
          <w:color w:val="auto"/>
        </w:rPr>
      </w:pPr>
    </w:p>
    <w:p>
      <w:pPr>
        <w:ind w:left="1960"/>
        <w:spacing w:after="0"/>
        <w:tabs>
          <w:tab w:leader="none" w:pos="3860" w:val="left"/>
        </w:tabs>
        <w:rPr>
          <w:sz w:val="20"/>
          <w:szCs w:val="20"/>
          <w:color w:val="auto"/>
        </w:rPr>
      </w:pPr>
      <w:r>
        <w:rPr>
          <w:rFonts w:ascii="Arial" w:cs="Arial" w:eastAsia="Arial" w:hAnsi="Arial"/>
          <w:sz w:val="37"/>
          <w:szCs w:val="37"/>
          <w:color w:val="auto"/>
        </w:rPr>
        <w:t>110 bps</w:t>
      </w:r>
      <w:r>
        <w:rPr>
          <w:sz w:val="20"/>
          <w:szCs w:val="20"/>
          <w:color w:val="auto"/>
        </w:rPr>
        <w:tab/>
      </w:r>
      <w:r>
        <w:rPr>
          <w:rFonts w:ascii="Arial" w:cs="Arial" w:eastAsia="Arial" w:hAnsi="Arial"/>
          <w:sz w:val="40"/>
          <w:szCs w:val="40"/>
          <w:b w:val="1"/>
          <w:bCs w:val="1"/>
          <w:color w:val="auto"/>
        </w:rPr>
        <w:t xml:space="preserve">OUP Margin </w:t>
      </w:r>
      <w:r>
        <w:rPr>
          <w:rFonts w:ascii="Arial" w:cs="Arial" w:eastAsia="Arial" w:hAnsi="Arial"/>
          <w:sz w:val="42"/>
          <w:szCs w:val="42"/>
          <w:b w:val="1"/>
          <w:bCs w:val="1"/>
          <w:color w:val="6698C2"/>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760" w:hanging="259"/>
        <w:spacing w:after="0"/>
        <w:tabs>
          <w:tab w:leader="none" w:pos="760" w:val="left"/>
        </w:tabs>
        <w:numPr>
          <w:ilvl w:val="0"/>
          <w:numId w:val="5"/>
        </w:numPr>
        <w:rPr>
          <w:rFonts w:ascii="Arial" w:cs="Arial" w:eastAsia="Arial" w:hAnsi="Arial"/>
          <w:sz w:val="26"/>
          <w:szCs w:val="26"/>
          <w:color w:val="auto"/>
          <w:vertAlign w:val="superscript"/>
        </w:rPr>
      </w:pPr>
      <w:r>
        <w:rPr>
          <w:rFonts w:ascii="Arial" w:cs="Arial" w:eastAsia="Arial" w:hAnsi="Arial"/>
          <w:sz w:val="18"/>
          <w:szCs w:val="18"/>
          <w:color w:val="auto"/>
        </w:rPr>
        <w:t>Included in these amounts is France, which had revenue of $1.4B (+23% CC) and OUP of $12M.</w:t>
      </w:r>
    </w:p>
    <w:p>
      <w:pPr>
        <w:spacing w:after="0" w:line="245" w:lineRule="exact"/>
        <w:rPr>
          <w:sz w:val="20"/>
          <w:szCs w:val="20"/>
          <w:color w:val="auto"/>
        </w:rPr>
      </w:pPr>
    </w:p>
    <w:p>
      <w:pPr>
        <w:jc w:val="right"/>
        <w:spacing w:after="0"/>
        <w:rPr>
          <w:sz w:val="20"/>
          <w:szCs w:val="20"/>
          <w:color w:val="auto"/>
        </w:rPr>
      </w:pPr>
      <w:r>
        <w:rPr>
          <w:rFonts w:ascii="Arial" w:cs="Arial" w:eastAsia="Arial" w:hAnsi="Arial"/>
          <w:sz w:val="14"/>
          <w:szCs w:val="14"/>
          <w:color w:val="898989"/>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409575</wp:posOffset>
            </wp:positionV>
            <wp:extent cx="7273290" cy="196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0020"/>
          </w:cols>
          <w:pgMar w:left="880" w:top="438" w:right="999" w:bottom="1440" w:gutter="0" w:footer="0" w:header="0"/>
        </w:sectPr>
      </w:pPr>
    </w:p>
    <w:bookmarkStart w:id="17" w:name="page18"/>
    <w:bookmarkEnd w:id="17"/>
    <w:p>
      <w:pPr>
        <w:spacing w:after="0"/>
        <w:tabs>
          <w:tab w:leader="none" w:pos="8700" w:val="left"/>
        </w:tabs>
        <w:rPr>
          <w:sz w:val="20"/>
          <w:szCs w:val="20"/>
          <w:color w:val="auto"/>
        </w:rPr>
      </w:pPr>
      <w:r>
        <w:rPr>
          <w:rFonts w:ascii="Arial" w:cs="Arial" w:eastAsia="Arial" w:hAnsi="Arial"/>
          <w:sz w:val="24"/>
          <w:szCs w:val="24"/>
          <w:b w:val="1"/>
          <w:bCs w:val="1"/>
          <w:color w:val="FFFFFF"/>
        </w:rPr>
        <w:drawing>
          <wp:anchor simplePos="0" relativeHeight="251657728" behindDoc="1" locked="0" layoutInCell="0" allowOverlap="1">
            <wp:simplePos x="0" y="0"/>
            <wp:positionH relativeFrom="page">
              <wp:posOffset>299720</wp:posOffset>
            </wp:positionH>
            <wp:positionV relativeFrom="page">
              <wp:posOffset>168910</wp:posOffset>
            </wp:positionV>
            <wp:extent cx="6969760" cy="5227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6969760" cy="5227320"/>
                    </a:xfrm>
                    <a:prstGeom prst="rect">
                      <a:avLst/>
                    </a:prstGeom>
                    <a:noFill/>
                  </pic:spPr>
                </pic:pic>
              </a:graphicData>
            </a:graphic>
          </wp:anchor>
        </w:drawing>
        <w:t>ManpowerGroup 2011 1</w:t>
      </w:r>
      <w:r>
        <w:rPr>
          <w:rFonts w:ascii="Arial" w:cs="Arial" w:eastAsia="Arial" w:hAnsi="Arial"/>
          <w:sz w:val="17"/>
          <w:szCs w:val="17"/>
          <w:b w:val="1"/>
          <w:bCs w:val="1"/>
          <w:color w:val="FFFFFF"/>
        </w:rPr>
        <w:t>st</w:t>
      </w:r>
      <w:r>
        <w:rPr>
          <w:rFonts w:ascii="Arial" w:cs="Arial" w:eastAsia="Arial" w:hAnsi="Arial"/>
          <w:sz w:val="24"/>
          <w:szCs w:val="24"/>
          <w:b w:val="1"/>
          <w:bCs w:val="1"/>
          <w:color w:val="FFFFFF"/>
        </w:rPr>
        <w:t xml:space="preserve"> Quarter Results</w:t>
      </w:r>
      <w:r>
        <w:rPr>
          <w:sz w:val="20"/>
          <w:szCs w:val="20"/>
          <w:color w:val="auto"/>
        </w:rPr>
        <w:tab/>
      </w:r>
      <w:r>
        <w:rPr>
          <w:rFonts w:ascii="Arial" w:cs="Arial" w:eastAsia="Arial" w:hAnsi="Arial"/>
          <w:sz w:val="24"/>
          <w:szCs w:val="24"/>
          <w:b w:val="1"/>
          <w:bCs w:val="1"/>
          <w:color w:val="FFFFFF"/>
        </w:rPr>
        <w:t>April 2011</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20"/>
        <w:spacing w:after="0"/>
        <w:rPr>
          <w:sz w:val="20"/>
          <w:szCs w:val="20"/>
          <w:color w:val="auto"/>
        </w:rPr>
      </w:pPr>
      <w:r>
        <w:rPr>
          <w:rFonts w:ascii="Arial" w:cs="Arial" w:eastAsia="Arial" w:hAnsi="Arial"/>
          <w:sz w:val="49"/>
          <w:szCs w:val="49"/>
          <w:color w:val="5F81AA"/>
        </w:rPr>
        <w:t>Southern Europe - Q1 Revenue Growth YoY</w:t>
      </w:r>
    </w:p>
    <w:p>
      <w:pPr>
        <w:sectPr>
          <w:pgSz w:w="11900" w:h="16838" w:orient="portrait"/>
          <w:cols w:equalWidth="0" w:num="1">
            <w:col w:w="10020"/>
          </w:cols>
          <w:pgMar w:left="880" w:top="438"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740"/>
        <w:spacing w:after="0"/>
        <w:rPr>
          <w:sz w:val="20"/>
          <w:szCs w:val="20"/>
          <w:color w:val="auto"/>
        </w:rPr>
      </w:pPr>
      <w:r>
        <w:rPr>
          <w:rFonts w:ascii="Arial" w:cs="Arial" w:eastAsia="Arial" w:hAnsi="Arial"/>
          <w:sz w:val="21"/>
          <w:szCs w:val="21"/>
          <w:b w:val="1"/>
          <w:bCs w:val="1"/>
          <w:color w:val="auto"/>
        </w:rPr>
        <w:t>Revenue</w:t>
      </w:r>
    </w:p>
    <w:p>
      <w:pPr>
        <w:spacing w:after="0" w:line="36" w:lineRule="exact"/>
        <w:rPr>
          <w:sz w:val="20"/>
          <w:szCs w:val="20"/>
          <w:color w:val="auto"/>
        </w:rPr>
      </w:pPr>
    </w:p>
    <w:p>
      <w:pPr>
        <w:ind w:left="3820"/>
        <w:spacing w:after="0"/>
        <w:rPr>
          <w:sz w:val="20"/>
          <w:szCs w:val="20"/>
          <w:color w:val="auto"/>
        </w:rPr>
      </w:pPr>
      <w:r>
        <w:rPr>
          <w:rFonts w:ascii="Arial" w:cs="Arial" w:eastAsia="Arial" w:hAnsi="Arial"/>
          <w:sz w:val="21"/>
          <w:szCs w:val="21"/>
          <w:b w:val="1"/>
          <w:bCs w:val="1"/>
          <w:color w:val="auto"/>
        </w:rPr>
        <w:t>Growth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Revenue Growth - CC</w:t>
      </w:r>
    </w:p>
    <w:p>
      <w:pPr>
        <w:spacing w:after="0" w:line="345" w:lineRule="exact"/>
        <w:rPr>
          <w:sz w:val="20"/>
          <w:szCs w:val="20"/>
          <w:color w:val="auto"/>
        </w:rPr>
      </w:pPr>
    </w:p>
    <w:p>
      <w:pPr>
        <w:sectPr>
          <w:pgSz w:w="11900" w:h="16838" w:orient="portrait"/>
          <w:cols w:equalWidth="0" w:num="2">
            <w:col w:w="4820" w:space="720"/>
            <w:col w:w="4480"/>
          </w:cols>
          <w:pgMar w:left="880" w:top="438" w:right="999" w:bottom="1440" w:gutter="0" w:footer="0" w:header="0"/>
          <w:type w:val="continuous"/>
        </w:sectPr>
      </w:pPr>
    </w:p>
    <w:p>
      <w:pPr>
        <w:jc w:val="right"/>
        <w:spacing w:after="0"/>
        <w:rPr>
          <w:sz w:val="20"/>
          <w:szCs w:val="20"/>
          <w:color w:val="auto"/>
        </w:rPr>
      </w:pPr>
      <w:r>
        <w:rPr>
          <w:rFonts w:ascii="Arial" w:cs="Arial" w:eastAsia="Arial" w:hAnsi="Arial"/>
          <w:sz w:val="14"/>
          <w:szCs w:val="14"/>
          <w:color w:val="898989"/>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409575</wp:posOffset>
            </wp:positionV>
            <wp:extent cx="7273290" cy="196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0020"/>
          </w:cols>
          <w:pgMar w:left="880" w:top="438" w:right="999" w:bottom="1440" w:gutter="0" w:footer="0" w:header="0"/>
          <w:type w:val="continuous"/>
        </w:sectPr>
      </w:pPr>
    </w:p>
    <w:bookmarkStart w:id="18" w:name="page19"/>
    <w:bookmarkEnd w:id="18"/>
    <w:p>
      <w:pPr>
        <w:spacing w:after="0"/>
        <w:tabs>
          <w:tab w:leader="none" w:pos="8700" w:val="left"/>
        </w:tabs>
        <w:rPr>
          <w:sz w:val="20"/>
          <w:szCs w:val="20"/>
          <w:color w:val="auto"/>
        </w:rPr>
      </w:pPr>
      <w:r>
        <w:rPr>
          <w:rFonts w:ascii="Arial" w:cs="Arial" w:eastAsia="Arial" w:hAnsi="Arial"/>
          <w:sz w:val="24"/>
          <w:szCs w:val="24"/>
          <w:b w:val="1"/>
          <w:bCs w:val="1"/>
          <w:color w:val="FFFFFF"/>
        </w:rPr>
        <w:drawing>
          <wp:anchor simplePos="0" relativeHeight="251657728" behindDoc="1" locked="0" layoutInCell="0" allowOverlap="1">
            <wp:simplePos x="0" y="0"/>
            <wp:positionH relativeFrom="page">
              <wp:posOffset>299720</wp:posOffset>
            </wp:positionH>
            <wp:positionV relativeFrom="page">
              <wp:posOffset>168910</wp:posOffset>
            </wp:positionV>
            <wp:extent cx="6969760" cy="5227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6969760" cy="5227320"/>
                    </a:xfrm>
                    <a:prstGeom prst="rect">
                      <a:avLst/>
                    </a:prstGeom>
                    <a:noFill/>
                  </pic:spPr>
                </pic:pic>
              </a:graphicData>
            </a:graphic>
          </wp:anchor>
        </w:drawing>
        <w:t>ManpowerGroup 2011 1</w:t>
      </w:r>
      <w:r>
        <w:rPr>
          <w:rFonts w:ascii="Arial" w:cs="Arial" w:eastAsia="Arial" w:hAnsi="Arial"/>
          <w:sz w:val="17"/>
          <w:szCs w:val="17"/>
          <w:b w:val="1"/>
          <w:bCs w:val="1"/>
          <w:color w:val="FFFFFF"/>
        </w:rPr>
        <w:t>st</w:t>
      </w:r>
      <w:r>
        <w:rPr>
          <w:rFonts w:ascii="Arial" w:cs="Arial" w:eastAsia="Arial" w:hAnsi="Arial"/>
          <w:sz w:val="24"/>
          <w:szCs w:val="24"/>
          <w:b w:val="1"/>
          <w:bCs w:val="1"/>
          <w:color w:val="FFFFFF"/>
        </w:rPr>
        <w:t xml:space="preserve"> Quarter Results</w:t>
      </w:r>
      <w:r>
        <w:rPr>
          <w:sz w:val="20"/>
          <w:szCs w:val="20"/>
          <w:color w:val="auto"/>
        </w:rPr>
        <w:tab/>
      </w:r>
      <w:r>
        <w:rPr>
          <w:rFonts w:ascii="Arial" w:cs="Arial" w:eastAsia="Arial" w:hAnsi="Arial"/>
          <w:sz w:val="24"/>
          <w:szCs w:val="24"/>
          <w:b w:val="1"/>
          <w:bCs w:val="1"/>
          <w:color w:val="FFFFFF"/>
        </w:rPr>
        <w:t>April 2011</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00"/>
        <w:spacing w:after="0"/>
        <w:rPr>
          <w:sz w:val="20"/>
          <w:szCs w:val="20"/>
          <w:color w:val="auto"/>
        </w:rPr>
      </w:pPr>
      <w:r>
        <w:rPr>
          <w:rFonts w:ascii="Arial" w:cs="Arial" w:eastAsia="Arial" w:hAnsi="Arial"/>
          <w:sz w:val="49"/>
          <w:szCs w:val="49"/>
          <w:color w:val="5F81AA"/>
        </w:rPr>
        <w:t>Northern Europe Segment</w:t>
      </w:r>
    </w:p>
    <w:p>
      <w:pPr>
        <w:spacing w:after="0" w:line="4" w:lineRule="exact"/>
        <w:rPr>
          <w:sz w:val="20"/>
          <w:szCs w:val="20"/>
          <w:color w:val="auto"/>
        </w:rPr>
      </w:pPr>
    </w:p>
    <w:p>
      <w:pPr>
        <w:ind w:left="400"/>
        <w:spacing w:after="0"/>
        <w:rPr>
          <w:sz w:val="20"/>
          <w:szCs w:val="20"/>
          <w:color w:val="auto"/>
        </w:rPr>
      </w:pPr>
      <w:r>
        <w:rPr>
          <w:rFonts w:ascii="Arial" w:cs="Arial" w:eastAsia="Arial" w:hAnsi="Arial"/>
          <w:sz w:val="30"/>
          <w:szCs w:val="30"/>
          <w:color w:val="5F81AA"/>
        </w:rPr>
        <w:t>(28% of Revenue)</w:t>
      </w:r>
    </w:p>
    <w:p>
      <w:pPr>
        <w:spacing w:after="0" w:line="163" w:lineRule="exact"/>
        <w:rPr>
          <w:sz w:val="20"/>
          <w:szCs w:val="20"/>
          <w:color w:val="auto"/>
        </w:rPr>
      </w:pPr>
    </w:p>
    <w:tbl>
      <w:tblPr>
        <w:tblLayout w:type="fixed"/>
        <w:tblInd w:w="1860" w:type="dxa"/>
        <w:tblCellMar>
          <w:top w:w="0" w:type="dxa"/>
          <w:left w:w="0" w:type="dxa"/>
          <w:bottom w:w="0" w:type="dxa"/>
          <w:right w:w="0" w:type="dxa"/>
        </w:tblCellMar>
      </w:tblPr>
      <w:tr>
        <w:trPr>
          <w:trHeight w:val="527"/>
        </w:trPr>
        <w:tc>
          <w:tcPr>
            <w:tcW w:w="1700" w:type="dxa"/>
            <w:vAlign w:val="bottom"/>
          </w:tcPr>
          <w:p>
            <w:pPr>
              <w:spacing w:after="0"/>
              <w:rPr>
                <w:sz w:val="24"/>
                <w:szCs w:val="24"/>
                <w:color w:val="auto"/>
              </w:rPr>
            </w:pPr>
          </w:p>
        </w:tc>
        <w:tc>
          <w:tcPr>
            <w:tcW w:w="4520" w:type="dxa"/>
            <w:vAlign w:val="bottom"/>
          </w:tcPr>
          <w:p>
            <w:pPr>
              <w:ind w:left="100"/>
              <w:spacing w:after="0"/>
              <w:rPr>
                <w:sz w:val="20"/>
                <w:szCs w:val="20"/>
                <w:color w:val="auto"/>
              </w:rPr>
            </w:pPr>
            <w:r>
              <w:rPr>
                <w:rFonts w:ascii="Arial" w:cs="Arial" w:eastAsia="Arial" w:hAnsi="Arial"/>
                <w:sz w:val="40"/>
                <w:szCs w:val="40"/>
                <w:b w:val="1"/>
                <w:bCs w:val="1"/>
                <w:color w:val="auto"/>
                <w:w w:val="98"/>
              </w:rPr>
              <w:t>Q1 Financial Highlights</w:t>
            </w:r>
          </w:p>
        </w:tc>
        <w:tc>
          <w:tcPr>
            <w:tcW w:w="0" w:type="dxa"/>
            <w:vAlign w:val="bottom"/>
          </w:tcPr>
          <w:p>
            <w:pPr>
              <w:spacing w:after="0"/>
              <w:rPr>
                <w:sz w:val="1"/>
                <w:szCs w:val="1"/>
                <w:color w:val="auto"/>
              </w:rPr>
            </w:pPr>
          </w:p>
        </w:tc>
      </w:tr>
      <w:tr>
        <w:trPr>
          <w:trHeight w:val="667"/>
        </w:trPr>
        <w:tc>
          <w:tcPr>
            <w:tcW w:w="1700" w:type="dxa"/>
            <w:vAlign w:val="bottom"/>
          </w:tcPr>
          <w:p>
            <w:pPr>
              <w:jc w:val="right"/>
              <w:ind w:right="457"/>
              <w:spacing w:after="0"/>
              <w:rPr>
                <w:sz w:val="20"/>
                <w:szCs w:val="20"/>
                <w:color w:val="auto"/>
              </w:rPr>
            </w:pPr>
            <w:r>
              <w:rPr>
                <w:rFonts w:ascii="Arial" w:cs="Arial" w:eastAsia="Arial" w:hAnsi="Arial"/>
                <w:sz w:val="37"/>
                <w:szCs w:val="37"/>
                <w:color w:val="auto"/>
              </w:rPr>
              <w:t>19%</w:t>
            </w:r>
          </w:p>
        </w:tc>
        <w:tc>
          <w:tcPr>
            <w:tcW w:w="4520" w:type="dxa"/>
            <w:vAlign w:val="bottom"/>
            <w:vMerge w:val="restart"/>
          </w:tcPr>
          <w:p>
            <w:pPr>
              <w:ind w:left="240"/>
              <w:spacing w:after="0"/>
              <w:rPr>
                <w:sz w:val="20"/>
                <w:szCs w:val="20"/>
                <w:color w:val="auto"/>
              </w:rPr>
            </w:pPr>
            <w:r>
              <w:rPr>
                <w:rFonts w:ascii="Arial" w:cs="Arial" w:eastAsia="Arial" w:hAnsi="Arial"/>
                <w:sz w:val="40"/>
                <w:szCs w:val="40"/>
                <w:b w:val="1"/>
                <w:bCs w:val="1"/>
                <w:color w:val="auto"/>
              </w:rPr>
              <w:t xml:space="preserve">Revenue </w:t>
            </w:r>
            <w:r>
              <w:rPr>
                <w:rFonts w:ascii="Arial" w:cs="Arial" w:eastAsia="Arial" w:hAnsi="Arial"/>
                <w:sz w:val="42"/>
                <w:szCs w:val="42"/>
                <w:b w:val="1"/>
                <w:bCs w:val="1"/>
                <w:color w:val="6698C2"/>
              </w:rPr>
              <w:t>$1.5B</w:t>
            </w:r>
          </w:p>
        </w:tc>
        <w:tc>
          <w:tcPr>
            <w:tcW w:w="0" w:type="dxa"/>
            <w:vAlign w:val="bottom"/>
          </w:tcPr>
          <w:p>
            <w:pPr>
              <w:spacing w:after="0"/>
              <w:rPr>
                <w:sz w:val="1"/>
                <w:szCs w:val="1"/>
                <w:color w:val="auto"/>
              </w:rPr>
            </w:pPr>
          </w:p>
        </w:tc>
      </w:tr>
      <w:tr>
        <w:trPr>
          <w:trHeight w:val="247"/>
        </w:trPr>
        <w:tc>
          <w:tcPr>
            <w:tcW w:w="1700" w:type="dxa"/>
            <w:vAlign w:val="bottom"/>
            <w:vMerge w:val="restart"/>
          </w:tcPr>
          <w:p>
            <w:pPr>
              <w:ind w:left="60"/>
              <w:spacing w:after="0"/>
              <w:rPr>
                <w:sz w:val="20"/>
                <w:szCs w:val="20"/>
                <w:color w:val="auto"/>
              </w:rPr>
            </w:pPr>
            <w:r>
              <w:rPr>
                <w:rFonts w:ascii="Arial" w:cs="Arial" w:eastAsia="Arial" w:hAnsi="Arial"/>
                <w:sz w:val="37"/>
                <w:szCs w:val="37"/>
                <w:color w:val="auto"/>
              </w:rPr>
              <w:t>17% CC</w:t>
            </w:r>
          </w:p>
        </w:tc>
        <w:tc>
          <w:tcPr>
            <w:tcW w:w="45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1700" w:type="dxa"/>
            <w:vAlign w:val="bottom"/>
            <w:vMerge w:val="continue"/>
          </w:tcPr>
          <w:p>
            <w:pPr>
              <w:spacing w:after="0"/>
              <w:rPr>
                <w:sz w:val="18"/>
                <w:szCs w:val="18"/>
                <w:color w:val="auto"/>
              </w:rPr>
            </w:pPr>
          </w:p>
        </w:tc>
        <w:tc>
          <w:tcPr>
            <w:tcW w:w="4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97"/>
        </w:trPr>
        <w:tc>
          <w:tcPr>
            <w:tcW w:w="1700" w:type="dxa"/>
            <w:vAlign w:val="bottom"/>
          </w:tcPr>
          <w:p>
            <w:pPr>
              <w:jc w:val="right"/>
              <w:ind w:right="357"/>
              <w:spacing w:after="0"/>
              <w:rPr>
                <w:sz w:val="20"/>
                <w:szCs w:val="20"/>
                <w:color w:val="auto"/>
              </w:rPr>
            </w:pPr>
            <w:r>
              <w:rPr>
                <w:rFonts w:ascii="Arial" w:cs="Arial" w:eastAsia="Arial" w:hAnsi="Arial"/>
                <w:sz w:val="37"/>
                <w:szCs w:val="37"/>
                <w:color w:val="auto"/>
              </w:rPr>
              <w:t>121%</w:t>
            </w:r>
          </w:p>
        </w:tc>
        <w:tc>
          <w:tcPr>
            <w:tcW w:w="4520" w:type="dxa"/>
            <w:vAlign w:val="bottom"/>
            <w:vMerge w:val="restart"/>
          </w:tcPr>
          <w:p>
            <w:pPr>
              <w:ind w:left="260"/>
              <w:spacing w:after="0"/>
              <w:rPr>
                <w:sz w:val="20"/>
                <w:szCs w:val="20"/>
                <w:color w:val="auto"/>
              </w:rPr>
            </w:pPr>
            <w:r>
              <w:rPr>
                <w:rFonts w:ascii="Arial" w:cs="Arial" w:eastAsia="Arial" w:hAnsi="Arial"/>
                <w:sz w:val="40"/>
                <w:szCs w:val="40"/>
                <w:b w:val="1"/>
                <w:bCs w:val="1"/>
                <w:color w:val="auto"/>
              </w:rPr>
              <w:t xml:space="preserve">OUP </w:t>
            </w:r>
            <w:r>
              <w:rPr>
                <w:rFonts w:ascii="Arial" w:cs="Arial" w:eastAsia="Arial" w:hAnsi="Arial"/>
                <w:sz w:val="42"/>
                <w:szCs w:val="42"/>
                <w:b w:val="1"/>
                <w:bCs w:val="1"/>
                <w:color w:val="6698C2"/>
              </w:rPr>
              <w:t>$42M</w:t>
            </w:r>
          </w:p>
        </w:tc>
        <w:tc>
          <w:tcPr>
            <w:tcW w:w="0" w:type="dxa"/>
            <w:vAlign w:val="bottom"/>
          </w:tcPr>
          <w:p>
            <w:pPr>
              <w:spacing w:after="0"/>
              <w:rPr>
                <w:sz w:val="1"/>
                <w:szCs w:val="1"/>
                <w:color w:val="auto"/>
              </w:rPr>
            </w:pPr>
          </w:p>
        </w:tc>
      </w:tr>
      <w:tr>
        <w:trPr>
          <w:trHeight w:val="446"/>
        </w:trPr>
        <w:tc>
          <w:tcPr>
            <w:tcW w:w="1700" w:type="dxa"/>
            <w:vAlign w:val="bottom"/>
          </w:tcPr>
          <w:p>
            <w:pPr>
              <w:spacing w:after="0"/>
              <w:rPr>
                <w:sz w:val="20"/>
                <w:szCs w:val="20"/>
                <w:color w:val="auto"/>
              </w:rPr>
            </w:pPr>
            <w:r>
              <w:rPr>
                <w:rFonts w:ascii="Arial" w:cs="Arial" w:eastAsia="Arial" w:hAnsi="Arial"/>
                <w:sz w:val="37"/>
                <w:szCs w:val="37"/>
                <w:color w:val="auto"/>
              </w:rPr>
              <w:t>112% CC</w:t>
            </w:r>
          </w:p>
        </w:tc>
        <w:tc>
          <w:tcPr>
            <w:tcW w:w="45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853"/>
        </w:trPr>
        <w:tc>
          <w:tcPr>
            <w:tcW w:w="1700" w:type="dxa"/>
            <w:vAlign w:val="bottom"/>
          </w:tcPr>
          <w:p>
            <w:pPr>
              <w:ind w:left="120"/>
              <w:spacing w:after="0"/>
              <w:rPr>
                <w:sz w:val="20"/>
                <w:szCs w:val="20"/>
                <w:color w:val="auto"/>
              </w:rPr>
            </w:pPr>
            <w:r>
              <w:rPr>
                <w:rFonts w:ascii="Arial" w:cs="Arial" w:eastAsia="Arial" w:hAnsi="Arial"/>
                <w:sz w:val="37"/>
                <w:szCs w:val="37"/>
                <w:color w:val="auto"/>
              </w:rPr>
              <w:t>130 bps</w:t>
            </w:r>
          </w:p>
        </w:tc>
        <w:tc>
          <w:tcPr>
            <w:tcW w:w="4520" w:type="dxa"/>
            <w:vAlign w:val="bottom"/>
          </w:tcPr>
          <w:p>
            <w:pPr>
              <w:ind w:left="240"/>
              <w:spacing w:after="0"/>
              <w:rPr>
                <w:sz w:val="20"/>
                <w:szCs w:val="20"/>
                <w:color w:val="auto"/>
              </w:rPr>
            </w:pPr>
            <w:r>
              <w:rPr>
                <w:rFonts w:ascii="Arial" w:cs="Arial" w:eastAsia="Arial" w:hAnsi="Arial"/>
                <w:sz w:val="40"/>
                <w:szCs w:val="40"/>
                <w:b w:val="1"/>
                <w:bCs w:val="1"/>
                <w:color w:val="auto"/>
              </w:rPr>
              <w:t xml:space="preserve">OUP Margin </w:t>
            </w:r>
            <w:r>
              <w:rPr>
                <w:rFonts w:ascii="Arial" w:cs="Arial" w:eastAsia="Arial" w:hAnsi="Arial"/>
                <w:sz w:val="42"/>
                <w:szCs w:val="42"/>
                <w:b w:val="1"/>
                <w:bCs w:val="1"/>
                <w:color w:val="6698C2"/>
              </w:rPr>
              <w:t>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Arial" w:cs="Arial" w:eastAsia="Arial" w:hAnsi="Arial"/>
          <w:sz w:val="14"/>
          <w:szCs w:val="14"/>
          <w:color w:val="898989"/>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409575</wp:posOffset>
            </wp:positionV>
            <wp:extent cx="7273290" cy="196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0020"/>
          </w:cols>
          <w:pgMar w:left="880" w:top="438" w:right="999" w:bottom="1440" w:gutter="0" w:footer="0" w:header="0"/>
        </w:sectPr>
      </w:pPr>
    </w:p>
    <w:bookmarkStart w:id="19" w:name="page20"/>
    <w:bookmarkEnd w:id="19"/>
    <w:p>
      <w:pPr>
        <w:ind w:left="640"/>
        <w:spacing w:after="0"/>
        <w:tabs>
          <w:tab w:leader="none" w:pos="9340" w:val="left"/>
        </w:tabs>
        <w:rPr>
          <w:sz w:val="20"/>
          <w:szCs w:val="20"/>
          <w:color w:val="auto"/>
        </w:rPr>
      </w:pPr>
      <w:r>
        <w:rPr>
          <w:rFonts w:ascii="Arial" w:cs="Arial" w:eastAsia="Arial" w:hAnsi="Arial"/>
          <w:sz w:val="24"/>
          <w:szCs w:val="24"/>
          <w:b w:val="1"/>
          <w:bCs w:val="1"/>
          <w:color w:val="FFFFFF"/>
        </w:rPr>
        <w:drawing>
          <wp:anchor simplePos="0" relativeHeight="251657728" behindDoc="1" locked="0" layoutInCell="0" allowOverlap="1">
            <wp:simplePos x="0" y="0"/>
            <wp:positionH relativeFrom="page">
              <wp:posOffset>299720</wp:posOffset>
            </wp:positionH>
            <wp:positionV relativeFrom="page">
              <wp:posOffset>168910</wp:posOffset>
            </wp:positionV>
            <wp:extent cx="6969760" cy="5227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6969760" cy="5227320"/>
                    </a:xfrm>
                    <a:prstGeom prst="rect">
                      <a:avLst/>
                    </a:prstGeom>
                    <a:noFill/>
                  </pic:spPr>
                </pic:pic>
              </a:graphicData>
            </a:graphic>
          </wp:anchor>
        </w:drawing>
        <w:t>ManpowerGroup 2011 1</w:t>
      </w:r>
      <w:r>
        <w:rPr>
          <w:rFonts w:ascii="Arial" w:cs="Arial" w:eastAsia="Arial" w:hAnsi="Arial"/>
          <w:sz w:val="17"/>
          <w:szCs w:val="17"/>
          <w:b w:val="1"/>
          <w:bCs w:val="1"/>
          <w:color w:val="FFFFFF"/>
        </w:rPr>
        <w:t>st</w:t>
      </w:r>
      <w:r>
        <w:rPr>
          <w:rFonts w:ascii="Arial" w:cs="Arial" w:eastAsia="Arial" w:hAnsi="Arial"/>
          <w:sz w:val="24"/>
          <w:szCs w:val="24"/>
          <w:b w:val="1"/>
          <w:bCs w:val="1"/>
          <w:color w:val="FFFFFF"/>
        </w:rPr>
        <w:t xml:space="preserve"> Quarter Results</w:t>
      </w:r>
      <w:r>
        <w:rPr>
          <w:sz w:val="20"/>
          <w:szCs w:val="20"/>
          <w:color w:val="auto"/>
        </w:rPr>
        <w:tab/>
      </w:r>
      <w:r>
        <w:rPr>
          <w:rFonts w:ascii="Arial" w:cs="Arial" w:eastAsia="Arial" w:hAnsi="Arial"/>
          <w:sz w:val="24"/>
          <w:szCs w:val="24"/>
          <w:b w:val="1"/>
          <w:bCs w:val="1"/>
          <w:color w:val="FFFFFF"/>
        </w:rPr>
        <w:t>April 2011</w:t>
      </w:r>
    </w:p>
    <w:p>
      <w:pPr>
        <w:spacing w:after="0" w:line="200" w:lineRule="exact"/>
        <w:rPr>
          <w:sz w:val="20"/>
          <w:szCs w:val="20"/>
          <w:color w:val="auto"/>
        </w:rPr>
      </w:pPr>
    </w:p>
    <w:p>
      <w:pPr>
        <w:spacing w:after="0" w:line="303" w:lineRule="exact"/>
        <w:rPr>
          <w:sz w:val="20"/>
          <w:szCs w:val="20"/>
          <w:color w:val="auto"/>
        </w:rPr>
      </w:pPr>
    </w:p>
    <w:p>
      <w:pPr>
        <w:ind w:left="1060"/>
        <w:spacing w:after="0"/>
        <w:rPr>
          <w:sz w:val="20"/>
          <w:szCs w:val="20"/>
          <w:color w:val="auto"/>
        </w:rPr>
      </w:pPr>
      <w:r>
        <w:rPr>
          <w:rFonts w:ascii="Arial" w:cs="Arial" w:eastAsia="Arial" w:hAnsi="Arial"/>
          <w:sz w:val="49"/>
          <w:szCs w:val="49"/>
          <w:color w:val="5F81AA"/>
        </w:rPr>
        <w:t>Northern Europe - Q1 Revenue Growth YoY</w:t>
      </w:r>
    </w:p>
    <w:p>
      <w:pPr>
        <w:spacing w:after="0" w:line="125" w:lineRule="exact"/>
        <w:rPr>
          <w:sz w:val="20"/>
          <w:szCs w:val="20"/>
          <w:color w:val="auto"/>
        </w:rPr>
      </w:pPr>
    </w:p>
    <w:p>
      <w:pPr>
        <w:ind w:left="1100" w:right="8820" w:firstLine="6"/>
        <w:spacing w:after="0" w:line="283" w:lineRule="auto"/>
        <w:tabs>
          <w:tab w:leader="none" w:pos="1367" w:val="left"/>
        </w:tabs>
        <w:numPr>
          <w:ilvl w:val="0"/>
          <w:numId w:val="6"/>
        </w:numPr>
        <w:rPr>
          <w:rFonts w:ascii="Arial" w:cs="Arial" w:eastAsia="Arial" w:hAnsi="Arial"/>
          <w:sz w:val="23"/>
          <w:szCs w:val="23"/>
          <w:b w:val="1"/>
          <w:bCs w:val="1"/>
          <w:color w:val="auto"/>
        </w:rPr>
      </w:pPr>
      <w:r>
        <w:rPr>
          <w:rFonts w:ascii="Arial" w:cs="Arial" w:eastAsia="Arial" w:hAnsi="Arial"/>
          <w:sz w:val="23"/>
          <w:szCs w:val="23"/>
          <w:b w:val="1"/>
          <w:bCs w:val="1"/>
          <w:color w:val="auto"/>
        </w:rPr>
        <w:t>of Segment Revenue</w:t>
      </w:r>
    </w:p>
    <w:p>
      <w:pPr>
        <w:spacing w:after="0" w:line="83" w:lineRule="exact"/>
        <w:rPr>
          <w:sz w:val="20"/>
          <w:szCs w:val="20"/>
          <w:color w:val="auto"/>
        </w:rPr>
      </w:pPr>
    </w:p>
    <w:p>
      <w:pPr>
        <w:ind w:left="1480"/>
        <w:spacing w:after="0"/>
        <w:rPr>
          <w:sz w:val="20"/>
          <w:szCs w:val="20"/>
          <w:color w:val="auto"/>
        </w:rPr>
      </w:pPr>
      <w:r>
        <w:rPr>
          <w:rFonts w:ascii="Arial" w:cs="Arial" w:eastAsia="Arial" w:hAnsi="Arial"/>
          <w:sz w:val="27"/>
          <w:szCs w:val="27"/>
          <w:b w:val="1"/>
          <w:bCs w:val="1"/>
          <w:color w:val="6698C2"/>
        </w:rPr>
        <w:t>20%</w:t>
      </w:r>
    </w:p>
    <w:p>
      <w:pPr>
        <w:spacing w:after="0" w:line="398" w:lineRule="exact"/>
        <w:rPr>
          <w:sz w:val="20"/>
          <w:szCs w:val="20"/>
          <w:color w:val="auto"/>
        </w:rPr>
      </w:pPr>
    </w:p>
    <w:p>
      <w:pPr>
        <w:ind w:left="1380"/>
        <w:spacing w:after="0"/>
        <w:rPr>
          <w:sz w:val="20"/>
          <w:szCs w:val="20"/>
          <w:color w:val="auto"/>
        </w:rPr>
      </w:pPr>
      <w:r>
        <w:rPr>
          <w:rFonts w:ascii="Arial" w:cs="Arial" w:eastAsia="Arial" w:hAnsi="Arial"/>
          <w:sz w:val="27"/>
          <w:szCs w:val="27"/>
          <w:b w:val="1"/>
          <w:bCs w:val="1"/>
          <w:color w:val="6698C2"/>
        </w:rPr>
        <w:t>18%</w:t>
      </w:r>
    </w:p>
    <w:p>
      <w:pPr>
        <w:spacing w:after="0" w:line="387" w:lineRule="exact"/>
        <w:rPr>
          <w:sz w:val="20"/>
          <w:szCs w:val="20"/>
          <w:color w:val="auto"/>
        </w:rPr>
      </w:pPr>
    </w:p>
    <w:p>
      <w:pPr>
        <w:ind w:left="1340"/>
        <w:spacing w:after="0"/>
        <w:rPr>
          <w:sz w:val="20"/>
          <w:szCs w:val="20"/>
          <w:color w:val="auto"/>
        </w:rPr>
      </w:pPr>
      <w:r>
        <w:rPr>
          <w:rFonts w:ascii="Arial" w:cs="Arial" w:eastAsia="Arial" w:hAnsi="Arial"/>
          <w:sz w:val="27"/>
          <w:szCs w:val="27"/>
          <w:b w:val="1"/>
          <w:bCs w:val="1"/>
          <w:color w:val="6698C2"/>
        </w:rPr>
        <w:t>14%</w:t>
      </w:r>
    </w:p>
    <w:p>
      <w:pPr>
        <w:spacing w:after="0" w:line="387" w:lineRule="exact"/>
        <w:rPr>
          <w:sz w:val="20"/>
          <w:szCs w:val="20"/>
          <w:color w:val="auto"/>
        </w:rPr>
      </w:pPr>
    </w:p>
    <w:p>
      <w:pPr>
        <w:ind w:left="1380"/>
        <w:spacing w:after="0"/>
        <w:rPr>
          <w:sz w:val="20"/>
          <w:szCs w:val="20"/>
          <w:color w:val="auto"/>
        </w:rPr>
      </w:pPr>
      <w:r>
        <w:rPr>
          <w:rFonts w:ascii="Arial" w:cs="Arial" w:eastAsia="Arial" w:hAnsi="Arial"/>
          <w:sz w:val="27"/>
          <w:szCs w:val="27"/>
          <w:b w:val="1"/>
          <w:bCs w:val="1"/>
          <w:color w:val="6698C2"/>
        </w:rPr>
        <w:t>13%</w:t>
      </w:r>
    </w:p>
    <w:p>
      <w:pPr>
        <w:spacing w:after="0" w:line="200" w:lineRule="exact"/>
        <w:rPr>
          <w:sz w:val="20"/>
          <w:szCs w:val="20"/>
          <w:color w:val="auto"/>
        </w:rPr>
      </w:pPr>
    </w:p>
    <w:p>
      <w:pPr>
        <w:spacing w:after="0" w:line="210" w:lineRule="exact"/>
        <w:rPr>
          <w:sz w:val="20"/>
          <w:szCs w:val="20"/>
          <w:color w:val="auto"/>
        </w:rPr>
      </w:pPr>
    </w:p>
    <w:p>
      <w:pPr>
        <w:ind w:left="1400"/>
        <w:spacing w:after="0"/>
        <w:rPr>
          <w:sz w:val="20"/>
          <w:szCs w:val="20"/>
          <w:color w:val="auto"/>
        </w:rPr>
      </w:pPr>
      <w:r>
        <w:rPr>
          <w:rFonts w:ascii="Arial" w:cs="Arial" w:eastAsia="Arial" w:hAnsi="Arial"/>
          <w:sz w:val="27"/>
          <w:szCs w:val="27"/>
          <w:b w:val="1"/>
          <w:bCs w:val="1"/>
          <w:color w:val="6698C2"/>
        </w:rPr>
        <w:t>10%</w:t>
      </w:r>
    </w:p>
    <w:p>
      <w:pPr>
        <w:spacing w:after="0" w:line="387" w:lineRule="exact"/>
        <w:rPr>
          <w:sz w:val="20"/>
          <w:szCs w:val="20"/>
          <w:color w:val="auto"/>
        </w:rPr>
      </w:pPr>
    </w:p>
    <w:p>
      <w:pPr>
        <w:ind w:left="1500"/>
        <w:spacing w:after="0"/>
        <w:rPr>
          <w:sz w:val="20"/>
          <w:szCs w:val="20"/>
          <w:color w:val="auto"/>
        </w:rPr>
      </w:pPr>
      <w:r>
        <w:rPr>
          <w:rFonts w:ascii="Arial" w:cs="Arial" w:eastAsia="Arial" w:hAnsi="Arial"/>
          <w:sz w:val="27"/>
          <w:szCs w:val="27"/>
          <w:b w:val="1"/>
          <w:bCs w:val="1"/>
          <w:color w:val="6698C2"/>
        </w:rPr>
        <w:t>7%</w:t>
      </w:r>
    </w:p>
    <w:p>
      <w:pPr>
        <w:spacing w:after="0" w:line="387" w:lineRule="exact"/>
        <w:rPr>
          <w:sz w:val="20"/>
          <w:szCs w:val="20"/>
          <w:color w:val="auto"/>
        </w:rPr>
      </w:pPr>
    </w:p>
    <w:p>
      <w:pPr>
        <w:ind w:left="1360"/>
        <w:spacing w:after="0"/>
        <w:rPr>
          <w:sz w:val="20"/>
          <w:szCs w:val="20"/>
          <w:color w:val="auto"/>
        </w:rPr>
      </w:pPr>
      <w:r>
        <w:rPr>
          <w:rFonts w:ascii="Arial" w:cs="Arial" w:eastAsia="Arial" w:hAnsi="Arial"/>
          <w:sz w:val="27"/>
          <w:szCs w:val="27"/>
          <w:b w:val="1"/>
          <w:bCs w:val="1"/>
          <w:color w:val="6698C2"/>
        </w:rPr>
        <w:t>18%</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180" w:type="dxa"/>
            <w:vAlign w:val="bottom"/>
          </w:tcPr>
          <w:p>
            <w:pPr>
              <w:jc w:val="center"/>
              <w:ind w:left="4304"/>
              <w:spacing w:after="0"/>
              <w:rPr>
                <w:sz w:val="20"/>
                <w:szCs w:val="20"/>
                <w:color w:val="auto"/>
              </w:rPr>
            </w:pPr>
            <w:r>
              <w:rPr>
                <w:rFonts w:ascii="Arial" w:cs="Arial" w:eastAsia="Arial" w:hAnsi="Arial"/>
                <w:sz w:val="21"/>
                <w:szCs w:val="21"/>
                <w:b w:val="1"/>
                <w:bCs w:val="1"/>
                <w:color w:val="auto"/>
              </w:rPr>
              <w:t>Revenue</w:t>
            </w:r>
          </w:p>
        </w:tc>
        <w:tc>
          <w:tcPr>
            <w:tcW w:w="5260" w:type="dxa"/>
            <w:vAlign w:val="bottom"/>
          </w:tcPr>
          <w:p>
            <w:pPr>
              <w:jc w:val="right"/>
              <w:ind w:right="2532"/>
              <w:spacing w:after="0"/>
              <w:rPr>
                <w:sz w:val="20"/>
                <w:szCs w:val="20"/>
                <w:color w:val="auto"/>
              </w:rPr>
            </w:pPr>
            <w:r>
              <w:rPr>
                <w:rFonts w:ascii="Arial" w:cs="Arial" w:eastAsia="Arial" w:hAnsi="Arial"/>
                <w:sz w:val="21"/>
                <w:szCs w:val="21"/>
                <w:b w:val="1"/>
                <w:bCs w:val="1"/>
                <w:color w:val="auto"/>
              </w:rPr>
              <w:t>Revenue Growth - CC</w:t>
            </w:r>
          </w:p>
        </w:tc>
        <w:tc>
          <w:tcPr>
            <w:tcW w:w="0" w:type="dxa"/>
            <w:vAlign w:val="bottom"/>
          </w:tcPr>
          <w:p>
            <w:pPr>
              <w:spacing w:after="0"/>
              <w:rPr>
                <w:sz w:val="1"/>
                <w:szCs w:val="1"/>
                <w:color w:val="auto"/>
              </w:rPr>
            </w:pPr>
          </w:p>
        </w:tc>
      </w:tr>
      <w:tr>
        <w:trPr>
          <w:trHeight w:val="150"/>
        </w:trPr>
        <w:tc>
          <w:tcPr>
            <w:tcW w:w="6180" w:type="dxa"/>
            <w:vAlign w:val="bottom"/>
          </w:tcPr>
          <w:p>
            <w:pPr>
              <w:jc w:val="center"/>
              <w:ind w:left="4304"/>
              <w:spacing w:after="0" w:line="150" w:lineRule="exact"/>
              <w:rPr>
                <w:sz w:val="20"/>
                <w:szCs w:val="20"/>
                <w:color w:val="auto"/>
              </w:rPr>
            </w:pPr>
            <w:r>
              <w:rPr>
                <w:rFonts w:ascii="Arial" w:cs="Arial" w:eastAsia="Arial" w:hAnsi="Arial"/>
                <w:sz w:val="17"/>
                <w:szCs w:val="17"/>
                <w:b w:val="1"/>
                <w:bCs w:val="1"/>
                <w:color w:val="auto"/>
              </w:rPr>
              <w:t>Growth</w:t>
            </w:r>
          </w:p>
        </w:tc>
        <w:tc>
          <w:tcPr>
            <w:tcW w:w="5260" w:type="dxa"/>
            <w:vAlign w:val="bottom"/>
            <w:vMerge w:val="restart"/>
          </w:tcPr>
          <w:p>
            <w:pPr>
              <w:jc w:val="right"/>
              <w:ind w:right="692"/>
              <w:spacing w:after="0"/>
              <w:rPr>
                <w:sz w:val="20"/>
                <w:szCs w:val="20"/>
                <w:color w:val="auto"/>
              </w:rPr>
            </w:pPr>
            <w:r>
              <w:rPr>
                <w:rFonts w:ascii="Arial" w:cs="Arial" w:eastAsia="Arial" w:hAnsi="Arial"/>
                <w:sz w:val="14"/>
                <w:szCs w:val="14"/>
                <w:color w:val="898989"/>
              </w:rPr>
              <w:t>11</w:t>
            </w:r>
          </w:p>
        </w:tc>
        <w:tc>
          <w:tcPr>
            <w:tcW w:w="0" w:type="dxa"/>
            <w:vAlign w:val="bottom"/>
          </w:tcPr>
          <w:p>
            <w:pPr>
              <w:spacing w:after="0"/>
              <w:rPr>
                <w:sz w:val="1"/>
                <w:szCs w:val="1"/>
                <w:color w:val="auto"/>
              </w:rPr>
            </w:pPr>
          </w:p>
        </w:tc>
      </w:tr>
      <w:tr>
        <w:trPr>
          <w:trHeight w:val="40"/>
        </w:trPr>
        <w:tc>
          <w:tcPr>
            <w:tcW w:w="6180" w:type="dxa"/>
            <w:vAlign w:val="bottom"/>
          </w:tcPr>
          <w:p>
            <w:pPr>
              <w:spacing w:after="0"/>
              <w:rPr>
                <w:sz w:val="3"/>
                <w:szCs w:val="3"/>
                <w:color w:val="auto"/>
              </w:rPr>
            </w:pPr>
          </w:p>
        </w:tc>
        <w:tc>
          <w:tcPr>
            <w:tcW w:w="52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653"/>
        </w:trPr>
        <w:tc>
          <w:tcPr>
            <w:tcW w:w="6180" w:type="dxa"/>
            <w:vAlign w:val="bottom"/>
            <w:tcBorders>
              <w:bottom w:val="single" w:sz="8" w:color="808080"/>
            </w:tcBorders>
          </w:tcPr>
          <w:p>
            <w:pPr>
              <w:spacing w:after="0"/>
              <w:rPr>
                <w:sz w:val="24"/>
                <w:szCs w:val="24"/>
                <w:color w:val="auto"/>
              </w:rPr>
            </w:pPr>
          </w:p>
        </w:tc>
        <w:tc>
          <w:tcPr>
            <w:tcW w:w="52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438" w:right="219" w:bottom="1440" w:gutter="0" w:footer="0" w:header="0"/>
        </w:sectPr>
      </w:pPr>
    </w:p>
    <w:bookmarkStart w:id="20" w:name="page21"/>
    <w:bookmarkEnd w:id="20"/>
    <w:p>
      <w:pPr>
        <w:spacing w:after="0"/>
        <w:tabs>
          <w:tab w:leader="none" w:pos="8700" w:val="left"/>
        </w:tabs>
        <w:rPr>
          <w:sz w:val="20"/>
          <w:szCs w:val="20"/>
          <w:color w:val="auto"/>
        </w:rPr>
      </w:pPr>
      <w:r>
        <w:rPr>
          <w:rFonts w:ascii="Arial" w:cs="Arial" w:eastAsia="Arial" w:hAnsi="Arial"/>
          <w:sz w:val="24"/>
          <w:szCs w:val="24"/>
          <w:b w:val="1"/>
          <w:bCs w:val="1"/>
          <w:color w:val="FFFFFF"/>
        </w:rPr>
        <w:drawing>
          <wp:anchor simplePos="0" relativeHeight="251657728" behindDoc="1" locked="0" layoutInCell="0" allowOverlap="1">
            <wp:simplePos x="0" y="0"/>
            <wp:positionH relativeFrom="page">
              <wp:posOffset>299720</wp:posOffset>
            </wp:positionH>
            <wp:positionV relativeFrom="page">
              <wp:posOffset>168910</wp:posOffset>
            </wp:positionV>
            <wp:extent cx="6969760" cy="5227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6969760" cy="5227320"/>
                    </a:xfrm>
                    <a:prstGeom prst="rect">
                      <a:avLst/>
                    </a:prstGeom>
                    <a:noFill/>
                  </pic:spPr>
                </pic:pic>
              </a:graphicData>
            </a:graphic>
          </wp:anchor>
        </w:drawing>
        <w:t>ManpowerGroup 2011 1</w:t>
      </w:r>
      <w:r>
        <w:rPr>
          <w:rFonts w:ascii="Arial" w:cs="Arial" w:eastAsia="Arial" w:hAnsi="Arial"/>
          <w:sz w:val="17"/>
          <w:szCs w:val="17"/>
          <w:b w:val="1"/>
          <w:bCs w:val="1"/>
          <w:color w:val="FFFFFF"/>
        </w:rPr>
        <w:t>st</w:t>
      </w:r>
      <w:r>
        <w:rPr>
          <w:rFonts w:ascii="Arial" w:cs="Arial" w:eastAsia="Arial" w:hAnsi="Arial"/>
          <w:sz w:val="24"/>
          <w:szCs w:val="24"/>
          <w:b w:val="1"/>
          <w:bCs w:val="1"/>
          <w:color w:val="FFFFFF"/>
        </w:rPr>
        <w:t xml:space="preserve"> Quarter Results</w:t>
      </w:r>
      <w:r>
        <w:rPr>
          <w:sz w:val="20"/>
          <w:szCs w:val="20"/>
          <w:color w:val="auto"/>
        </w:rPr>
        <w:tab/>
      </w:r>
      <w:r>
        <w:rPr>
          <w:rFonts w:ascii="Arial" w:cs="Arial" w:eastAsia="Arial" w:hAnsi="Arial"/>
          <w:sz w:val="24"/>
          <w:szCs w:val="24"/>
          <w:b w:val="1"/>
          <w:bCs w:val="1"/>
          <w:color w:val="FFFFFF"/>
        </w:rPr>
        <w:t>April 2011</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00"/>
        <w:spacing w:after="0"/>
        <w:rPr>
          <w:sz w:val="20"/>
          <w:szCs w:val="20"/>
          <w:color w:val="auto"/>
        </w:rPr>
      </w:pPr>
      <w:r>
        <w:rPr>
          <w:rFonts w:ascii="Arial" w:cs="Arial" w:eastAsia="Arial" w:hAnsi="Arial"/>
          <w:sz w:val="49"/>
          <w:szCs w:val="49"/>
          <w:color w:val="5F81AA"/>
        </w:rPr>
        <w:t>APME Segment</w:t>
      </w:r>
    </w:p>
    <w:p>
      <w:pPr>
        <w:spacing w:after="0" w:line="4" w:lineRule="exact"/>
        <w:rPr>
          <w:sz w:val="20"/>
          <w:szCs w:val="20"/>
          <w:color w:val="auto"/>
        </w:rPr>
      </w:pPr>
    </w:p>
    <w:p>
      <w:pPr>
        <w:ind w:left="400"/>
        <w:spacing w:after="0"/>
        <w:rPr>
          <w:sz w:val="20"/>
          <w:szCs w:val="20"/>
          <w:color w:val="auto"/>
        </w:rPr>
      </w:pPr>
      <w:r>
        <w:rPr>
          <w:rFonts w:ascii="Arial" w:cs="Arial" w:eastAsia="Arial" w:hAnsi="Arial"/>
          <w:sz w:val="30"/>
          <w:szCs w:val="30"/>
          <w:color w:val="5F81AA"/>
        </w:rPr>
        <w:t>(12% of Revenue)</w:t>
      </w:r>
    </w:p>
    <w:p>
      <w:pPr>
        <w:spacing w:after="0" w:line="163" w:lineRule="exact"/>
        <w:rPr>
          <w:sz w:val="20"/>
          <w:szCs w:val="20"/>
          <w:color w:val="auto"/>
        </w:rPr>
      </w:pPr>
    </w:p>
    <w:p>
      <w:pPr>
        <w:ind w:left="3660"/>
        <w:spacing w:after="0"/>
        <w:rPr>
          <w:sz w:val="20"/>
          <w:szCs w:val="20"/>
          <w:color w:val="auto"/>
        </w:rPr>
      </w:pPr>
      <w:r>
        <w:rPr>
          <w:rFonts w:ascii="Arial" w:cs="Arial" w:eastAsia="Arial" w:hAnsi="Arial"/>
          <w:sz w:val="40"/>
          <w:szCs w:val="40"/>
          <w:b w:val="1"/>
          <w:bCs w:val="1"/>
          <w:color w:val="auto"/>
        </w:rPr>
        <w:t>Q1 Financial Highlights</w:t>
      </w:r>
    </w:p>
    <w:p>
      <w:pPr>
        <w:spacing w:after="0" w:line="292" w:lineRule="exact"/>
        <w:rPr>
          <w:sz w:val="20"/>
          <w:szCs w:val="20"/>
          <w:color w:val="auto"/>
        </w:rPr>
      </w:pPr>
    </w:p>
    <w:tbl>
      <w:tblPr>
        <w:tblLayout w:type="fixed"/>
        <w:tblInd w:w="2280" w:type="dxa"/>
        <w:tblCellMar>
          <w:top w:w="0" w:type="dxa"/>
          <w:left w:w="0" w:type="dxa"/>
          <w:bottom w:w="0" w:type="dxa"/>
          <w:right w:w="0" w:type="dxa"/>
        </w:tblCellMar>
      </w:tblPr>
      <w:tr>
        <w:trPr>
          <w:trHeight w:val="441"/>
        </w:trPr>
        <w:tc>
          <w:tcPr>
            <w:tcW w:w="1160" w:type="dxa"/>
            <w:vAlign w:val="bottom"/>
          </w:tcPr>
          <w:p>
            <w:pPr>
              <w:jc w:val="center"/>
              <w:ind w:right="97"/>
              <w:spacing w:after="0"/>
              <w:rPr>
                <w:sz w:val="20"/>
                <w:szCs w:val="20"/>
                <w:color w:val="auto"/>
              </w:rPr>
            </w:pPr>
            <w:r>
              <w:rPr>
                <w:rFonts w:ascii="Arial" w:cs="Arial" w:eastAsia="Arial" w:hAnsi="Arial"/>
                <w:sz w:val="37"/>
                <w:szCs w:val="37"/>
                <w:color w:val="auto"/>
                <w:w w:val="97"/>
              </w:rPr>
              <w:t>21%</w:t>
            </w:r>
          </w:p>
        </w:tc>
        <w:tc>
          <w:tcPr>
            <w:tcW w:w="3460" w:type="dxa"/>
            <w:vAlign w:val="bottom"/>
            <w:vMerge w:val="restart"/>
          </w:tcPr>
          <w:p>
            <w:pPr>
              <w:ind w:left="360"/>
              <w:spacing w:after="0"/>
              <w:rPr>
                <w:sz w:val="20"/>
                <w:szCs w:val="20"/>
                <w:color w:val="auto"/>
              </w:rPr>
            </w:pPr>
            <w:r>
              <w:rPr>
                <w:rFonts w:ascii="Arial" w:cs="Arial" w:eastAsia="Arial" w:hAnsi="Arial"/>
                <w:sz w:val="40"/>
                <w:szCs w:val="40"/>
                <w:b w:val="1"/>
                <w:bCs w:val="1"/>
                <w:color w:val="auto"/>
              </w:rPr>
              <w:t xml:space="preserve">Revenue </w:t>
            </w:r>
            <w:r>
              <w:rPr>
                <w:rFonts w:ascii="Arial" w:cs="Arial" w:eastAsia="Arial" w:hAnsi="Arial"/>
                <w:sz w:val="42"/>
                <w:szCs w:val="42"/>
                <w:b w:val="1"/>
                <w:bCs w:val="1"/>
                <w:color w:val="6698C2"/>
              </w:rPr>
              <w:t>$603M</w:t>
            </w:r>
          </w:p>
        </w:tc>
        <w:tc>
          <w:tcPr>
            <w:tcW w:w="0" w:type="dxa"/>
            <w:vAlign w:val="bottom"/>
          </w:tcPr>
          <w:p>
            <w:pPr>
              <w:spacing w:after="0"/>
              <w:rPr>
                <w:sz w:val="1"/>
                <w:szCs w:val="1"/>
                <w:color w:val="auto"/>
              </w:rPr>
            </w:pPr>
          </w:p>
        </w:tc>
      </w:tr>
      <w:tr>
        <w:trPr>
          <w:trHeight w:val="247"/>
        </w:trPr>
        <w:tc>
          <w:tcPr>
            <w:tcW w:w="1160" w:type="dxa"/>
            <w:vAlign w:val="bottom"/>
            <w:vMerge w:val="restart"/>
          </w:tcPr>
          <w:p>
            <w:pPr>
              <w:jc w:val="center"/>
              <w:ind w:right="197"/>
              <w:spacing w:after="0"/>
              <w:rPr>
                <w:sz w:val="20"/>
                <w:szCs w:val="20"/>
                <w:color w:val="auto"/>
              </w:rPr>
            </w:pPr>
            <w:r>
              <w:rPr>
                <w:rFonts w:ascii="Arial" w:cs="Arial" w:eastAsia="Arial" w:hAnsi="Arial"/>
                <w:sz w:val="37"/>
                <w:szCs w:val="37"/>
                <w:color w:val="auto"/>
                <w:w w:val="99"/>
              </w:rPr>
              <w:t>11%</w:t>
            </w:r>
          </w:p>
        </w:tc>
        <w:tc>
          <w:tcPr>
            <w:tcW w:w="34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1160" w:type="dxa"/>
            <w:vAlign w:val="bottom"/>
            <w:vMerge w:val="continue"/>
          </w:tcPr>
          <w:p>
            <w:pPr>
              <w:spacing w:after="0"/>
              <w:rPr>
                <w:sz w:val="16"/>
                <w:szCs w:val="16"/>
                <w:color w:val="auto"/>
              </w:rPr>
            </w:pPr>
          </w:p>
        </w:tc>
        <w:tc>
          <w:tcPr>
            <w:tcW w:w="3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1160" w:type="dxa"/>
            <w:vAlign w:val="bottom"/>
          </w:tcPr>
          <w:p>
            <w:pPr>
              <w:jc w:val="center"/>
              <w:ind w:right="197"/>
              <w:spacing w:after="0" w:line="330" w:lineRule="exact"/>
              <w:rPr>
                <w:sz w:val="20"/>
                <w:szCs w:val="20"/>
                <w:color w:val="auto"/>
              </w:rPr>
            </w:pPr>
            <w:r>
              <w:rPr>
                <w:rFonts w:ascii="Arial" w:cs="Arial" w:eastAsia="Arial" w:hAnsi="Arial"/>
                <w:sz w:val="37"/>
                <w:szCs w:val="37"/>
                <w:color w:val="auto"/>
              </w:rPr>
              <w:t>CC</w:t>
            </w: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1160" w:type="dxa"/>
            <w:vAlign w:val="bottom"/>
          </w:tcPr>
          <w:p>
            <w:pPr>
              <w:jc w:val="center"/>
              <w:ind w:right="197"/>
              <w:spacing w:after="0" w:line="343" w:lineRule="exact"/>
              <w:rPr>
                <w:sz w:val="20"/>
                <w:szCs w:val="20"/>
                <w:color w:val="auto"/>
              </w:rPr>
            </w:pPr>
            <w:r>
              <w:rPr>
                <w:rFonts w:ascii="Arial" w:cs="Arial" w:eastAsia="Arial" w:hAnsi="Arial"/>
                <w:sz w:val="37"/>
                <w:szCs w:val="37"/>
                <w:color w:val="auto"/>
                <w:w w:val="99"/>
              </w:rPr>
              <w:t>32%</w:t>
            </w:r>
          </w:p>
        </w:tc>
        <w:tc>
          <w:tcPr>
            <w:tcW w:w="3460" w:type="dxa"/>
            <w:vAlign w:val="bottom"/>
            <w:vMerge w:val="restart"/>
          </w:tcPr>
          <w:p>
            <w:pPr>
              <w:ind w:left="380"/>
              <w:spacing w:after="0"/>
              <w:rPr>
                <w:sz w:val="20"/>
                <w:szCs w:val="20"/>
                <w:color w:val="auto"/>
              </w:rPr>
            </w:pPr>
            <w:r>
              <w:rPr>
                <w:rFonts w:ascii="Arial" w:cs="Arial" w:eastAsia="Arial" w:hAnsi="Arial"/>
                <w:sz w:val="40"/>
                <w:szCs w:val="40"/>
                <w:b w:val="1"/>
                <w:bCs w:val="1"/>
                <w:color w:val="auto"/>
              </w:rPr>
              <w:t xml:space="preserve">OUP </w:t>
            </w:r>
            <w:r>
              <w:rPr>
                <w:rFonts w:ascii="Arial" w:cs="Arial" w:eastAsia="Arial" w:hAnsi="Arial"/>
                <w:sz w:val="42"/>
                <w:szCs w:val="42"/>
                <w:b w:val="1"/>
                <w:bCs w:val="1"/>
                <w:color w:val="6698C2"/>
              </w:rPr>
              <w:t>$17M</w:t>
            </w:r>
          </w:p>
        </w:tc>
        <w:tc>
          <w:tcPr>
            <w:tcW w:w="0" w:type="dxa"/>
            <w:vAlign w:val="bottom"/>
          </w:tcPr>
          <w:p>
            <w:pPr>
              <w:spacing w:after="0"/>
              <w:rPr>
                <w:sz w:val="1"/>
                <w:szCs w:val="1"/>
                <w:color w:val="auto"/>
              </w:rPr>
            </w:pPr>
          </w:p>
        </w:tc>
      </w:tr>
      <w:tr>
        <w:trPr>
          <w:trHeight w:val="265"/>
        </w:trPr>
        <w:tc>
          <w:tcPr>
            <w:tcW w:w="1160" w:type="dxa"/>
            <w:vAlign w:val="bottom"/>
            <w:vMerge w:val="restart"/>
          </w:tcPr>
          <w:p>
            <w:pPr>
              <w:jc w:val="center"/>
              <w:ind w:right="237"/>
              <w:spacing w:after="0"/>
              <w:rPr>
                <w:sz w:val="20"/>
                <w:szCs w:val="20"/>
                <w:color w:val="auto"/>
              </w:rPr>
            </w:pPr>
            <w:r>
              <w:rPr>
                <w:rFonts w:ascii="Arial" w:cs="Arial" w:eastAsia="Arial" w:hAnsi="Arial"/>
                <w:sz w:val="37"/>
                <w:szCs w:val="37"/>
                <w:color w:val="auto"/>
                <w:w w:val="99"/>
              </w:rPr>
              <w:t>21%</w:t>
            </w:r>
          </w:p>
        </w:tc>
        <w:tc>
          <w:tcPr>
            <w:tcW w:w="34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70"/>
        </w:trPr>
        <w:tc>
          <w:tcPr>
            <w:tcW w:w="1160" w:type="dxa"/>
            <w:vAlign w:val="bottom"/>
            <w:vMerge w:val="continue"/>
          </w:tcPr>
          <w:p>
            <w:pPr>
              <w:spacing w:after="0"/>
              <w:rPr>
                <w:sz w:val="14"/>
                <w:szCs w:val="14"/>
                <w:color w:val="auto"/>
              </w:rPr>
            </w:pPr>
          </w:p>
        </w:tc>
        <w:tc>
          <w:tcPr>
            <w:tcW w:w="3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1"/>
        </w:trPr>
        <w:tc>
          <w:tcPr>
            <w:tcW w:w="1160" w:type="dxa"/>
            <w:vAlign w:val="bottom"/>
          </w:tcPr>
          <w:p>
            <w:pPr>
              <w:jc w:val="center"/>
              <w:ind w:right="217"/>
              <w:spacing w:after="0" w:line="391" w:lineRule="exact"/>
              <w:rPr>
                <w:sz w:val="20"/>
                <w:szCs w:val="20"/>
                <w:color w:val="auto"/>
              </w:rPr>
            </w:pPr>
            <w:r>
              <w:rPr>
                <w:rFonts w:ascii="Arial" w:cs="Arial" w:eastAsia="Arial" w:hAnsi="Arial"/>
                <w:sz w:val="37"/>
                <w:szCs w:val="37"/>
                <w:color w:val="auto"/>
                <w:w w:val="97"/>
              </w:rPr>
              <w:t>CC</w:t>
            </w: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800" w:hanging="1376"/>
        <w:spacing w:after="0" w:line="237" w:lineRule="auto"/>
        <w:tabs>
          <w:tab w:leader="none" w:pos="3800" w:val="left"/>
        </w:tabs>
        <w:numPr>
          <w:ilvl w:val="0"/>
          <w:numId w:val="7"/>
        </w:numPr>
        <w:rPr>
          <w:rFonts w:ascii="Arial" w:cs="Arial" w:eastAsia="Arial" w:hAnsi="Arial"/>
          <w:sz w:val="37"/>
          <w:szCs w:val="37"/>
          <w:color w:val="auto"/>
        </w:rPr>
      </w:pPr>
      <w:r>
        <w:rPr>
          <w:rFonts w:ascii="Arial" w:cs="Arial" w:eastAsia="Arial" w:hAnsi="Arial"/>
          <w:sz w:val="40"/>
          <w:szCs w:val="40"/>
          <w:b w:val="1"/>
          <w:bCs w:val="1"/>
          <w:color w:val="auto"/>
        </w:rPr>
        <w:t xml:space="preserve">OUP Margin </w:t>
      </w:r>
      <w:r>
        <w:rPr>
          <w:rFonts w:ascii="Arial" w:cs="Arial" w:eastAsia="Arial" w:hAnsi="Arial"/>
          <w:sz w:val="42"/>
          <w:szCs w:val="42"/>
          <w:b w:val="1"/>
          <w:bCs w:val="1"/>
          <w:color w:val="6698C2"/>
        </w:rPr>
        <w:t>2.7%</w:t>
      </w:r>
    </w:p>
    <w:p>
      <w:pPr>
        <w:spacing w:after="0" w:line="1" w:lineRule="exact"/>
        <w:rPr>
          <w:sz w:val="20"/>
          <w:szCs w:val="20"/>
          <w:color w:val="auto"/>
        </w:rPr>
      </w:pPr>
    </w:p>
    <w:p>
      <w:pPr>
        <w:ind w:left="2340"/>
        <w:spacing w:after="0"/>
        <w:rPr>
          <w:sz w:val="20"/>
          <w:szCs w:val="20"/>
          <w:color w:val="auto"/>
        </w:rPr>
      </w:pPr>
      <w:r>
        <w:rPr>
          <w:rFonts w:ascii="Arial" w:cs="Arial" w:eastAsia="Arial" w:hAnsi="Arial"/>
          <w:sz w:val="37"/>
          <w:szCs w:val="37"/>
          <w:color w:val="auto"/>
        </w:rPr>
        <w:t>bps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14"/>
          <w:szCs w:val="14"/>
          <w:color w:val="898989"/>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409575</wp:posOffset>
            </wp:positionV>
            <wp:extent cx="7273290" cy="196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0020"/>
          </w:cols>
          <w:pgMar w:left="880" w:top="438" w:right="999" w:bottom="1440" w:gutter="0" w:footer="0" w:header="0"/>
        </w:sectPr>
      </w:pPr>
    </w:p>
    <w:bookmarkStart w:id="21" w:name="page22"/>
    <w:bookmarkEnd w:id="21"/>
    <w:p>
      <w:pPr>
        <w:ind w:left="90"/>
        <w:spacing w:after="0"/>
        <w:tabs>
          <w:tab w:leader="none" w:pos="8789" w:val="left"/>
        </w:tabs>
        <w:rPr>
          <w:sz w:val="20"/>
          <w:szCs w:val="20"/>
          <w:color w:val="auto"/>
        </w:rPr>
      </w:pPr>
      <w:r>
        <w:rPr>
          <w:rFonts w:ascii="Arial" w:cs="Arial" w:eastAsia="Arial" w:hAnsi="Arial"/>
          <w:sz w:val="24"/>
          <w:szCs w:val="24"/>
          <w:b w:val="1"/>
          <w:bCs w:val="1"/>
          <w:color w:val="FFFFFF"/>
        </w:rPr>
        <w:drawing>
          <wp:anchor simplePos="0" relativeHeight="251657728" behindDoc="1" locked="0" layoutInCell="0" allowOverlap="1">
            <wp:simplePos x="0" y="0"/>
            <wp:positionH relativeFrom="page">
              <wp:posOffset>299720</wp:posOffset>
            </wp:positionH>
            <wp:positionV relativeFrom="page">
              <wp:posOffset>168910</wp:posOffset>
            </wp:positionV>
            <wp:extent cx="6969760" cy="5227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6969760" cy="5227320"/>
                    </a:xfrm>
                    <a:prstGeom prst="rect">
                      <a:avLst/>
                    </a:prstGeom>
                    <a:noFill/>
                  </pic:spPr>
                </pic:pic>
              </a:graphicData>
            </a:graphic>
          </wp:anchor>
        </w:drawing>
        <w:t>ManpowerGroup 2011 1</w:t>
      </w:r>
      <w:r>
        <w:rPr>
          <w:rFonts w:ascii="Arial" w:cs="Arial" w:eastAsia="Arial" w:hAnsi="Arial"/>
          <w:sz w:val="17"/>
          <w:szCs w:val="17"/>
          <w:b w:val="1"/>
          <w:bCs w:val="1"/>
          <w:color w:val="FFFFFF"/>
        </w:rPr>
        <w:t>st</w:t>
      </w:r>
      <w:r>
        <w:rPr>
          <w:rFonts w:ascii="Arial" w:cs="Arial" w:eastAsia="Arial" w:hAnsi="Arial"/>
          <w:sz w:val="24"/>
          <w:szCs w:val="24"/>
          <w:b w:val="1"/>
          <w:bCs w:val="1"/>
          <w:color w:val="FFFFFF"/>
        </w:rPr>
        <w:t xml:space="preserve"> Quarter Results</w:t>
      </w:r>
      <w:r>
        <w:rPr>
          <w:sz w:val="20"/>
          <w:szCs w:val="20"/>
          <w:color w:val="auto"/>
        </w:rPr>
        <w:tab/>
      </w:r>
      <w:r>
        <w:rPr>
          <w:rFonts w:ascii="Arial" w:cs="Arial" w:eastAsia="Arial" w:hAnsi="Arial"/>
          <w:sz w:val="24"/>
          <w:szCs w:val="24"/>
          <w:b w:val="1"/>
          <w:bCs w:val="1"/>
          <w:color w:val="FFFFFF"/>
        </w:rPr>
        <w:t>April 2011</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90"/>
        <w:spacing w:after="0"/>
        <w:rPr>
          <w:sz w:val="20"/>
          <w:szCs w:val="20"/>
          <w:color w:val="auto"/>
        </w:rPr>
      </w:pPr>
      <w:r>
        <w:rPr>
          <w:rFonts w:ascii="Arial" w:cs="Arial" w:eastAsia="Arial" w:hAnsi="Arial"/>
          <w:sz w:val="49"/>
          <w:szCs w:val="49"/>
          <w:color w:val="5F81AA"/>
        </w:rPr>
        <w:t>APME - Q1 Revenue Growth YoY</w:t>
      </w:r>
    </w:p>
    <w:p>
      <w:pPr>
        <w:spacing w:after="0" w:line="200" w:lineRule="exact"/>
        <w:rPr>
          <w:sz w:val="20"/>
          <w:szCs w:val="20"/>
          <w:color w:val="auto"/>
        </w:rPr>
      </w:pPr>
    </w:p>
    <w:p>
      <w:pPr>
        <w:spacing w:after="0" w:line="383" w:lineRule="exact"/>
        <w:rPr>
          <w:sz w:val="20"/>
          <w:szCs w:val="20"/>
          <w:color w:val="auto"/>
        </w:rPr>
      </w:pPr>
    </w:p>
    <w:p>
      <w:pPr>
        <w:ind w:left="270" w:right="8600" w:hanging="270"/>
        <w:spacing w:after="0" w:line="307" w:lineRule="auto"/>
        <w:tabs>
          <w:tab w:leader="none" w:pos="257"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of Segment Revenue</w:t>
      </w:r>
    </w:p>
    <w:p>
      <w:pPr>
        <w:spacing w:after="0" w:line="209" w:lineRule="exact"/>
        <w:rPr>
          <w:sz w:val="20"/>
          <w:szCs w:val="20"/>
          <w:color w:val="auto"/>
        </w:rPr>
      </w:pPr>
    </w:p>
    <w:p>
      <w:pPr>
        <w:ind w:left="530"/>
        <w:spacing w:after="0"/>
        <w:rPr>
          <w:sz w:val="20"/>
          <w:szCs w:val="20"/>
          <w:color w:val="auto"/>
        </w:rPr>
      </w:pPr>
      <w:r>
        <w:rPr>
          <w:rFonts w:ascii="Arial" w:cs="Arial" w:eastAsia="Arial" w:hAnsi="Arial"/>
          <w:sz w:val="27"/>
          <w:szCs w:val="27"/>
          <w:b w:val="1"/>
          <w:bCs w:val="1"/>
          <w:color w:val="6698C2"/>
        </w:rPr>
        <w:t>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90"/>
        <w:spacing w:after="0"/>
        <w:rPr>
          <w:sz w:val="20"/>
          <w:szCs w:val="20"/>
          <w:color w:val="auto"/>
        </w:rPr>
      </w:pPr>
      <w:r>
        <w:rPr>
          <w:rFonts w:ascii="Arial" w:cs="Arial" w:eastAsia="Arial" w:hAnsi="Arial"/>
          <w:sz w:val="27"/>
          <w:szCs w:val="27"/>
          <w:b w:val="1"/>
          <w:bCs w:val="1"/>
          <w:color w:val="6698C2"/>
        </w:rPr>
        <w:t>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90"/>
        <w:spacing w:after="0"/>
        <w:rPr>
          <w:sz w:val="20"/>
          <w:szCs w:val="20"/>
          <w:color w:val="auto"/>
        </w:rPr>
      </w:pPr>
      <w:r>
        <w:rPr>
          <w:rFonts w:ascii="Arial" w:cs="Arial" w:eastAsia="Arial" w:hAnsi="Arial"/>
          <w:sz w:val="27"/>
          <w:szCs w:val="27"/>
          <w:b w:val="1"/>
          <w:bCs w:val="1"/>
          <w:color w:val="6698C2"/>
        </w:rPr>
        <w:t>24%</w:t>
      </w:r>
    </w:p>
    <w:p>
      <w:pPr>
        <w:sectPr>
          <w:pgSz w:w="11900" w:h="16838" w:orient="portrait"/>
          <w:cols w:equalWidth="0" w:num="1">
            <w:col w:w="10110"/>
          </w:cols>
          <w:pgMar w:left="790" w:top="438"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830"/>
        <w:spacing w:after="0"/>
        <w:rPr>
          <w:sz w:val="20"/>
          <w:szCs w:val="20"/>
          <w:color w:val="auto"/>
        </w:rPr>
      </w:pPr>
      <w:r>
        <w:rPr>
          <w:rFonts w:ascii="Arial" w:cs="Arial" w:eastAsia="Arial" w:hAnsi="Arial"/>
          <w:sz w:val="21"/>
          <w:szCs w:val="21"/>
          <w:b w:val="1"/>
          <w:bCs w:val="1"/>
          <w:color w:val="auto"/>
        </w:rPr>
        <w:t>Revenue</w:t>
      </w:r>
    </w:p>
    <w:p>
      <w:pPr>
        <w:spacing w:after="0" w:line="36" w:lineRule="exact"/>
        <w:rPr>
          <w:sz w:val="20"/>
          <w:szCs w:val="20"/>
          <w:color w:val="auto"/>
        </w:rPr>
      </w:pPr>
    </w:p>
    <w:p>
      <w:pPr>
        <w:ind w:left="3910"/>
        <w:spacing w:after="0"/>
        <w:rPr>
          <w:sz w:val="20"/>
          <w:szCs w:val="20"/>
          <w:color w:val="auto"/>
        </w:rPr>
      </w:pPr>
      <w:r>
        <w:rPr>
          <w:rFonts w:ascii="Arial" w:cs="Arial" w:eastAsia="Arial" w:hAnsi="Arial"/>
          <w:sz w:val="21"/>
          <w:szCs w:val="21"/>
          <w:b w:val="1"/>
          <w:bCs w:val="1"/>
          <w:color w:val="auto"/>
        </w:rPr>
        <w:t>Growth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Revenue Growth - CC</w:t>
      </w:r>
    </w:p>
    <w:p>
      <w:pPr>
        <w:spacing w:after="0" w:line="345" w:lineRule="exact"/>
        <w:rPr>
          <w:sz w:val="20"/>
          <w:szCs w:val="20"/>
          <w:color w:val="auto"/>
        </w:rPr>
      </w:pPr>
    </w:p>
    <w:p>
      <w:pPr>
        <w:sectPr>
          <w:pgSz w:w="11900" w:h="16838" w:orient="portrait"/>
          <w:cols w:equalWidth="0" w:num="2">
            <w:col w:w="4910" w:space="720"/>
            <w:col w:w="4480"/>
          </w:cols>
          <w:pgMar w:left="790" w:top="438" w:right="999" w:bottom="1440" w:gutter="0" w:footer="0" w:header="0"/>
          <w:type w:val="continuous"/>
        </w:sectPr>
      </w:pPr>
    </w:p>
    <w:p>
      <w:pPr>
        <w:jc w:val="right"/>
        <w:spacing w:after="0"/>
        <w:rPr>
          <w:sz w:val="20"/>
          <w:szCs w:val="20"/>
          <w:color w:val="auto"/>
        </w:rPr>
      </w:pPr>
      <w:r>
        <w:rPr>
          <w:rFonts w:ascii="Arial" w:cs="Arial" w:eastAsia="Arial" w:hAnsi="Arial"/>
          <w:sz w:val="14"/>
          <w:szCs w:val="14"/>
          <w:color w:val="898989"/>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409575</wp:posOffset>
            </wp:positionV>
            <wp:extent cx="7273290" cy="196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0110"/>
          </w:cols>
          <w:pgMar w:left="790" w:top="438" w:right="999" w:bottom="1440" w:gutter="0" w:footer="0" w:header="0"/>
          <w:type w:val="continuous"/>
        </w:sectPr>
      </w:pPr>
    </w:p>
    <w:bookmarkStart w:id="22" w:name="page23"/>
    <w:bookmarkEnd w:id="22"/>
    <w:p>
      <w:pPr>
        <w:spacing w:after="0"/>
        <w:tabs>
          <w:tab w:leader="none" w:pos="8700" w:val="left"/>
        </w:tabs>
        <w:rPr>
          <w:sz w:val="20"/>
          <w:szCs w:val="20"/>
          <w:color w:val="auto"/>
        </w:rPr>
      </w:pPr>
      <w:r>
        <w:rPr>
          <w:rFonts w:ascii="Arial" w:cs="Arial" w:eastAsia="Arial" w:hAnsi="Arial"/>
          <w:sz w:val="24"/>
          <w:szCs w:val="24"/>
          <w:b w:val="1"/>
          <w:bCs w:val="1"/>
          <w:color w:val="FFFFFF"/>
        </w:rPr>
        <w:drawing>
          <wp:anchor simplePos="0" relativeHeight="251657728" behindDoc="1" locked="0" layoutInCell="0" allowOverlap="1">
            <wp:simplePos x="0" y="0"/>
            <wp:positionH relativeFrom="page">
              <wp:posOffset>299720</wp:posOffset>
            </wp:positionH>
            <wp:positionV relativeFrom="page">
              <wp:posOffset>168910</wp:posOffset>
            </wp:positionV>
            <wp:extent cx="6969760" cy="5227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6969760" cy="5227320"/>
                    </a:xfrm>
                    <a:prstGeom prst="rect">
                      <a:avLst/>
                    </a:prstGeom>
                    <a:noFill/>
                  </pic:spPr>
                </pic:pic>
              </a:graphicData>
            </a:graphic>
          </wp:anchor>
        </w:drawing>
        <w:t>ManpowerGroup 2011 1</w:t>
      </w:r>
      <w:r>
        <w:rPr>
          <w:rFonts w:ascii="Arial" w:cs="Arial" w:eastAsia="Arial" w:hAnsi="Arial"/>
          <w:sz w:val="17"/>
          <w:szCs w:val="17"/>
          <w:b w:val="1"/>
          <w:bCs w:val="1"/>
          <w:color w:val="FFFFFF"/>
        </w:rPr>
        <w:t>st</w:t>
      </w:r>
      <w:r>
        <w:rPr>
          <w:rFonts w:ascii="Arial" w:cs="Arial" w:eastAsia="Arial" w:hAnsi="Arial"/>
          <w:sz w:val="24"/>
          <w:szCs w:val="24"/>
          <w:b w:val="1"/>
          <w:bCs w:val="1"/>
          <w:color w:val="FFFFFF"/>
        </w:rPr>
        <w:t xml:space="preserve"> Quarter Results</w:t>
      </w:r>
      <w:r>
        <w:rPr>
          <w:sz w:val="20"/>
          <w:szCs w:val="20"/>
          <w:color w:val="auto"/>
        </w:rPr>
        <w:tab/>
      </w:r>
      <w:r>
        <w:rPr>
          <w:rFonts w:ascii="Arial" w:cs="Arial" w:eastAsia="Arial" w:hAnsi="Arial"/>
          <w:sz w:val="24"/>
          <w:szCs w:val="24"/>
          <w:b w:val="1"/>
          <w:bCs w:val="1"/>
          <w:color w:val="FFFFFF"/>
        </w:rPr>
        <w:t>April 2011</w:t>
      </w:r>
    </w:p>
    <w:p>
      <w:pPr>
        <w:spacing w:after="0" w:line="377" w:lineRule="exact"/>
        <w:rPr>
          <w:sz w:val="20"/>
          <w:szCs w:val="20"/>
          <w:color w:val="auto"/>
        </w:rPr>
      </w:pPr>
    </w:p>
    <w:p>
      <w:pPr>
        <w:ind w:left="420"/>
        <w:spacing w:after="0"/>
        <w:rPr>
          <w:sz w:val="20"/>
          <w:szCs w:val="20"/>
          <w:color w:val="auto"/>
        </w:rPr>
      </w:pPr>
      <w:r>
        <w:rPr>
          <w:rFonts w:ascii="Arial" w:cs="Arial" w:eastAsia="Arial" w:hAnsi="Arial"/>
          <w:sz w:val="49"/>
          <w:szCs w:val="49"/>
          <w:color w:val="5F81AA"/>
        </w:rPr>
        <w:t>Right Management Segment</w:t>
      </w:r>
    </w:p>
    <w:p>
      <w:pPr>
        <w:spacing w:after="0" w:line="4" w:lineRule="exact"/>
        <w:rPr>
          <w:sz w:val="20"/>
          <w:szCs w:val="20"/>
          <w:color w:val="auto"/>
        </w:rPr>
      </w:pPr>
    </w:p>
    <w:p>
      <w:pPr>
        <w:ind w:left="420"/>
        <w:spacing w:after="0"/>
        <w:rPr>
          <w:sz w:val="20"/>
          <w:szCs w:val="20"/>
          <w:color w:val="auto"/>
        </w:rPr>
      </w:pPr>
      <w:r>
        <w:rPr>
          <w:rFonts w:ascii="Arial" w:cs="Arial" w:eastAsia="Arial" w:hAnsi="Arial"/>
          <w:sz w:val="30"/>
          <w:szCs w:val="30"/>
          <w:color w:val="5F81AA"/>
        </w:rPr>
        <w:t>(2% of Revenue)</w:t>
      </w:r>
    </w:p>
    <w:p>
      <w:pPr>
        <w:spacing w:after="0" w:line="200" w:lineRule="exact"/>
        <w:rPr>
          <w:sz w:val="20"/>
          <w:szCs w:val="20"/>
          <w:color w:val="auto"/>
        </w:rPr>
      </w:pPr>
    </w:p>
    <w:p>
      <w:pPr>
        <w:spacing w:after="0" w:line="271" w:lineRule="exact"/>
        <w:rPr>
          <w:sz w:val="20"/>
          <w:szCs w:val="20"/>
          <w:color w:val="auto"/>
        </w:rPr>
      </w:pPr>
    </w:p>
    <w:p>
      <w:pPr>
        <w:ind w:left="3660"/>
        <w:spacing w:after="0"/>
        <w:rPr>
          <w:sz w:val="20"/>
          <w:szCs w:val="20"/>
          <w:color w:val="auto"/>
        </w:rPr>
      </w:pPr>
      <w:r>
        <w:rPr>
          <w:rFonts w:ascii="Arial" w:cs="Arial" w:eastAsia="Arial" w:hAnsi="Arial"/>
          <w:sz w:val="40"/>
          <w:szCs w:val="40"/>
          <w:b w:val="1"/>
          <w:bCs w:val="1"/>
          <w:color w:val="auto"/>
        </w:rPr>
        <w:t>Q1 Financial Highlights</w:t>
      </w:r>
    </w:p>
    <w:p>
      <w:pPr>
        <w:spacing w:after="0" w:line="304" w:lineRule="exact"/>
        <w:rPr>
          <w:sz w:val="20"/>
          <w:szCs w:val="20"/>
          <w:color w:val="auto"/>
        </w:rPr>
      </w:pPr>
    </w:p>
    <w:tbl>
      <w:tblPr>
        <w:tblLayout w:type="fixed"/>
        <w:tblInd w:w="2280" w:type="dxa"/>
        <w:tblCellMar>
          <w:top w:w="0" w:type="dxa"/>
          <w:left w:w="0" w:type="dxa"/>
          <w:bottom w:w="0" w:type="dxa"/>
          <w:right w:w="0" w:type="dxa"/>
        </w:tblCellMar>
      </w:tblPr>
      <w:tr>
        <w:trPr>
          <w:trHeight w:val="441"/>
        </w:trPr>
        <w:tc>
          <w:tcPr>
            <w:tcW w:w="1240" w:type="dxa"/>
            <w:vAlign w:val="bottom"/>
          </w:tcPr>
          <w:p>
            <w:pPr>
              <w:jc w:val="right"/>
              <w:ind w:right="97"/>
              <w:spacing w:after="0"/>
              <w:rPr>
                <w:sz w:val="20"/>
                <w:szCs w:val="20"/>
                <w:color w:val="auto"/>
              </w:rPr>
            </w:pPr>
            <w:r>
              <w:rPr>
                <w:rFonts w:ascii="Arial" w:cs="Arial" w:eastAsia="Arial" w:hAnsi="Arial"/>
                <w:sz w:val="37"/>
                <w:szCs w:val="37"/>
                <w:color w:val="auto"/>
              </w:rPr>
              <w:t>21%</w:t>
            </w:r>
          </w:p>
        </w:tc>
        <w:tc>
          <w:tcPr>
            <w:tcW w:w="2020" w:type="dxa"/>
            <w:vAlign w:val="bottom"/>
            <w:vMerge w:val="restart"/>
          </w:tcPr>
          <w:p>
            <w:pPr>
              <w:ind w:left="280"/>
              <w:spacing w:after="0"/>
              <w:rPr>
                <w:sz w:val="20"/>
                <w:szCs w:val="20"/>
                <w:color w:val="auto"/>
              </w:rPr>
            </w:pPr>
            <w:r>
              <w:rPr>
                <w:rFonts w:ascii="Arial" w:cs="Arial" w:eastAsia="Arial" w:hAnsi="Arial"/>
                <w:sz w:val="40"/>
                <w:szCs w:val="40"/>
                <w:b w:val="1"/>
                <w:bCs w:val="1"/>
                <w:color w:val="auto"/>
              </w:rPr>
              <w:t>Revenue</w:t>
            </w:r>
          </w:p>
        </w:tc>
        <w:tc>
          <w:tcPr>
            <w:tcW w:w="1180" w:type="dxa"/>
            <w:vAlign w:val="bottom"/>
            <w:vMerge w:val="restart"/>
          </w:tcPr>
          <w:p>
            <w:pPr>
              <w:ind w:left="120"/>
              <w:spacing w:after="0"/>
              <w:rPr>
                <w:sz w:val="20"/>
                <w:szCs w:val="20"/>
                <w:color w:val="auto"/>
              </w:rPr>
            </w:pPr>
            <w:r>
              <w:rPr>
                <w:rFonts w:ascii="Arial" w:cs="Arial" w:eastAsia="Arial" w:hAnsi="Arial"/>
                <w:sz w:val="43"/>
                <w:szCs w:val="43"/>
                <w:b w:val="1"/>
                <w:bCs w:val="1"/>
                <w:color w:val="6698C2"/>
                <w:w w:val="96"/>
              </w:rPr>
              <w:t>$82M</w:t>
            </w:r>
          </w:p>
        </w:tc>
        <w:tc>
          <w:tcPr>
            <w:tcW w:w="0" w:type="dxa"/>
            <w:vAlign w:val="bottom"/>
          </w:tcPr>
          <w:p>
            <w:pPr>
              <w:spacing w:after="0"/>
              <w:rPr>
                <w:sz w:val="1"/>
                <w:szCs w:val="1"/>
                <w:color w:val="auto"/>
              </w:rPr>
            </w:pPr>
          </w:p>
        </w:tc>
      </w:tr>
      <w:tr>
        <w:trPr>
          <w:trHeight w:val="235"/>
        </w:trPr>
        <w:tc>
          <w:tcPr>
            <w:tcW w:w="1240" w:type="dxa"/>
            <w:vAlign w:val="bottom"/>
            <w:vMerge w:val="restart"/>
          </w:tcPr>
          <w:p>
            <w:pPr>
              <w:ind w:left="100"/>
              <w:spacing w:after="0"/>
              <w:rPr>
                <w:sz w:val="20"/>
                <w:szCs w:val="20"/>
                <w:color w:val="auto"/>
              </w:rPr>
            </w:pPr>
            <w:r>
              <w:rPr>
                <w:rFonts w:ascii="Arial" w:cs="Arial" w:eastAsia="Arial" w:hAnsi="Arial"/>
                <w:sz w:val="37"/>
                <w:szCs w:val="37"/>
                <w:color w:val="auto"/>
              </w:rPr>
              <w:t>23%</w:t>
            </w:r>
          </w:p>
        </w:tc>
        <w:tc>
          <w:tcPr>
            <w:tcW w:w="2020" w:type="dxa"/>
            <w:vAlign w:val="bottom"/>
            <w:vMerge w:val="continue"/>
          </w:tcPr>
          <w:p>
            <w:pPr>
              <w:spacing w:after="0"/>
              <w:rPr>
                <w:sz w:val="20"/>
                <w:szCs w:val="20"/>
                <w:color w:val="auto"/>
              </w:rPr>
            </w:pPr>
          </w:p>
        </w:tc>
        <w:tc>
          <w:tcPr>
            <w:tcW w:w="1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240" w:type="dxa"/>
            <w:vAlign w:val="bottom"/>
            <w:vMerge w:val="continue"/>
          </w:tcPr>
          <w:p>
            <w:pPr>
              <w:spacing w:after="0"/>
              <w:rPr>
                <w:sz w:val="19"/>
                <w:szCs w:val="19"/>
                <w:color w:val="auto"/>
              </w:rPr>
            </w:pPr>
          </w:p>
        </w:tc>
        <w:tc>
          <w:tcPr>
            <w:tcW w:w="20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1240" w:type="dxa"/>
            <w:vAlign w:val="bottom"/>
          </w:tcPr>
          <w:p>
            <w:pPr>
              <w:jc w:val="right"/>
              <w:ind w:right="317"/>
              <w:spacing w:after="0" w:line="330" w:lineRule="exact"/>
              <w:rPr>
                <w:sz w:val="20"/>
                <w:szCs w:val="20"/>
                <w:color w:val="auto"/>
              </w:rPr>
            </w:pPr>
            <w:r>
              <w:rPr>
                <w:rFonts w:ascii="Arial" w:cs="Arial" w:eastAsia="Arial" w:hAnsi="Arial"/>
                <w:sz w:val="37"/>
                <w:szCs w:val="37"/>
                <w:color w:val="auto"/>
              </w:rPr>
              <w:t>CC</w:t>
            </w:r>
          </w:p>
        </w:tc>
        <w:tc>
          <w:tcPr>
            <w:tcW w:w="20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1240" w:type="dxa"/>
            <w:vAlign w:val="bottom"/>
          </w:tcPr>
          <w:p>
            <w:pPr>
              <w:ind w:left="60"/>
              <w:spacing w:after="0" w:line="332" w:lineRule="exact"/>
              <w:rPr>
                <w:sz w:val="20"/>
                <w:szCs w:val="20"/>
                <w:color w:val="auto"/>
              </w:rPr>
            </w:pPr>
            <w:r>
              <w:rPr>
                <w:rFonts w:ascii="Arial" w:cs="Arial" w:eastAsia="Arial" w:hAnsi="Arial"/>
                <w:sz w:val="37"/>
                <w:szCs w:val="37"/>
                <w:color w:val="auto"/>
              </w:rPr>
              <w:t>74%</w:t>
            </w:r>
          </w:p>
        </w:tc>
        <w:tc>
          <w:tcPr>
            <w:tcW w:w="3200" w:type="dxa"/>
            <w:vAlign w:val="bottom"/>
            <w:gridSpan w:val="2"/>
            <w:vMerge w:val="restart"/>
          </w:tcPr>
          <w:p>
            <w:pPr>
              <w:ind w:left="300"/>
              <w:spacing w:after="0"/>
              <w:rPr>
                <w:sz w:val="20"/>
                <w:szCs w:val="20"/>
                <w:color w:val="auto"/>
              </w:rPr>
            </w:pPr>
            <w:r>
              <w:rPr>
                <w:rFonts w:ascii="Arial" w:cs="Arial" w:eastAsia="Arial" w:hAnsi="Arial"/>
                <w:sz w:val="40"/>
                <w:szCs w:val="40"/>
                <w:b w:val="1"/>
                <w:bCs w:val="1"/>
                <w:color w:val="auto"/>
              </w:rPr>
              <w:t xml:space="preserve">OUP </w:t>
            </w:r>
            <w:r>
              <w:rPr>
                <w:rFonts w:ascii="Arial" w:cs="Arial" w:eastAsia="Arial" w:hAnsi="Arial"/>
                <w:sz w:val="42"/>
                <w:szCs w:val="42"/>
                <w:b w:val="1"/>
                <w:bCs w:val="1"/>
                <w:color w:val="6698C2"/>
              </w:rPr>
              <w:t>$3M</w:t>
            </w:r>
          </w:p>
        </w:tc>
        <w:tc>
          <w:tcPr>
            <w:tcW w:w="0" w:type="dxa"/>
            <w:vAlign w:val="bottom"/>
          </w:tcPr>
          <w:p>
            <w:pPr>
              <w:spacing w:after="0"/>
              <w:rPr>
                <w:sz w:val="1"/>
                <w:szCs w:val="1"/>
                <w:color w:val="auto"/>
              </w:rPr>
            </w:pPr>
          </w:p>
        </w:tc>
      </w:tr>
      <w:tr>
        <w:trPr>
          <w:trHeight w:val="242"/>
        </w:trPr>
        <w:tc>
          <w:tcPr>
            <w:tcW w:w="1240" w:type="dxa"/>
            <w:vAlign w:val="bottom"/>
            <w:vMerge w:val="restart"/>
          </w:tcPr>
          <w:p>
            <w:pPr>
              <w:jc w:val="right"/>
              <w:ind w:right="317"/>
              <w:spacing w:after="0"/>
              <w:rPr>
                <w:sz w:val="20"/>
                <w:szCs w:val="20"/>
                <w:color w:val="auto"/>
              </w:rPr>
            </w:pPr>
            <w:r>
              <w:rPr>
                <w:rFonts w:ascii="Arial" w:cs="Arial" w:eastAsia="Arial" w:hAnsi="Arial"/>
                <w:sz w:val="37"/>
                <w:szCs w:val="37"/>
                <w:color w:val="auto"/>
                <w:w w:val="97"/>
              </w:rPr>
              <w:t>74%</w:t>
            </w:r>
          </w:p>
        </w:tc>
        <w:tc>
          <w:tcPr>
            <w:tcW w:w="32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1240" w:type="dxa"/>
            <w:vAlign w:val="bottom"/>
            <w:vMerge w:val="continue"/>
          </w:tcPr>
          <w:p>
            <w:pPr>
              <w:spacing w:after="0"/>
              <w:rPr>
                <w:sz w:val="16"/>
                <w:szCs w:val="16"/>
                <w:color w:val="auto"/>
              </w:rPr>
            </w:pPr>
          </w:p>
        </w:tc>
        <w:tc>
          <w:tcPr>
            <w:tcW w:w="2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8"/>
        </w:trPr>
        <w:tc>
          <w:tcPr>
            <w:tcW w:w="1240" w:type="dxa"/>
            <w:vAlign w:val="bottom"/>
          </w:tcPr>
          <w:p>
            <w:pPr>
              <w:ind w:left="100"/>
              <w:spacing w:after="0" w:line="367" w:lineRule="exact"/>
              <w:rPr>
                <w:sz w:val="20"/>
                <w:szCs w:val="20"/>
                <w:color w:val="auto"/>
              </w:rPr>
            </w:pPr>
            <w:r>
              <w:rPr>
                <w:rFonts w:ascii="Arial" w:cs="Arial" w:eastAsia="Arial" w:hAnsi="Arial"/>
                <w:sz w:val="37"/>
                <w:szCs w:val="37"/>
                <w:color w:val="auto"/>
              </w:rPr>
              <w:t>CC</w:t>
            </w:r>
          </w:p>
        </w:tc>
        <w:tc>
          <w:tcPr>
            <w:tcW w:w="20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2000"/>
        <w:spacing w:after="0"/>
        <w:tabs>
          <w:tab w:leader="none" w:pos="3780" w:val="left"/>
        </w:tabs>
        <w:rPr>
          <w:sz w:val="20"/>
          <w:szCs w:val="20"/>
          <w:color w:val="auto"/>
        </w:rPr>
      </w:pPr>
      <w:r>
        <w:rPr>
          <w:rFonts w:ascii="Arial" w:cs="Arial" w:eastAsia="Arial" w:hAnsi="Arial"/>
          <w:sz w:val="37"/>
          <w:szCs w:val="37"/>
          <w:color w:val="auto"/>
        </w:rPr>
        <w:t>810 bps</w:t>
      </w:r>
      <w:r>
        <w:rPr>
          <w:sz w:val="20"/>
          <w:szCs w:val="20"/>
          <w:color w:val="auto"/>
        </w:rPr>
        <w:tab/>
      </w:r>
      <w:r>
        <w:rPr>
          <w:rFonts w:ascii="Arial" w:cs="Arial" w:eastAsia="Arial" w:hAnsi="Arial"/>
          <w:sz w:val="40"/>
          <w:szCs w:val="40"/>
          <w:b w:val="1"/>
          <w:bCs w:val="1"/>
          <w:color w:val="auto"/>
        </w:rPr>
        <w:t xml:space="preserve">OUP Margin </w:t>
      </w:r>
      <w:r>
        <w:rPr>
          <w:rFonts w:ascii="Arial" w:cs="Arial" w:eastAsia="Arial" w:hAnsi="Arial"/>
          <w:sz w:val="42"/>
          <w:szCs w:val="42"/>
          <w:b w:val="1"/>
          <w:bCs w:val="1"/>
          <w:color w:val="6698C2"/>
        </w:rPr>
        <w:t>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Arial" w:cs="Arial" w:eastAsia="Arial" w:hAnsi="Arial"/>
          <w:sz w:val="14"/>
          <w:szCs w:val="14"/>
          <w:color w:val="898989"/>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409575</wp:posOffset>
            </wp:positionV>
            <wp:extent cx="7273290" cy="196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0020"/>
          </w:cols>
          <w:pgMar w:left="880" w:top="438" w:right="999" w:bottom="1440" w:gutter="0" w:footer="0" w:header="0"/>
        </w:sectPr>
      </w:pPr>
    </w:p>
    <w:bookmarkStart w:id="23" w:name="page24"/>
    <w:bookmarkEnd w:id="23"/>
    <w:p>
      <w:pPr>
        <w:spacing w:after="0"/>
        <w:tabs>
          <w:tab w:leader="none" w:pos="8700" w:val="left"/>
        </w:tabs>
        <w:rPr>
          <w:sz w:val="20"/>
          <w:szCs w:val="20"/>
          <w:color w:val="auto"/>
        </w:rPr>
      </w:pPr>
      <w:r>
        <w:rPr>
          <w:rFonts w:ascii="Arial" w:cs="Arial" w:eastAsia="Arial" w:hAnsi="Arial"/>
          <w:sz w:val="24"/>
          <w:szCs w:val="24"/>
          <w:b w:val="1"/>
          <w:bCs w:val="1"/>
          <w:color w:val="FFFFFF"/>
        </w:rPr>
        <w:drawing>
          <wp:anchor simplePos="0" relativeHeight="251657728" behindDoc="1" locked="0" layoutInCell="0" allowOverlap="1">
            <wp:simplePos x="0" y="0"/>
            <wp:positionH relativeFrom="page">
              <wp:posOffset>299720</wp:posOffset>
            </wp:positionH>
            <wp:positionV relativeFrom="page">
              <wp:posOffset>168910</wp:posOffset>
            </wp:positionV>
            <wp:extent cx="6969760" cy="5227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6969760" cy="5227320"/>
                    </a:xfrm>
                    <a:prstGeom prst="rect">
                      <a:avLst/>
                    </a:prstGeom>
                    <a:noFill/>
                  </pic:spPr>
                </pic:pic>
              </a:graphicData>
            </a:graphic>
          </wp:anchor>
        </w:drawing>
        <w:t>ManpowerGroup 2011 1</w:t>
      </w:r>
      <w:r>
        <w:rPr>
          <w:rFonts w:ascii="Arial" w:cs="Arial" w:eastAsia="Arial" w:hAnsi="Arial"/>
          <w:sz w:val="17"/>
          <w:szCs w:val="17"/>
          <w:b w:val="1"/>
          <w:bCs w:val="1"/>
          <w:color w:val="FFFFFF"/>
        </w:rPr>
        <w:t>st</w:t>
      </w:r>
      <w:r>
        <w:rPr>
          <w:rFonts w:ascii="Arial" w:cs="Arial" w:eastAsia="Arial" w:hAnsi="Arial"/>
          <w:sz w:val="24"/>
          <w:szCs w:val="24"/>
          <w:b w:val="1"/>
          <w:bCs w:val="1"/>
          <w:color w:val="FFFFFF"/>
        </w:rPr>
        <w:t xml:space="preserve"> Quarter Results</w:t>
      </w:r>
      <w:r>
        <w:rPr>
          <w:sz w:val="20"/>
          <w:szCs w:val="20"/>
          <w:color w:val="auto"/>
        </w:rPr>
        <w:tab/>
      </w:r>
      <w:r>
        <w:rPr>
          <w:rFonts w:ascii="Arial" w:cs="Arial" w:eastAsia="Arial" w:hAnsi="Arial"/>
          <w:sz w:val="24"/>
          <w:szCs w:val="24"/>
          <w:b w:val="1"/>
          <w:bCs w:val="1"/>
          <w:color w:val="FFFFFF"/>
        </w:rPr>
        <w:t>April 2011</w:t>
      </w:r>
    </w:p>
    <w:p>
      <w:pPr>
        <w:spacing w:after="0" w:line="200" w:lineRule="exact"/>
        <w:rPr>
          <w:sz w:val="20"/>
          <w:szCs w:val="20"/>
          <w:color w:val="auto"/>
        </w:rPr>
      </w:pPr>
    </w:p>
    <w:p>
      <w:pPr>
        <w:spacing w:after="0" w:line="372" w:lineRule="exact"/>
        <w:rPr>
          <w:sz w:val="20"/>
          <w:szCs w:val="20"/>
          <w:color w:val="auto"/>
        </w:rPr>
      </w:pPr>
    </w:p>
    <w:p>
      <w:pPr>
        <w:ind w:left="400"/>
        <w:spacing w:after="0"/>
        <w:rPr>
          <w:sz w:val="20"/>
          <w:szCs w:val="20"/>
          <w:color w:val="auto"/>
        </w:rPr>
      </w:pPr>
      <w:r>
        <w:rPr>
          <w:rFonts w:ascii="Arial" w:cs="Arial" w:eastAsia="Arial" w:hAnsi="Arial"/>
          <w:sz w:val="49"/>
          <w:szCs w:val="49"/>
          <w:color w:val="5F81AA"/>
        </w:rPr>
        <w:t>Cash Flow Summary - Q1</w:t>
      </w:r>
    </w:p>
    <w:p>
      <w:pPr>
        <w:spacing w:after="0" w:line="241" w:lineRule="exact"/>
        <w:rPr>
          <w:sz w:val="20"/>
          <w:szCs w:val="20"/>
          <w:color w:val="auto"/>
        </w:rPr>
      </w:pPr>
    </w:p>
    <w:tbl>
      <w:tblPr>
        <w:tblLayout w:type="fixed"/>
        <w:tblInd w:w="320" w:type="dxa"/>
        <w:tblCellMar>
          <w:top w:w="0" w:type="dxa"/>
          <w:left w:w="0" w:type="dxa"/>
          <w:bottom w:w="0" w:type="dxa"/>
          <w:right w:w="0" w:type="dxa"/>
        </w:tblCellMar>
      </w:tblPr>
      <w:tr>
        <w:trPr>
          <w:trHeight w:val="419"/>
        </w:trPr>
        <w:tc>
          <w:tcPr>
            <w:tcW w:w="5400" w:type="dxa"/>
            <w:vAlign w:val="bottom"/>
          </w:tcPr>
          <w:p>
            <w:pPr>
              <w:spacing w:after="0"/>
              <w:rPr>
                <w:sz w:val="20"/>
                <w:szCs w:val="20"/>
                <w:color w:val="auto"/>
              </w:rPr>
            </w:pPr>
            <w:r>
              <w:rPr>
                <w:rFonts w:ascii="Arial" w:cs="Arial" w:eastAsia="Arial" w:hAnsi="Arial"/>
                <w:sz w:val="27"/>
                <w:szCs w:val="27"/>
                <w:color w:val="5F81AA"/>
              </w:rPr>
              <w:t>($ in millions)</w:t>
            </w:r>
          </w:p>
        </w:tc>
        <w:tc>
          <w:tcPr>
            <w:tcW w:w="1800" w:type="dxa"/>
            <w:vAlign w:val="bottom"/>
          </w:tcPr>
          <w:p>
            <w:pPr>
              <w:jc w:val="right"/>
              <w:ind w:right="434"/>
              <w:spacing w:after="0"/>
              <w:rPr>
                <w:sz w:val="20"/>
                <w:szCs w:val="20"/>
                <w:color w:val="auto"/>
              </w:rPr>
            </w:pPr>
            <w:r>
              <w:rPr>
                <w:rFonts w:ascii="Arial" w:cs="Arial" w:eastAsia="Arial" w:hAnsi="Arial"/>
                <w:sz w:val="30"/>
                <w:szCs w:val="30"/>
                <w:b w:val="1"/>
                <w:bCs w:val="1"/>
                <w:color w:val="4F81BD"/>
              </w:rPr>
              <w:t>2011</w:t>
            </w:r>
          </w:p>
        </w:tc>
        <w:tc>
          <w:tcPr>
            <w:tcW w:w="1280" w:type="dxa"/>
            <w:vAlign w:val="bottom"/>
          </w:tcPr>
          <w:p>
            <w:pPr>
              <w:jc w:val="right"/>
              <w:spacing w:after="0"/>
              <w:rPr>
                <w:sz w:val="20"/>
                <w:szCs w:val="20"/>
                <w:color w:val="auto"/>
              </w:rPr>
            </w:pPr>
            <w:r>
              <w:rPr>
                <w:rFonts w:ascii="Arial" w:cs="Arial" w:eastAsia="Arial" w:hAnsi="Arial"/>
                <w:sz w:val="30"/>
                <w:szCs w:val="30"/>
                <w:b w:val="1"/>
                <w:bCs w:val="1"/>
                <w:color w:val="4F81BD"/>
              </w:rPr>
              <w:t>2010</w:t>
            </w:r>
          </w:p>
        </w:tc>
        <w:tc>
          <w:tcPr>
            <w:tcW w:w="0" w:type="dxa"/>
            <w:vAlign w:val="bottom"/>
          </w:tcPr>
          <w:p>
            <w:pPr>
              <w:spacing w:after="0"/>
              <w:rPr>
                <w:sz w:val="1"/>
                <w:szCs w:val="1"/>
                <w:color w:val="auto"/>
              </w:rPr>
            </w:pPr>
          </w:p>
        </w:tc>
      </w:tr>
      <w:tr>
        <w:trPr>
          <w:trHeight w:val="670"/>
        </w:trPr>
        <w:tc>
          <w:tcPr>
            <w:tcW w:w="5400" w:type="dxa"/>
            <w:vAlign w:val="bottom"/>
          </w:tcPr>
          <w:p>
            <w:pPr>
              <w:ind w:left="60"/>
              <w:spacing w:after="0"/>
              <w:rPr>
                <w:sz w:val="20"/>
                <w:szCs w:val="20"/>
                <w:color w:val="auto"/>
              </w:rPr>
            </w:pPr>
            <w:r>
              <w:rPr>
                <w:rFonts w:ascii="Arial" w:cs="Arial" w:eastAsia="Arial" w:hAnsi="Arial"/>
                <w:sz w:val="30"/>
                <w:szCs w:val="30"/>
                <w:b w:val="1"/>
                <w:bCs w:val="1"/>
                <w:color w:val="auto"/>
              </w:rPr>
              <w:t>Cash from Operations</w:t>
            </w:r>
          </w:p>
        </w:tc>
        <w:tc>
          <w:tcPr>
            <w:tcW w:w="1800" w:type="dxa"/>
            <w:vAlign w:val="bottom"/>
          </w:tcPr>
          <w:p>
            <w:pPr>
              <w:jc w:val="right"/>
              <w:ind w:right="394"/>
              <w:spacing w:after="0"/>
              <w:rPr>
                <w:sz w:val="20"/>
                <w:szCs w:val="20"/>
                <w:color w:val="auto"/>
              </w:rPr>
            </w:pPr>
            <w:r>
              <w:rPr>
                <w:rFonts w:ascii="Arial" w:cs="Arial" w:eastAsia="Arial" w:hAnsi="Arial"/>
                <w:sz w:val="34"/>
                <w:szCs w:val="34"/>
                <w:b w:val="1"/>
                <w:bCs w:val="1"/>
                <w:color w:val="auto"/>
              </w:rPr>
              <w:t>(160)</w:t>
            </w:r>
          </w:p>
        </w:tc>
        <w:tc>
          <w:tcPr>
            <w:tcW w:w="1280" w:type="dxa"/>
            <w:vAlign w:val="bottom"/>
          </w:tcPr>
          <w:p>
            <w:pPr>
              <w:jc w:val="right"/>
              <w:spacing w:after="0"/>
              <w:rPr>
                <w:sz w:val="20"/>
                <w:szCs w:val="20"/>
                <w:color w:val="auto"/>
              </w:rPr>
            </w:pPr>
            <w:r>
              <w:rPr>
                <w:rFonts w:ascii="Arial" w:cs="Arial" w:eastAsia="Arial" w:hAnsi="Arial"/>
                <w:sz w:val="34"/>
                <w:szCs w:val="34"/>
                <w:b w:val="1"/>
                <w:bCs w:val="1"/>
                <w:color w:val="auto"/>
              </w:rPr>
              <w:t>(43)</w:t>
            </w:r>
          </w:p>
        </w:tc>
        <w:tc>
          <w:tcPr>
            <w:tcW w:w="0" w:type="dxa"/>
            <w:vAlign w:val="bottom"/>
          </w:tcPr>
          <w:p>
            <w:pPr>
              <w:spacing w:after="0"/>
              <w:rPr>
                <w:sz w:val="1"/>
                <w:szCs w:val="1"/>
                <w:color w:val="auto"/>
              </w:rPr>
            </w:pPr>
          </w:p>
        </w:tc>
      </w:tr>
      <w:tr>
        <w:trPr>
          <w:trHeight w:val="432"/>
        </w:trPr>
        <w:tc>
          <w:tcPr>
            <w:tcW w:w="5400" w:type="dxa"/>
            <w:vAlign w:val="bottom"/>
          </w:tcPr>
          <w:p>
            <w:pPr>
              <w:jc w:val="center"/>
              <w:ind w:right="2091"/>
              <w:spacing w:after="0"/>
              <w:rPr>
                <w:sz w:val="20"/>
                <w:szCs w:val="20"/>
                <w:color w:val="auto"/>
              </w:rPr>
            </w:pPr>
            <w:r>
              <w:rPr>
                <w:rFonts w:ascii="Arial" w:cs="Arial" w:eastAsia="Arial" w:hAnsi="Arial"/>
                <w:sz w:val="30"/>
                <w:szCs w:val="30"/>
                <w:b w:val="1"/>
                <w:bCs w:val="1"/>
                <w:color w:val="auto"/>
                <w:w w:val="99"/>
              </w:rPr>
              <w:t>Capital</w:t>
            </w:r>
          </w:p>
        </w:tc>
        <w:tc>
          <w:tcPr>
            <w:tcW w:w="1800" w:type="dxa"/>
            <w:vAlign w:val="bottom"/>
          </w:tcPr>
          <w:p>
            <w:pPr>
              <w:jc w:val="right"/>
              <w:ind w:right="394"/>
              <w:spacing w:after="0"/>
              <w:rPr>
                <w:sz w:val="20"/>
                <w:szCs w:val="20"/>
                <w:color w:val="auto"/>
              </w:rPr>
            </w:pPr>
            <w:r>
              <w:rPr>
                <w:rFonts w:ascii="Arial" w:cs="Arial" w:eastAsia="Arial" w:hAnsi="Arial"/>
                <w:sz w:val="34"/>
                <w:szCs w:val="34"/>
                <w:b w:val="1"/>
                <w:bCs w:val="1"/>
                <w:color w:val="auto"/>
              </w:rPr>
              <w:t>(11)</w:t>
            </w:r>
          </w:p>
        </w:tc>
        <w:tc>
          <w:tcPr>
            <w:tcW w:w="1280" w:type="dxa"/>
            <w:vAlign w:val="bottom"/>
          </w:tcPr>
          <w:p>
            <w:pPr>
              <w:jc w:val="right"/>
              <w:spacing w:after="0"/>
              <w:rPr>
                <w:sz w:val="20"/>
                <w:szCs w:val="20"/>
                <w:color w:val="auto"/>
              </w:rPr>
            </w:pPr>
            <w:r>
              <w:rPr>
                <w:rFonts w:ascii="Arial" w:cs="Arial" w:eastAsia="Arial" w:hAnsi="Arial"/>
                <w:sz w:val="34"/>
                <w:szCs w:val="34"/>
                <w:b w:val="1"/>
                <w:bCs w:val="1"/>
                <w:color w:val="auto"/>
              </w:rPr>
              <w:t>(8)</w:t>
            </w:r>
          </w:p>
        </w:tc>
        <w:tc>
          <w:tcPr>
            <w:tcW w:w="0" w:type="dxa"/>
            <w:vAlign w:val="bottom"/>
          </w:tcPr>
          <w:p>
            <w:pPr>
              <w:spacing w:after="0"/>
              <w:rPr>
                <w:sz w:val="1"/>
                <w:szCs w:val="1"/>
                <w:color w:val="auto"/>
              </w:rPr>
            </w:pPr>
          </w:p>
        </w:tc>
      </w:tr>
      <w:tr>
        <w:trPr>
          <w:trHeight w:val="314"/>
        </w:trPr>
        <w:tc>
          <w:tcPr>
            <w:tcW w:w="5400" w:type="dxa"/>
            <w:vAlign w:val="bottom"/>
          </w:tcPr>
          <w:p>
            <w:pPr>
              <w:jc w:val="center"/>
              <w:ind w:right="2091"/>
              <w:spacing w:after="0" w:line="314" w:lineRule="exact"/>
              <w:rPr>
                <w:sz w:val="20"/>
                <w:szCs w:val="20"/>
                <w:color w:val="auto"/>
              </w:rPr>
            </w:pPr>
            <w:r>
              <w:rPr>
                <w:rFonts w:ascii="Arial" w:cs="Arial" w:eastAsia="Arial" w:hAnsi="Arial"/>
                <w:sz w:val="30"/>
                <w:szCs w:val="30"/>
                <w:b w:val="1"/>
                <w:bCs w:val="1"/>
                <w:color w:val="auto"/>
              </w:rPr>
              <w:t>Expenditures</w:t>
            </w:r>
          </w:p>
        </w:tc>
        <w:tc>
          <w:tcPr>
            <w:tcW w:w="1800" w:type="dxa"/>
            <w:vAlign w:val="bottom"/>
            <w:vMerge w:val="restart"/>
          </w:tcPr>
          <w:p>
            <w:pPr>
              <w:jc w:val="right"/>
              <w:ind w:right="394"/>
              <w:spacing w:after="0"/>
              <w:rPr>
                <w:sz w:val="20"/>
                <w:szCs w:val="20"/>
                <w:color w:val="auto"/>
              </w:rPr>
            </w:pPr>
            <w:r>
              <w:rPr>
                <w:rFonts w:ascii="Arial" w:cs="Arial" w:eastAsia="Arial" w:hAnsi="Arial"/>
                <w:sz w:val="34"/>
                <w:szCs w:val="34"/>
                <w:b w:val="1"/>
                <w:bCs w:val="1"/>
                <w:color w:val="auto"/>
              </w:rPr>
              <w:t>(171)</w:t>
            </w:r>
          </w:p>
        </w:tc>
        <w:tc>
          <w:tcPr>
            <w:tcW w:w="1280" w:type="dxa"/>
            <w:vAlign w:val="bottom"/>
            <w:vMerge w:val="restart"/>
          </w:tcPr>
          <w:p>
            <w:pPr>
              <w:jc w:val="right"/>
              <w:spacing w:after="0"/>
              <w:rPr>
                <w:sz w:val="20"/>
                <w:szCs w:val="20"/>
                <w:color w:val="auto"/>
              </w:rPr>
            </w:pPr>
            <w:r>
              <w:rPr>
                <w:rFonts w:ascii="Arial" w:cs="Arial" w:eastAsia="Arial" w:hAnsi="Arial"/>
                <w:sz w:val="34"/>
                <w:szCs w:val="34"/>
                <w:b w:val="1"/>
                <w:bCs w:val="1"/>
                <w:color w:val="auto"/>
              </w:rPr>
              <w:t>(51)</w:t>
            </w:r>
          </w:p>
        </w:tc>
        <w:tc>
          <w:tcPr>
            <w:tcW w:w="0" w:type="dxa"/>
            <w:vAlign w:val="bottom"/>
          </w:tcPr>
          <w:p>
            <w:pPr>
              <w:spacing w:after="0"/>
              <w:rPr>
                <w:sz w:val="1"/>
                <w:szCs w:val="1"/>
                <w:color w:val="auto"/>
              </w:rPr>
            </w:pPr>
          </w:p>
        </w:tc>
      </w:tr>
      <w:tr>
        <w:trPr>
          <w:trHeight w:val="318"/>
        </w:trPr>
        <w:tc>
          <w:tcPr>
            <w:tcW w:w="5400" w:type="dxa"/>
            <w:vAlign w:val="bottom"/>
          </w:tcPr>
          <w:p>
            <w:pPr>
              <w:jc w:val="center"/>
              <w:ind w:right="2091"/>
              <w:spacing w:after="0" w:line="318" w:lineRule="exact"/>
              <w:rPr>
                <w:sz w:val="20"/>
                <w:szCs w:val="20"/>
                <w:color w:val="auto"/>
              </w:rPr>
            </w:pPr>
            <w:r>
              <w:rPr>
                <w:rFonts w:ascii="Arial" w:cs="Arial" w:eastAsia="Arial" w:hAnsi="Arial"/>
                <w:sz w:val="30"/>
                <w:szCs w:val="30"/>
                <w:b w:val="1"/>
                <w:bCs w:val="1"/>
                <w:color w:val="auto"/>
              </w:rPr>
              <w:t>Free Cash Flow</w:t>
            </w:r>
          </w:p>
        </w:tc>
        <w:tc>
          <w:tcPr>
            <w:tcW w:w="180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5400" w:type="dxa"/>
            <w:vAlign w:val="bottom"/>
          </w:tcPr>
          <w:p>
            <w:pPr>
              <w:jc w:val="center"/>
              <w:ind w:right="2891"/>
              <w:spacing w:after="0"/>
              <w:rPr>
                <w:sz w:val="20"/>
                <w:szCs w:val="20"/>
                <w:color w:val="auto"/>
              </w:rPr>
            </w:pPr>
            <w:r>
              <w:rPr>
                <w:rFonts w:ascii="Arial" w:cs="Arial" w:eastAsia="Arial" w:hAnsi="Arial"/>
                <w:sz w:val="30"/>
                <w:szCs w:val="30"/>
                <w:b w:val="1"/>
                <w:bCs w:val="1"/>
                <w:color w:val="auto"/>
              </w:rPr>
              <w:t>Change in</w:t>
            </w:r>
          </w:p>
        </w:tc>
        <w:tc>
          <w:tcPr>
            <w:tcW w:w="1800" w:type="dxa"/>
            <w:vAlign w:val="bottom"/>
          </w:tcPr>
          <w:p>
            <w:pPr>
              <w:jc w:val="right"/>
              <w:ind w:right="434"/>
              <w:spacing w:after="0" w:line="362" w:lineRule="exact"/>
              <w:rPr>
                <w:sz w:val="20"/>
                <w:szCs w:val="20"/>
                <w:color w:val="auto"/>
              </w:rPr>
            </w:pPr>
            <w:r>
              <w:rPr>
                <w:rFonts w:ascii="Arial" w:cs="Arial" w:eastAsia="Arial" w:hAnsi="Arial"/>
                <w:sz w:val="34"/>
                <w:szCs w:val="34"/>
                <w:b w:val="1"/>
                <w:bCs w:val="1"/>
                <w:color w:val="auto"/>
              </w:rPr>
              <w:t>10</w:t>
            </w:r>
          </w:p>
        </w:tc>
        <w:tc>
          <w:tcPr>
            <w:tcW w:w="1280" w:type="dxa"/>
            <w:vAlign w:val="bottom"/>
          </w:tcPr>
          <w:p>
            <w:pPr>
              <w:jc w:val="right"/>
              <w:spacing w:after="0" w:line="362" w:lineRule="exact"/>
              <w:rPr>
                <w:sz w:val="20"/>
                <w:szCs w:val="20"/>
                <w:color w:val="auto"/>
              </w:rPr>
            </w:pPr>
            <w:r>
              <w:rPr>
                <w:rFonts w:ascii="Arial" w:cs="Arial" w:eastAsia="Arial" w:hAnsi="Arial"/>
                <w:sz w:val="34"/>
                <w:szCs w:val="34"/>
                <w:b w:val="1"/>
                <w:bCs w:val="1"/>
                <w:color w:val="auto"/>
              </w:rPr>
              <w:t>1</w:t>
            </w:r>
          </w:p>
        </w:tc>
        <w:tc>
          <w:tcPr>
            <w:tcW w:w="0" w:type="dxa"/>
            <w:vAlign w:val="bottom"/>
          </w:tcPr>
          <w:p>
            <w:pPr>
              <w:spacing w:after="0"/>
              <w:rPr>
                <w:sz w:val="1"/>
                <w:szCs w:val="1"/>
                <w:color w:val="auto"/>
              </w:rPr>
            </w:pPr>
          </w:p>
        </w:tc>
      </w:tr>
      <w:tr>
        <w:trPr>
          <w:trHeight w:val="314"/>
        </w:trPr>
        <w:tc>
          <w:tcPr>
            <w:tcW w:w="5400" w:type="dxa"/>
            <w:vAlign w:val="bottom"/>
          </w:tcPr>
          <w:p>
            <w:pPr>
              <w:jc w:val="center"/>
              <w:ind w:right="2891"/>
              <w:spacing w:after="0" w:line="314" w:lineRule="exact"/>
              <w:rPr>
                <w:sz w:val="20"/>
                <w:szCs w:val="20"/>
                <w:color w:val="auto"/>
              </w:rPr>
            </w:pPr>
            <w:r>
              <w:rPr>
                <w:rFonts w:ascii="Arial" w:cs="Arial" w:eastAsia="Arial" w:hAnsi="Arial"/>
                <w:sz w:val="30"/>
                <w:szCs w:val="30"/>
                <w:b w:val="1"/>
                <w:bCs w:val="1"/>
                <w:color w:val="auto"/>
              </w:rPr>
              <w:t>Debt</w:t>
            </w:r>
          </w:p>
        </w:tc>
        <w:tc>
          <w:tcPr>
            <w:tcW w:w="1800" w:type="dxa"/>
            <w:vAlign w:val="bottom"/>
            <w:vMerge w:val="restart"/>
          </w:tcPr>
          <w:p>
            <w:pPr>
              <w:jc w:val="right"/>
              <w:ind w:right="474"/>
              <w:spacing w:after="0"/>
              <w:rPr>
                <w:sz w:val="20"/>
                <w:szCs w:val="20"/>
                <w:color w:val="auto"/>
              </w:rPr>
            </w:pPr>
            <w:r>
              <w:rPr>
                <w:rFonts w:ascii="Arial" w:cs="Arial" w:eastAsia="Arial" w:hAnsi="Arial"/>
                <w:sz w:val="34"/>
                <w:szCs w:val="34"/>
                <w:b w:val="1"/>
                <w:bCs w:val="1"/>
                <w:color w:val="auto"/>
              </w:rPr>
              <w:t>31</w:t>
            </w:r>
          </w:p>
        </w:tc>
        <w:tc>
          <w:tcPr>
            <w:tcW w:w="1280" w:type="dxa"/>
            <w:vAlign w:val="bottom"/>
            <w:vMerge w:val="restart"/>
          </w:tcPr>
          <w:p>
            <w:pPr>
              <w:jc w:val="right"/>
              <w:spacing w:after="0"/>
              <w:rPr>
                <w:sz w:val="20"/>
                <w:szCs w:val="20"/>
                <w:color w:val="auto"/>
              </w:rPr>
            </w:pPr>
            <w:r>
              <w:rPr>
                <w:rFonts w:ascii="Arial" w:cs="Arial" w:eastAsia="Arial" w:hAnsi="Arial"/>
                <w:sz w:val="34"/>
                <w:szCs w:val="34"/>
                <w:b w:val="1"/>
                <w:bCs w:val="1"/>
                <w:color w:val="auto"/>
              </w:rPr>
              <w:t>(26)</w:t>
            </w:r>
          </w:p>
        </w:tc>
        <w:tc>
          <w:tcPr>
            <w:tcW w:w="0" w:type="dxa"/>
            <w:vAlign w:val="bottom"/>
          </w:tcPr>
          <w:p>
            <w:pPr>
              <w:spacing w:after="0"/>
              <w:rPr>
                <w:sz w:val="1"/>
                <w:szCs w:val="1"/>
                <w:color w:val="auto"/>
              </w:rPr>
            </w:pPr>
          </w:p>
        </w:tc>
      </w:tr>
      <w:tr>
        <w:trPr>
          <w:trHeight w:val="226"/>
        </w:trPr>
        <w:tc>
          <w:tcPr>
            <w:tcW w:w="5400" w:type="dxa"/>
            <w:vAlign w:val="bottom"/>
          </w:tcPr>
          <w:p>
            <w:pPr>
              <w:ind w:left="60"/>
              <w:spacing w:after="0" w:line="226" w:lineRule="exact"/>
              <w:rPr>
                <w:sz w:val="20"/>
                <w:szCs w:val="20"/>
                <w:color w:val="auto"/>
              </w:rPr>
            </w:pPr>
            <w:r>
              <w:rPr>
                <w:rFonts w:ascii="Arial" w:cs="Arial" w:eastAsia="Arial" w:hAnsi="Arial"/>
                <w:sz w:val="26"/>
                <w:szCs w:val="26"/>
                <w:b w:val="1"/>
                <w:bCs w:val="1"/>
                <w:color w:val="auto"/>
              </w:rPr>
              <w:t>Effect of Exchange Rate Changes</w:t>
            </w:r>
          </w:p>
        </w:tc>
        <w:tc>
          <w:tcPr>
            <w:tcW w:w="18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83"/>
        </w:trPr>
        <w:tc>
          <w:tcPr>
            <w:tcW w:w="5400" w:type="dxa"/>
            <w:vAlign w:val="bottom"/>
          </w:tcPr>
          <w:p>
            <w:pPr>
              <w:ind w:left="60"/>
              <w:spacing w:after="0"/>
              <w:rPr>
                <w:sz w:val="20"/>
                <w:szCs w:val="20"/>
                <w:color w:val="auto"/>
              </w:rPr>
            </w:pPr>
            <w:r>
              <w:rPr>
                <w:rFonts w:ascii="Arial" w:cs="Arial" w:eastAsia="Arial" w:hAnsi="Arial"/>
                <w:sz w:val="30"/>
                <w:szCs w:val="30"/>
                <w:b w:val="1"/>
                <w:bCs w:val="1"/>
                <w:color w:val="auto"/>
              </w:rPr>
              <w:t>Other</w:t>
            </w:r>
          </w:p>
        </w:tc>
        <w:tc>
          <w:tcPr>
            <w:tcW w:w="1800" w:type="dxa"/>
            <w:vAlign w:val="bottom"/>
          </w:tcPr>
          <w:p>
            <w:pPr>
              <w:jc w:val="right"/>
              <w:ind w:right="374"/>
              <w:spacing w:after="0"/>
              <w:rPr>
                <w:sz w:val="20"/>
                <w:szCs w:val="20"/>
                <w:color w:val="auto"/>
              </w:rPr>
            </w:pPr>
            <w:r>
              <w:rPr>
                <w:rFonts w:ascii="Arial" w:cs="Arial" w:eastAsia="Arial" w:hAnsi="Arial"/>
                <w:sz w:val="34"/>
                <w:szCs w:val="34"/>
                <w:b w:val="1"/>
                <w:bCs w:val="1"/>
                <w:color w:val="auto"/>
              </w:rPr>
              <w:t>7</w:t>
            </w:r>
          </w:p>
        </w:tc>
        <w:tc>
          <w:tcPr>
            <w:tcW w:w="1280" w:type="dxa"/>
            <w:vAlign w:val="bottom"/>
          </w:tcPr>
          <w:p>
            <w:pPr>
              <w:jc w:val="right"/>
              <w:spacing w:after="0"/>
              <w:rPr>
                <w:sz w:val="20"/>
                <w:szCs w:val="20"/>
                <w:color w:val="auto"/>
              </w:rPr>
            </w:pPr>
            <w:r>
              <w:rPr>
                <w:rFonts w:ascii="Arial" w:cs="Arial" w:eastAsia="Arial" w:hAnsi="Arial"/>
                <w:sz w:val="34"/>
                <w:szCs w:val="34"/>
                <w:b w:val="1"/>
                <w:bCs w:val="1"/>
                <w:color w:val="auto"/>
              </w:rPr>
              <w:t>5</w:t>
            </w:r>
          </w:p>
        </w:tc>
        <w:tc>
          <w:tcPr>
            <w:tcW w:w="0" w:type="dxa"/>
            <w:vAlign w:val="bottom"/>
          </w:tcPr>
          <w:p>
            <w:pPr>
              <w:spacing w:after="0"/>
              <w:rPr>
                <w:sz w:val="1"/>
                <w:szCs w:val="1"/>
                <w:color w:val="auto"/>
              </w:rPr>
            </w:pPr>
          </w:p>
        </w:tc>
      </w:tr>
      <w:tr>
        <w:trPr>
          <w:trHeight w:val="500"/>
        </w:trPr>
        <w:tc>
          <w:tcPr>
            <w:tcW w:w="5400" w:type="dxa"/>
            <w:vAlign w:val="bottom"/>
          </w:tcPr>
          <w:p>
            <w:pPr>
              <w:jc w:val="center"/>
              <w:ind w:right="2031"/>
              <w:spacing w:after="0"/>
              <w:rPr>
                <w:sz w:val="20"/>
                <w:szCs w:val="20"/>
                <w:color w:val="auto"/>
              </w:rPr>
            </w:pPr>
            <w:r>
              <w:rPr>
                <w:rFonts w:ascii="Arial" w:cs="Arial" w:eastAsia="Arial" w:hAnsi="Arial"/>
                <w:sz w:val="30"/>
                <w:szCs w:val="30"/>
                <w:b w:val="1"/>
                <w:bCs w:val="1"/>
                <w:color w:val="auto"/>
              </w:rPr>
              <w:t>Change in Cash</w:t>
            </w:r>
          </w:p>
        </w:tc>
        <w:tc>
          <w:tcPr>
            <w:tcW w:w="1800" w:type="dxa"/>
            <w:vAlign w:val="bottom"/>
          </w:tcPr>
          <w:p>
            <w:pPr>
              <w:jc w:val="right"/>
              <w:ind w:right="334"/>
              <w:spacing w:after="0"/>
              <w:rPr>
                <w:sz w:val="20"/>
                <w:szCs w:val="20"/>
                <w:color w:val="auto"/>
              </w:rPr>
            </w:pPr>
            <w:r>
              <w:rPr>
                <w:rFonts w:ascii="Arial" w:cs="Arial" w:eastAsia="Arial" w:hAnsi="Arial"/>
                <w:sz w:val="34"/>
                <w:szCs w:val="34"/>
                <w:b w:val="1"/>
                <w:bCs w:val="1"/>
                <w:color w:val="auto"/>
              </w:rPr>
              <w:t>(123)</w:t>
            </w:r>
          </w:p>
        </w:tc>
        <w:tc>
          <w:tcPr>
            <w:tcW w:w="1280" w:type="dxa"/>
            <w:vAlign w:val="bottom"/>
          </w:tcPr>
          <w:p>
            <w:pPr>
              <w:jc w:val="right"/>
              <w:spacing w:after="0"/>
              <w:rPr>
                <w:sz w:val="20"/>
                <w:szCs w:val="20"/>
                <w:color w:val="auto"/>
              </w:rPr>
            </w:pPr>
            <w:r>
              <w:rPr>
                <w:rFonts w:ascii="Arial" w:cs="Arial" w:eastAsia="Arial" w:hAnsi="Arial"/>
                <w:sz w:val="34"/>
                <w:szCs w:val="34"/>
                <w:b w:val="1"/>
                <w:bCs w:val="1"/>
                <w:color w:val="auto"/>
              </w:rPr>
              <w:t>(71)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Arial" w:cs="Arial" w:eastAsia="Arial" w:hAnsi="Arial"/>
          <w:sz w:val="14"/>
          <w:szCs w:val="14"/>
          <w:color w:val="898989"/>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409575</wp:posOffset>
            </wp:positionV>
            <wp:extent cx="7273290" cy="196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0020"/>
          </w:cols>
          <w:pgMar w:left="880" w:top="438" w:right="999" w:bottom="1440" w:gutter="0" w:footer="0" w:header="0"/>
        </w:sectPr>
      </w:pPr>
    </w:p>
    <w:bookmarkStart w:id="24" w:name="page25"/>
    <w:bookmarkEnd w:id="24"/>
    <w:p>
      <w:pPr>
        <w:ind w:left="200"/>
        <w:spacing w:after="0"/>
        <w:tabs>
          <w:tab w:leader="none" w:pos="8900" w:val="left"/>
        </w:tabs>
        <w:rPr>
          <w:sz w:val="20"/>
          <w:szCs w:val="20"/>
          <w:color w:val="auto"/>
        </w:rPr>
      </w:pPr>
      <w:r>
        <w:rPr>
          <w:rFonts w:ascii="Arial" w:cs="Arial" w:eastAsia="Arial" w:hAnsi="Arial"/>
          <w:sz w:val="24"/>
          <w:szCs w:val="24"/>
          <w:b w:val="1"/>
          <w:bCs w:val="1"/>
          <w:color w:val="FFFFFF"/>
        </w:rPr>
        <w:drawing>
          <wp:anchor simplePos="0" relativeHeight="251657728" behindDoc="1" locked="0" layoutInCell="0" allowOverlap="1">
            <wp:simplePos x="0" y="0"/>
            <wp:positionH relativeFrom="page">
              <wp:posOffset>299720</wp:posOffset>
            </wp:positionH>
            <wp:positionV relativeFrom="page">
              <wp:posOffset>168910</wp:posOffset>
            </wp:positionV>
            <wp:extent cx="6969760" cy="5227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6969760" cy="5227320"/>
                    </a:xfrm>
                    <a:prstGeom prst="rect">
                      <a:avLst/>
                    </a:prstGeom>
                    <a:noFill/>
                  </pic:spPr>
                </pic:pic>
              </a:graphicData>
            </a:graphic>
          </wp:anchor>
        </w:drawing>
        <w:t>ManpowerGroup 2011 1</w:t>
      </w:r>
      <w:r>
        <w:rPr>
          <w:rFonts w:ascii="Arial" w:cs="Arial" w:eastAsia="Arial" w:hAnsi="Arial"/>
          <w:sz w:val="17"/>
          <w:szCs w:val="17"/>
          <w:b w:val="1"/>
          <w:bCs w:val="1"/>
          <w:color w:val="FFFFFF"/>
        </w:rPr>
        <w:t>st</w:t>
      </w:r>
      <w:r>
        <w:rPr>
          <w:rFonts w:ascii="Arial" w:cs="Arial" w:eastAsia="Arial" w:hAnsi="Arial"/>
          <w:sz w:val="24"/>
          <w:szCs w:val="24"/>
          <w:b w:val="1"/>
          <w:bCs w:val="1"/>
          <w:color w:val="FFFFFF"/>
        </w:rPr>
        <w:t xml:space="preserve"> Quarter Results</w:t>
      </w:r>
      <w:r>
        <w:rPr>
          <w:sz w:val="20"/>
          <w:szCs w:val="20"/>
          <w:color w:val="auto"/>
        </w:rPr>
        <w:tab/>
      </w:r>
      <w:r>
        <w:rPr>
          <w:rFonts w:ascii="Arial" w:cs="Arial" w:eastAsia="Arial" w:hAnsi="Arial"/>
          <w:sz w:val="24"/>
          <w:szCs w:val="24"/>
          <w:b w:val="1"/>
          <w:bCs w:val="1"/>
          <w:color w:val="FFFFFF"/>
        </w:rPr>
        <w:t>April 2011</w:t>
      </w:r>
    </w:p>
    <w:p>
      <w:pPr>
        <w:spacing w:after="0" w:line="200" w:lineRule="exact"/>
        <w:rPr>
          <w:sz w:val="20"/>
          <w:szCs w:val="20"/>
          <w:color w:val="auto"/>
        </w:rPr>
      </w:pPr>
    </w:p>
    <w:p>
      <w:pPr>
        <w:spacing w:after="0" w:line="246" w:lineRule="exact"/>
        <w:rPr>
          <w:sz w:val="20"/>
          <w:szCs w:val="20"/>
          <w:color w:val="auto"/>
        </w:rPr>
      </w:pPr>
    </w:p>
    <w:p>
      <w:pPr>
        <w:ind w:left="600"/>
        <w:spacing w:after="0"/>
        <w:rPr>
          <w:sz w:val="20"/>
          <w:szCs w:val="20"/>
          <w:color w:val="auto"/>
        </w:rPr>
      </w:pPr>
      <w:r>
        <w:rPr>
          <w:rFonts w:ascii="Arial" w:cs="Arial" w:eastAsia="Arial" w:hAnsi="Arial"/>
          <w:sz w:val="49"/>
          <w:szCs w:val="49"/>
          <w:color w:val="5F81AA"/>
        </w:rPr>
        <w:t>Balance Sheet Highlights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21"/>
          <w:szCs w:val="21"/>
          <w:b w:val="1"/>
          <w:bCs w:val="1"/>
          <w:color w:val="auto"/>
        </w:rPr>
        <w:t>Total Debt</w:t>
      </w:r>
    </w:p>
    <w:p>
      <w:pPr>
        <w:spacing w:after="0" w:line="4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in millions)</w:t>
      </w:r>
    </w:p>
    <w:p>
      <w:pPr>
        <w:spacing w:after="0" w:line="27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Total Debt</w:t>
      </w:r>
    </w:p>
    <w:p>
      <w:pPr>
        <w:spacing w:after="0" w:line="180" w:lineRule="exact"/>
        <w:rPr>
          <w:sz w:val="20"/>
          <w:szCs w:val="20"/>
          <w:color w:val="auto"/>
        </w:rPr>
      </w:pPr>
    </w:p>
    <w:p>
      <w:pPr>
        <w:ind w:left="9580"/>
        <w:spacing w:after="0"/>
        <w:rPr>
          <w:sz w:val="20"/>
          <w:szCs w:val="20"/>
          <w:color w:val="auto"/>
        </w:rPr>
      </w:pPr>
      <w:r>
        <w:rPr>
          <w:rFonts w:ascii="Arial" w:cs="Arial" w:eastAsia="Arial" w:hAnsi="Arial"/>
          <w:sz w:val="20"/>
          <w:szCs w:val="20"/>
          <w:color w:val="auto"/>
        </w:rPr>
        <w:t>Net</w:t>
      </w:r>
    </w:p>
    <w:p>
      <w:pPr>
        <w:ind w:left="9580"/>
        <w:spacing w:after="0"/>
        <w:rPr>
          <w:sz w:val="20"/>
          <w:szCs w:val="20"/>
          <w:color w:val="auto"/>
        </w:rPr>
      </w:pPr>
      <w:r>
        <w:rPr>
          <w:rFonts w:ascii="Arial" w:cs="Arial" w:eastAsia="Arial" w:hAnsi="Arial"/>
          <w:sz w:val="20"/>
          <w:szCs w:val="20"/>
          <w:color w:val="auto"/>
        </w:rPr>
        <w:t>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8540"/>
        <w:spacing w:after="0"/>
        <w:rPr>
          <w:sz w:val="20"/>
          <w:szCs w:val="20"/>
          <w:color w:val="auto"/>
        </w:rPr>
      </w:pPr>
      <w:r>
        <w:rPr>
          <w:rFonts w:ascii="Arial" w:cs="Arial" w:eastAsia="Arial" w:hAnsi="Arial"/>
          <w:sz w:val="21"/>
          <w:szCs w:val="21"/>
          <w:b w:val="1"/>
          <w:bCs w:val="1"/>
          <w:color w:val="auto"/>
        </w:rPr>
        <w:t>Total Debt to</w:t>
      </w:r>
    </w:p>
    <w:p>
      <w:pPr>
        <w:spacing w:after="0" w:line="36" w:lineRule="exact"/>
        <w:rPr>
          <w:sz w:val="20"/>
          <w:szCs w:val="20"/>
          <w:color w:val="auto"/>
        </w:rPr>
      </w:pPr>
    </w:p>
    <w:p>
      <w:pPr>
        <w:jc w:val="center"/>
        <w:ind w:right="8540"/>
        <w:spacing w:after="0"/>
        <w:rPr>
          <w:sz w:val="20"/>
          <w:szCs w:val="20"/>
          <w:color w:val="auto"/>
        </w:rPr>
      </w:pPr>
      <w:r>
        <w:rPr>
          <w:rFonts w:ascii="Arial" w:cs="Arial" w:eastAsia="Arial" w:hAnsi="Arial"/>
          <w:sz w:val="21"/>
          <w:szCs w:val="21"/>
          <w:b w:val="1"/>
          <w:bCs w:val="1"/>
          <w:color w:val="auto"/>
        </w:rPr>
        <w:t>Total Capitalization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0060"/>
        <w:spacing w:after="0"/>
        <w:rPr>
          <w:sz w:val="20"/>
          <w:szCs w:val="20"/>
          <w:color w:val="auto"/>
        </w:rPr>
      </w:pPr>
      <w:r>
        <w:rPr>
          <w:rFonts w:ascii="Arial" w:cs="Arial" w:eastAsia="Arial" w:hAnsi="Arial"/>
          <w:sz w:val="14"/>
          <w:szCs w:val="14"/>
          <w:color w:val="898989"/>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409575</wp:posOffset>
            </wp:positionV>
            <wp:extent cx="7273290" cy="196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0480"/>
          </w:cols>
          <w:pgMar w:left="680" w:top="438" w:right="739" w:bottom="1440" w:gutter="0" w:footer="0" w:header="0"/>
        </w:sectPr>
      </w:pPr>
    </w:p>
    <w:bookmarkStart w:id="25" w:name="page26"/>
    <w:bookmarkEnd w:id="25"/>
    <w:p>
      <w:pPr>
        <w:ind w:left="48"/>
        <w:spacing w:after="0"/>
        <w:tabs>
          <w:tab w:leader="none" w:pos="8748" w:val="left"/>
        </w:tabs>
        <w:rPr>
          <w:sz w:val="20"/>
          <w:szCs w:val="20"/>
          <w:color w:val="auto"/>
        </w:rPr>
      </w:pPr>
      <w:r>
        <w:rPr>
          <w:rFonts w:ascii="Arial" w:cs="Arial" w:eastAsia="Arial" w:hAnsi="Arial"/>
          <w:sz w:val="24"/>
          <w:szCs w:val="24"/>
          <w:b w:val="1"/>
          <w:bCs w:val="1"/>
          <w:color w:val="FFFFFF"/>
        </w:rPr>
        <w:drawing>
          <wp:anchor simplePos="0" relativeHeight="251657728" behindDoc="1" locked="0" layoutInCell="0" allowOverlap="1">
            <wp:simplePos x="0" y="0"/>
            <wp:positionH relativeFrom="page">
              <wp:posOffset>299720</wp:posOffset>
            </wp:positionH>
            <wp:positionV relativeFrom="page">
              <wp:posOffset>168910</wp:posOffset>
            </wp:positionV>
            <wp:extent cx="6969760" cy="5227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6969760" cy="5227320"/>
                    </a:xfrm>
                    <a:prstGeom prst="rect">
                      <a:avLst/>
                    </a:prstGeom>
                    <a:noFill/>
                  </pic:spPr>
                </pic:pic>
              </a:graphicData>
            </a:graphic>
          </wp:anchor>
        </w:drawing>
        <w:t>ManpowerGroup 2011 1</w:t>
      </w:r>
      <w:r>
        <w:rPr>
          <w:rFonts w:ascii="Arial" w:cs="Arial" w:eastAsia="Arial" w:hAnsi="Arial"/>
          <w:sz w:val="17"/>
          <w:szCs w:val="17"/>
          <w:b w:val="1"/>
          <w:bCs w:val="1"/>
          <w:color w:val="FFFFFF"/>
        </w:rPr>
        <w:t>st</w:t>
      </w:r>
      <w:r>
        <w:rPr>
          <w:rFonts w:ascii="Arial" w:cs="Arial" w:eastAsia="Arial" w:hAnsi="Arial"/>
          <w:sz w:val="24"/>
          <w:szCs w:val="24"/>
          <w:b w:val="1"/>
          <w:bCs w:val="1"/>
          <w:color w:val="FFFFFF"/>
        </w:rPr>
        <w:t xml:space="preserve"> Quarter Results</w:t>
      </w:r>
      <w:r>
        <w:rPr>
          <w:sz w:val="20"/>
          <w:szCs w:val="20"/>
          <w:color w:val="auto"/>
        </w:rPr>
        <w:tab/>
      </w:r>
      <w:r>
        <w:rPr>
          <w:rFonts w:ascii="Arial" w:cs="Arial" w:eastAsia="Arial" w:hAnsi="Arial"/>
          <w:sz w:val="24"/>
          <w:szCs w:val="24"/>
          <w:b w:val="1"/>
          <w:bCs w:val="1"/>
          <w:color w:val="FFFFFF"/>
        </w:rPr>
        <w:t>April 2011</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88"/>
        <w:spacing w:after="0"/>
        <w:rPr>
          <w:sz w:val="20"/>
          <w:szCs w:val="20"/>
          <w:color w:val="auto"/>
        </w:rPr>
      </w:pPr>
      <w:r>
        <w:rPr>
          <w:rFonts w:ascii="Arial" w:cs="Arial" w:eastAsia="Arial" w:hAnsi="Arial"/>
          <w:sz w:val="49"/>
          <w:szCs w:val="49"/>
          <w:color w:val="5F81AA"/>
        </w:rPr>
        <w:t>Credit Facilities as of March 31, 2011</w:t>
      </w:r>
    </w:p>
    <w:p>
      <w:pPr>
        <w:spacing w:after="0" w:line="7" w:lineRule="exact"/>
        <w:rPr>
          <w:sz w:val="20"/>
          <w:szCs w:val="20"/>
          <w:color w:val="auto"/>
        </w:rPr>
      </w:pPr>
    </w:p>
    <w:tbl>
      <w:tblPr>
        <w:tblLayout w:type="fixed"/>
        <w:tblInd w:w="488" w:type="dxa"/>
        <w:tblCellMar>
          <w:top w:w="0" w:type="dxa"/>
          <w:left w:w="0" w:type="dxa"/>
          <w:bottom w:w="0" w:type="dxa"/>
          <w:right w:w="0" w:type="dxa"/>
        </w:tblCellMar>
      </w:tblPr>
      <w:tr>
        <w:trPr>
          <w:trHeight w:val="257"/>
        </w:trPr>
        <w:tc>
          <w:tcPr>
            <w:tcW w:w="2960" w:type="dxa"/>
            <w:vAlign w:val="bottom"/>
          </w:tcPr>
          <w:p>
            <w:pPr>
              <w:spacing w:after="0"/>
              <w:rPr>
                <w:sz w:val="20"/>
                <w:szCs w:val="20"/>
                <w:color w:val="auto"/>
              </w:rPr>
            </w:pPr>
            <w:r>
              <w:rPr>
                <w:rFonts w:ascii="Arial" w:cs="Arial" w:eastAsia="Arial" w:hAnsi="Arial"/>
                <w:sz w:val="21"/>
                <w:szCs w:val="21"/>
                <w:color w:val="5F81AA"/>
              </w:rPr>
              <w:t>($ in millions)</w:t>
            </w: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0" w:type="dxa"/>
            <w:vAlign w:val="bottom"/>
            <w:vMerge w:val="restart"/>
          </w:tcPr>
          <w:p>
            <w:pPr>
              <w:jc w:val="center"/>
              <w:spacing w:after="0"/>
              <w:rPr>
                <w:sz w:val="20"/>
                <w:szCs w:val="20"/>
                <w:color w:val="auto"/>
              </w:rPr>
            </w:pPr>
            <w:r>
              <w:rPr>
                <w:rFonts w:ascii="Arial" w:cs="Arial" w:eastAsia="Arial" w:hAnsi="Arial"/>
                <w:sz w:val="21"/>
                <w:szCs w:val="21"/>
                <w:b w:val="1"/>
                <w:bCs w:val="1"/>
                <w:color w:val="7F7F7F"/>
              </w:rPr>
              <w:t>Interest</w:t>
            </w:r>
          </w:p>
        </w:tc>
        <w:tc>
          <w:tcPr>
            <w:tcW w:w="1260" w:type="dxa"/>
            <w:vAlign w:val="bottom"/>
            <w:vMerge w:val="restart"/>
          </w:tcPr>
          <w:p>
            <w:pPr>
              <w:jc w:val="center"/>
              <w:spacing w:after="0"/>
              <w:rPr>
                <w:sz w:val="20"/>
                <w:szCs w:val="20"/>
                <w:color w:val="auto"/>
              </w:rPr>
            </w:pPr>
            <w:r>
              <w:rPr>
                <w:rFonts w:ascii="Arial" w:cs="Arial" w:eastAsia="Arial" w:hAnsi="Arial"/>
                <w:sz w:val="21"/>
                <w:szCs w:val="21"/>
                <w:b w:val="1"/>
                <w:bCs w:val="1"/>
                <w:color w:val="7F7F7F"/>
              </w:rPr>
              <w:t>Maturity</w:t>
            </w:r>
          </w:p>
        </w:tc>
        <w:tc>
          <w:tcPr>
            <w:tcW w:w="1540" w:type="dxa"/>
            <w:vAlign w:val="bottom"/>
            <w:vMerge w:val="restart"/>
          </w:tcPr>
          <w:p>
            <w:pPr>
              <w:jc w:val="right"/>
              <w:ind w:right="413"/>
              <w:spacing w:after="0"/>
              <w:rPr>
                <w:sz w:val="20"/>
                <w:szCs w:val="20"/>
                <w:color w:val="auto"/>
              </w:rPr>
            </w:pPr>
            <w:r>
              <w:rPr>
                <w:rFonts w:ascii="Arial" w:cs="Arial" w:eastAsia="Arial" w:hAnsi="Arial"/>
                <w:sz w:val="21"/>
                <w:szCs w:val="21"/>
                <w:b w:val="1"/>
                <w:bCs w:val="1"/>
                <w:color w:val="7F7F7F"/>
              </w:rPr>
              <w:t>Total</w:t>
            </w:r>
          </w:p>
        </w:tc>
        <w:tc>
          <w:tcPr>
            <w:tcW w:w="1240" w:type="dxa"/>
            <w:vAlign w:val="bottom"/>
            <w:vMerge w:val="restart"/>
          </w:tcPr>
          <w:p>
            <w:pPr>
              <w:jc w:val="center"/>
              <w:spacing w:after="0"/>
              <w:rPr>
                <w:sz w:val="20"/>
                <w:szCs w:val="20"/>
                <w:color w:val="auto"/>
              </w:rPr>
            </w:pPr>
            <w:r>
              <w:rPr>
                <w:rFonts w:ascii="Arial" w:cs="Arial" w:eastAsia="Arial" w:hAnsi="Arial"/>
                <w:sz w:val="21"/>
                <w:szCs w:val="21"/>
                <w:b w:val="1"/>
                <w:bCs w:val="1"/>
                <w:color w:val="7F7F7F"/>
              </w:rPr>
              <w:t>Remaining</w:t>
            </w:r>
          </w:p>
        </w:tc>
        <w:tc>
          <w:tcPr>
            <w:tcW w:w="0" w:type="dxa"/>
            <w:vAlign w:val="bottom"/>
          </w:tcPr>
          <w:p>
            <w:pPr>
              <w:spacing w:after="0"/>
              <w:rPr>
                <w:sz w:val="1"/>
                <w:szCs w:val="1"/>
                <w:color w:val="auto"/>
              </w:rPr>
            </w:pPr>
          </w:p>
        </w:tc>
      </w:tr>
      <w:tr>
        <w:trPr>
          <w:trHeight w:val="174"/>
        </w:trPr>
        <w:tc>
          <w:tcPr>
            <w:tcW w:w="2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83"/>
        </w:trPr>
        <w:tc>
          <w:tcPr>
            <w:tcW w:w="2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21"/>
                <w:szCs w:val="21"/>
                <w:b w:val="1"/>
                <w:bCs w:val="1"/>
                <w:color w:val="7F7F7F"/>
              </w:rPr>
              <w:t>Rate</w:t>
            </w:r>
          </w:p>
        </w:tc>
        <w:tc>
          <w:tcPr>
            <w:tcW w:w="1260" w:type="dxa"/>
            <w:vAlign w:val="bottom"/>
          </w:tcPr>
          <w:p>
            <w:pPr>
              <w:jc w:val="center"/>
              <w:spacing w:after="0"/>
              <w:rPr>
                <w:sz w:val="20"/>
                <w:szCs w:val="20"/>
                <w:color w:val="auto"/>
              </w:rPr>
            </w:pPr>
            <w:r>
              <w:rPr>
                <w:rFonts w:ascii="Arial" w:cs="Arial" w:eastAsia="Arial" w:hAnsi="Arial"/>
                <w:sz w:val="21"/>
                <w:szCs w:val="21"/>
                <w:b w:val="1"/>
                <w:bCs w:val="1"/>
                <w:color w:val="7F7F7F"/>
              </w:rPr>
              <w:t>Date</w:t>
            </w:r>
          </w:p>
        </w:tc>
        <w:tc>
          <w:tcPr>
            <w:tcW w:w="1540" w:type="dxa"/>
            <w:vAlign w:val="bottom"/>
          </w:tcPr>
          <w:p>
            <w:pPr>
              <w:jc w:val="right"/>
              <w:ind w:right="33"/>
              <w:spacing w:after="0"/>
              <w:rPr>
                <w:sz w:val="20"/>
                <w:szCs w:val="20"/>
                <w:color w:val="auto"/>
              </w:rPr>
            </w:pPr>
            <w:r>
              <w:rPr>
                <w:rFonts w:ascii="Arial" w:cs="Arial" w:eastAsia="Arial" w:hAnsi="Arial"/>
                <w:sz w:val="21"/>
                <w:szCs w:val="21"/>
                <w:b w:val="1"/>
                <w:bCs w:val="1"/>
                <w:color w:val="7F7F7F"/>
              </w:rPr>
              <w:t>Outstanding</w:t>
            </w:r>
          </w:p>
        </w:tc>
        <w:tc>
          <w:tcPr>
            <w:tcW w:w="1240" w:type="dxa"/>
            <w:vAlign w:val="bottom"/>
          </w:tcPr>
          <w:p>
            <w:pPr>
              <w:jc w:val="center"/>
              <w:spacing w:after="0"/>
              <w:rPr>
                <w:sz w:val="20"/>
                <w:szCs w:val="20"/>
                <w:color w:val="auto"/>
              </w:rPr>
            </w:pPr>
            <w:r>
              <w:rPr>
                <w:rFonts w:ascii="Arial" w:cs="Arial" w:eastAsia="Arial" w:hAnsi="Arial"/>
                <w:sz w:val="21"/>
                <w:szCs w:val="21"/>
                <w:b w:val="1"/>
                <w:bCs w:val="1"/>
                <w:color w:val="7F7F7F"/>
              </w:rPr>
              <w:t>Available</w:t>
            </w:r>
          </w:p>
        </w:tc>
        <w:tc>
          <w:tcPr>
            <w:tcW w:w="0" w:type="dxa"/>
            <w:vAlign w:val="bottom"/>
          </w:tcPr>
          <w:p>
            <w:pPr>
              <w:spacing w:after="0"/>
              <w:rPr>
                <w:sz w:val="1"/>
                <w:szCs w:val="1"/>
                <w:color w:val="auto"/>
              </w:rPr>
            </w:pPr>
          </w:p>
        </w:tc>
      </w:tr>
      <w:tr>
        <w:trPr>
          <w:trHeight w:val="437"/>
        </w:trPr>
        <w:tc>
          <w:tcPr>
            <w:tcW w:w="2960" w:type="dxa"/>
            <w:vAlign w:val="bottom"/>
          </w:tcPr>
          <w:p>
            <w:pPr>
              <w:ind w:left="100"/>
              <w:spacing w:after="0"/>
              <w:rPr>
                <w:sz w:val="20"/>
                <w:szCs w:val="20"/>
                <w:color w:val="auto"/>
              </w:rPr>
            </w:pPr>
            <w:r>
              <w:rPr>
                <w:rFonts w:ascii="Arial" w:cs="Arial" w:eastAsia="Arial" w:hAnsi="Arial"/>
                <w:sz w:val="21"/>
                <w:szCs w:val="21"/>
                <w:b w:val="1"/>
                <w:bCs w:val="1"/>
                <w:color w:val="auto"/>
              </w:rPr>
              <w:t>Euro</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960" w:type="dxa"/>
            <w:vAlign w:val="bottom"/>
          </w:tcPr>
          <w:p>
            <w:pPr>
              <w:ind w:left="100"/>
              <w:spacing w:after="0" w:line="219" w:lineRule="exact"/>
              <w:rPr>
                <w:sz w:val="20"/>
                <w:szCs w:val="20"/>
                <w:color w:val="auto"/>
              </w:rPr>
            </w:pPr>
            <w:r>
              <w:rPr>
                <w:rFonts w:ascii="Arial" w:cs="Arial" w:eastAsia="Arial" w:hAnsi="Arial"/>
                <w:sz w:val="21"/>
                <w:szCs w:val="21"/>
                <w:b w:val="1"/>
                <w:bCs w:val="1"/>
                <w:color w:val="auto"/>
              </w:rPr>
              <w:t>Notes:</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vMerge w:val="restart"/>
          </w:tcPr>
          <w:p>
            <w:pPr>
              <w:jc w:val="center"/>
              <w:ind w:left="13"/>
              <w:spacing w:after="0"/>
              <w:rPr>
                <w:sz w:val="20"/>
                <w:szCs w:val="20"/>
                <w:color w:val="auto"/>
              </w:rPr>
            </w:pPr>
            <w:r>
              <w:rPr>
                <w:rFonts w:ascii="Arial" w:cs="Arial" w:eastAsia="Arial" w:hAnsi="Arial"/>
                <w:sz w:val="21"/>
                <w:szCs w:val="21"/>
                <w:b w:val="1"/>
                <w:bCs w:val="1"/>
                <w:color w:val="auto"/>
              </w:rPr>
              <w:t>4.86%</w:t>
            </w:r>
          </w:p>
        </w:tc>
        <w:tc>
          <w:tcPr>
            <w:tcW w:w="1260" w:type="dxa"/>
            <w:vAlign w:val="bottom"/>
            <w:vMerge w:val="restart"/>
          </w:tcPr>
          <w:p>
            <w:pPr>
              <w:jc w:val="center"/>
              <w:spacing w:after="0"/>
              <w:rPr>
                <w:sz w:val="20"/>
                <w:szCs w:val="20"/>
                <w:color w:val="auto"/>
              </w:rPr>
            </w:pPr>
            <w:r>
              <w:rPr>
                <w:rFonts w:ascii="Arial" w:cs="Arial" w:eastAsia="Arial" w:hAnsi="Arial"/>
                <w:sz w:val="21"/>
                <w:szCs w:val="21"/>
                <w:b w:val="1"/>
                <w:bCs w:val="1"/>
                <w:color w:val="auto"/>
              </w:rPr>
              <w:t>Jun 2013</w:t>
            </w:r>
          </w:p>
        </w:tc>
        <w:tc>
          <w:tcPr>
            <w:tcW w:w="1540" w:type="dxa"/>
            <w:vAlign w:val="bottom"/>
            <w:vMerge w:val="restart"/>
          </w:tcPr>
          <w:p>
            <w:pPr>
              <w:jc w:val="right"/>
              <w:ind w:right="13"/>
              <w:spacing w:after="0"/>
              <w:rPr>
                <w:sz w:val="20"/>
                <w:szCs w:val="20"/>
                <w:color w:val="auto"/>
              </w:rPr>
            </w:pPr>
            <w:r>
              <w:rPr>
                <w:rFonts w:ascii="Arial" w:cs="Arial" w:eastAsia="Arial" w:hAnsi="Arial"/>
                <w:sz w:val="21"/>
                <w:szCs w:val="21"/>
                <w:b w:val="1"/>
                <w:bCs w:val="1"/>
                <w:color w:val="auto"/>
              </w:rPr>
              <w:t>283</w:t>
            </w:r>
          </w:p>
        </w:tc>
        <w:tc>
          <w:tcPr>
            <w:tcW w:w="1240" w:type="dxa"/>
            <w:vAlign w:val="bottom"/>
            <w:vMerge w:val="restart"/>
          </w:tcPr>
          <w:p>
            <w:pPr>
              <w:jc w:val="center"/>
              <w:ind w:left="813"/>
              <w:spacing w:after="0"/>
              <w:rPr>
                <w:sz w:val="20"/>
                <w:szCs w:val="20"/>
                <w:color w:val="auto"/>
              </w:rPr>
            </w:pPr>
            <w:r>
              <w:rPr>
                <w:rFonts w:ascii="Arial" w:cs="Arial" w:eastAsia="Arial" w:hAnsi="Arial"/>
                <w:sz w:val="21"/>
                <w:szCs w:val="21"/>
                <w:b w:val="1"/>
                <w:bCs w:val="1"/>
                <w:color w:val="auto"/>
              </w:rPr>
              <w:t>-</w:t>
            </w:r>
          </w:p>
        </w:tc>
        <w:tc>
          <w:tcPr>
            <w:tcW w:w="0" w:type="dxa"/>
            <w:vAlign w:val="bottom"/>
          </w:tcPr>
          <w:p>
            <w:pPr>
              <w:spacing w:after="0"/>
              <w:rPr>
                <w:sz w:val="1"/>
                <w:szCs w:val="1"/>
                <w:color w:val="auto"/>
              </w:rPr>
            </w:pPr>
          </w:p>
        </w:tc>
      </w:tr>
      <w:tr>
        <w:trPr>
          <w:trHeight w:val="204"/>
        </w:trPr>
        <w:tc>
          <w:tcPr>
            <w:tcW w:w="2960" w:type="dxa"/>
            <w:vAlign w:val="bottom"/>
          </w:tcPr>
          <w:p>
            <w:pPr>
              <w:ind w:left="240"/>
              <w:spacing w:after="0" w:line="204" w:lineRule="exact"/>
              <w:rPr>
                <w:sz w:val="20"/>
                <w:szCs w:val="20"/>
                <w:color w:val="auto"/>
              </w:rPr>
            </w:pPr>
            <w:r>
              <w:rPr>
                <w:rFonts w:ascii="Arial" w:cs="Arial" w:eastAsia="Arial" w:hAnsi="Arial"/>
                <w:sz w:val="21"/>
                <w:szCs w:val="21"/>
                <w:b w:val="1"/>
                <w:bCs w:val="1"/>
                <w:color w:val="auto"/>
              </w:rPr>
              <w:t>- Euro</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960" w:type="dxa"/>
            <w:vAlign w:val="bottom"/>
          </w:tcPr>
          <w:p>
            <w:pPr>
              <w:ind w:left="240"/>
              <w:spacing w:after="0" w:line="219" w:lineRule="exact"/>
              <w:rPr>
                <w:sz w:val="20"/>
                <w:szCs w:val="20"/>
                <w:color w:val="auto"/>
              </w:rPr>
            </w:pPr>
            <w:r>
              <w:rPr>
                <w:rFonts w:ascii="Arial" w:cs="Arial" w:eastAsia="Arial" w:hAnsi="Arial"/>
                <w:sz w:val="21"/>
                <w:szCs w:val="21"/>
                <w:b w:val="1"/>
                <w:bCs w:val="1"/>
                <w:color w:val="auto"/>
              </w:rPr>
              <w:t>200M</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vMerge w:val="restart"/>
          </w:tcPr>
          <w:p>
            <w:pPr>
              <w:jc w:val="center"/>
              <w:ind w:left="13"/>
              <w:spacing w:after="0"/>
              <w:rPr>
                <w:sz w:val="20"/>
                <w:szCs w:val="20"/>
                <w:color w:val="auto"/>
              </w:rPr>
            </w:pPr>
            <w:r>
              <w:rPr>
                <w:rFonts w:ascii="Arial" w:cs="Arial" w:eastAsia="Arial" w:hAnsi="Arial"/>
                <w:sz w:val="21"/>
                <w:szCs w:val="21"/>
                <w:b w:val="1"/>
                <w:bCs w:val="1"/>
                <w:color w:val="auto"/>
              </w:rPr>
              <w:t>4.58%</w:t>
            </w:r>
          </w:p>
        </w:tc>
        <w:tc>
          <w:tcPr>
            <w:tcW w:w="1260" w:type="dxa"/>
            <w:vAlign w:val="bottom"/>
            <w:vMerge w:val="restart"/>
          </w:tcPr>
          <w:p>
            <w:pPr>
              <w:jc w:val="center"/>
              <w:spacing w:after="0"/>
              <w:rPr>
                <w:sz w:val="20"/>
                <w:szCs w:val="20"/>
                <w:color w:val="auto"/>
              </w:rPr>
            </w:pPr>
            <w:r>
              <w:rPr>
                <w:rFonts w:ascii="Arial" w:cs="Arial" w:eastAsia="Arial" w:hAnsi="Arial"/>
                <w:sz w:val="21"/>
                <w:szCs w:val="21"/>
                <w:b w:val="1"/>
                <w:bCs w:val="1"/>
                <w:color w:val="auto"/>
              </w:rPr>
              <w:t>Jun 2012</w:t>
            </w:r>
          </w:p>
        </w:tc>
        <w:tc>
          <w:tcPr>
            <w:tcW w:w="1540" w:type="dxa"/>
            <w:vAlign w:val="bottom"/>
            <w:vMerge w:val="restart"/>
          </w:tcPr>
          <w:p>
            <w:pPr>
              <w:jc w:val="right"/>
              <w:ind w:right="13"/>
              <w:spacing w:after="0"/>
              <w:rPr>
                <w:sz w:val="20"/>
                <w:szCs w:val="20"/>
                <w:color w:val="auto"/>
              </w:rPr>
            </w:pPr>
            <w:r>
              <w:rPr>
                <w:rFonts w:ascii="Arial" w:cs="Arial" w:eastAsia="Arial" w:hAnsi="Arial"/>
                <w:sz w:val="21"/>
                <w:szCs w:val="21"/>
                <w:b w:val="1"/>
                <w:bCs w:val="1"/>
                <w:color w:val="auto"/>
              </w:rPr>
              <w:t>424</w:t>
            </w:r>
          </w:p>
        </w:tc>
        <w:tc>
          <w:tcPr>
            <w:tcW w:w="1240" w:type="dxa"/>
            <w:vAlign w:val="bottom"/>
            <w:vMerge w:val="restart"/>
          </w:tcPr>
          <w:p>
            <w:pPr>
              <w:jc w:val="center"/>
              <w:ind w:left="813"/>
              <w:spacing w:after="0"/>
              <w:rPr>
                <w:sz w:val="20"/>
                <w:szCs w:val="20"/>
                <w:color w:val="auto"/>
              </w:rPr>
            </w:pPr>
            <w:r>
              <w:rPr>
                <w:rFonts w:ascii="Arial" w:cs="Arial" w:eastAsia="Arial" w:hAnsi="Arial"/>
                <w:sz w:val="21"/>
                <w:szCs w:val="21"/>
                <w:b w:val="1"/>
                <w:bCs w:val="1"/>
                <w:color w:val="auto"/>
              </w:rPr>
              <w:t>-</w:t>
            </w:r>
          </w:p>
        </w:tc>
        <w:tc>
          <w:tcPr>
            <w:tcW w:w="0" w:type="dxa"/>
            <w:vAlign w:val="bottom"/>
          </w:tcPr>
          <w:p>
            <w:pPr>
              <w:spacing w:after="0"/>
              <w:rPr>
                <w:sz w:val="1"/>
                <w:szCs w:val="1"/>
                <w:color w:val="auto"/>
              </w:rPr>
            </w:pPr>
          </w:p>
        </w:tc>
      </w:tr>
      <w:tr>
        <w:trPr>
          <w:trHeight w:val="215"/>
        </w:trPr>
        <w:tc>
          <w:tcPr>
            <w:tcW w:w="2960" w:type="dxa"/>
            <w:vAlign w:val="bottom"/>
          </w:tcPr>
          <w:p>
            <w:pPr>
              <w:ind w:left="240"/>
              <w:spacing w:after="0" w:line="216" w:lineRule="exact"/>
              <w:rPr>
                <w:sz w:val="20"/>
                <w:szCs w:val="20"/>
                <w:color w:val="auto"/>
              </w:rPr>
            </w:pPr>
            <w:r>
              <w:rPr>
                <w:rFonts w:ascii="Arial" w:cs="Arial" w:eastAsia="Arial" w:hAnsi="Arial"/>
                <w:sz w:val="21"/>
                <w:szCs w:val="21"/>
                <w:b w:val="1"/>
                <w:bCs w:val="1"/>
                <w:color w:val="auto"/>
              </w:rPr>
              <w:t>- Euro</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154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960" w:type="dxa"/>
            <w:vAlign w:val="bottom"/>
          </w:tcPr>
          <w:p>
            <w:pPr>
              <w:ind w:left="240"/>
              <w:spacing w:after="0"/>
              <w:rPr>
                <w:sz w:val="20"/>
                <w:szCs w:val="20"/>
                <w:color w:val="auto"/>
              </w:rPr>
            </w:pPr>
            <w:r>
              <w:rPr>
                <w:rFonts w:ascii="Arial" w:cs="Arial" w:eastAsia="Arial" w:hAnsi="Arial"/>
                <w:sz w:val="21"/>
                <w:szCs w:val="21"/>
                <w:b w:val="1"/>
                <w:bCs w:val="1"/>
                <w:color w:val="auto"/>
              </w:rPr>
              <w:t>300M</w:t>
            </w:r>
          </w:p>
        </w:tc>
        <w:tc>
          <w:tcPr>
            <w:tcW w:w="180" w:type="dxa"/>
            <w:vAlign w:val="bottom"/>
          </w:tcPr>
          <w:p>
            <w:pPr>
              <w:ind w:left="20"/>
              <w:spacing w:after="0"/>
              <w:rPr>
                <w:sz w:val="20"/>
                <w:szCs w:val="20"/>
                <w:color w:val="auto"/>
              </w:rPr>
            </w:pPr>
            <w:r>
              <w:rPr>
                <w:rFonts w:ascii="Arial" w:cs="Arial" w:eastAsia="Arial" w:hAnsi="Arial"/>
                <w:sz w:val="14"/>
                <w:szCs w:val="14"/>
                <w:color w:val="auto"/>
                <w:w w:val="81"/>
              </w:rPr>
              <w:t>(a)</w:t>
            </w:r>
          </w:p>
        </w:tc>
        <w:tc>
          <w:tcPr>
            <w:tcW w:w="420" w:type="dxa"/>
            <w:vAlign w:val="bottom"/>
          </w:tcPr>
          <w:p>
            <w:pPr>
              <w:spacing w:after="0"/>
              <w:rPr>
                <w:sz w:val="21"/>
                <w:szCs w:val="21"/>
                <w:color w:val="auto"/>
              </w:rPr>
            </w:pPr>
          </w:p>
        </w:tc>
        <w:tc>
          <w:tcPr>
            <w:tcW w:w="1200" w:type="dxa"/>
            <w:vAlign w:val="bottom"/>
            <w:vMerge w:val="restart"/>
          </w:tcPr>
          <w:p>
            <w:pPr>
              <w:jc w:val="center"/>
              <w:ind w:left="13"/>
              <w:spacing w:after="0"/>
              <w:rPr>
                <w:sz w:val="20"/>
                <w:szCs w:val="20"/>
                <w:color w:val="auto"/>
              </w:rPr>
            </w:pPr>
            <w:r>
              <w:rPr>
                <w:rFonts w:ascii="Arial" w:cs="Arial" w:eastAsia="Arial" w:hAnsi="Arial"/>
                <w:sz w:val="21"/>
                <w:szCs w:val="21"/>
                <w:b w:val="1"/>
                <w:bCs w:val="1"/>
                <w:color w:val="auto"/>
              </w:rPr>
              <w:t>2.79%</w:t>
            </w:r>
          </w:p>
        </w:tc>
        <w:tc>
          <w:tcPr>
            <w:tcW w:w="1260" w:type="dxa"/>
            <w:vAlign w:val="bottom"/>
            <w:vMerge w:val="restart"/>
          </w:tcPr>
          <w:p>
            <w:pPr>
              <w:jc w:val="center"/>
              <w:spacing w:after="0"/>
              <w:rPr>
                <w:sz w:val="20"/>
                <w:szCs w:val="20"/>
                <w:color w:val="auto"/>
              </w:rPr>
            </w:pPr>
            <w:r>
              <w:rPr>
                <w:rFonts w:ascii="Arial" w:cs="Arial" w:eastAsia="Arial" w:hAnsi="Arial"/>
                <w:sz w:val="21"/>
                <w:szCs w:val="21"/>
                <w:b w:val="1"/>
                <w:bCs w:val="1"/>
                <w:color w:val="auto"/>
              </w:rPr>
              <w:t>Nov 2012</w:t>
            </w:r>
          </w:p>
        </w:tc>
        <w:tc>
          <w:tcPr>
            <w:tcW w:w="1540" w:type="dxa"/>
            <w:vAlign w:val="bottom"/>
            <w:vMerge w:val="restart"/>
          </w:tcPr>
          <w:p>
            <w:pPr>
              <w:jc w:val="right"/>
              <w:ind w:right="113"/>
              <w:spacing w:after="0"/>
              <w:rPr>
                <w:sz w:val="20"/>
                <w:szCs w:val="20"/>
                <w:color w:val="auto"/>
              </w:rPr>
            </w:pPr>
            <w:r>
              <w:rPr>
                <w:rFonts w:ascii="Arial" w:cs="Arial" w:eastAsia="Arial" w:hAnsi="Arial"/>
                <w:sz w:val="21"/>
                <w:szCs w:val="21"/>
                <w:b w:val="1"/>
                <w:bCs w:val="1"/>
                <w:color w:val="auto"/>
              </w:rPr>
              <w:t>-</w:t>
            </w:r>
          </w:p>
        </w:tc>
        <w:tc>
          <w:tcPr>
            <w:tcW w:w="1240" w:type="dxa"/>
            <w:vAlign w:val="bottom"/>
            <w:vMerge w:val="restart"/>
          </w:tcPr>
          <w:p>
            <w:pPr>
              <w:jc w:val="center"/>
              <w:ind w:left="753"/>
              <w:spacing w:after="0"/>
              <w:rPr>
                <w:sz w:val="20"/>
                <w:szCs w:val="20"/>
                <w:color w:val="auto"/>
              </w:rPr>
            </w:pPr>
            <w:r>
              <w:rPr>
                <w:rFonts w:ascii="Arial" w:cs="Arial" w:eastAsia="Arial" w:hAnsi="Arial"/>
                <w:sz w:val="21"/>
                <w:szCs w:val="21"/>
                <w:b w:val="1"/>
                <w:bCs w:val="1"/>
                <w:color w:val="auto"/>
                <w:w w:val="96"/>
              </w:rPr>
              <w:t>398</w:t>
            </w:r>
          </w:p>
        </w:tc>
        <w:tc>
          <w:tcPr>
            <w:tcW w:w="0" w:type="dxa"/>
            <w:vAlign w:val="bottom"/>
          </w:tcPr>
          <w:p>
            <w:pPr>
              <w:spacing w:after="0"/>
              <w:rPr>
                <w:sz w:val="1"/>
                <w:szCs w:val="1"/>
                <w:color w:val="auto"/>
              </w:rPr>
            </w:pPr>
          </w:p>
        </w:tc>
      </w:tr>
      <w:tr>
        <w:trPr>
          <w:trHeight w:val="261"/>
        </w:trPr>
        <w:tc>
          <w:tcPr>
            <w:tcW w:w="2960" w:type="dxa"/>
            <w:vAlign w:val="bottom"/>
          </w:tcPr>
          <w:p>
            <w:pPr>
              <w:ind w:left="100"/>
              <w:spacing w:after="0"/>
              <w:rPr>
                <w:sz w:val="20"/>
                <w:szCs w:val="20"/>
                <w:color w:val="auto"/>
              </w:rPr>
            </w:pPr>
            <w:r>
              <w:rPr>
                <w:rFonts w:ascii="Arial" w:cs="Arial" w:eastAsia="Arial" w:hAnsi="Arial"/>
                <w:sz w:val="21"/>
                <w:szCs w:val="21"/>
                <w:b w:val="1"/>
                <w:bCs w:val="1"/>
                <w:color w:val="auto"/>
              </w:rPr>
              <w:t>Revolving Credit Agreement</w:t>
            </w: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0" w:type="dxa"/>
            <w:vAlign w:val="bottom"/>
            <w:vMerge w:val="continue"/>
          </w:tcPr>
          <w:p>
            <w:pPr>
              <w:spacing w:after="0"/>
              <w:rPr>
                <w:sz w:val="22"/>
                <w:szCs w:val="22"/>
                <w:color w:val="auto"/>
              </w:rPr>
            </w:pPr>
          </w:p>
        </w:tc>
        <w:tc>
          <w:tcPr>
            <w:tcW w:w="1260" w:type="dxa"/>
            <w:vAlign w:val="bottom"/>
            <w:vMerge w:val="continue"/>
          </w:tcPr>
          <w:p>
            <w:pPr>
              <w:spacing w:after="0"/>
              <w:rPr>
                <w:sz w:val="22"/>
                <w:szCs w:val="22"/>
                <w:color w:val="auto"/>
              </w:rPr>
            </w:pPr>
          </w:p>
        </w:tc>
        <w:tc>
          <w:tcPr>
            <w:tcW w:w="1540" w:type="dxa"/>
            <w:vAlign w:val="bottom"/>
            <w:vMerge w:val="continue"/>
          </w:tcPr>
          <w:p>
            <w:pPr>
              <w:spacing w:after="0"/>
              <w:rPr>
                <w:sz w:val="22"/>
                <w:szCs w:val="22"/>
                <w:color w:val="auto"/>
              </w:rPr>
            </w:pPr>
          </w:p>
        </w:tc>
        <w:tc>
          <w:tcPr>
            <w:tcW w:w="12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9"/>
        </w:trPr>
        <w:tc>
          <w:tcPr>
            <w:tcW w:w="2960" w:type="dxa"/>
            <w:vAlign w:val="bottom"/>
            <w:vMerge w:val="restart"/>
          </w:tcPr>
          <w:p>
            <w:pPr>
              <w:ind w:left="100"/>
              <w:spacing w:after="0"/>
              <w:rPr>
                <w:sz w:val="20"/>
                <w:szCs w:val="20"/>
                <w:color w:val="auto"/>
              </w:rPr>
            </w:pPr>
            <w:r>
              <w:rPr>
                <w:rFonts w:ascii="Arial" w:cs="Arial" w:eastAsia="Arial" w:hAnsi="Arial"/>
                <w:sz w:val="21"/>
                <w:szCs w:val="21"/>
                <w:b w:val="1"/>
                <w:bCs w:val="1"/>
                <w:color w:val="auto"/>
              </w:rPr>
              <w:t>Uncommitted lines and</w:t>
            </w:r>
          </w:p>
        </w:tc>
        <w:tc>
          <w:tcPr>
            <w:tcW w:w="180" w:type="dxa"/>
            <w:vAlign w:val="bottom"/>
          </w:tcPr>
          <w:p>
            <w:pPr>
              <w:spacing w:after="0"/>
              <w:rPr>
                <w:sz w:val="15"/>
                <w:szCs w:val="15"/>
                <w:color w:val="auto"/>
              </w:rPr>
            </w:pPr>
          </w:p>
        </w:tc>
        <w:tc>
          <w:tcPr>
            <w:tcW w:w="420" w:type="dxa"/>
            <w:vAlign w:val="bottom"/>
          </w:tcPr>
          <w:p>
            <w:pPr>
              <w:spacing w:after="0"/>
              <w:rPr>
                <w:sz w:val="20"/>
                <w:szCs w:val="20"/>
                <w:color w:val="auto"/>
              </w:rPr>
            </w:pPr>
            <w:r>
              <w:rPr>
                <w:rFonts w:ascii="Arial" w:cs="Arial" w:eastAsia="Arial" w:hAnsi="Arial"/>
                <w:sz w:val="14"/>
                <w:szCs w:val="14"/>
                <w:color w:val="auto"/>
              </w:rPr>
              <w:t>(b)</w:t>
            </w:r>
          </w:p>
        </w:tc>
        <w:tc>
          <w:tcPr>
            <w:tcW w:w="1200" w:type="dxa"/>
            <w:vAlign w:val="bottom"/>
            <w:vMerge w:val="restart"/>
          </w:tcPr>
          <w:p>
            <w:pPr>
              <w:jc w:val="center"/>
              <w:spacing w:after="0"/>
              <w:rPr>
                <w:sz w:val="20"/>
                <w:szCs w:val="20"/>
                <w:color w:val="auto"/>
              </w:rPr>
            </w:pPr>
            <w:r>
              <w:rPr>
                <w:rFonts w:ascii="Arial" w:cs="Arial" w:eastAsia="Arial" w:hAnsi="Arial"/>
                <w:sz w:val="21"/>
                <w:szCs w:val="21"/>
                <w:b w:val="1"/>
                <w:bCs w:val="1"/>
                <w:color w:val="auto"/>
              </w:rPr>
              <w:t>Various</w:t>
            </w:r>
          </w:p>
        </w:tc>
        <w:tc>
          <w:tcPr>
            <w:tcW w:w="1260" w:type="dxa"/>
            <w:vAlign w:val="bottom"/>
            <w:vMerge w:val="restart"/>
          </w:tcPr>
          <w:p>
            <w:pPr>
              <w:jc w:val="center"/>
              <w:spacing w:after="0"/>
              <w:rPr>
                <w:sz w:val="20"/>
                <w:szCs w:val="20"/>
                <w:color w:val="auto"/>
              </w:rPr>
            </w:pPr>
            <w:r>
              <w:rPr>
                <w:rFonts w:ascii="Arial" w:cs="Arial" w:eastAsia="Arial" w:hAnsi="Arial"/>
                <w:sz w:val="21"/>
                <w:szCs w:val="21"/>
                <w:b w:val="1"/>
                <w:bCs w:val="1"/>
                <w:color w:val="auto"/>
              </w:rPr>
              <w:t>Various</w:t>
            </w:r>
          </w:p>
        </w:tc>
        <w:tc>
          <w:tcPr>
            <w:tcW w:w="1540" w:type="dxa"/>
            <w:vAlign w:val="bottom"/>
            <w:vMerge w:val="restart"/>
          </w:tcPr>
          <w:p>
            <w:pPr>
              <w:jc w:val="right"/>
              <w:ind w:right="13"/>
              <w:spacing w:after="0"/>
              <w:rPr>
                <w:sz w:val="20"/>
                <w:szCs w:val="20"/>
                <w:color w:val="auto"/>
              </w:rPr>
            </w:pPr>
            <w:r>
              <w:rPr>
                <w:rFonts w:ascii="Arial" w:cs="Arial" w:eastAsia="Arial" w:hAnsi="Arial"/>
                <w:sz w:val="21"/>
                <w:szCs w:val="21"/>
                <w:b w:val="1"/>
                <w:bCs w:val="1"/>
                <w:color w:val="auto"/>
              </w:rPr>
              <w:t>39</w:t>
            </w:r>
          </w:p>
        </w:tc>
        <w:tc>
          <w:tcPr>
            <w:tcW w:w="1240" w:type="dxa"/>
            <w:vAlign w:val="bottom"/>
            <w:vMerge w:val="restart"/>
          </w:tcPr>
          <w:p>
            <w:pPr>
              <w:jc w:val="center"/>
              <w:ind w:left="773"/>
              <w:spacing w:after="0"/>
              <w:rPr>
                <w:sz w:val="20"/>
                <w:szCs w:val="20"/>
                <w:color w:val="auto"/>
              </w:rPr>
            </w:pPr>
            <w:r>
              <w:rPr>
                <w:rFonts w:ascii="Arial" w:cs="Arial" w:eastAsia="Arial" w:hAnsi="Arial"/>
                <w:sz w:val="21"/>
                <w:szCs w:val="21"/>
                <w:b w:val="1"/>
                <w:bCs w:val="1"/>
                <w:color w:val="auto"/>
              </w:rPr>
              <w:t>378</w:t>
            </w:r>
          </w:p>
        </w:tc>
        <w:tc>
          <w:tcPr>
            <w:tcW w:w="0" w:type="dxa"/>
            <w:vAlign w:val="bottom"/>
          </w:tcPr>
          <w:p>
            <w:pPr>
              <w:spacing w:after="0"/>
              <w:rPr>
                <w:sz w:val="1"/>
                <w:szCs w:val="1"/>
                <w:color w:val="auto"/>
              </w:rPr>
            </w:pPr>
          </w:p>
        </w:tc>
      </w:tr>
      <w:tr>
        <w:trPr>
          <w:trHeight w:val="95"/>
        </w:trPr>
        <w:tc>
          <w:tcPr>
            <w:tcW w:w="29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54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960" w:type="dxa"/>
            <w:vAlign w:val="bottom"/>
          </w:tcPr>
          <w:p>
            <w:pPr>
              <w:ind w:left="100"/>
              <w:spacing w:after="0" w:line="219" w:lineRule="exact"/>
              <w:rPr>
                <w:sz w:val="20"/>
                <w:szCs w:val="20"/>
                <w:color w:val="auto"/>
              </w:rPr>
            </w:pPr>
            <w:r>
              <w:rPr>
                <w:rFonts w:ascii="Arial" w:cs="Arial" w:eastAsia="Arial" w:hAnsi="Arial"/>
                <w:sz w:val="21"/>
                <w:szCs w:val="21"/>
                <w:b w:val="1"/>
                <w:bCs w:val="1"/>
                <w:color w:val="auto"/>
              </w:rPr>
              <w:t>Other</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40" w:type="dxa"/>
            <w:vAlign w:val="bottom"/>
            <w:vMerge w:val="restart"/>
          </w:tcPr>
          <w:p>
            <w:pPr>
              <w:jc w:val="right"/>
              <w:ind w:right="13"/>
              <w:spacing w:after="0"/>
              <w:rPr>
                <w:sz w:val="20"/>
                <w:szCs w:val="20"/>
                <w:color w:val="auto"/>
              </w:rPr>
            </w:pPr>
            <w:r>
              <w:rPr>
                <w:rFonts w:ascii="Arial" w:cs="Arial" w:eastAsia="Arial" w:hAnsi="Arial"/>
                <w:sz w:val="21"/>
                <w:szCs w:val="21"/>
                <w:b w:val="1"/>
                <w:bCs w:val="1"/>
                <w:color w:val="auto"/>
              </w:rPr>
              <w:t>746</w:t>
            </w:r>
          </w:p>
        </w:tc>
        <w:tc>
          <w:tcPr>
            <w:tcW w:w="1240" w:type="dxa"/>
            <w:vAlign w:val="bottom"/>
            <w:vMerge w:val="restart"/>
          </w:tcPr>
          <w:p>
            <w:pPr>
              <w:jc w:val="center"/>
              <w:ind w:left="753"/>
              <w:spacing w:after="0"/>
              <w:rPr>
                <w:sz w:val="20"/>
                <w:szCs w:val="20"/>
                <w:color w:val="auto"/>
              </w:rPr>
            </w:pPr>
            <w:r>
              <w:rPr>
                <w:rFonts w:ascii="Arial" w:cs="Arial" w:eastAsia="Arial" w:hAnsi="Arial"/>
                <w:sz w:val="21"/>
                <w:szCs w:val="21"/>
                <w:b w:val="1"/>
                <w:bCs w:val="1"/>
                <w:color w:val="auto"/>
                <w:w w:val="96"/>
              </w:rPr>
              <w:t>776</w:t>
            </w:r>
          </w:p>
        </w:tc>
        <w:tc>
          <w:tcPr>
            <w:tcW w:w="0" w:type="dxa"/>
            <w:vAlign w:val="bottom"/>
          </w:tcPr>
          <w:p>
            <w:pPr>
              <w:spacing w:after="0"/>
              <w:rPr>
                <w:sz w:val="1"/>
                <w:szCs w:val="1"/>
                <w:color w:val="auto"/>
              </w:rPr>
            </w:pPr>
          </w:p>
        </w:tc>
      </w:tr>
      <w:tr>
        <w:trPr>
          <w:trHeight w:val="283"/>
        </w:trPr>
        <w:tc>
          <w:tcPr>
            <w:tcW w:w="2960" w:type="dxa"/>
            <w:vAlign w:val="bottom"/>
          </w:tcPr>
          <w:p>
            <w:pPr>
              <w:ind w:left="100"/>
              <w:spacing w:after="0"/>
              <w:rPr>
                <w:sz w:val="20"/>
                <w:szCs w:val="20"/>
                <w:color w:val="auto"/>
              </w:rPr>
            </w:pPr>
            <w:r>
              <w:rPr>
                <w:rFonts w:ascii="Arial" w:cs="Arial" w:eastAsia="Arial" w:hAnsi="Arial"/>
                <w:sz w:val="21"/>
                <w:szCs w:val="21"/>
                <w:b w:val="1"/>
                <w:bCs w:val="1"/>
                <w:color w:val="auto"/>
              </w:rPr>
              <w:t>Total Debt</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48" w:right="1360" w:hanging="248"/>
        <w:spacing w:after="0" w:line="268" w:lineRule="auto"/>
        <w:tabs>
          <w:tab w:leader="none" w:pos="248" w:val="left"/>
        </w:tabs>
        <w:numPr>
          <w:ilvl w:val="0"/>
          <w:numId w:val="9"/>
        </w:numPr>
        <w:rPr>
          <w:rFonts w:ascii="Arial" w:cs="Arial" w:eastAsia="Arial" w:hAnsi="Arial"/>
          <w:sz w:val="13"/>
          <w:szCs w:val="13"/>
          <w:color w:val="auto"/>
        </w:rPr>
      </w:pPr>
      <w:r>
        <w:rPr>
          <w:rFonts w:ascii="Arial" w:cs="Arial" w:eastAsia="Arial" w:hAnsi="Arial"/>
          <w:sz w:val="13"/>
          <w:szCs w:val="13"/>
          <w:color w:val="auto"/>
        </w:rPr>
        <w:t>This $400M agreement requires, as of March 31, 2011 that we comply with a Debt-to-EBITDA ratio of less than 4.50 to 1 and a fixed charge coverage ratio of greater than 1.25 to 1. As defined in the agreement, we had a Debt-to-EBITDA ratio of 1.52 and a fixed charge coverage ratio of 2.61 as of March 31, 2011. As of March 31, 2011 there were $2.2M of standby letters of credit issued under the agreement.</w:t>
      </w:r>
    </w:p>
    <w:p>
      <w:pPr>
        <w:spacing w:after="0" w:line="162" w:lineRule="exact"/>
        <w:rPr>
          <w:rFonts w:ascii="Arial" w:cs="Arial" w:eastAsia="Arial" w:hAnsi="Arial"/>
          <w:sz w:val="13"/>
          <w:szCs w:val="13"/>
          <w:color w:val="auto"/>
        </w:rPr>
      </w:pPr>
    </w:p>
    <w:p>
      <w:pPr>
        <w:ind w:left="248" w:right="1220" w:hanging="237"/>
        <w:spacing w:after="0" w:line="243" w:lineRule="auto"/>
        <w:tabs>
          <w:tab w:leader="none" w:pos="248" w:val="left"/>
        </w:tabs>
        <w:numPr>
          <w:ilvl w:val="1"/>
          <w:numId w:val="9"/>
        </w:numPr>
        <w:rPr>
          <w:rFonts w:ascii="Arial" w:cs="Arial" w:eastAsia="Arial" w:hAnsi="Arial"/>
          <w:sz w:val="14"/>
          <w:szCs w:val="14"/>
          <w:color w:val="auto"/>
        </w:rPr>
      </w:pPr>
      <w:r>
        <w:rPr>
          <w:rFonts w:ascii="Arial" w:cs="Arial" w:eastAsia="Arial" w:hAnsi="Arial"/>
          <w:sz w:val="14"/>
          <w:szCs w:val="14"/>
          <w:color w:val="auto"/>
        </w:rPr>
        <w:t>Represents subsidiary uncommitted lines of credit &amp; overdraft facilities, which total $415.6M. Total subsidiary borrowings are limited to $300M due to restrictions in our Revolving Credit Facility, with the exception of Q3 when subsidiary borrowings are limited to $600M.</w:t>
      </w: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4"/>
          <w:szCs w:val="14"/>
          <w:color w:val="898989"/>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409575</wp:posOffset>
            </wp:positionV>
            <wp:extent cx="7273290" cy="196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0068"/>
          </w:cols>
          <w:pgMar w:left="832" w:top="438" w:right="999" w:bottom="1440" w:gutter="0" w:footer="0" w:header="0"/>
        </w:sectPr>
      </w:pPr>
    </w:p>
    <w:bookmarkStart w:id="26" w:name="page27"/>
    <w:bookmarkEnd w:id="26"/>
    <w:p>
      <w:pPr>
        <w:spacing w:after="0"/>
        <w:tabs>
          <w:tab w:leader="none" w:pos="8700" w:val="left"/>
        </w:tabs>
        <w:rPr>
          <w:sz w:val="20"/>
          <w:szCs w:val="20"/>
          <w:color w:val="auto"/>
        </w:rPr>
      </w:pPr>
      <w:r>
        <w:rPr>
          <w:rFonts w:ascii="Arial" w:cs="Arial" w:eastAsia="Arial" w:hAnsi="Arial"/>
          <w:sz w:val="24"/>
          <w:szCs w:val="24"/>
          <w:b w:val="1"/>
          <w:bCs w:val="1"/>
          <w:color w:val="FFFFFF"/>
        </w:rPr>
        <w:drawing>
          <wp:anchor simplePos="0" relativeHeight="251657728" behindDoc="1" locked="0" layoutInCell="0" allowOverlap="1">
            <wp:simplePos x="0" y="0"/>
            <wp:positionH relativeFrom="page">
              <wp:posOffset>299720</wp:posOffset>
            </wp:positionH>
            <wp:positionV relativeFrom="page">
              <wp:posOffset>168910</wp:posOffset>
            </wp:positionV>
            <wp:extent cx="6969760" cy="5227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6969760" cy="5227320"/>
                    </a:xfrm>
                    <a:prstGeom prst="rect">
                      <a:avLst/>
                    </a:prstGeom>
                    <a:noFill/>
                  </pic:spPr>
                </pic:pic>
              </a:graphicData>
            </a:graphic>
          </wp:anchor>
        </w:drawing>
        <w:t>ManpowerGroup 2011 1</w:t>
      </w:r>
      <w:r>
        <w:rPr>
          <w:rFonts w:ascii="Arial" w:cs="Arial" w:eastAsia="Arial" w:hAnsi="Arial"/>
          <w:sz w:val="17"/>
          <w:szCs w:val="17"/>
          <w:b w:val="1"/>
          <w:bCs w:val="1"/>
          <w:color w:val="FFFFFF"/>
        </w:rPr>
        <w:t>st</w:t>
      </w:r>
      <w:r>
        <w:rPr>
          <w:rFonts w:ascii="Arial" w:cs="Arial" w:eastAsia="Arial" w:hAnsi="Arial"/>
          <w:sz w:val="24"/>
          <w:szCs w:val="24"/>
          <w:b w:val="1"/>
          <w:bCs w:val="1"/>
          <w:color w:val="FFFFFF"/>
        </w:rPr>
        <w:t xml:space="preserve"> Quarter Results</w:t>
      </w:r>
      <w:r>
        <w:rPr>
          <w:sz w:val="20"/>
          <w:szCs w:val="20"/>
          <w:color w:val="auto"/>
        </w:rPr>
        <w:tab/>
      </w:r>
      <w:r>
        <w:rPr>
          <w:rFonts w:ascii="Arial" w:cs="Arial" w:eastAsia="Arial" w:hAnsi="Arial"/>
          <w:sz w:val="24"/>
          <w:szCs w:val="24"/>
          <w:b w:val="1"/>
          <w:bCs w:val="1"/>
          <w:color w:val="FFFFFF"/>
        </w:rPr>
        <w:t>April 2011</w:t>
      </w:r>
    </w:p>
    <w:p>
      <w:pPr>
        <w:spacing w:after="0" w:line="194" w:lineRule="exact"/>
        <w:rPr>
          <w:sz w:val="20"/>
          <w:szCs w:val="20"/>
          <w:color w:val="auto"/>
        </w:rPr>
      </w:pPr>
    </w:p>
    <w:p>
      <w:pPr>
        <w:ind w:left="160"/>
        <w:spacing w:after="0"/>
        <w:rPr>
          <w:sz w:val="20"/>
          <w:szCs w:val="20"/>
          <w:color w:val="auto"/>
        </w:rPr>
      </w:pPr>
      <w:r>
        <w:rPr>
          <w:rFonts w:ascii="Arial" w:cs="Arial" w:eastAsia="Arial" w:hAnsi="Arial"/>
          <w:sz w:val="49"/>
          <w:szCs w:val="49"/>
          <w:color w:val="5F81AA"/>
        </w:rPr>
        <w:t>Second Quarter Outlook</w:t>
      </w:r>
    </w:p>
    <w:p>
      <w:pPr>
        <w:sectPr>
          <w:pgSz w:w="11900" w:h="16838" w:orient="portrait"/>
          <w:cols w:equalWidth="0" w:num="1">
            <w:col w:w="10020"/>
          </w:cols>
          <w:pgMar w:left="880" w:top="438"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0"/>
        <w:spacing w:after="0"/>
        <w:tabs>
          <w:tab w:leader="none" w:pos="3100" w:val="left"/>
        </w:tabs>
        <w:rPr>
          <w:sz w:val="20"/>
          <w:szCs w:val="20"/>
          <w:color w:val="auto"/>
        </w:rPr>
      </w:pPr>
      <w:r>
        <w:rPr>
          <w:rFonts w:ascii="Arial" w:cs="Arial" w:eastAsia="Arial" w:hAnsi="Arial"/>
          <w:sz w:val="28"/>
          <w:szCs w:val="28"/>
          <w:b w:val="1"/>
          <w:bCs w:val="1"/>
          <w:color w:val="6698C2"/>
        </w:rPr>
        <w:t>Revenue</w:t>
      </w:r>
      <w:r>
        <w:rPr>
          <w:sz w:val="20"/>
          <w:szCs w:val="20"/>
          <w:color w:val="auto"/>
        </w:rPr>
        <w:tab/>
      </w:r>
      <w:r>
        <w:rPr>
          <w:rFonts w:ascii="Arial" w:cs="Arial" w:eastAsia="Arial" w:hAnsi="Arial"/>
          <w:sz w:val="47"/>
          <w:szCs w:val="47"/>
          <w:b w:val="1"/>
          <w:bCs w:val="1"/>
          <w:color w:val="auto"/>
          <w:vertAlign w:val="superscript"/>
        </w:rPr>
        <w:t>Total</w:t>
      </w:r>
    </w:p>
    <w:p>
      <w:pPr>
        <w:ind w:left="2480"/>
        <w:spacing w:after="0"/>
        <w:rPr>
          <w:sz w:val="20"/>
          <w:szCs w:val="20"/>
          <w:color w:val="auto"/>
        </w:rPr>
      </w:pPr>
      <w:r>
        <w:rPr>
          <w:rFonts w:ascii="Arial" w:cs="Arial" w:eastAsia="Arial" w:hAnsi="Arial"/>
          <w:sz w:val="30"/>
          <w:szCs w:val="30"/>
          <w:b w:val="1"/>
          <w:bCs w:val="1"/>
          <w:color w:val="auto"/>
        </w:rPr>
        <w:t>Americas</w:t>
      </w:r>
    </w:p>
    <w:p>
      <w:pPr>
        <w:spacing w:after="0" w:line="97" w:lineRule="exact"/>
        <w:rPr>
          <w:sz w:val="20"/>
          <w:szCs w:val="20"/>
          <w:color w:val="auto"/>
        </w:rPr>
      </w:pPr>
    </w:p>
    <w:p>
      <w:pPr>
        <w:ind w:left="1920"/>
        <w:spacing w:after="0"/>
        <w:rPr>
          <w:sz w:val="20"/>
          <w:szCs w:val="20"/>
          <w:color w:val="auto"/>
        </w:rPr>
      </w:pPr>
      <w:r>
        <w:rPr>
          <w:rFonts w:ascii="Arial" w:cs="Arial" w:eastAsia="Arial" w:hAnsi="Arial"/>
          <w:sz w:val="30"/>
          <w:szCs w:val="30"/>
          <w:b w:val="1"/>
          <w:bCs w:val="1"/>
          <w:color w:val="auto"/>
        </w:rPr>
        <w:t>Southern</w:t>
      </w:r>
    </w:p>
    <w:p>
      <w:pPr>
        <w:spacing w:after="0" w:line="47" w:lineRule="exact"/>
        <w:rPr>
          <w:sz w:val="20"/>
          <w:szCs w:val="20"/>
          <w:color w:val="auto"/>
        </w:rPr>
      </w:pPr>
    </w:p>
    <w:p>
      <w:pPr>
        <w:jc w:val="right"/>
        <w:ind w:left="1420" w:right="40"/>
        <w:spacing w:after="0" w:line="343" w:lineRule="auto"/>
        <w:rPr>
          <w:sz w:val="20"/>
          <w:szCs w:val="20"/>
          <w:color w:val="auto"/>
        </w:rPr>
      </w:pPr>
      <w:r>
        <w:rPr>
          <w:rFonts w:ascii="Arial" w:cs="Arial" w:eastAsia="Arial" w:hAnsi="Arial"/>
          <w:sz w:val="21"/>
          <w:szCs w:val="21"/>
          <w:b w:val="1"/>
          <w:bCs w:val="1"/>
          <w:color w:val="auto"/>
        </w:rPr>
        <w:t>Northern</w:t>
      </w:r>
      <w:r>
        <w:rPr>
          <w:rFonts w:ascii="Arial" w:cs="Arial" w:eastAsia="Arial" w:hAnsi="Arial"/>
          <w:sz w:val="33"/>
          <w:szCs w:val="33"/>
          <w:b w:val="1"/>
          <w:bCs w:val="1"/>
          <w:color w:val="auto"/>
          <w:vertAlign w:val="superscript"/>
        </w:rPr>
        <w:t>Europe</w:t>
      </w:r>
      <w:r>
        <w:rPr>
          <w:rFonts w:ascii="Arial" w:cs="Arial" w:eastAsia="Arial" w:hAnsi="Arial"/>
          <w:sz w:val="21"/>
          <w:szCs w:val="21"/>
          <w:b w:val="1"/>
          <w:bCs w:val="1"/>
          <w:color w:val="auto"/>
        </w:rPr>
        <w:t>Europe APME</w:t>
      </w:r>
    </w:p>
    <w:p>
      <w:pPr>
        <w:spacing w:after="0" w:line="1" w:lineRule="exact"/>
        <w:rPr>
          <w:sz w:val="20"/>
          <w:szCs w:val="20"/>
          <w:color w:val="auto"/>
        </w:rPr>
      </w:pPr>
    </w:p>
    <w:p>
      <w:pPr>
        <w:jc w:val="center"/>
        <w:ind w:left="1080"/>
        <w:spacing w:after="0"/>
        <w:rPr>
          <w:sz w:val="20"/>
          <w:szCs w:val="20"/>
          <w:color w:val="auto"/>
        </w:rPr>
      </w:pPr>
      <w:r>
        <w:rPr>
          <w:rFonts w:ascii="Arial" w:cs="Arial" w:eastAsia="Arial" w:hAnsi="Arial"/>
          <w:sz w:val="30"/>
          <w:szCs w:val="30"/>
          <w:b w:val="1"/>
          <w:bCs w:val="1"/>
          <w:color w:val="auto"/>
        </w:rPr>
        <w:t>Right</w:t>
      </w:r>
    </w:p>
    <w:p>
      <w:pPr>
        <w:jc w:val="center"/>
        <w:ind w:left="1080"/>
        <w:spacing w:after="0" w:line="180" w:lineRule="auto"/>
        <w:rPr>
          <w:sz w:val="20"/>
          <w:szCs w:val="20"/>
          <w:color w:val="auto"/>
        </w:rPr>
      </w:pPr>
      <w:r>
        <w:rPr>
          <w:rFonts w:ascii="Arial" w:cs="Arial" w:eastAsia="Arial" w:hAnsi="Arial"/>
          <w:sz w:val="30"/>
          <w:szCs w:val="30"/>
          <w:b w:val="1"/>
          <w:bCs w:val="1"/>
          <w:color w:val="auto"/>
        </w:rPr>
        <w:t>Management</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34"/>
          <w:szCs w:val="34"/>
          <w:b w:val="1"/>
          <w:bCs w:val="1"/>
          <w:color w:val="6698C2"/>
        </w:rPr>
        <w:t>Gross Profit</w:t>
      </w:r>
    </w:p>
    <w:p>
      <w:pPr>
        <w:ind w:left="1080"/>
        <w:spacing w:after="0" w:line="183" w:lineRule="auto"/>
        <w:rPr>
          <w:sz w:val="20"/>
          <w:szCs w:val="20"/>
          <w:color w:val="auto"/>
        </w:rPr>
      </w:pPr>
      <w:r>
        <w:rPr>
          <w:rFonts w:ascii="Arial" w:cs="Arial" w:eastAsia="Arial" w:hAnsi="Arial"/>
          <w:sz w:val="18"/>
          <w:szCs w:val="18"/>
          <w:b w:val="1"/>
          <w:bCs w:val="1"/>
          <w:color w:val="6698C2"/>
        </w:rPr>
        <w:t>Margin</w:t>
      </w:r>
    </w:p>
    <w:p>
      <w:pPr>
        <w:ind w:left="60" w:firstLine="60"/>
        <w:spacing w:after="0" w:line="365" w:lineRule="auto"/>
        <w:rPr>
          <w:sz w:val="20"/>
          <w:szCs w:val="20"/>
          <w:color w:val="auto"/>
        </w:rPr>
      </w:pPr>
      <w:r>
        <w:rPr>
          <w:rFonts w:ascii="Arial" w:cs="Arial" w:eastAsia="Arial" w:hAnsi="Arial"/>
          <w:sz w:val="34"/>
          <w:szCs w:val="34"/>
          <w:b w:val="1"/>
          <w:bCs w:val="1"/>
          <w:color w:val="6698C2"/>
        </w:rPr>
        <w:t>Operating Profit Margin Tax Rate</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34"/>
          <w:szCs w:val="34"/>
          <w:b w:val="1"/>
          <w:bCs w:val="1"/>
          <w:color w:val="6698C2"/>
        </w:rPr>
        <w:t>EPS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54"/>
        </w:trPr>
        <w:tc>
          <w:tcPr>
            <w:tcW w:w="1800" w:type="dxa"/>
            <w:vAlign w:val="bottom"/>
          </w:tcPr>
          <w:p>
            <w:pPr>
              <w:ind w:left="300"/>
              <w:spacing w:after="0"/>
              <w:rPr>
                <w:sz w:val="20"/>
                <w:szCs w:val="20"/>
                <w:color w:val="auto"/>
              </w:rPr>
            </w:pPr>
            <w:r>
              <w:rPr>
                <w:rFonts w:ascii="Arial" w:cs="Arial" w:eastAsia="Arial" w:hAnsi="Arial"/>
                <w:sz w:val="30"/>
                <w:szCs w:val="30"/>
                <w:color w:val="auto"/>
              </w:rPr>
              <w:t>Up 20-</w:t>
            </w:r>
          </w:p>
        </w:tc>
        <w:tc>
          <w:tcPr>
            <w:tcW w:w="2560" w:type="dxa"/>
            <w:vAlign w:val="bottom"/>
          </w:tcPr>
          <w:p>
            <w:pPr>
              <w:jc w:val="center"/>
              <w:ind w:right="511"/>
              <w:spacing w:after="0"/>
              <w:rPr>
                <w:sz w:val="20"/>
                <w:szCs w:val="20"/>
                <w:color w:val="auto"/>
              </w:rPr>
            </w:pPr>
            <w:r>
              <w:rPr>
                <w:rFonts w:ascii="Arial" w:cs="Arial" w:eastAsia="Arial" w:hAnsi="Arial"/>
                <w:sz w:val="30"/>
                <w:szCs w:val="30"/>
                <w:color w:val="auto"/>
              </w:rPr>
              <w:t>(Up 10-12%</w:t>
            </w:r>
          </w:p>
        </w:tc>
        <w:tc>
          <w:tcPr>
            <w:tcW w:w="0" w:type="dxa"/>
            <w:vAlign w:val="bottom"/>
          </w:tcPr>
          <w:p>
            <w:pPr>
              <w:spacing w:after="0"/>
              <w:rPr>
                <w:sz w:val="1"/>
                <w:szCs w:val="1"/>
                <w:color w:val="auto"/>
              </w:rPr>
            </w:pPr>
          </w:p>
        </w:tc>
      </w:tr>
      <w:tr>
        <w:trPr>
          <w:trHeight w:val="299"/>
        </w:trPr>
        <w:tc>
          <w:tcPr>
            <w:tcW w:w="1800" w:type="dxa"/>
            <w:vAlign w:val="bottom"/>
          </w:tcPr>
          <w:p>
            <w:pPr>
              <w:ind w:left="360"/>
              <w:spacing w:after="0" w:line="298" w:lineRule="exact"/>
              <w:rPr>
                <w:sz w:val="20"/>
                <w:szCs w:val="20"/>
                <w:color w:val="auto"/>
              </w:rPr>
            </w:pPr>
            <w:r>
              <w:rPr>
                <w:rFonts w:ascii="Arial" w:cs="Arial" w:eastAsia="Arial" w:hAnsi="Arial"/>
                <w:sz w:val="30"/>
                <w:szCs w:val="30"/>
                <w:color w:val="auto"/>
              </w:rPr>
              <w:t>22%</w:t>
            </w:r>
          </w:p>
        </w:tc>
        <w:tc>
          <w:tcPr>
            <w:tcW w:w="2560" w:type="dxa"/>
            <w:vAlign w:val="bottom"/>
          </w:tcPr>
          <w:p>
            <w:pPr>
              <w:jc w:val="center"/>
              <w:ind w:right="511"/>
              <w:spacing w:after="0" w:line="298" w:lineRule="exact"/>
              <w:rPr>
                <w:sz w:val="20"/>
                <w:szCs w:val="20"/>
                <w:color w:val="auto"/>
              </w:rPr>
            </w:pPr>
            <w:r>
              <w:rPr>
                <w:rFonts w:ascii="Arial" w:cs="Arial" w:eastAsia="Arial" w:hAnsi="Arial"/>
                <w:sz w:val="30"/>
                <w:szCs w:val="30"/>
                <w:color w:val="auto"/>
              </w:rPr>
              <w:t>CC)</w:t>
            </w:r>
          </w:p>
        </w:tc>
        <w:tc>
          <w:tcPr>
            <w:tcW w:w="0" w:type="dxa"/>
            <w:vAlign w:val="bottom"/>
          </w:tcPr>
          <w:p>
            <w:pPr>
              <w:spacing w:after="0"/>
              <w:rPr>
                <w:sz w:val="1"/>
                <w:szCs w:val="1"/>
                <w:color w:val="auto"/>
              </w:rPr>
            </w:pPr>
          </w:p>
        </w:tc>
      </w:tr>
      <w:tr>
        <w:trPr>
          <w:trHeight w:val="193"/>
        </w:trPr>
        <w:tc>
          <w:tcPr>
            <w:tcW w:w="1800" w:type="dxa"/>
            <w:vAlign w:val="bottom"/>
          </w:tcPr>
          <w:p>
            <w:pPr>
              <w:ind w:left="300"/>
              <w:spacing w:after="0" w:line="193" w:lineRule="exact"/>
              <w:rPr>
                <w:sz w:val="20"/>
                <w:szCs w:val="20"/>
                <w:color w:val="auto"/>
              </w:rPr>
            </w:pPr>
            <w:r>
              <w:rPr>
                <w:rFonts w:ascii="Arial" w:cs="Arial" w:eastAsia="Arial" w:hAnsi="Arial"/>
                <w:sz w:val="22"/>
                <w:szCs w:val="22"/>
                <w:color w:val="auto"/>
              </w:rPr>
              <w:t>Up 13-</w:t>
            </w:r>
          </w:p>
        </w:tc>
        <w:tc>
          <w:tcPr>
            <w:tcW w:w="2560" w:type="dxa"/>
            <w:vAlign w:val="bottom"/>
          </w:tcPr>
          <w:p>
            <w:pPr>
              <w:jc w:val="center"/>
              <w:ind w:right="491"/>
              <w:spacing w:after="0" w:line="193" w:lineRule="exact"/>
              <w:rPr>
                <w:sz w:val="20"/>
                <w:szCs w:val="20"/>
                <w:color w:val="auto"/>
              </w:rPr>
            </w:pPr>
            <w:r>
              <w:rPr>
                <w:rFonts w:ascii="Arial" w:cs="Arial" w:eastAsia="Arial" w:hAnsi="Arial"/>
                <w:sz w:val="22"/>
                <w:szCs w:val="22"/>
                <w:color w:val="auto"/>
              </w:rPr>
              <w:t>(Up 12-14%</w:t>
            </w:r>
          </w:p>
        </w:tc>
        <w:tc>
          <w:tcPr>
            <w:tcW w:w="0" w:type="dxa"/>
            <w:vAlign w:val="bottom"/>
          </w:tcPr>
          <w:p>
            <w:pPr>
              <w:spacing w:after="0"/>
              <w:rPr>
                <w:sz w:val="1"/>
                <w:szCs w:val="1"/>
                <w:color w:val="auto"/>
              </w:rPr>
            </w:pPr>
          </w:p>
        </w:tc>
      </w:tr>
      <w:tr>
        <w:trPr>
          <w:trHeight w:val="276"/>
        </w:trPr>
        <w:tc>
          <w:tcPr>
            <w:tcW w:w="1800" w:type="dxa"/>
            <w:vAlign w:val="bottom"/>
            <w:vMerge w:val="restart"/>
          </w:tcPr>
          <w:p>
            <w:pPr>
              <w:ind w:left="360"/>
              <w:spacing w:after="0" w:line="298" w:lineRule="exact"/>
              <w:rPr>
                <w:sz w:val="20"/>
                <w:szCs w:val="20"/>
                <w:color w:val="auto"/>
              </w:rPr>
            </w:pPr>
            <w:r>
              <w:rPr>
                <w:rFonts w:ascii="Arial" w:cs="Arial" w:eastAsia="Arial" w:hAnsi="Arial"/>
                <w:sz w:val="30"/>
                <w:szCs w:val="30"/>
                <w:color w:val="auto"/>
              </w:rPr>
              <w:t>15%</w:t>
            </w:r>
          </w:p>
        </w:tc>
        <w:tc>
          <w:tcPr>
            <w:tcW w:w="2560" w:type="dxa"/>
            <w:vAlign w:val="bottom"/>
          </w:tcPr>
          <w:p>
            <w:pPr>
              <w:jc w:val="center"/>
              <w:ind w:right="491"/>
              <w:spacing w:after="0" w:line="275" w:lineRule="exact"/>
              <w:rPr>
                <w:sz w:val="20"/>
                <w:szCs w:val="20"/>
                <w:color w:val="auto"/>
              </w:rPr>
            </w:pPr>
            <w:r>
              <w:rPr>
                <w:rFonts w:ascii="Arial" w:cs="Arial" w:eastAsia="Arial" w:hAnsi="Arial"/>
                <w:sz w:val="30"/>
                <w:szCs w:val="30"/>
                <w:color w:val="auto"/>
              </w:rPr>
              <w:t>CC)</w:t>
            </w:r>
          </w:p>
        </w:tc>
        <w:tc>
          <w:tcPr>
            <w:tcW w:w="0" w:type="dxa"/>
            <w:vAlign w:val="bottom"/>
          </w:tcPr>
          <w:p>
            <w:pPr>
              <w:spacing w:after="0"/>
              <w:rPr>
                <w:sz w:val="1"/>
                <w:szCs w:val="1"/>
                <w:color w:val="auto"/>
              </w:rPr>
            </w:pPr>
          </w:p>
        </w:tc>
      </w:tr>
      <w:tr>
        <w:trPr>
          <w:trHeight w:val="23"/>
        </w:trPr>
        <w:tc>
          <w:tcPr>
            <w:tcW w:w="1800" w:type="dxa"/>
            <w:vAlign w:val="bottom"/>
            <w:vMerge w:val="continue"/>
          </w:tcPr>
          <w:p>
            <w:pPr>
              <w:spacing w:after="0" w:line="20" w:lineRule="exact"/>
              <w:rPr>
                <w:sz w:val="1"/>
                <w:szCs w:val="1"/>
                <w:color w:val="auto"/>
              </w:rPr>
            </w:pPr>
          </w:p>
        </w:tc>
        <w:tc>
          <w:tcPr>
            <w:tcW w:w="2560" w:type="dxa"/>
            <w:vAlign w:val="bottom"/>
            <w:vMerge w:val="restart"/>
          </w:tcPr>
          <w:p>
            <w:pPr>
              <w:jc w:val="center"/>
              <w:ind w:right="491"/>
              <w:spacing w:after="0" w:line="158" w:lineRule="exact"/>
              <w:rPr>
                <w:sz w:val="20"/>
                <w:szCs w:val="20"/>
                <w:color w:val="auto"/>
              </w:rPr>
            </w:pPr>
            <w:r>
              <w:rPr>
                <w:rFonts w:ascii="Arial" w:cs="Arial" w:eastAsia="Arial" w:hAnsi="Arial"/>
                <w:sz w:val="18"/>
                <w:szCs w:val="18"/>
                <w:color w:val="auto"/>
              </w:rPr>
              <w:t>(Up 11-13%</w:t>
            </w:r>
          </w:p>
        </w:tc>
        <w:tc>
          <w:tcPr>
            <w:tcW w:w="0" w:type="dxa"/>
            <w:vAlign w:val="bottom"/>
          </w:tcPr>
          <w:p>
            <w:pPr>
              <w:spacing w:after="0" w:line="20" w:lineRule="exact"/>
              <w:rPr>
                <w:sz w:val="1"/>
                <w:szCs w:val="1"/>
                <w:color w:val="auto"/>
              </w:rPr>
            </w:pPr>
          </w:p>
        </w:tc>
      </w:tr>
      <w:tr>
        <w:trPr>
          <w:trHeight w:val="136"/>
        </w:trPr>
        <w:tc>
          <w:tcPr>
            <w:tcW w:w="1800" w:type="dxa"/>
            <w:vAlign w:val="bottom"/>
          </w:tcPr>
          <w:p>
            <w:pPr>
              <w:ind w:left="300"/>
              <w:spacing w:after="0" w:line="136" w:lineRule="exact"/>
              <w:rPr>
                <w:sz w:val="20"/>
                <w:szCs w:val="20"/>
                <w:color w:val="auto"/>
              </w:rPr>
            </w:pPr>
            <w:r>
              <w:rPr>
                <w:rFonts w:ascii="Arial" w:cs="Arial" w:eastAsia="Arial" w:hAnsi="Arial"/>
                <w:sz w:val="15"/>
                <w:szCs w:val="15"/>
                <w:color w:val="auto"/>
              </w:rPr>
              <w:t>Up 25-</w:t>
            </w:r>
          </w:p>
        </w:tc>
        <w:tc>
          <w:tcPr>
            <w:tcW w:w="2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7"/>
        </w:trPr>
        <w:tc>
          <w:tcPr>
            <w:tcW w:w="1800" w:type="dxa"/>
            <w:vAlign w:val="bottom"/>
          </w:tcPr>
          <w:p>
            <w:pPr>
              <w:ind w:left="360"/>
              <w:spacing w:after="0" w:line="287" w:lineRule="exact"/>
              <w:rPr>
                <w:sz w:val="20"/>
                <w:szCs w:val="20"/>
                <w:color w:val="auto"/>
              </w:rPr>
            </w:pPr>
            <w:r>
              <w:rPr>
                <w:rFonts w:ascii="Arial" w:cs="Arial" w:eastAsia="Arial" w:hAnsi="Arial"/>
                <w:sz w:val="30"/>
                <w:szCs w:val="30"/>
                <w:color w:val="auto"/>
              </w:rPr>
              <w:t>27%</w:t>
            </w:r>
          </w:p>
        </w:tc>
        <w:tc>
          <w:tcPr>
            <w:tcW w:w="2560" w:type="dxa"/>
            <w:vAlign w:val="bottom"/>
          </w:tcPr>
          <w:p>
            <w:pPr>
              <w:jc w:val="center"/>
              <w:ind w:right="491"/>
              <w:spacing w:after="0" w:line="287" w:lineRule="exact"/>
              <w:rPr>
                <w:sz w:val="20"/>
                <w:szCs w:val="20"/>
                <w:color w:val="auto"/>
              </w:rPr>
            </w:pPr>
            <w:r>
              <w:rPr>
                <w:rFonts w:ascii="Arial" w:cs="Arial" w:eastAsia="Arial" w:hAnsi="Arial"/>
                <w:sz w:val="30"/>
                <w:szCs w:val="30"/>
                <w:color w:val="auto"/>
              </w:rPr>
              <w:t>CC)</w:t>
            </w:r>
          </w:p>
        </w:tc>
        <w:tc>
          <w:tcPr>
            <w:tcW w:w="0" w:type="dxa"/>
            <w:vAlign w:val="bottom"/>
          </w:tcPr>
          <w:p>
            <w:pPr>
              <w:spacing w:after="0"/>
              <w:rPr>
                <w:sz w:val="1"/>
                <w:szCs w:val="1"/>
                <w:color w:val="auto"/>
              </w:rPr>
            </w:pPr>
          </w:p>
        </w:tc>
      </w:tr>
      <w:tr>
        <w:trPr>
          <w:trHeight w:val="147"/>
        </w:trPr>
        <w:tc>
          <w:tcPr>
            <w:tcW w:w="1800" w:type="dxa"/>
            <w:vAlign w:val="bottom"/>
          </w:tcPr>
          <w:p>
            <w:pPr>
              <w:ind w:left="320"/>
              <w:spacing w:after="0" w:line="147" w:lineRule="exact"/>
              <w:rPr>
                <w:sz w:val="20"/>
                <w:szCs w:val="20"/>
                <w:color w:val="auto"/>
              </w:rPr>
            </w:pPr>
            <w:r>
              <w:rPr>
                <w:rFonts w:ascii="Arial" w:cs="Arial" w:eastAsia="Arial" w:hAnsi="Arial"/>
                <w:sz w:val="17"/>
                <w:szCs w:val="17"/>
                <w:color w:val="auto"/>
              </w:rPr>
              <w:t>Up 23-</w:t>
            </w:r>
          </w:p>
        </w:tc>
        <w:tc>
          <w:tcPr>
            <w:tcW w:w="2560" w:type="dxa"/>
            <w:vAlign w:val="bottom"/>
          </w:tcPr>
          <w:p>
            <w:pPr>
              <w:jc w:val="center"/>
              <w:ind w:right="451"/>
              <w:spacing w:after="0" w:line="147" w:lineRule="exact"/>
              <w:rPr>
                <w:sz w:val="20"/>
                <w:szCs w:val="20"/>
                <w:color w:val="auto"/>
              </w:rPr>
            </w:pPr>
            <w:r>
              <w:rPr>
                <w:rFonts w:ascii="Arial" w:cs="Arial" w:eastAsia="Arial" w:hAnsi="Arial"/>
                <w:sz w:val="17"/>
                <w:szCs w:val="17"/>
                <w:color w:val="auto"/>
              </w:rPr>
              <w:t>(Up 10-12%</w:t>
            </w:r>
          </w:p>
        </w:tc>
        <w:tc>
          <w:tcPr>
            <w:tcW w:w="0" w:type="dxa"/>
            <w:vAlign w:val="bottom"/>
          </w:tcPr>
          <w:p>
            <w:pPr>
              <w:spacing w:after="0"/>
              <w:rPr>
                <w:sz w:val="1"/>
                <w:szCs w:val="1"/>
                <w:color w:val="auto"/>
              </w:rPr>
            </w:pPr>
          </w:p>
        </w:tc>
      </w:tr>
      <w:tr>
        <w:trPr>
          <w:trHeight w:val="276"/>
        </w:trPr>
        <w:tc>
          <w:tcPr>
            <w:tcW w:w="1800" w:type="dxa"/>
            <w:vAlign w:val="bottom"/>
            <w:vMerge w:val="restart"/>
          </w:tcPr>
          <w:p>
            <w:pPr>
              <w:ind w:left="380"/>
              <w:spacing w:after="0" w:line="298" w:lineRule="exact"/>
              <w:rPr>
                <w:sz w:val="20"/>
                <w:szCs w:val="20"/>
                <w:color w:val="auto"/>
              </w:rPr>
            </w:pPr>
            <w:r>
              <w:rPr>
                <w:rFonts w:ascii="Arial" w:cs="Arial" w:eastAsia="Arial" w:hAnsi="Arial"/>
                <w:sz w:val="30"/>
                <w:szCs w:val="30"/>
                <w:color w:val="auto"/>
              </w:rPr>
              <w:t>25%</w:t>
            </w:r>
          </w:p>
        </w:tc>
        <w:tc>
          <w:tcPr>
            <w:tcW w:w="2560" w:type="dxa"/>
            <w:vAlign w:val="bottom"/>
          </w:tcPr>
          <w:p>
            <w:pPr>
              <w:jc w:val="center"/>
              <w:ind w:right="451"/>
              <w:spacing w:after="0" w:line="275" w:lineRule="exact"/>
              <w:rPr>
                <w:sz w:val="20"/>
                <w:szCs w:val="20"/>
                <w:color w:val="auto"/>
              </w:rPr>
            </w:pPr>
            <w:r>
              <w:rPr>
                <w:rFonts w:ascii="Arial" w:cs="Arial" w:eastAsia="Arial" w:hAnsi="Arial"/>
                <w:sz w:val="30"/>
                <w:szCs w:val="30"/>
                <w:color w:val="auto"/>
              </w:rPr>
              <w:t>CC)</w:t>
            </w:r>
          </w:p>
        </w:tc>
        <w:tc>
          <w:tcPr>
            <w:tcW w:w="0" w:type="dxa"/>
            <w:vAlign w:val="bottom"/>
          </w:tcPr>
          <w:p>
            <w:pPr>
              <w:spacing w:after="0"/>
              <w:rPr>
                <w:sz w:val="1"/>
                <w:szCs w:val="1"/>
                <w:color w:val="auto"/>
              </w:rPr>
            </w:pPr>
          </w:p>
        </w:tc>
      </w:tr>
      <w:tr>
        <w:trPr>
          <w:trHeight w:val="23"/>
        </w:trPr>
        <w:tc>
          <w:tcPr>
            <w:tcW w:w="1800" w:type="dxa"/>
            <w:vAlign w:val="bottom"/>
            <w:vMerge w:val="continue"/>
          </w:tcPr>
          <w:p>
            <w:pPr>
              <w:spacing w:after="0" w:line="20" w:lineRule="exact"/>
              <w:rPr>
                <w:sz w:val="1"/>
                <w:szCs w:val="1"/>
                <w:color w:val="auto"/>
              </w:rPr>
            </w:pPr>
          </w:p>
        </w:tc>
        <w:tc>
          <w:tcPr>
            <w:tcW w:w="2560" w:type="dxa"/>
            <w:vAlign w:val="bottom"/>
            <w:vMerge w:val="restart"/>
          </w:tcPr>
          <w:p>
            <w:pPr>
              <w:ind w:left="160"/>
              <w:spacing w:after="0" w:line="158" w:lineRule="exact"/>
              <w:rPr>
                <w:sz w:val="20"/>
                <w:szCs w:val="20"/>
                <w:color w:val="auto"/>
              </w:rPr>
            </w:pPr>
            <w:r>
              <w:rPr>
                <w:rFonts w:ascii="Arial" w:cs="Arial" w:eastAsia="Arial" w:hAnsi="Arial"/>
                <w:sz w:val="18"/>
                <w:szCs w:val="18"/>
                <w:color w:val="auto"/>
              </w:rPr>
              <w:t>(Up 7-9%</w:t>
            </w:r>
          </w:p>
        </w:tc>
        <w:tc>
          <w:tcPr>
            <w:tcW w:w="0" w:type="dxa"/>
            <w:vAlign w:val="bottom"/>
          </w:tcPr>
          <w:p>
            <w:pPr>
              <w:spacing w:after="0" w:line="20" w:lineRule="exact"/>
              <w:rPr>
                <w:sz w:val="1"/>
                <w:szCs w:val="1"/>
                <w:color w:val="auto"/>
              </w:rPr>
            </w:pPr>
          </w:p>
        </w:tc>
      </w:tr>
      <w:tr>
        <w:trPr>
          <w:trHeight w:val="136"/>
        </w:trPr>
        <w:tc>
          <w:tcPr>
            <w:tcW w:w="1800" w:type="dxa"/>
            <w:vAlign w:val="bottom"/>
          </w:tcPr>
          <w:p>
            <w:pPr>
              <w:ind w:left="320"/>
              <w:spacing w:after="0" w:line="136" w:lineRule="exact"/>
              <w:rPr>
                <w:sz w:val="20"/>
                <w:szCs w:val="20"/>
                <w:color w:val="auto"/>
              </w:rPr>
            </w:pPr>
            <w:r>
              <w:rPr>
                <w:rFonts w:ascii="Arial" w:cs="Arial" w:eastAsia="Arial" w:hAnsi="Arial"/>
                <w:sz w:val="15"/>
                <w:szCs w:val="15"/>
                <w:color w:val="auto"/>
              </w:rPr>
              <w:t>Up 17-</w:t>
            </w:r>
          </w:p>
        </w:tc>
        <w:tc>
          <w:tcPr>
            <w:tcW w:w="2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7"/>
        </w:trPr>
        <w:tc>
          <w:tcPr>
            <w:tcW w:w="1800" w:type="dxa"/>
            <w:vAlign w:val="bottom"/>
          </w:tcPr>
          <w:p>
            <w:pPr>
              <w:ind w:left="380"/>
              <w:spacing w:after="0" w:line="287" w:lineRule="exact"/>
              <w:rPr>
                <w:sz w:val="20"/>
                <w:szCs w:val="20"/>
                <w:color w:val="auto"/>
              </w:rPr>
            </w:pPr>
            <w:r>
              <w:rPr>
                <w:rFonts w:ascii="Arial" w:cs="Arial" w:eastAsia="Arial" w:hAnsi="Arial"/>
                <w:sz w:val="30"/>
                <w:szCs w:val="30"/>
                <w:color w:val="auto"/>
              </w:rPr>
              <w:t>19%</w:t>
            </w:r>
          </w:p>
        </w:tc>
        <w:tc>
          <w:tcPr>
            <w:tcW w:w="2560" w:type="dxa"/>
            <w:vAlign w:val="bottom"/>
          </w:tcPr>
          <w:p>
            <w:pPr>
              <w:ind w:left="540"/>
              <w:spacing w:after="0" w:line="287" w:lineRule="exact"/>
              <w:rPr>
                <w:sz w:val="20"/>
                <w:szCs w:val="20"/>
                <w:color w:val="auto"/>
              </w:rPr>
            </w:pPr>
            <w:r>
              <w:rPr>
                <w:rFonts w:ascii="Arial" w:cs="Arial" w:eastAsia="Arial" w:hAnsi="Arial"/>
                <w:sz w:val="30"/>
                <w:szCs w:val="30"/>
                <w:color w:val="auto"/>
              </w:rPr>
              <w:t>CC)</w:t>
            </w:r>
          </w:p>
        </w:tc>
        <w:tc>
          <w:tcPr>
            <w:tcW w:w="0" w:type="dxa"/>
            <w:vAlign w:val="bottom"/>
          </w:tcPr>
          <w:p>
            <w:pPr>
              <w:spacing w:after="0"/>
              <w:rPr>
                <w:sz w:val="1"/>
                <w:szCs w:val="1"/>
                <w:color w:val="auto"/>
              </w:rPr>
            </w:pPr>
          </w:p>
        </w:tc>
      </w:tr>
      <w:tr>
        <w:trPr>
          <w:trHeight w:val="170"/>
        </w:trPr>
        <w:tc>
          <w:tcPr>
            <w:tcW w:w="1800" w:type="dxa"/>
            <w:vAlign w:val="bottom"/>
          </w:tcPr>
          <w:p>
            <w:pPr>
              <w:ind w:left="340"/>
              <w:spacing w:after="0" w:line="170" w:lineRule="exact"/>
              <w:rPr>
                <w:sz w:val="20"/>
                <w:szCs w:val="20"/>
                <w:color w:val="auto"/>
              </w:rPr>
            </w:pPr>
            <w:r>
              <w:rPr>
                <w:rFonts w:ascii="Arial" w:cs="Arial" w:eastAsia="Arial" w:hAnsi="Arial"/>
                <w:sz w:val="19"/>
                <w:szCs w:val="19"/>
                <w:color w:val="auto"/>
              </w:rPr>
              <w:t>Down 13-</w:t>
            </w:r>
          </w:p>
        </w:tc>
        <w:tc>
          <w:tcPr>
            <w:tcW w:w="2560" w:type="dxa"/>
            <w:vAlign w:val="bottom"/>
          </w:tcPr>
          <w:p>
            <w:pPr>
              <w:ind w:left="540"/>
              <w:spacing w:after="0" w:line="170" w:lineRule="exact"/>
              <w:rPr>
                <w:sz w:val="20"/>
                <w:szCs w:val="20"/>
                <w:color w:val="auto"/>
              </w:rPr>
            </w:pPr>
            <w:r>
              <w:rPr>
                <w:rFonts w:ascii="Arial" w:cs="Arial" w:eastAsia="Arial" w:hAnsi="Arial"/>
                <w:sz w:val="19"/>
                <w:szCs w:val="19"/>
                <w:color w:val="auto"/>
              </w:rPr>
              <w:t>(Down 10-12%</w:t>
            </w:r>
          </w:p>
        </w:tc>
        <w:tc>
          <w:tcPr>
            <w:tcW w:w="0" w:type="dxa"/>
            <w:vAlign w:val="bottom"/>
          </w:tcPr>
          <w:p>
            <w:pPr>
              <w:spacing w:after="0"/>
              <w:rPr>
                <w:sz w:val="1"/>
                <w:szCs w:val="1"/>
                <w:color w:val="auto"/>
              </w:rPr>
            </w:pPr>
          </w:p>
        </w:tc>
      </w:tr>
      <w:tr>
        <w:trPr>
          <w:trHeight w:val="287"/>
        </w:trPr>
        <w:tc>
          <w:tcPr>
            <w:tcW w:w="1800" w:type="dxa"/>
            <w:vAlign w:val="bottom"/>
          </w:tcPr>
          <w:p>
            <w:pPr>
              <w:ind w:left="600"/>
              <w:spacing w:after="0" w:line="287" w:lineRule="exact"/>
              <w:rPr>
                <w:sz w:val="20"/>
                <w:szCs w:val="20"/>
                <w:color w:val="auto"/>
              </w:rPr>
            </w:pPr>
            <w:r>
              <w:rPr>
                <w:rFonts w:ascii="Arial" w:cs="Arial" w:eastAsia="Arial" w:hAnsi="Arial"/>
                <w:sz w:val="30"/>
                <w:szCs w:val="30"/>
                <w:color w:val="auto"/>
              </w:rPr>
              <w:t>15%</w:t>
            </w:r>
          </w:p>
        </w:tc>
        <w:tc>
          <w:tcPr>
            <w:tcW w:w="2560" w:type="dxa"/>
            <w:vAlign w:val="bottom"/>
          </w:tcPr>
          <w:p>
            <w:pPr>
              <w:ind w:left="1280"/>
              <w:spacing w:after="0" w:line="287" w:lineRule="exact"/>
              <w:rPr>
                <w:sz w:val="20"/>
                <w:szCs w:val="20"/>
                <w:color w:val="auto"/>
              </w:rPr>
            </w:pPr>
            <w:r>
              <w:rPr>
                <w:rFonts w:ascii="Arial" w:cs="Arial" w:eastAsia="Arial" w:hAnsi="Arial"/>
                <w:sz w:val="30"/>
                <w:szCs w:val="30"/>
                <w:color w:val="auto"/>
              </w:rPr>
              <w:t>CC)</w:t>
            </w:r>
          </w:p>
        </w:tc>
        <w:tc>
          <w:tcPr>
            <w:tcW w:w="0" w:type="dxa"/>
            <w:vAlign w:val="bottom"/>
          </w:tcPr>
          <w:p>
            <w:pPr>
              <w:spacing w:after="0"/>
              <w:rPr>
                <w:sz w:val="1"/>
                <w:szCs w:val="1"/>
                <w:color w:val="auto"/>
              </w:rPr>
            </w:pPr>
          </w:p>
        </w:tc>
      </w:tr>
      <w:tr>
        <w:trPr>
          <w:trHeight w:val="368"/>
        </w:trPr>
        <w:tc>
          <w:tcPr>
            <w:tcW w:w="1800" w:type="dxa"/>
            <w:vAlign w:val="bottom"/>
          </w:tcPr>
          <w:p>
            <w:pPr>
              <w:spacing w:after="0"/>
              <w:rPr>
                <w:sz w:val="20"/>
                <w:szCs w:val="20"/>
                <w:color w:val="auto"/>
              </w:rPr>
            </w:pPr>
            <w:r>
              <w:rPr>
                <w:rFonts w:ascii="Arial" w:cs="Arial" w:eastAsia="Arial" w:hAnsi="Arial"/>
                <w:sz w:val="30"/>
                <w:szCs w:val="30"/>
                <w:color w:val="auto"/>
              </w:rPr>
              <w:t>17.0-17.2%</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360"/>
        <w:spacing w:after="0"/>
        <w:rPr>
          <w:sz w:val="20"/>
          <w:szCs w:val="20"/>
          <w:color w:val="auto"/>
        </w:rPr>
      </w:pPr>
      <w:r>
        <w:rPr>
          <w:rFonts w:ascii="Arial" w:cs="Arial" w:eastAsia="Arial" w:hAnsi="Arial"/>
          <w:sz w:val="30"/>
          <w:szCs w:val="30"/>
          <w:color w:val="auto"/>
        </w:rPr>
        <w:t>2.4-</w:t>
      </w:r>
    </w:p>
    <w:p>
      <w:pPr>
        <w:ind w:left="280"/>
        <w:spacing w:after="0" w:line="185" w:lineRule="auto"/>
        <w:rPr>
          <w:sz w:val="20"/>
          <w:szCs w:val="20"/>
          <w:color w:val="auto"/>
        </w:rPr>
      </w:pPr>
      <w:r>
        <w:rPr>
          <w:rFonts w:ascii="Arial" w:cs="Arial" w:eastAsia="Arial" w:hAnsi="Arial"/>
          <w:sz w:val="26"/>
          <w:szCs w:val="26"/>
          <w:color w:val="auto"/>
        </w:rPr>
        <w:t>2.6%</w:t>
      </w:r>
    </w:p>
    <w:p>
      <w:pPr>
        <w:jc w:val="center"/>
        <w:ind w:right="1320"/>
        <w:spacing w:after="0" w:line="231" w:lineRule="auto"/>
        <w:rPr>
          <w:sz w:val="20"/>
          <w:szCs w:val="20"/>
          <w:color w:val="auto"/>
        </w:rPr>
      </w:pPr>
      <w:r>
        <w:rPr>
          <w:rFonts w:ascii="Arial" w:cs="Arial" w:eastAsia="Arial" w:hAnsi="Arial"/>
          <w:sz w:val="30"/>
          <w:szCs w:val="30"/>
          <w:color w:val="auto"/>
        </w:rPr>
        <w:t xml:space="preserve">48% </w:t>
      </w:r>
      <w:r>
        <w:rPr>
          <w:rFonts w:ascii="Arial" w:cs="Arial" w:eastAsia="Arial" w:hAnsi="Arial"/>
          <w:sz w:val="27"/>
          <w:szCs w:val="27"/>
          <w:color w:val="auto"/>
        </w:rPr>
        <w:t>(38% excl. reclassification of</w:t>
      </w:r>
    </w:p>
    <w:p>
      <w:pPr>
        <w:jc w:val="center"/>
        <w:ind w:right="1320"/>
        <w:spacing w:after="0"/>
        <w:rPr>
          <w:sz w:val="20"/>
          <w:szCs w:val="20"/>
          <w:color w:val="auto"/>
        </w:rPr>
      </w:pPr>
      <w:r>
        <w:rPr>
          <w:rFonts w:ascii="Arial" w:cs="Arial" w:eastAsia="Arial" w:hAnsi="Arial"/>
          <w:sz w:val="27"/>
          <w:szCs w:val="27"/>
          <w:color w:val="auto"/>
        </w:rPr>
        <w:t>France business tax)</w:t>
      </w:r>
    </w:p>
    <w:p>
      <w:pPr>
        <w:spacing w:after="0" w:line="222" w:lineRule="exact"/>
        <w:rPr>
          <w:sz w:val="20"/>
          <w:szCs w:val="20"/>
          <w:color w:val="auto"/>
        </w:rPr>
      </w:pPr>
    </w:p>
    <w:p>
      <w:pPr>
        <w:jc w:val="center"/>
        <w:ind w:right="600"/>
        <w:spacing w:after="0"/>
        <w:rPr>
          <w:sz w:val="20"/>
          <w:szCs w:val="20"/>
          <w:color w:val="auto"/>
        </w:rPr>
      </w:pPr>
      <w:r>
        <w:rPr>
          <w:rFonts w:ascii="Arial" w:cs="Arial" w:eastAsia="Arial" w:hAnsi="Arial"/>
          <w:sz w:val="30"/>
          <w:szCs w:val="30"/>
          <w:color w:val="auto"/>
        </w:rPr>
        <w:t xml:space="preserve">$0.74-$0.82 </w:t>
      </w:r>
      <w:r>
        <w:rPr>
          <w:rFonts w:ascii="Arial" w:cs="Arial" w:eastAsia="Arial" w:hAnsi="Arial"/>
          <w:sz w:val="27"/>
          <w:szCs w:val="27"/>
          <w:color w:val="auto"/>
        </w:rPr>
        <w:t>(Favorable $.08 Currency)</w:t>
      </w:r>
    </w:p>
    <w:p>
      <w:pPr>
        <w:spacing w:after="0" w:line="200" w:lineRule="exact"/>
        <w:rPr>
          <w:sz w:val="20"/>
          <w:szCs w:val="20"/>
          <w:color w:val="auto"/>
        </w:rPr>
      </w:pPr>
    </w:p>
    <w:p>
      <w:pPr>
        <w:sectPr>
          <w:pgSz w:w="11900" w:h="16838" w:orient="portrait"/>
          <w:cols w:equalWidth="0" w:num="2">
            <w:col w:w="3880" w:space="600"/>
            <w:col w:w="5540"/>
          </w:cols>
          <w:pgMar w:left="880" w:top="438" w:right="99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ind w:left="9860"/>
        <w:spacing w:after="0"/>
        <w:rPr>
          <w:sz w:val="20"/>
          <w:szCs w:val="20"/>
          <w:color w:val="auto"/>
        </w:rPr>
      </w:pPr>
      <w:r>
        <w:rPr>
          <w:rFonts w:ascii="Arial" w:cs="Arial" w:eastAsia="Arial" w:hAnsi="Arial"/>
          <w:sz w:val="14"/>
          <w:szCs w:val="14"/>
          <w:color w:val="898989"/>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409575</wp:posOffset>
            </wp:positionV>
            <wp:extent cx="7273290" cy="196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0020"/>
          </w:cols>
          <w:pgMar w:left="880" w:top="438" w:right="999" w:bottom="1440" w:gutter="0" w:footer="0" w:header="0"/>
          <w:type w:val="continuous"/>
        </w:sectPr>
      </w:pPr>
    </w:p>
    <w:bookmarkStart w:id="27" w:name="page28"/>
    <w:bookmarkEnd w:id="27"/>
    <w:p>
      <w:pPr>
        <w:spacing w:after="0"/>
        <w:tabs>
          <w:tab w:leader="none" w:pos="8700" w:val="left"/>
        </w:tabs>
        <w:rPr>
          <w:sz w:val="20"/>
          <w:szCs w:val="20"/>
          <w:color w:val="auto"/>
        </w:rPr>
      </w:pPr>
      <w:r>
        <w:rPr>
          <w:rFonts w:ascii="Arial" w:cs="Arial" w:eastAsia="Arial" w:hAnsi="Arial"/>
          <w:sz w:val="24"/>
          <w:szCs w:val="24"/>
          <w:b w:val="1"/>
          <w:bCs w:val="1"/>
          <w:color w:val="FFFFFF"/>
        </w:rPr>
        <w:drawing>
          <wp:anchor simplePos="0" relativeHeight="251657728" behindDoc="1" locked="0" layoutInCell="0" allowOverlap="1">
            <wp:simplePos x="0" y="0"/>
            <wp:positionH relativeFrom="page">
              <wp:posOffset>299720</wp:posOffset>
            </wp:positionH>
            <wp:positionV relativeFrom="page">
              <wp:posOffset>168910</wp:posOffset>
            </wp:positionV>
            <wp:extent cx="6969760" cy="5227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6969760" cy="5227320"/>
                    </a:xfrm>
                    <a:prstGeom prst="rect">
                      <a:avLst/>
                    </a:prstGeom>
                    <a:noFill/>
                  </pic:spPr>
                </pic:pic>
              </a:graphicData>
            </a:graphic>
          </wp:anchor>
        </w:drawing>
        <w:t>ManpowerGroup 2011 1</w:t>
      </w:r>
      <w:r>
        <w:rPr>
          <w:rFonts w:ascii="Arial" w:cs="Arial" w:eastAsia="Arial" w:hAnsi="Arial"/>
          <w:sz w:val="17"/>
          <w:szCs w:val="17"/>
          <w:b w:val="1"/>
          <w:bCs w:val="1"/>
          <w:color w:val="FFFFFF"/>
        </w:rPr>
        <w:t>st</w:t>
      </w:r>
      <w:r>
        <w:rPr>
          <w:rFonts w:ascii="Arial" w:cs="Arial" w:eastAsia="Arial" w:hAnsi="Arial"/>
          <w:sz w:val="24"/>
          <w:szCs w:val="24"/>
          <w:b w:val="1"/>
          <w:bCs w:val="1"/>
          <w:color w:val="FFFFFF"/>
        </w:rPr>
        <w:t xml:space="preserve"> Quarter Results</w:t>
      </w:r>
      <w:r>
        <w:rPr>
          <w:sz w:val="20"/>
          <w:szCs w:val="20"/>
          <w:color w:val="auto"/>
        </w:rPr>
        <w:tab/>
      </w:r>
      <w:r>
        <w:rPr>
          <w:rFonts w:ascii="Arial" w:cs="Arial" w:eastAsia="Arial" w:hAnsi="Arial"/>
          <w:sz w:val="24"/>
          <w:szCs w:val="24"/>
          <w:b w:val="1"/>
          <w:bCs w:val="1"/>
          <w:color w:val="FFFFFF"/>
        </w:rPr>
        <w:t>April 2011</w:t>
      </w:r>
    </w:p>
    <w:p>
      <w:pPr>
        <w:spacing w:after="0" w:line="200" w:lineRule="exact"/>
        <w:rPr>
          <w:sz w:val="20"/>
          <w:szCs w:val="20"/>
          <w:color w:val="auto"/>
        </w:rPr>
      </w:pPr>
    </w:p>
    <w:p>
      <w:pPr>
        <w:spacing w:after="0" w:line="303" w:lineRule="exact"/>
        <w:rPr>
          <w:sz w:val="20"/>
          <w:szCs w:val="20"/>
          <w:color w:val="auto"/>
        </w:rPr>
      </w:pPr>
    </w:p>
    <w:p>
      <w:pPr>
        <w:ind w:left="400"/>
        <w:spacing w:after="0"/>
        <w:rPr>
          <w:sz w:val="20"/>
          <w:szCs w:val="20"/>
          <w:color w:val="auto"/>
        </w:rPr>
      </w:pPr>
      <w:r>
        <w:rPr>
          <w:rFonts w:ascii="Arial" w:cs="Arial" w:eastAsia="Arial" w:hAnsi="Arial"/>
          <w:sz w:val="49"/>
          <w:szCs w:val="49"/>
          <w:color w:val="D47C18"/>
        </w:rPr>
        <w:t>The Human Age is Creating Complexity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20"/>
        <w:spacing w:after="0"/>
        <w:rPr>
          <w:sz w:val="20"/>
          <w:szCs w:val="20"/>
          <w:color w:val="auto"/>
        </w:rPr>
      </w:pPr>
      <w:r>
        <w:rPr>
          <w:rFonts w:ascii="Arial" w:cs="Arial" w:eastAsia="Arial" w:hAnsi="Arial"/>
          <w:sz w:val="49"/>
          <w:szCs w:val="49"/>
          <w:color w:val="5F81AA"/>
        </w:rPr>
        <w:t>• There are new demands for:</w:t>
      </w:r>
    </w:p>
    <w:p>
      <w:pPr>
        <w:spacing w:after="0" w:line="79" w:lineRule="exact"/>
        <w:rPr>
          <w:sz w:val="20"/>
          <w:szCs w:val="20"/>
          <w:color w:val="auto"/>
        </w:rPr>
      </w:pPr>
    </w:p>
    <w:p>
      <w:pPr>
        <w:ind w:left="1320"/>
        <w:spacing w:after="0"/>
        <w:rPr>
          <w:sz w:val="20"/>
          <w:szCs w:val="20"/>
          <w:color w:val="auto"/>
        </w:rPr>
      </w:pPr>
      <w:r>
        <w:rPr>
          <w:rFonts w:ascii="Arial" w:cs="Arial" w:eastAsia="Arial" w:hAnsi="Arial"/>
          <w:sz w:val="43"/>
          <w:szCs w:val="43"/>
          <w:color w:val="5F81AA"/>
        </w:rPr>
        <w:t>ØProductivity</w:t>
      </w:r>
    </w:p>
    <w:p>
      <w:pPr>
        <w:spacing w:after="0" w:line="123" w:lineRule="exact"/>
        <w:rPr>
          <w:sz w:val="20"/>
          <w:szCs w:val="20"/>
          <w:color w:val="auto"/>
        </w:rPr>
      </w:pPr>
    </w:p>
    <w:p>
      <w:pPr>
        <w:ind w:left="1320"/>
        <w:spacing w:after="0"/>
        <w:rPr>
          <w:sz w:val="20"/>
          <w:szCs w:val="20"/>
          <w:color w:val="auto"/>
        </w:rPr>
      </w:pPr>
      <w:r>
        <w:rPr>
          <w:rFonts w:ascii="Arial" w:cs="Arial" w:eastAsia="Arial" w:hAnsi="Arial"/>
          <w:sz w:val="43"/>
          <w:szCs w:val="43"/>
          <w:color w:val="5F81AA"/>
        </w:rPr>
        <w:t>ØInnovation</w:t>
      </w:r>
    </w:p>
    <w:p>
      <w:pPr>
        <w:spacing w:after="0" w:line="123" w:lineRule="exact"/>
        <w:rPr>
          <w:sz w:val="20"/>
          <w:szCs w:val="20"/>
          <w:color w:val="auto"/>
        </w:rPr>
      </w:pPr>
    </w:p>
    <w:p>
      <w:pPr>
        <w:ind w:left="1320"/>
        <w:spacing w:after="0"/>
        <w:rPr>
          <w:sz w:val="20"/>
          <w:szCs w:val="20"/>
          <w:color w:val="auto"/>
        </w:rPr>
      </w:pPr>
      <w:r>
        <w:rPr>
          <w:rFonts w:ascii="Arial" w:cs="Arial" w:eastAsia="Arial" w:hAnsi="Arial"/>
          <w:sz w:val="43"/>
          <w:szCs w:val="43"/>
          <w:color w:val="5F81AA"/>
        </w:rPr>
        <w:t>ØTalent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4"/>
          <w:szCs w:val="14"/>
          <w:color w:val="898989"/>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409575</wp:posOffset>
            </wp:positionV>
            <wp:extent cx="7273290" cy="196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0020"/>
          </w:cols>
          <w:pgMar w:left="880" w:top="438" w:right="999" w:bottom="1440" w:gutter="0" w:footer="0" w:header="0"/>
        </w:sectPr>
      </w:pPr>
    </w:p>
    <w:bookmarkStart w:id="28" w:name="page29"/>
    <w:bookmarkEnd w:id="28"/>
    <w:p>
      <w:pPr>
        <w:spacing w:after="0"/>
        <w:tabs>
          <w:tab w:leader="none" w:pos="8700" w:val="left"/>
        </w:tabs>
        <w:rPr>
          <w:sz w:val="20"/>
          <w:szCs w:val="20"/>
          <w:color w:val="auto"/>
        </w:rPr>
      </w:pPr>
      <w:r>
        <w:rPr>
          <w:rFonts w:ascii="Arial" w:cs="Arial" w:eastAsia="Arial" w:hAnsi="Arial"/>
          <w:sz w:val="24"/>
          <w:szCs w:val="24"/>
          <w:b w:val="1"/>
          <w:bCs w:val="1"/>
          <w:color w:val="FFFFFF"/>
        </w:rPr>
        <w:drawing>
          <wp:anchor simplePos="0" relativeHeight="251657728" behindDoc="1" locked="0" layoutInCell="0" allowOverlap="1">
            <wp:simplePos x="0" y="0"/>
            <wp:positionH relativeFrom="page">
              <wp:posOffset>299720</wp:posOffset>
            </wp:positionH>
            <wp:positionV relativeFrom="page">
              <wp:posOffset>168910</wp:posOffset>
            </wp:positionV>
            <wp:extent cx="6969760" cy="5227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6969760" cy="5227320"/>
                    </a:xfrm>
                    <a:prstGeom prst="rect">
                      <a:avLst/>
                    </a:prstGeom>
                    <a:noFill/>
                  </pic:spPr>
                </pic:pic>
              </a:graphicData>
            </a:graphic>
          </wp:anchor>
        </w:drawing>
        <w:t>ManpowerGroup 2011 1</w:t>
      </w:r>
      <w:r>
        <w:rPr>
          <w:rFonts w:ascii="Arial" w:cs="Arial" w:eastAsia="Arial" w:hAnsi="Arial"/>
          <w:sz w:val="17"/>
          <w:szCs w:val="17"/>
          <w:b w:val="1"/>
          <w:bCs w:val="1"/>
          <w:color w:val="FFFFFF"/>
        </w:rPr>
        <w:t>st</w:t>
      </w:r>
      <w:r>
        <w:rPr>
          <w:rFonts w:ascii="Arial" w:cs="Arial" w:eastAsia="Arial" w:hAnsi="Arial"/>
          <w:sz w:val="24"/>
          <w:szCs w:val="24"/>
          <w:b w:val="1"/>
          <w:bCs w:val="1"/>
          <w:color w:val="FFFFFF"/>
        </w:rPr>
        <w:t xml:space="preserve"> Quarter Results</w:t>
      </w:r>
      <w:r>
        <w:rPr>
          <w:sz w:val="20"/>
          <w:szCs w:val="20"/>
          <w:color w:val="auto"/>
        </w:rPr>
        <w:tab/>
      </w:r>
      <w:r>
        <w:rPr>
          <w:rFonts w:ascii="Arial" w:cs="Arial" w:eastAsia="Arial" w:hAnsi="Arial"/>
          <w:sz w:val="24"/>
          <w:szCs w:val="24"/>
          <w:b w:val="1"/>
          <w:bCs w:val="1"/>
          <w:color w:val="FFFFFF"/>
        </w:rPr>
        <w:t>April 2011</w:t>
      </w:r>
    </w:p>
    <w:p>
      <w:pPr>
        <w:spacing w:after="0" w:line="200" w:lineRule="exact"/>
        <w:rPr>
          <w:sz w:val="20"/>
          <w:szCs w:val="20"/>
          <w:color w:val="auto"/>
        </w:rPr>
      </w:pPr>
    </w:p>
    <w:p>
      <w:pPr>
        <w:spacing w:after="0" w:line="235" w:lineRule="exact"/>
        <w:rPr>
          <w:sz w:val="20"/>
          <w:szCs w:val="20"/>
          <w:color w:val="auto"/>
        </w:rPr>
      </w:pPr>
    </w:p>
    <w:p>
      <w:pPr>
        <w:ind w:left="140"/>
        <w:spacing w:after="0"/>
        <w:rPr>
          <w:sz w:val="20"/>
          <w:szCs w:val="20"/>
          <w:color w:val="auto"/>
        </w:rPr>
      </w:pPr>
      <w:r>
        <w:rPr>
          <w:rFonts w:ascii="Arial" w:cs="Arial" w:eastAsia="Arial" w:hAnsi="Arial"/>
          <w:sz w:val="49"/>
          <w:szCs w:val="49"/>
          <w:color w:val="D47C18"/>
        </w:rPr>
        <w:t>The Human Age</w:t>
      </w:r>
    </w:p>
    <w:p>
      <w:pPr>
        <w:spacing w:after="0" w:line="200" w:lineRule="exact"/>
        <w:rPr>
          <w:sz w:val="20"/>
          <w:szCs w:val="20"/>
          <w:color w:val="auto"/>
        </w:rPr>
      </w:pPr>
    </w:p>
    <w:p>
      <w:pPr>
        <w:spacing w:after="0" w:line="275" w:lineRule="exact"/>
        <w:rPr>
          <w:sz w:val="20"/>
          <w:szCs w:val="20"/>
          <w:color w:val="auto"/>
        </w:rPr>
      </w:pPr>
    </w:p>
    <w:p>
      <w:pPr>
        <w:ind w:left="540" w:hanging="405"/>
        <w:spacing w:after="0"/>
        <w:tabs>
          <w:tab w:leader="none" w:pos="540" w:val="left"/>
        </w:tabs>
        <w:numPr>
          <w:ilvl w:val="0"/>
          <w:numId w:val="10"/>
        </w:numPr>
        <w:rPr>
          <w:rFonts w:ascii="Arial" w:cs="Arial" w:eastAsia="Arial" w:hAnsi="Arial"/>
          <w:sz w:val="43"/>
          <w:szCs w:val="43"/>
          <w:color w:val="67696F"/>
        </w:rPr>
      </w:pPr>
      <w:r>
        <w:rPr>
          <w:rFonts w:ascii="Arial" w:cs="Arial" w:eastAsia="Arial" w:hAnsi="Arial"/>
          <w:sz w:val="43"/>
          <w:szCs w:val="43"/>
          <w:color w:val="67696F"/>
        </w:rPr>
        <w:t>Our Opportunity</w:t>
      </w:r>
    </w:p>
    <w:p>
      <w:pPr>
        <w:spacing w:after="0" w:line="56" w:lineRule="exact"/>
        <w:rPr>
          <w:rFonts w:ascii="Arial" w:cs="Arial" w:eastAsia="Arial" w:hAnsi="Arial"/>
          <w:sz w:val="43"/>
          <w:szCs w:val="43"/>
          <w:color w:val="67696F"/>
        </w:rPr>
      </w:pPr>
    </w:p>
    <w:p>
      <w:pPr>
        <w:ind w:left="1020" w:right="180" w:hanging="343"/>
        <w:spacing w:after="0" w:line="261" w:lineRule="auto"/>
        <w:rPr>
          <w:rFonts w:ascii="Arial" w:cs="Arial" w:eastAsia="Arial" w:hAnsi="Arial"/>
          <w:sz w:val="43"/>
          <w:szCs w:val="43"/>
          <w:color w:val="67696F"/>
        </w:rPr>
      </w:pPr>
      <w:r>
        <w:rPr>
          <w:rFonts w:ascii="Arial" w:cs="Arial" w:eastAsia="Arial" w:hAnsi="Arial"/>
          <w:sz w:val="40"/>
          <w:szCs w:val="40"/>
          <w:color w:val="67696F"/>
        </w:rPr>
        <w:t xml:space="preserve">– ManpowerGroup is </w:t>
      </w:r>
      <w:r>
        <w:rPr>
          <w:rFonts w:ascii="Arial" w:cs="Arial" w:eastAsia="Arial" w:hAnsi="Arial"/>
          <w:sz w:val="40"/>
          <w:szCs w:val="40"/>
          <w:b w:val="1"/>
          <w:bCs w:val="1"/>
          <w:color w:val="6E8F82"/>
        </w:rPr>
        <w:t>uniquely qualified</w:t>
      </w:r>
      <w:r>
        <w:rPr>
          <w:rFonts w:ascii="Arial" w:cs="Arial" w:eastAsia="Arial" w:hAnsi="Arial"/>
          <w:sz w:val="40"/>
          <w:szCs w:val="40"/>
          <w:color w:val="67696F"/>
        </w:rPr>
        <w:t xml:space="preserve"> to help our clients and candidates navigate this new complexity to win in the world of work with:</w:t>
      </w:r>
    </w:p>
    <w:p>
      <w:pPr>
        <w:spacing w:after="0" w:line="63" w:lineRule="exact"/>
        <w:rPr>
          <w:rFonts w:ascii="Arial" w:cs="Arial" w:eastAsia="Arial" w:hAnsi="Arial"/>
          <w:sz w:val="43"/>
          <w:szCs w:val="43"/>
          <w:color w:val="67696F"/>
        </w:rPr>
      </w:pPr>
    </w:p>
    <w:p>
      <w:pPr>
        <w:ind w:left="1500" w:hanging="268"/>
        <w:spacing w:after="0"/>
        <w:tabs>
          <w:tab w:leader="none" w:pos="1500" w:val="left"/>
        </w:tabs>
        <w:numPr>
          <w:ilvl w:val="2"/>
          <w:numId w:val="10"/>
        </w:numPr>
        <w:rPr>
          <w:rFonts w:ascii="Arial" w:cs="Arial" w:eastAsia="Arial" w:hAnsi="Arial"/>
          <w:sz w:val="37"/>
          <w:szCs w:val="37"/>
          <w:color w:val="67696F"/>
        </w:rPr>
      </w:pPr>
      <w:r>
        <w:rPr>
          <w:rFonts w:ascii="Arial" w:cs="Arial" w:eastAsia="Arial" w:hAnsi="Arial"/>
          <w:sz w:val="37"/>
          <w:szCs w:val="37"/>
          <w:color w:val="67696F"/>
        </w:rPr>
        <w:t xml:space="preserve">Our </w:t>
      </w:r>
      <w:r>
        <w:rPr>
          <w:rFonts w:ascii="Arial" w:cs="Arial" w:eastAsia="Arial" w:hAnsi="Arial"/>
          <w:sz w:val="37"/>
          <w:szCs w:val="37"/>
          <w:color w:val="D47C18"/>
        </w:rPr>
        <w:t>differentiated</w:t>
      </w:r>
      <w:r>
        <w:rPr>
          <w:rFonts w:ascii="Arial" w:cs="Arial" w:eastAsia="Arial" w:hAnsi="Arial"/>
          <w:sz w:val="37"/>
          <w:szCs w:val="37"/>
          <w:color w:val="67696F"/>
        </w:rPr>
        <w:t xml:space="preserve"> competitive position</w:t>
      </w:r>
    </w:p>
    <w:p>
      <w:pPr>
        <w:spacing w:after="0" w:line="111" w:lineRule="exact"/>
        <w:rPr>
          <w:rFonts w:ascii="Arial" w:cs="Arial" w:eastAsia="Arial" w:hAnsi="Arial"/>
          <w:sz w:val="37"/>
          <w:szCs w:val="37"/>
          <w:color w:val="67696F"/>
        </w:rPr>
      </w:pPr>
    </w:p>
    <w:p>
      <w:pPr>
        <w:ind w:left="1500" w:hanging="268"/>
        <w:spacing w:after="0"/>
        <w:tabs>
          <w:tab w:leader="none" w:pos="1500" w:val="left"/>
        </w:tabs>
        <w:numPr>
          <w:ilvl w:val="2"/>
          <w:numId w:val="10"/>
        </w:numPr>
        <w:rPr>
          <w:rFonts w:ascii="Arial" w:cs="Arial" w:eastAsia="Arial" w:hAnsi="Arial"/>
          <w:sz w:val="37"/>
          <w:szCs w:val="37"/>
          <w:color w:val="67696F"/>
        </w:rPr>
      </w:pPr>
      <w:r>
        <w:rPr>
          <w:rFonts w:ascii="Arial" w:cs="Arial" w:eastAsia="Arial" w:hAnsi="Arial"/>
          <w:sz w:val="37"/>
          <w:szCs w:val="37"/>
          <w:color w:val="67696F"/>
        </w:rPr>
        <w:t xml:space="preserve">Our </w:t>
      </w:r>
      <w:r>
        <w:rPr>
          <w:rFonts w:ascii="Arial" w:cs="Arial" w:eastAsia="Arial" w:hAnsi="Arial"/>
          <w:sz w:val="37"/>
          <w:szCs w:val="37"/>
          <w:color w:val="466EA5"/>
        </w:rPr>
        <w:t>trusted brand</w:t>
      </w:r>
      <w:r>
        <w:rPr>
          <w:rFonts w:ascii="Arial" w:cs="Arial" w:eastAsia="Arial" w:hAnsi="Arial"/>
          <w:sz w:val="37"/>
          <w:szCs w:val="37"/>
          <w:color w:val="67696F"/>
        </w:rPr>
        <w:t xml:space="preserve"> and </w:t>
      </w:r>
      <w:r>
        <w:rPr>
          <w:rFonts w:ascii="Arial" w:cs="Arial" w:eastAsia="Arial" w:hAnsi="Arial"/>
          <w:sz w:val="37"/>
          <w:szCs w:val="37"/>
          <w:color w:val="466EA5"/>
        </w:rPr>
        <w:t>strong values</w:t>
      </w:r>
    </w:p>
    <w:p>
      <w:pPr>
        <w:spacing w:after="0" w:line="100" w:lineRule="exact"/>
        <w:rPr>
          <w:rFonts w:ascii="Arial" w:cs="Arial" w:eastAsia="Arial" w:hAnsi="Arial"/>
          <w:sz w:val="37"/>
          <w:szCs w:val="37"/>
          <w:color w:val="67696F"/>
        </w:rPr>
      </w:pPr>
    </w:p>
    <w:p>
      <w:pPr>
        <w:ind w:left="1500" w:hanging="268"/>
        <w:spacing w:after="0"/>
        <w:tabs>
          <w:tab w:leader="none" w:pos="1500" w:val="left"/>
        </w:tabs>
        <w:numPr>
          <w:ilvl w:val="2"/>
          <w:numId w:val="10"/>
        </w:numPr>
        <w:rPr>
          <w:rFonts w:ascii="Arial" w:cs="Arial" w:eastAsia="Arial" w:hAnsi="Arial"/>
          <w:sz w:val="37"/>
          <w:szCs w:val="37"/>
          <w:color w:val="67696F"/>
        </w:rPr>
      </w:pPr>
      <w:r>
        <w:rPr>
          <w:rFonts w:ascii="Arial" w:cs="Arial" w:eastAsia="Arial" w:hAnsi="Arial"/>
          <w:sz w:val="37"/>
          <w:szCs w:val="37"/>
          <w:color w:val="67696F"/>
        </w:rPr>
        <w:t xml:space="preserve">Our unmatched </w:t>
      </w:r>
      <w:r>
        <w:rPr>
          <w:rFonts w:ascii="Arial" w:cs="Arial" w:eastAsia="Arial" w:hAnsi="Arial"/>
          <w:sz w:val="37"/>
          <w:szCs w:val="37"/>
          <w:color w:val="6E8F82"/>
        </w:rPr>
        <w:t>global footprint</w:t>
      </w:r>
    </w:p>
    <w:p>
      <w:pPr>
        <w:spacing w:after="0" w:line="100" w:lineRule="exact"/>
        <w:rPr>
          <w:rFonts w:ascii="Arial" w:cs="Arial" w:eastAsia="Arial" w:hAnsi="Arial"/>
          <w:sz w:val="37"/>
          <w:szCs w:val="37"/>
          <w:color w:val="67696F"/>
        </w:rPr>
      </w:pPr>
    </w:p>
    <w:p>
      <w:pPr>
        <w:ind w:left="1500" w:hanging="268"/>
        <w:spacing w:after="0"/>
        <w:tabs>
          <w:tab w:leader="none" w:pos="1500" w:val="left"/>
        </w:tabs>
        <w:numPr>
          <w:ilvl w:val="2"/>
          <w:numId w:val="10"/>
        </w:numPr>
        <w:rPr>
          <w:rFonts w:ascii="Arial" w:cs="Arial" w:eastAsia="Arial" w:hAnsi="Arial"/>
          <w:sz w:val="37"/>
          <w:szCs w:val="37"/>
          <w:color w:val="67696F"/>
        </w:rPr>
      </w:pPr>
      <w:r>
        <w:rPr>
          <w:rFonts w:ascii="Arial" w:cs="Arial" w:eastAsia="Arial" w:hAnsi="Arial"/>
          <w:sz w:val="37"/>
          <w:szCs w:val="37"/>
          <w:color w:val="67696F"/>
        </w:rPr>
        <w:t xml:space="preserve">Our unparalleled </w:t>
      </w:r>
      <w:r>
        <w:rPr>
          <w:rFonts w:ascii="Arial" w:cs="Arial" w:eastAsia="Arial" w:hAnsi="Arial"/>
          <w:sz w:val="37"/>
          <w:szCs w:val="37"/>
          <w:color w:val="AB404B"/>
        </w:rPr>
        <w:t>thought leadership</w:t>
      </w:r>
      <w:r>
        <w:rPr>
          <w:rFonts w:ascii="Arial" w:cs="Arial" w:eastAsia="Arial" w:hAnsi="Arial"/>
          <w:sz w:val="37"/>
          <w:szCs w:val="37"/>
          <w:color w:val="67696F"/>
        </w:rPr>
        <w:t xml:space="preserve"> position</w:t>
      </w:r>
    </w:p>
    <w:p>
      <w:pPr>
        <w:spacing w:after="0" w:line="100" w:lineRule="exact"/>
        <w:rPr>
          <w:rFonts w:ascii="Arial" w:cs="Arial" w:eastAsia="Arial" w:hAnsi="Arial"/>
          <w:sz w:val="37"/>
          <w:szCs w:val="37"/>
          <w:color w:val="67696F"/>
        </w:rPr>
      </w:pPr>
    </w:p>
    <w:p>
      <w:pPr>
        <w:ind w:left="1500" w:hanging="268"/>
        <w:spacing w:after="0"/>
        <w:tabs>
          <w:tab w:leader="none" w:pos="1500" w:val="left"/>
        </w:tabs>
        <w:numPr>
          <w:ilvl w:val="2"/>
          <w:numId w:val="10"/>
        </w:numPr>
        <w:rPr>
          <w:rFonts w:ascii="Arial" w:cs="Arial" w:eastAsia="Arial" w:hAnsi="Arial"/>
          <w:sz w:val="37"/>
          <w:szCs w:val="37"/>
          <w:color w:val="67696F"/>
        </w:rPr>
      </w:pPr>
      <w:r>
        <w:rPr>
          <w:rFonts w:ascii="Arial" w:cs="Arial" w:eastAsia="Arial" w:hAnsi="Arial"/>
          <w:sz w:val="37"/>
          <w:szCs w:val="37"/>
          <w:color w:val="67696F"/>
        </w:rPr>
        <w:t xml:space="preserve">Our </w:t>
      </w:r>
      <w:r>
        <w:rPr>
          <w:rFonts w:ascii="Arial" w:cs="Arial" w:eastAsia="Arial" w:hAnsi="Arial"/>
          <w:sz w:val="37"/>
          <w:szCs w:val="37"/>
          <w:color w:val="6390C6"/>
        </w:rPr>
        <w:t>deep understanding</w:t>
      </w:r>
      <w:r>
        <w:rPr>
          <w:rFonts w:ascii="Arial" w:cs="Arial" w:eastAsia="Arial" w:hAnsi="Arial"/>
          <w:sz w:val="37"/>
          <w:szCs w:val="37"/>
          <w:color w:val="67696F"/>
        </w:rPr>
        <w:t xml:space="preserve"> of talent and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rFonts w:ascii="Arial" w:cs="Arial" w:eastAsia="Arial" w:hAnsi="Arial"/>
          <w:sz w:val="14"/>
          <w:szCs w:val="14"/>
          <w:color w:val="898989"/>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409575</wp:posOffset>
            </wp:positionV>
            <wp:extent cx="7273290" cy="196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0020"/>
          </w:cols>
          <w:pgMar w:left="880" w:top="438" w:right="999" w:bottom="1440" w:gutter="0" w:footer="0" w:header="0"/>
        </w:sectPr>
      </w:pPr>
    </w:p>
    <w:bookmarkStart w:id="29" w:name="page30"/>
    <w:bookmarkEnd w:id="29"/>
    <w:p>
      <w:pPr>
        <w:ind w:left="100"/>
        <w:spacing w:after="0"/>
        <w:tabs>
          <w:tab w:leader="none" w:pos="8800" w:val="left"/>
        </w:tabs>
        <w:rPr>
          <w:sz w:val="20"/>
          <w:szCs w:val="20"/>
          <w:color w:val="auto"/>
        </w:rPr>
      </w:pPr>
      <w:r>
        <w:rPr>
          <w:rFonts w:ascii="Arial" w:cs="Arial" w:eastAsia="Arial" w:hAnsi="Arial"/>
          <w:sz w:val="24"/>
          <w:szCs w:val="24"/>
          <w:b w:val="1"/>
          <w:bCs w:val="1"/>
          <w:color w:val="FFFFFF"/>
        </w:rPr>
        <w:drawing>
          <wp:anchor simplePos="0" relativeHeight="251657728" behindDoc="1" locked="0" layoutInCell="0" allowOverlap="1">
            <wp:simplePos x="0" y="0"/>
            <wp:positionH relativeFrom="page">
              <wp:posOffset>299720</wp:posOffset>
            </wp:positionH>
            <wp:positionV relativeFrom="page">
              <wp:posOffset>168910</wp:posOffset>
            </wp:positionV>
            <wp:extent cx="6969760" cy="5227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6969760" cy="5227320"/>
                    </a:xfrm>
                    <a:prstGeom prst="rect">
                      <a:avLst/>
                    </a:prstGeom>
                    <a:noFill/>
                  </pic:spPr>
                </pic:pic>
              </a:graphicData>
            </a:graphic>
          </wp:anchor>
        </w:drawing>
        <w:t>ManpowerGroup 2011 1</w:t>
      </w:r>
      <w:r>
        <w:rPr>
          <w:rFonts w:ascii="Arial" w:cs="Arial" w:eastAsia="Arial" w:hAnsi="Arial"/>
          <w:sz w:val="17"/>
          <w:szCs w:val="17"/>
          <w:b w:val="1"/>
          <w:bCs w:val="1"/>
          <w:color w:val="FFFFFF"/>
        </w:rPr>
        <w:t>st</w:t>
      </w:r>
      <w:r>
        <w:rPr>
          <w:rFonts w:ascii="Arial" w:cs="Arial" w:eastAsia="Arial" w:hAnsi="Arial"/>
          <w:sz w:val="24"/>
          <w:szCs w:val="24"/>
          <w:b w:val="1"/>
          <w:bCs w:val="1"/>
          <w:color w:val="FFFFFF"/>
        </w:rPr>
        <w:t xml:space="preserve"> Quarter Results</w:t>
      </w:r>
      <w:r>
        <w:rPr>
          <w:sz w:val="20"/>
          <w:szCs w:val="20"/>
          <w:color w:val="auto"/>
        </w:rPr>
        <w:tab/>
      </w:r>
      <w:r>
        <w:rPr>
          <w:rFonts w:ascii="Arial" w:cs="Arial" w:eastAsia="Arial" w:hAnsi="Arial"/>
          <w:sz w:val="24"/>
          <w:szCs w:val="24"/>
          <w:b w:val="1"/>
          <w:bCs w:val="1"/>
          <w:color w:val="FFFFFF"/>
        </w:rPr>
        <w:t>April 2011</w:t>
      </w:r>
    </w:p>
    <w:p>
      <w:pPr>
        <w:spacing w:after="0" w:line="325" w:lineRule="exact"/>
        <w:rPr>
          <w:sz w:val="20"/>
          <w:szCs w:val="20"/>
          <w:color w:val="auto"/>
        </w:rPr>
      </w:pPr>
    </w:p>
    <w:p>
      <w:pPr>
        <w:spacing w:after="0"/>
        <w:rPr>
          <w:sz w:val="20"/>
          <w:szCs w:val="20"/>
          <w:color w:val="auto"/>
        </w:rPr>
      </w:pPr>
      <w:r>
        <w:rPr>
          <w:rFonts w:ascii="Arial" w:cs="Arial" w:eastAsia="Arial" w:hAnsi="Arial"/>
          <w:sz w:val="45"/>
          <w:szCs w:val="45"/>
          <w:color w:val="D47C18"/>
        </w:rPr>
        <w:t>Sophistication of Offerings Increasing Exponentially</w:t>
      </w:r>
    </w:p>
    <w:p>
      <w:pPr>
        <w:sectPr>
          <w:pgSz w:w="11900" w:h="16838" w:orient="portrait"/>
          <w:cols w:equalWidth="0" w:num="1">
            <w:col w:w="10400"/>
          </w:cols>
          <w:pgMar w:left="780" w:top="438"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300"/>
        <w:spacing w:after="0"/>
        <w:rPr>
          <w:sz w:val="20"/>
          <w:szCs w:val="20"/>
          <w:color w:val="auto"/>
        </w:rPr>
      </w:pPr>
      <w:r>
        <w:rPr>
          <w:rFonts w:ascii="Arial" w:cs="Arial" w:eastAsia="Arial" w:hAnsi="Arial"/>
          <w:sz w:val="21"/>
          <w:szCs w:val="21"/>
          <w:color w:val="466EA5"/>
        </w:rPr>
        <w:t>On-Site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spacing w:after="0" w:line="1" w:lineRule="exact"/>
        <w:rPr>
          <w:sz w:val="1"/>
          <w:szCs w:val="1"/>
          <w:color w:val="auto"/>
        </w:rPr>
      </w:pPr>
    </w:p>
    <w:tbl>
      <w:tblPr>
        <w:tblLayout w:type="fixed"/>
        <w:tblInd w:w="180" w:type="dxa"/>
        <w:tblCellMar>
          <w:top w:w="0" w:type="dxa"/>
          <w:left w:w="0" w:type="dxa"/>
          <w:bottom w:w="0" w:type="dxa"/>
          <w:right w:w="0" w:type="dxa"/>
        </w:tblCellMar>
      </w:tblPr>
      <w:tr>
        <w:trPr>
          <w:trHeight w:val="285"/>
        </w:trPr>
        <w:tc>
          <w:tcPr>
            <w:tcW w:w="1940" w:type="dxa"/>
            <w:vAlign w:val="bottom"/>
          </w:tcPr>
          <w:p>
            <w:pPr>
              <w:jc w:val="center"/>
              <w:ind w:right="173"/>
              <w:spacing w:after="0"/>
              <w:rPr>
                <w:sz w:val="20"/>
                <w:szCs w:val="20"/>
                <w:color w:val="auto"/>
              </w:rPr>
            </w:pPr>
            <w:r>
              <w:rPr>
                <w:rFonts w:ascii="Arial" w:cs="Arial" w:eastAsia="Arial" w:hAnsi="Arial"/>
                <w:sz w:val="21"/>
                <w:szCs w:val="21"/>
                <w:color w:val="AB404B"/>
              </w:rPr>
              <w:t>Human Resource</w:t>
            </w:r>
          </w:p>
        </w:tc>
        <w:tc>
          <w:tcPr>
            <w:tcW w:w="1720" w:type="dxa"/>
            <w:vAlign w:val="bottom"/>
          </w:tcPr>
          <w:p>
            <w:pPr>
              <w:jc w:val="center"/>
              <w:spacing w:after="0"/>
              <w:rPr>
                <w:sz w:val="20"/>
                <w:szCs w:val="20"/>
                <w:color w:val="auto"/>
              </w:rPr>
            </w:pPr>
            <w:r>
              <w:rPr>
                <w:rFonts w:ascii="Arial" w:cs="Arial" w:eastAsia="Arial" w:hAnsi="Arial"/>
                <w:sz w:val="21"/>
                <w:szCs w:val="21"/>
                <w:color w:val="6E8F82"/>
              </w:rPr>
              <w:t>Talent Based</w:t>
            </w:r>
          </w:p>
        </w:tc>
        <w:tc>
          <w:tcPr>
            <w:tcW w:w="1440" w:type="dxa"/>
            <w:vAlign w:val="bottom"/>
          </w:tcPr>
          <w:p>
            <w:pPr>
              <w:jc w:val="center"/>
              <w:ind w:left="93"/>
              <w:spacing w:after="0"/>
              <w:rPr>
                <w:sz w:val="20"/>
                <w:szCs w:val="20"/>
                <w:color w:val="auto"/>
              </w:rPr>
            </w:pPr>
            <w:r>
              <w:rPr>
                <w:rFonts w:ascii="Arial" w:cs="Arial" w:eastAsia="Arial" w:hAnsi="Arial"/>
                <w:sz w:val="21"/>
                <w:szCs w:val="21"/>
                <w:color w:val="C46D24"/>
                <w:w w:val="95"/>
              </w:rPr>
              <w:t>Talent</w:t>
            </w:r>
          </w:p>
        </w:tc>
      </w:tr>
      <w:tr>
        <w:trPr>
          <w:trHeight w:val="258"/>
        </w:trPr>
        <w:tc>
          <w:tcPr>
            <w:tcW w:w="1940" w:type="dxa"/>
            <w:vAlign w:val="bottom"/>
          </w:tcPr>
          <w:p>
            <w:pPr>
              <w:jc w:val="center"/>
              <w:ind w:right="173"/>
              <w:spacing w:after="0"/>
              <w:rPr>
                <w:sz w:val="20"/>
                <w:szCs w:val="20"/>
                <w:color w:val="auto"/>
              </w:rPr>
            </w:pPr>
            <w:r>
              <w:rPr>
                <w:rFonts w:ascii="Arial" w:cs="Arial" w:eastAsia="Arial" w:hAnsi="Arial"/>
                <w:sz w:val="21"/>
                <w:szCs w:val="21"/>
                <w:color w:val="AB404B"/>
              </w:rPr>
              <w:t>Services</w:t>
            </w:r>
          </w:p>
        </w:tc>
        <w:tc>
          <w:tcPr>
            <w:tcW w:w="1720" w:type="dxa"/>
            <w:vAlign w:val="bottom"/>
          </w:tcPr>
          <w:p>
            <w:pPr>
              <w:jc w:val="center"/>
              <w:spacing w:after="0"/>
              <w:rPr>
                <w:sz w:val="20"/>
                <w:szCs w:val="20"/>
                <w:color w:val="auto"/>
              </w:rPr>
            </w:pPr>
            <w:r>
              <w:rPr>
                <w:rFonts w:ascii="Arial" w:cs="Arial" w:eastAsia="Arial" w:hAnsi="Arial"/>
                <w:sz w:val="21"/>
                <w:szCs w:val="21"/>
                <w:color w:val="6E8F82"/>
              </w:rPr>
              <w:t>Outsourcing</w:t>
            </w:r>
          </w:p>
        </w:tc>
        <w:tc>
          <w:tcPr>
            <w:tcW w:w="1440" w:type="dxa"/>
            <w:vAlign w:val="bottom"/>
          </w:tcPr>
          <w:p>
            <w:pPr>
              <w:jc w:val="center"/>
              <w:ind w:left="93"/>
              <w:spacing w:after="0"/>
              <w:rPr>
                <w:sz w:val="20"/>
                <w:szCs w:val="20"/>
                <w:color w:val="auto"/>
              </w:rPr>
            </w:pPr>
            <w:r>
              <w:rPr>
                <w:rFonts w:ascii="Arial" w:cs="Arial" w:eastAsia="Arial" w:hAnsi="Arial"/>
                <w:sz w:val="21"/>
                <w:szCs w:val="21"/>
                <w:color w:val="C46D24"/>
              </w:rPr>
              <w:t>Management</w:t>
            </w:r>
          </w:p>
        </w:tc>
      </w:tr>
    </w:tbl>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1"/>
          <w:szCs w:val="21"/>
          <w:color w:val="C46D24"/>
        </w:rPr>
        <w:t>Career Management</w:t>
      </w:r>
    </w:p>
    <w:p>
      <w:pPr>
        <w:spacing w:after="0" w:line="159" w:lineRule="exact"/>
        <w:rPr>
          <w:sz w:val="20"/>
          <w:szCs w:val="20"/>
          <w:color w:val="auto"/>
        </w:rPr>
      </w:pPr>
    </w:p>
    <w:p>
      <w:pPr>
        <w:sectPr>
          <w:pgSz w:w="11900" w:h="16838" w:orient="portrait"/>
          <w:cols w:equalWidth="0" w:num="2">
            <w:col w:w="4360" w:space="720"/>
            <w:col w:w="5320"/>
          </w:cols>
          <w:pgMar w:left="780" w:top="438" w:right="719" w:bottom="1440" w:gutter="0" w:footer="0" w:header="0"/>
          <w:type w:val="continuous"/>
        </w:sectPr>
      </w:pPr>
    </w:p>
    <w:p>
      <w:pPr>
        <w:ind w:left="3160"/>
        <w:spacing w:after="0"/>
        <w:rPr>
          <w:sz w:val="20"/>
          <w:szCs w:val="20"/>
          <w:color w:val="auto"/>
        </w:rPr>
      </w:pPr>
      <w:r>
        <w:rPr>
          <w:rFonts w:ascii="Arial" w:cs="Arial" w:eastAsia="Arial" w:hAnsi="Arial"/>
          <w:sz w:val="21"/>
          <w:szCs w:val="21"/>
          <w:color w:val="6390C6"/>
        </w:rPr>
        <w:t>Permanent Recruitment</w:t>
      </w:r>
    </w:p>
    <w:p>
      <w:pPr>
        <w:sectPr>
          <w:pgSz w:w="11900" w:h="16838" w:orient="portrait"/>
          <w:cols w:equalWidth="0" w:num="1">
            <w:col w:w="10400"/>
          </w:cols>
          <w:pgMar w:left="780" w:top="438" w:right="719" w:bottom="1440" w:gutter="0" w:footer="0" w:header="0"/>
          <w:type w:val="continuous"/>
        </w:sectPr>
      </w:pPr>
    </w:p>
    <w:p>
      <w:pPr>
        <w:spacing w:after="0" w:line="242" w:lineRule="exact"/>
        <w:rPr>
          <w:sz w:val="20"/>
          <w:szCs w:val="20"/>
          <w:color w:val="auto"/>
        </w:rPr>
      </w:pPr>
    </w:p>
    <w:p>
      <w:pPr>
        <w:jc w:val="center"/>
        <w:ind w:left="160"/>
        <w:spacing w:after="0"/>
        <w:rPr>
          <w:sz w:val="20"/>
          <w:szCs w:val="20"/>
          <w:color w:val="auto"/>
        </w:rPr>
      </w:pPr>
      <w:r>
        <w:rPr>
          <w:rFonts w:ascii="Arial" w:cs="Arial" w:eastAsia="Arial" w:hAnsi="Arial"/>
          <w:sz w:val="55"/>
          <w:szCs w:val="55"/>
          <w:color w:val="FFFFFF"/>
        </w:rPr>
        <w:t>Core</w:t>
      </w:r>
    </w:p>
    <w:p>
      <w:pPr>
        <w:spacing w:after="0" w:line="21" w:lineRule="exact"/>
        <w:rPr>
          <w:sz w:val="20"/>
          <w:szCs w:val="20"/>
          <w:color w:val="auto"/>
        </w:rPr>
      </w:pPr>
    </w:p>
    <w:p>
      <w:pPr>
        <w:jc w:val="center"/>
        <w:ind w:left="160"/>
        <w:spacing w:after="0"/>
        <w:rPr>
          <w:sz w:val="20"/>
          <w:szCs w:val="20"/>
          <w:color w:val="auto"/>
        </w:rPr>
      </w:pPr>
      <w:r>
        <w:rPr>
          <w:rFonts w:ascii="Arial" w:cs="Arial" w:eastAsia="Arial" w:hAnsi="Arial"/>
          <w:sz w:val="54"/>
          <w:szCs w:val="54"/>
          <w:color w:val="FFFFFF"/>
        </w:rPr>
        <w:t>Staffing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120"/>
        <w:spacing w:after="0"/>
        <w:rPr>
          <w:sz w:val="20"/>
          <w:szCs w:val="20"/>
          <w:color w:val="auto"/>
        </w:rPr>
      </w:pPr>
      <w:r>
        <w:rPr>
          <w:rFonts w:ascii="Arial" w:cs="Arial" w:eastAsia="Arial" w:hAnsi="Arial"/>
          <w:sz w:val="21"/>
          <w:szCs w:val="21"/>
          <w:color w:val="AB404B"/>
        </w:rPr>
        <w:t>Assessment</w:t>
      </w:r>
    </w:p>
    <w:tbl>
      <w:tblPr>
        <w:tblLayout w:type="fixed"/>
        <w:tblInd w:w="0" w:type="dxa"/>
        <w:tblCellMar>
          <w:top w:w="0" w:type="dxa"/>
          <w:left w:w="0" w:type="dxa"/>
          <w:bottom w:w="0" w:type="dxa"/>
          <w:right w:w="0" w:type="dxa"/>
        </w:tblCellMar>
      </w:tblPr>
      <w:tr>
        <w:trPr>
          <w:trHeight w:val="257"/>
        </w:trPr>
        <w:tc>
          <w:tcPr>
            <w:tcW w:w="2280" w:type="dxa"/>
            <w:vAlign w:val="bottom"/>
          </w:tcPr>
          <w:p>
            <w:pPr>
              <w:spacing w:after="0"/>
              <w:rPr>
                <w:sz w:val="20"/>
                <w:szCs w:val="20"/>
                <w:color w:val="auto"/>
              </w:rPr>
            </w:pPr>
            <w:r>
              <w:rPr>
                <w:rFonts w:ascii="Arial" w:cs="Arial" w:eastAsia="Arial" w:hAnsi="Arial"/>
                <w:sz w:val="21"/>
                <w:szCs w:val="21"/>
                <w:color w:val="6E8F82"/>
              </w:rPr>
              <w:t>Consulting</w:t>
            </w:r>
          </w:p>
        </w:tc>
        <w:tc>
          <w:tcPr>
            <w:tcW w:w="2200" w:type="dxa"/>
            <w:vAlign w:val="bottom"/>
            <w:vMerge w:val="restart"/>
          </w:tcPr>
          <w:p>
            <w:pPr>
              <w:jc w:val="center"/>
              <w:ind w:left="113"/>
              <w:spacing w:after="0"/>
              <w:rPr>
                <w:sz w:val="20"/>
                <w:szCs w:val="20"/>
                <w:color w:val="auto"/>
              </w:rPr>
            </w:pPr>
            <w:r>
              <w:rPr>
                <w:rFonts w:ascii="Arial" w:cs="Arial" w:eastAsia="Arial" w:hAnsi="Arial"/>
                <w:sz w:val="21"/>
                <w:szCs w:val="21"/>
                <w:color w:val="466EA5"/>
              </w:rPr>
              <w:t>Recruitment Process</w:t>
            </w:r>
          </w:p>
        </w:tc>
        <w:tc>
          <w:tcPr>
            <w:tcW w:w="0" w:type="dxa"/>
            <w:vAlign w:val="bottom"/>
          </w:tcPr>
          <w:p>
            <w:pPr>
              <w:spacing w:after="0"/>
              <w:rPr>
                <w:sz w:val="1"/>
                <w:szCs w:val="1"/>
                <w:color w:val="auto"/>
              </w:rPr>
            </w:pPr>
          </w:p>
        </w:tc>
      </w:tr>
      <w:tr>
        <w:trPr>
          <w:trHeight w:val="52"/>
        </w:trPr>
        <w:tc>
          <w:tcPr>
            <w:tcW w:w="2280" w:type="dxa"/>
            <w:vAlign w:val="bottom"/>
          </w:tcPr>
          <w:p>
            <w:pPr>
              <w:spacing w:after="0"/>
              <w:rPr>
                <w:sz w:val="4"/>
                <w:szCs w:val="4"/>
                <w:color w:val="auto"/>
              </w:rPr>
            </w:pPr>
          </w:p>
        </w:tc>
        <w:tc>
          <w:tcPr>
            <w:tcW w:w="2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280" w:type="dxa"/>
            <w:vAlign w:val="bottom"/>
          </w:tcPr>
          <w:p>
            <w:pPr>
              <w:spacing w:after="0"/>
              <w:rPr>
                <w:sz w:val="22"/>
                <w:szCs w:val="22"/>
                <w:color w:val="auto"/>
              </w:rPr>
            </w:pPr>
          </w:p>
        </w:tc>
        <w:tc>
          <w:tcPr>
            <w:tcW w:w="2200" w:type="dxa"/>
            <w:vAlign w:val="bottom"/>
          </w:tcPr>
          <w:p>
            <w:pPr>
              <w:jc w:val="center"/>
              <w:ind w:left="93"/>
              <w:spacing w:after="0"/>
              <w:rPr>
                <w:sz w:val="20"/>
                <w:szCs w:val="20"/>
                <w:color w:val="auto"/>
              </w:rPr>
            </w:pPr>
            <w:r>
              <w:rPr>
                <w:rFonts w:ascii="Arial" w:cs="Arial" w:eastAsia="Arial" w:hAnsi="Arial"/>
                <w:sz w:val="21"/>
                <w:szCs w:val="21"/>
                <w:color w:val="466EA5"/>
              </w:rPr>
              <w:t>Outsourcing</w:t>
            </w:r>
          </w:p>
        </w:tc>
        <w:tc>
          <w:tcPr>
            <w:tcW w:w="0" w:type="dxa"/>
            <w:vAlign w:val="bottom"/>
          </w:tcPr>
          <w:p>
            <w:pPr>
              <w:spacing w:after="0"/>
              <w:rPr>
                <w:sz w:val="1"/>
                <w:szCs w:val="1"/>
                <w:color w:val="auto"/>
              </w:rPr>
            </w:pPr>
          </w:p>
        </w:tc>
      </w:tr>
      <w:tr>
        <w:trPr>
          <w:trHeight w:val="697"/>
        </w:trPr>
        <w:tc>
          <w:tcPr>
            <w:tcW w:w="2280" w:type="dxa"/>
            <w:vAlign w:val="bottom"/>
          </w:tcPr>
          <w:p>
            <w:pPr>
              <w:ind w:left="320"/>
              <w:spacing w:after="0"/>
              <w:rPr>
                <w:sz w:val="20"/>
                <w:szCs w:val="20"/>
                <w:color w:val="auto"/>
              </w:rPr>
            </w:pPr>
            <w:r>
              <w:rPr>
                <w:rFonts w:ascii="Arial" w:cs="Arial" w:eastAsia="Arial" w:hAnsi="Arial"/>
                <w:sz w:val="21"/>
                <w:szCs w:val="21"/>
                <w:color w:val="6390C6"/>
              </w:rPr>
              <w:t>Specialty Services</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center"/>
        <w:ind w:left="-3219"/>
        <w:spacing w:after="0"/>
        <w:rPr>
          <w:sz w:val="20"/>
          <w:szCs w:val="20"/>
          <w:color w:val="auto"/>
        </w:rPr>
      </w:pPr>
      <w:r>
        <w:rPr>
          <w:rFonts w:ascii="Arial" w:cs="Arial" w:eastAsia="Arial" w:hAnsi="Arial"/>
          <w:sz w:val="20"/>
          <w:szCs w:val="20"/>
          <w:color w:val="AB404B"/>
        </w:rPr>
        <w:t>Borderless Talent</w:t>
      </w:r>
    </w:p>
    <w:p>
      <w:pPr>
        <w:jc w:val="center"/>
        <w:ind w:left="-3219"/>
        <w:spacing w:after="0"/>
        <w:rPr>
          <w:sz w:val="20"/>
          <w:szCs w:val="20"/>
          <w:color w:val="auto"/>
        </w:rPr>
      </w:pPr>
      <w:r>
        <w:rPr>
          <w:rFonts w:ascii="Arial" w:cs="Arial" w:eastAsia="Arial" w:hAnsi="Arial"/>
          <w:sz w:val="21"/>
          <w:szCs w:val="21"/>
          <w:color w:val="AB404B"/>
        </w:rPr>
        <w:t>Solutions</w:t>
      </w:r>
    </w:p>
    <w:p>
      <w:pPr>
        <w:spacing w:after="0" w:line="200" w:lineRule="exact"/>
        <w:rPr>
          <w:sz w:val="20"/>
          <w:szCs w:val="20"/>
          <w:color w:val="auto"/>
        </w:rPr>
      </w:pPr>
    </w:p>
    <w:p>
      <w:pPr>
        <w:sectPr>
          <w:pgSz w:w="11900" w:h="16838" w:orient="portrait"/>
          <w:cols w:equalWidth="0" w:num="2">
            <w:col w:w="2580" w:space="720"/>
            <w:col w:w="7100"/>
          </w:cols>
          <w:pgMar w:left="780" w:top="438" w:right="7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9960"/>
        <w:spacing w:after="0"/>
        <w:rPr>
          <w:sz w:val="20"/>
          <w:szCs w:val="20"/>
          <w:color w:val="auto"/>
        </w:rPr>
      </w:pPr>
      <w:r>
        <w:rPr>
          <w:rFonts w:ascii="Arial" w:cs="Arial" w:eastAsia="Arial" w:hAnsi="Arial"/>
          <w:sz w:val="14"/>
          <w:szCs w:val="14"/>
          <w:color w:val="898989"/>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409575</wp:posOffset>
            </wp:positionV>
            <wp:extent cx="7273290" cy="196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0400"/>
          </w:cols>
          <w:pgMar w:left="780" w:top="438" w:right="719" w:bottom="1440" w:gutter="0" w:footer="0" w:header="0"/>
          <w:type w:val="continuous"/>
        </w:sectPr>
      </w:pPr>
    </w:p>
    <w:bookmarkStart w:id="30" w:name="page31"/>
    <w:bookmarkEnd w:id="30"/>
    <w:p>
      <w:pPr>
        <w:spacing w:after="0"/>
        <w:tabs>
          <w:tab w:leader="none" w:pos="8700" w:val="left"/>
        </w:tabs>
        <w:rPr>
          <w:sz w:val="20"/>
          <w:szCs w:val="20"/>
          <w:color w:val="auto"/>
        </w:rPr>
      </w:pPr>
      <w:r>
        <w:rPr>
          <w:rFonts w:ascii="Arial" w:cs="Arial" w:eastAsia="Arial" w:hAnsi="Arial"/>
          <w:sz w:val="24"/>
          <w:szCs w:val="24"/>
          <w:b w:val="1"/>
          <w:bCs w:val="1"/>
          <w:color w:val="FFFFFF"/>
        </w:rPr>
        <w:drawing>
          <wp:anchor simplePos="0" relativeHeight="251657728" behindDoc="1" locked="0" layoutInCell="0" allowOverlap="1">
            <wp:simplePos x="0" y="0"/>
            <wp:positionH relativeFrom="page">
              <wp:posOffset>299720</wp:posOffset>
            </wp:positionH>
            <wp:positionV relativeFrom="page">
              <wp:posOffset>168910</wp:posOffset>
            </wp:positionV>
            <wp:extent cx="6969760" cy="5227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6969760" cy="5227320"/>
                    </a:xfrm>
                    <a:prstGeom prst="rect">
                      <a:avLst/>
                    </a:prstGeom>
                    <a:noFill/>
                  </pic:spPr>
                </pic:pic>
              </a:graphicData>
            </a:graphic>
          </wp:anchor>
        </w:drawing>
        <w:t>ManpowerGroup 2011 1</w:t>
      </w:r>
      <w:r>
        <w:rPr>
          <w:rFonts w:ascii="Arial" w:cs="Arial" w:eastAsia="Arial" w:hAnsi="Arial"/>
          <w:sz w:val="17"/>
          <w:szCs w:val="17"/>
          <w:b w:val="1"/>
          <w:bCs w:val="1"/>
          <w:color w:val="FFFFFF"/>
        </w:rPr>
        <w:t>st</w:t>
      </w:r>
      <w:r>
        <w:rPr>
          <w:rFonts w:ascii="Arial" w:cs="Arial" w:eastAsia="Arial" w:hAnsi="Arial"/>
          <w:sz w:val="24"/>
          <w:szCs w:val="24"/>
          <w:b w:val="1"/>
          <w:bCs w:val="1"/>
          <w:color w:val="FFFFFF"/>
        </w:rPr>
        <w:t xml:space="preserve"> Quarter Results</w:t>
      </w:r>
      <w:r>
        <w:rPr>
          <w:sz w:val="20"/>
          <w:szCs w:val="20"/>
          <w:color w:val="auto"/>
        </w:rPr>
        <w:tab/>
      </w:r>
      <w:r>
        <w:rPr>
          <w:rFonts w:ascii="Arial" w:cs="Arial" w:eastAsia="Arial" w:hAnsi="Arial"/>
          <w:sz w:val="24"/>
          <w:szCs w:val="24"/>
          <w:b w:val="1"/>
          <w:bCs w:val="1"/>
          <w:color w:val="FFFFFF"/>
        </w:rPr>
        <w:t>April 2011</w:t>
      </w:r>
    </w:p>
    <w:p>
      <w:pPr>
        <w:spacing w:after="0" w:line="217" w:lineRule="exact"/>
        <w:rPr>
          <w:sz w:val="20"/>
          <w:szCs w:val="20"/>
          <w:color w:val="auto"/>
        </w:rPr>
      </w:pPr>
    </w:p>
    <w:p>
      <w:pPr>
        <w:ind w:left="60"/>
        <w:spacing w:after="0"/>
        <w:rPr>
          <w:sz w:val="20"/>
          <w:szCs w:val="20"/>
          <w:color w:val="auto"/>
        </w:rPr>
      </w:pPr>
      <w:r>
        <w:rPr>
          <w:rFonts w:ascii="Arial" w:cs="Arial" w:eastAsia="Arial" w:hAnsi="Arial"/>
          <w:sz w:val="49"/>
          <w:szCs w:val="49"/>
          <w:color w:val="D47C18"/>
        </w:rPr>
        <w:t>We Are ManpowerGroup</w:t>
      </w:r>
    </w:p>
    <w:p>
      <w:pPr>
        <w:spacing w:after="0" w:line="389" w:lineRule="exact"/>
        <w:rPr>
          <w:sz w:val="20"/>
          <w:szCs w:val="20"/>
          <w:color w:val="auto"/>
        </w:rPr>
      </w:pPr>
    </w:p>
    <w:p>
      <w:pPr>
        <w:ind w:left="2140" w:right="320"/>
        <w:spacing w:after="0" w:line="259" w:lineRule="auto"/>
        <w:rPr>
          <w:sz w:val="20"/>
          <w:szCs w:val="20"/>
          <w:color w:val="auto"/>
        </w:rPr>
      </w:pPr>
      <w:r>
        <w:rPr>
          <w:rFonts w:ascii="Arial" w:cs="Arial" w:eastAsia="Arial" w:hAnsi="Arial"/>
          <w:sz w:val="18"/>
          <w:szCs w:val="18"/>
          <w:color w:val="5F81AA"/>
        </w:rPr>
        <w:t>ManpowerGroup</w:t>
      </w:r>
      <w:r>
        <w:rPr>
          <w:rFonts w:ascii="Arial" w:cs="Arial" w:eastAsia="Arial" w:hAnsi="Arial"/>
          <w:sz w:val="9"/>
          <w:szCs w:val="9"/>
          <w:color w:val="5F81AA"/>
        </w:rPr>
        <w:t>TM</w:t>
      </w:r>
      <w:r>
        <w:rPr>
          <w:rFonts w:ascii="Arial" w:cs="Arial" w:eastAsia="Arial" w:hAnsi="Arial"/>
          <w:sz w:val="18"/>
          <w:szCs w:val="18"/>
          <w:color w:val="5F81AA"/>
        </w:rPr>
        <w:t xml:space="preserve"> </w:t>
      </w:r>
      <w:r>
        <w:rPr>
          <w:rFonts w:ascii="Arial" w:cs="Arial" w:eastAsia="Arial" w:hAnsi="Arial"/>
          <w:sz w:val="18"/>
          <w:szCs w:val="18"/>
          <w:color w:val="000000"/>
        </w:rPr>
        <w:t>is the world leader in innovative workforce solutions. We leverage our</w:t>
      </w:r>
      <w:r>
        <w:rPr>
          <w:rFonts w:ascii="Arial" w:cs="Arial" w:eastAsia="Arial" w:hAnsi="Arial"/>
          <w:sz w:val="18"/>
          <w:szCs w:val="18"/>
          <w:color w:val="5F81AA"/>
        </w:rPr>
        <w:t xml:space="preserve"> </w:t>
      </w:r>
      <w:r>
        <w:rPr>
          <w:rFonts w:ascii="Arial" w:cs="Arial" w:eastAsia="Arial" w:hAnsi="Arial"/>
          <w:sz w:val="18"/>
          <w:szCs w:val="18"/>
          <w:color w:val="000000"/>
        </w:rPr>
        <w:t>global reach and local expertise of tens of thousands of people across more than 80 countries, making it possible for businesses to access the talent they need when they need it.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140" w:right="700"/>
        <w:spacing w:after="0" w:line="259" w:lineRule="auto"/>
        <w:rPr>
          <w:sz w:val="20"/>
          <w:szCs w:val="20"/>
          <w:color w:val="auto"/>
        </w:rPr>
      </w:pPr>
      <w:r>
        <w:rPr>
          <w:rFonts w:ascii="Arial" w:cs="Arial" w:eastAsia="Arial" w:hAnsi="Arial"/>
          <w:sz w:val="18"/>
          <w:szCs w:val="18"/>
          <w:color w:val="6698C2"/>
        </w:rPr>
        <w:t>ManpowerGroup</w:t>
      </w:r>
      <w:r>
        <w:rPr>
          <w:rFonts w:ascii="Arial" w:cs="Arial" w:eastAsia="Arial" w:hAnsi="Arial"/>
          <w:sz w:val="9"/>
          <w:szCs w:val="9"/>
          <w:color w:val="6698C2"/>
        </w:rPr>
        <w:t>TM</w:t>
      </w:r>
      <w:r>
        <w:rPr>
          <w:rFonts w:ascii="Arial" w:cs="Arial" w:eastAsia="Arial" w:hAnsi="Arial"/>
          <w:sz w:val="18"/>
          <w:szCs w:val="18"/>
          <w:color w:val="6698C2"/>
        </w:rPr>
        <w:t xml:space="preserve"> Solutions </w:t>
      </w:r>
      <w:r>
        <w:rPr>
          <w:rFonts w:ascii="Arial" w:cs="Arial" w:eastAsia="Arial" w:hAnsi="Arial"/>
          <w:sz w:val="18"/>
          <w:szCs w:val="18"/>
          <w:color w:val="000000"/>
        </w:rPr>
        <w:t>provides clients with human resources outsourcing services</w:t>
      </w:r>
      <w:r>
        <w:rPr>
          <w:rFonts w:ascii="Arial" w:cs="Arial" w:eastAsia="Arial" w:hAnsi="Arial"/>
          <w:sz w:val="18"/>
          <w:szCs w:val="18"/>
          <w:color w:val="6698C2"/>
        </w:rPr>
        <w:t xml:space="preserve"> </w:t>
      </w:r>
      <w:r>
        <w:rPr>
          <w:rFonts w:ascii="Arial" w:cs="Arial" w:eastAsia="Arial" w:hAnsi="Arial"/>
          <w:sz w:val="18"/>
          <w:szCs w:val="18"/>
          <w:color w:val="000000"/>
        </w:rPr>
        <w:t>primarily in the areas of large-scale recruiting and outcome-based workforce-intensive initiatives, thereby sharing in the risk and reward with our clients.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140" w:right="1040"/>
        <w:spacing w:after="0" w:line="256" w:lineRule="auto"/>
        <w:rPr>
          <w:sz w:val="20"/>
          <w:szCs w:val="20"/>
          <w:color w:val="auto"/>
        </w:rPr>
      </w:pPr>
      <w:r>
        <w:rPr>
          <w:rFonts w:ascii="Arial" w:cs="Arial" w:eastAsia="Arial" w:hAnsi="Arial"/>
          <w:sz w:val="18"/>
          <w:szCs w:val="18"/>
          <w:color w:val="7EA190"/>
        </w:rPr>
        <w:t>Experis</w:t>
      </w:r>
      <w:r>
        <w:rPr>
          <w:rFonts w:ascii="Arial" w:cs="Arial" w:eastAsia="Arial" w:hAnsi="Arial"/>
          <w:sz w:val="9"/>
          <w:szCs w:val="9"/>
          <w:color w:val="7EA190"/>
        </w:rPr>
        <w:t>TM</w:t>
      </w:r>
      <w:r>
        <w:rPr>
          <w:rFonts w:ascii="Arial" w:cs="Arial" w:eastAsia="Arial" w:hAnsi="Arial"/>
          <w:sz w:val="18"/>
          <w:szCs w:val="18"/>
          <w:color w:val="7EA190"/>
        </w:rPr>
        <w:t xml:space="preserve"> </w:t>
      </w:r>
      <w:r>
        <w:rPr>
          <w:rFonts w:ascii="Arial" w:cs="Arial" w:eastAsia="Arial" w:hAnsi="Arial"/>
          <w:sz w:val="18"/>
          <w:szCs w:val="18"/>
          <w:color w:val="000000"/>
        </w:rPr>
        <w:t>is the global leader in professional resourcing and project-based workforce</w:t>
      </w:r>
      <w:r>
        <w:rPr>
          <w:rFonts w:ascii="Arial" w:cs="Arial" w:eastAsia="Arial" w:hAnsi="Arial"/>
          <w:sz w:val="18"/>
          <w:szCs w:val="18"/>
          <w:color w:val="7EA190"/>
        </w:rPr>
        <w:t xml:space="preserve"> </w:t>
      </w:r>
      <w:r>
        <w:rPr>
          <w:rFonts w:ascii="Arial" w:cs="Arial" w:eastAsia="Arial" w:hAnsi="Arial"/>
          <w:sz w:val="18"/>
          <w:szCs w:val="18"/>
          <w:color w:val="000000"/>
        </w:rPr>
        <w:t>solutions. With operations in more than 50 countries, we deliver 53 million hours of professional talent specializing in IT, Finance and Engineering to accelerate clients’ businesses each year.</w:t>
      </w:r>
    </w:p>
    <w:p>
      <w:pPr>
        <w:spacing w:after="0" w:line="200" w:lineRule="exact"/>
        <w:rPr>
          <w:sz w:val="20"/>
          <w:szCs w:val="20"/>
          <w:color w:val="auto"/>
        </w:rPr>
      </w:pPr>
    </w:p>
    <w:p>
      <w:pPr>
        <w:spacing w:after="0" w:line="205" w:lineRule="exact"/>
        <w:rPr>
          <w:sz w:val="20"/>
          <w:szCs w:val="20"/>
          <w:color w:val="auto"/>
        </w:rPr>
      </w:pPr>
    </w:p>
    <w:p>
      <w:pPr>
        <w:ind w:left="2140" w:right="760"/>
        <w:spacing w:after="0" w:line="261" w:lineRule="auto"/>
        <w:rPr>
          <w:sz w:val="20"/>
          <w:szCs w:val="20"/>
          <w:color w:val="auto"/>
        </w:rPr>
      </w:pPr>
      <w:r>
        <w:rPr>
          <w:rFonts w:ascii="Arial" w:cs="Arial" w:eastAsia="Arial" w:hAnsi="Arial"/>
          <w:sz w:val="18"/>
          <w:szCs w:val="18"/>
          <w:color w:val="D47C18"/>
        </w:rPr>
        <w:t>Right Management</w:t>
      </w:r>
      <w:r>
        <w:rPr>
          <w:rFonts w:ascii="Arial" w:cs="Arial" w:eastAsia="Arial" w:hAnsi="Arial"/>
          <w:sz w:val="12"/>
          <w:szCs w:val="12"/>
          <w:color w:val="D47C18"/>
        </w:rPr>
        <w:t>®</w:t>
      </w:r>
      <w:r>
        <w:rPr>
          <w:rFonts w:ascii="Arial" w:cs="Arial" w:eastAsia="Arial" w:hAnsi="Arial"/>
          <w:sz w:val="18"/>
          <w:szCs w:val="18"/>
          <w:color w:val="D47C18"/>
        </w:rPr>
        <w:t xml:space="preserve"> </w:t>
      </w:r>
      <w:r>
        <w:rPr>
          <w:rFonts w:ascii="Arial" w:cs="Arial" w:eastAsia="Arial" w:hAnsi="Arial"/>
          <w:sz w:val="18"/>
          <w:szCs w:val="18"/>
          <w:color w:val="000000"/>
        </w:rPr>
        <w:t>is the global leader in talent and career management workforce</w:t>
      </w:r>
      <w:r>
        <w:rPr>
          <w:rFonts w:ascii="Arial" w:cs="Arial" w:eastAsia="Arial" w:hAnsi="Arial"/>
          <w:sz w:val="18"/>
          <w:szCs w:val="18"/>
          <w:color w:val="D47C18"/>
        </w:rPr>
        <w:t xml:space="preserve"> </w:t>
      </w:r>
      <w:r>
        <w:rPr>
          <w:rFonts w:ascii="Arial" w:cs="Arial" w:eastAsia="Arial" w:hAnsi="Arial"/>
          <w:sz w:val="18"/>
          <w:szCs w:val="18"/>
          <w:color w:val="000000"/>
        </w:rPr>
        <w:t>solutions. Through our innovative and proprietary process, we leverage our expertise to successfully increase productivity and optimize business performance..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140" w:right="360"/>
        <w:spacing w:after="0" w:line="261" w:lineRule="auto"/>
        <w:rPr>
          <w:sz w:val="20"/>
          <w:szCs w:val="20"/>
          <w:color w:val="auto"/>
        </w:rPr>
      </w:pPr>
      <w:r>
        <w:rPr>
          <w:rFonts w:ascii="Arial" w:cs="Arial" w:eastAsia="Arial" w:hAnsi="Arial"/>
          <w:sz w:val="18"/>
          <w:szCs w:val="18"/>
          <w:color w:val="C8504F"/>
        </w:rPr>
        <w:t>Manpower</w:t>
      </w:r>
      <w:r>
        <w:rPr>
          <w:rFonts w:ascii="Arial" w:cs="Arial" w:eastAsia="Arial" w:hAnsi="Arial"/>
          <w:sz w:val="12"/>
          <w:szCs w:val="12"/>
          <w:color w:val="C8504F"/>
        </w:rPr>
        <w:t>®</w:t>
      </w:r>
      <w:r>
        <w:rPr>
          <w:rFonts w:ascii="Arial" w:cs="Arial" w:eastAsia="Arial" w:hAnsi="Arial"/>
          <w:sz w:val="18"/>
          <w:szCs w:val="18"/>
          <w:color w:val="C8504F"/>
        </w:rPr>
        <w:t xml:space="preserve"> </w:t>
      </w:r>
      <w:r>
        <w:rPr>
          <w:rFonts w:ascii="Arial" w:cs="Arial" w:eastAsia="Arial" w:hAnsi="Arial"/>
          <w:sz w:val="18"/>
          <w:szCs w:val="18"/>
          <w:color w:val="000000"/>
        </w:rPr>
        <w:t>is the global leader in contingent and permanent recruitment workforce</w:t>
      </w:r>
      <w:r>
        <w:rPr>
          <w:rFonts w:ascii="Arial" w:cs="Arial" w:eastAsia="Arial" w:hAnsi="Arial"/>
          <w:sz w:val="18"/>
          <w:szCs w:val="18"/>
          <w:color w:val="C8504F"/>
        </w:rPr>
        <w:t xml:space="preserve"> </w:t>
      </w:r>
      <w:r>
        <w:rPr>
          <w:rFonts w:ascii="Arial" w:cs="Arial" w:eastAsia="Arial" w:hAnsi="Arial"/>
          <w:sz w:val="18"/>
          <w:szCs w:val="18"/>
          <w:color w:val="000000"/>
        </w:rPr>
        <w:t>solutions. We provide the personal flexibility and agility businesses need with a continuum of staffing solutions.</w:t>
      </w:r>
    </w:p>
    <w:p>
      <w:pPr>
        <w:spacing w:after="0" w:line="319" w:lineRule="exact"/>
        <w:rPr>
          <w:sz w:val="20"/>
          <w:szCs w:val="20"/>
          <w:color w:val="auto"/>
        </w:rPr>
      </w:pPr>
    </w:p>
    <w:p>
      <w:pPr>
        <w:jc w:val="right"/>
        <w:spacing w:after="0"/>
        <w:rPr>
          <w:sz w:val="20"/>
          <w:szCs w:val="20"/>
          <w:color w:val="auto"/>
        </w:rPr>
      </w:pPr>
      <w:r>
        <w:rPr>
          <w:rFonts w:ascii="Arial" w:cs="Arial" w:eastAsia="Arial" w:hAnsi="Arial"/>
          <w:sz w:val="14"/>
          <w:szCs w:val="14"/>
          <w:color w:val="898989"/>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409575</wp:posOffset>
            </wp:positionV>
            <wp:extent cx="7273290" cy="196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0020"/>
          </w:cols>
          <w:pgMar w:left="880" w:top="438" w:right="999" w:bottom="1440" w:gutter="0" w:footer="0" w:header="0"/>
        </w:sectPr>
      </w:pPr>
    </w:p>
    <w:bookmarkStart w:id="31" w:name="page32"/>
    <w:bookmarkEnd w:id="31"/>
    <w:p>
      <w:pPr>
        <w:spacing w:after="0"/>
        <w:tabs>
          <w:tab w:leader="none" w:pos="8700" w:val="left"/>
        </w:tabs>
        <w:rPr>
          <w:sz w:val="20"/>
          <w:szCs w:val="20"/>
          <w:color w:val="auto"/>
        </w:rPr>
      </w:pPr>
      <w:r>
        <w:rPr>
          <w:rFonts w:ascii="Arial" w:cs="Arial" w:eastAsia="Arial" w:hAnsi="Arial"/>
          <w:sz w:val="24"/>
          <w:szCs w:val="24"/>
          <w:b w:val="1"/>
          <w:bCs w:val="1"/>
          <w:color w:val="FFFFFF"/>
        </w:rPr>
        <w:drawing>
          <wp:anchor simplePos="0" relativeHeight="251657728" behindDoc="1" locked="0" layoutInCell="0" allowOverlap="1">
            <wp:simplePos x="0" y="0"/>
            <wp:positionH relativeFrom="page">
              <wp:posOffset>299720</wp:posOffset>
            </wp:positionH>
            <wp:positionV relativeFrom="page">
              <wp:posOffset>168910</wp:posOffset>
            </wp:positionV>
            <wp:extent cx="6969760" cy="52273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6969760" cy="5227320"/>
                    </a:xfrm>
                    <a:prstGeom prst="rect">
                      <a:avLst/>
                    </a:prstGeom>
                    <a:noFill/>
                  </pic:spPr>
                </pic:pic>
              </a:graphicData>
            </a:graphic>
          </wp:anchor>
        </w:drawing>
        <w:t>ManpowerGroup 2011 1</w:t>
      </w:r>
      <w:r>
        <w:rPr>
          <w:rFonts w:ascii="Arial" w:cs="Arial" w:eastAsia="Arial" w:hAnsi="Arial"/>
          <w:sz w:val="17"/>
          <w:szCs w:val="17"/>
          <w:b w:val="1"/>
          <w:bCs w:val="1"/>
          <w:color w:val="FFFFFF"/>
        </w:rPr>
        <w:t>st</w:t>
      </w:r>
      <w:r>
        <w:rPr>
          <w:rFonts w:ascii="Arial" w:cs="Arial" w:eastAsia="Arial" w:hAnsi="Arial"/>
          <w:sz w:val="24"/>
          <w:szCs w:val="24"/>
          <w:b w:val="1"/>
          <w:bCs w:val="1"/>
          <w:color w:val="FFFFFF"/>
        </w:rPr>
        <w:t xml:space="preserve"> Quarter Results</w:t>
      </w:r>
      <w:r>
        <w:rPr>
          <w:sz w:val="20"/>
          <w:szCs w:val="20"/>
          <w:color w:val="auto"/>
        </w:rPr>
        <w:tab/>
      </w:r>
      <w:r>
        <w:rPr>
          <w:rFonts w:ascii="Arial" w:cs="Arial" w:eastAsia="Arial" w:hAnsi="Arial"/>
          <w:sz w:val="24"/>
          <w:szCs w:val="24"/>
          <w:b w:val="1"/>
          <w:bCs w:val="1"/>
          <w:color w:val="FFFFFF"/>
        </w:rPr>
        <w:t>April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40"/>
        <w:spacing w:after="0"/>
        <w:rPr>
          <w:sz w:val="20"/>
          <w:szCs w:val="20"/>
          <w:color w:val="auto"/>
        </w:rPr>
      </w:pPr>
      <w:r>
        <w:rPr>
          <w:rFonts w:ascii="Arial" w:cs="Arial" w:eastAsia="Arial" w:hAnsi="Arial"/>
          <w:sz w:val="49"/>
          <w:szCs w:val="49"/>
          <w:color w:val="D47C18"/>
        </w:rPr>
        <w:t>Key</w:t>
      </w:r>
    </w:p>
    <w:p>
      <w:pPr>
        <w:ind w:left="240"/>
        <w:spacing w:after="0" w:line="235" w:lineRule="auto"/>
        <w:rPr>
          <w:sz w:val="20"/>
          <w:szCs w:val="20"/>
          <w:color w:val="auto"/>
        </w:rPr>
      </w:pPr>
      <w:r>
        <w:rPr>
          <w:rFonts w:ascii="Arial" w:cs="Arial" w:eastAsia="Arial" w:hAnsi="Arial"/>
          <w:sz w:val="49"/>
          <w:szCs w:val="49"/>
          <w:color w:val="D47C18"/>
        </w:rPr>
        <w:t>Differentiators</w:t>
      </w:r>
    </w:p>
    <w:p>
      <w:pPr>
        <w:spacing w:after="0" w:line="1" w:lineRule="exact"/>
        <w:rPr>
          <w:sz w:val="20"/>
          <w:szCs w:val="20"/>
          <w:color w:val="auto"/>
        </w:rPr>
      </w:pPr>
    </w:p>
    <w:p>
      <w:pPr>
        <w:ind w:left="680" w:right="3760" w:hanging="545"/>
        <w:spacing w:after="0" w:line="262" w:lineRule="auto"/>
        <w:tabs>
          <w:tab w:leader="none" w:pos="626" w:val="left"/>
        </w:tabs>
        <w:numPr>
          <w:ilvl w:val="0"/>
          <w:numId w:val="11"/>
        </w:numPr>
        <w:rPr>
          <w:rFonts w:ascii="Arial" w:cs="Arial" w:eastAsia="Arial" w:hAnsi="Arial"/>
          <w:sz w:val="30"/>
          <w:szCs w:val="30"/>
          <w:color w:val="D47C18"/>
        </w:rPr>
      </w:pPr>
      <w:r>
        <w:rPr>
          <w:rFonts w:ascii="Arial" w:cs="Arial" w:eastAsia="Arial" w:hAnsi="Arial"/>
          <w:sz w:val="30"/>
          <w:szCs w:val="30"/>
          <w:color w:val="282A32"/>
        </w:rPr>
        <w:t>One Global Operating Model with Fixed &amp; Flexible Components</w:t>
      </w:r>
    </w:p>
    <w:p>
      <w:pPr>
        <w:spacing w:after="0" w:line="161" w:lineRule="exact"/>
        <w:rPr>
          <w:rFonts w:ascii="Arial" w:cs="Arial" w:eastAsia="Arial" w:hAnsi="Arial"/>
          <w:sz w:val="30"/>
          <w:szCs w:val="30"/>
          <w:color w:val="D47C18"/>
        </w:rPr>
      </w:pPr>
    </w:p>
    <w:p>
      <w:pPr>
        <w:ind w:left="680" w:right="4120" w:hanging="545"/>
        <w:spacing w:after="0" w:line="262" w:lineRule="auto"/>
        <w:tabs>
          <w:tab w:leader="none" w:pos="626" w:val="left"/>
        </w:tabs>
        <w:numPr>
          <w:ilvl w:val="0"/>
          <w:numId w:val="11"/>
        </w:numPr>
        <w:rPr>
          <w:rFonts w:ascii="Arial" w:cs="Arial" w:eastAsia="Arial" w:hAnsi="Arial"/>
          <w:sz w:val="30"/>
          <w:szCs w:val="30"/>
          <w:color w:val="D47C18"/>
        </w:rPr>
      </w:pPr>
      <w:r>
        <w:rPr>
          <w:rFonts w:ascii="Arial" w:cs="Arial" w:eastAsia="Arial" w:hAnsi="Arial"/>
          <w:sz w:val="30"/>
          <w:szCs w:val="30"/>
          <w:color w:val="282A32"/>
        </w:rPr>
        <w:t>Deep Vertical Expertise at the Global &amp; Local Levels</w:t>
      </w:r>
    </w:p>
    <w:p>
      <w:pPr>
        <w:spacing w:after="0" w:line="161" w:lineRule="exact"/>
        <w:rPr>
          <w:rFonts w:ascii="Arial" w:cs="Arial" w:eastAsia="Arial" w:hAnsi="Arial"/>
          <w:sz w:val="30"/>
          <w:szCs w:val="30"/>
          <w:color w:val="D47C18"/>
        </w:rPr>
      </w:pPr>
    </w:p>
    <w:p>
      <w:pPr>
        <w:ind w:left="680" w:right="3540" w:hanging="545"/>
        <w:spacing w:after="0" w:line="262" w:lineRule="auto"/>
        <w:tabs>
          <w:tab w:leader="none" w:pos="626" w:val="left"/>
        </w:tabs>
        <w:numPr>
          <w:ilvl w:val="0"/>
          <w:numId w:val="11"/>
        </w:numPr>
        <w:rPr>
          <w:rFonts w:ascii="Arial" w:cs="Arial" w:eastAsia="Arial" w:hAnsi="Arial"/>
          <w:sz w:val="30"/>
          <w:szCs w:val="30"/>
          <w:color w:val="D47C18"/>
        </w:rPr>
      </w:pPr>
      <w:r>
        <w:rPr>
          <w:rFonts w:ascii="Arial" w:cs="Arial" w:eastAsia="Arial" w:hAnsi="Arial"/>
          <w:sz w:val="30"/>
          <w:szCs w:val="30"/>
          <w:color w:val="282A32"/>
        </w:rPr>
        <w:t>Efficiencies Driven through a Research and Sourcing Center (RSC)</w:t>
      </w:r>
    </w:p>
    <w:p>
      <w:pPr>
        <w:spacing w:after="0" w:line="161" w:lineRule="exact"/>
        <w:rPr>
          <w:rFonts w:ascii="Arial" w:cs="Arial" w:eastAsia="Arial" w:hAnsi="Arial"/>
          <w:sz w:val="30"/>
          <w:szCs w:val="30"/>
          <w:color w:val="D47C18"/>
        </w:rPr>
      </w:pPr>
    </w:p>
    <w:p>
      <w:pPr>
        <w:ind w:left="680" w:right="3440" w:hanging="545"/>
        <w:spacing w:after="0" w:line="262" w:lineRule="auto"/>
        <w:tabs>
          <w:tab w:leader="none" w:pos="626" w:val="left"/>
        </w:tabs>
        <w:numPr>
          <w:ilvl w:val="0"/>
          <w:numId w:val="11"/>
        </w:numPr>
        <w:rPr>
          <w:rFonts w:ascii="Arial" w:cs="Arial" w:eastAsia="Arial" w:hAnsi="Arial"/>
          <w:sz w:val="30"/>
          <w:szCs w:val="30"/>
          <w:color w:val="D47C18"/>
        </w:rPr>
      </w:pPr>
      <w:r>
        <w:rPr>
          <w:rFonts w:ascii="Arial" w:cs="Arial" w:eastAsia="Arial" w:hAnsi="Arial"/>
          <w:sz w:val="30"/>
          <w:szCs w:val="30"/>
          <w:color w:val="282A32"/>
        </w:rPr>
        <w:t>Consolidation of Existing Brands and Global Best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14"/>
          <w:szCs w:val="14"/>
          <w:color w:val="898989"/>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409575</wp:posOffset>
            </wp:positionV>
            <wp:extent cx="7273290" cy="196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3290" cy="19685"/>
                    </a:xfrm>
                    <a:prstGeom prst="rect">
                      <a:avLst/>
                    </a:prstGeom>
                    <a:noFill/>
                  </pic:spPr>
                </pic:pic>
              </a:graphicData>
            </a:graphic>
          </wp:anchor>
        </w:drawing>
      </w:r>
    </w:p>
    <w:p>
      <w:pPr>
        <w:sectPr>
          <w:pgSz w:w="11900" w:h="16838" w:orient="portrait"/>
          <w:cols w:equalWidth="0" w:num="1">
            <w:col w:w="10020"/>
          </w:cols>
          <w:pgMar w:left="880" w:top="438" w:right="999"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299720</wp:posOffset>
            </wp:positionH>
            <wp:positionV relativeFrom="page">
              <wp:posOffset>168910</wp:posOffset>
            </wp:positionV>
            <wp:extent cx="6969760" cy="52273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6969760" cy="5227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020"/>
        <w:spacing w:after="0"/>
        <w:rPr>
          <w:sz w:val="20"/>
          <w:szCs w:val="20"/>
          <w:color w:val="auto"/>
        </w:rPr>
      </w:pPr>
      <w:r>
        <w:rPr>
          <w:rFonts w:ascii="Arial" w:cs="Arial" w:eastAsia="Arial" w:hAnsi="Arial"/>
          <w:sz w:val="72"/>
          <w:szCs w:val="72"/>
          <w:color w:val="FFFFFF"/>
        </w:rPr>
        <w:t>Questions</w:t>
      </w:r>
    </w:p>
    <w:p>
      <w:pPr>
        <w:sectPr>
          <w:pgSz w:w="11900" w:h="16838" w:orient="portrait"/>
          <w:cols w:equalWidth="0" w:num="1">
            <w:col w:w="9019"/>
          </w:cols>
          <w:pgMar w:left="1440" w:top="1440" w:right="1440" w:bottom="1440"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lowerLetter"/>
      <w:start w:val="1"/>
    </w:lvl>
  </w:abstractNum>
  <w:abstractNum w:abstractNumId="1">
    <w:nsid w:val="2EB141F2"/>
    <w:multiLevelType w:val="hybridMultilevel"/>
    <w:lvl w:ilvl="0">
      <w:lvlJc w:val="left"/>
      <w:lvlText w:val="(%1)"/>
      <w:numFmt w:val="lowerLetter"/>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20"/>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lowerLetter"/>
      <w:start w:val="1"/>
    </w:lvl>
    <w:lvl w:ilvl="1">
      <w:lvlJc w:val="left"/>
      <w:lvlText w:val="(%2)"/>
      <w:numFmt w:val="lowerLetter"/>
      <w:start w:val="2"/>
    </w:lvl>
  </w:abstractNum>
  <w:abstractNum w:abstractNumId="9">
    <w:nsid w:val="216231B"/>
    <w:multiLevelType w:val="hybridMultilevel"/>
    <w:lvl w:ilvl="0">
      <w:lvlJc w:val="left"/>
      <w:lvlText w:val="•"/>
      <w:numFmt w:val="bullet"/>
      <w:start w:val="1"/>
    </w:lvl>
    <w:lvl w:ilvl="1">
      <w:lvlJc w:val="left"/>
      <w:lvlText w:val="\endash "/>
      <w:numFmt w:val="bullet"/>
      <w:start w:val="1"/>
    </w:lvl>
    <w:lvl w:ilvl="2">
      <w:lvlJc w:val="left"/>
      <w:lvlText w:val="•"/>
      <w:numFmt w:val="bullet"/>
      <w:start w:val="1"/>
    </w:lvl>
  </w:abstractNum>
  <w:abstractNum w:abstractNumId="10">
    <w:nsid w:val="1F16E9E8"/>
    <w:multiLevelType w:val="hybridMultilevel"/>
    <w:lvl w:ilvl="0">
      <w:lvlJc w:val="left"/>
      <w:lvlText w:val="Ù"/>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2019-12-10T09:25:07Z</dcterms:created>
  <dcterms:modified xsi:type="dcterms:W3CDTF">2019-12-10T09:25:07Z</dcterms:modified>
</cp:coreProperties>
</file>