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8663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866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902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HOWARD JULIE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902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902" w:orient="portrait"/>
          <w:cols w:equalWidth="0" w:num="2">
            <w:col w:w="7540" w:space="720"/>
            <w:col w:w="282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1,830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2,365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2,057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1,082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1,573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1,509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2,132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1,565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1,643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2,226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02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2819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281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2,013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2,463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2,463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2,463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57.72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3,119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3,119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 w:right="160" w:firstLine="3"/>
        <w:spacing w:after="0" w:line="259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9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2028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9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2029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9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2030 or within 30 days after the reporting person's termination of service as a director, except as otherwise provided in the Terms and Conditions.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100% of the Retainer (as defined in the Terms and Conditions) for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160" w:firstLine="3"/>
        <w:spacing w:after="0" w:line="259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vest in quarterly installments on the last day of each calendar quarter during 2025 and will be settled in shares of ManpowerGroup common stock on a 1 for 1 basis on the earlier of January 1, 2028 or within 30 days after the reporting person's termination of service as a director, except as otherwise provided in the Terms and Conditions (as defined below).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00" w:firstLine="3"/>
        <w:spacing w:after="0" w:line="259" w:lineRule="auto"/>
        <w:tabs>
          <w:tab w:leader="none" w:pos="15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2024.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-8255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-14605</wp:posOffset>
            </wp:positionV>
            <wp:extent cx="7124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9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2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758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2025-01-03T15:50:55Z</dcterms:created>
  <dcterms:modified xsi:type="dcterms:W3CDTF">2025-01-03T15:50:55Z</dcterms:modified>
</cp:coreProperties>
</file>