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1-10686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39-1672779</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100 Manpower Place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Milwaukee, Wisconsin</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(414) 961-1000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 Election of Directors.</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October 26, 2026, ManpowerGroup Inc. (the “Company”) appointed Lidia Fonseca to its Board of Directors, with service to begin on November 1, 2026. The size of the Company’s Board of Directors will increase from twelve to thirteen directors in connection with the appointment of Ms. Fonseca. Ms. Fonseca previously served as Chief Digital and Technology Officer and Executive Vice President of Pfizer Inc. and is currently the Senior Advisor to the Chief Executive Officer of Pfizer Inc. Ms. Fonseca has not been appointed to serve on any committee of the Company’s Board of Directors.</w:t>
      </w:r>
    </w:p>
    <w:p>
      <w:pPr>
        <w:spacing w:after="0" w:line="180"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As a non-employee director of the Company, Ms. Fonseca will participate in the same compensation arrangement as the other non-employee directors of the Company, as described in Exhibits 10.5(a) and 10.5(b) of the Company’s Annual Report on Form 10-K for the fiscal year ended December 31, 2025.</w:t>
      </w:r>
    </w:p>
    <w:p>
      <w:pPr>
        <w:spacing w:after="0" w:line="176"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Under this compensation arrangement, non-employee directors receive (1) an annual cash retainer equal to $120,000 (or, if elected by the director, deferred stock in lieu of all or a portion of the cash retainer), and (2) an annual grant of deferred stock with a grant date fair value of approximately $180,000 (or, if elected by the director, a grant of restricted stock). Ms. Fonseca will receive a prorated retainer and annual grant in connection with her service in 2026. Ms. Fonseca will also be entitled to receive reimbursement for travel expenses incurred in connection with attending Board of Directors and, if applicable, committee meetings.</w:t>
      </w:r>
    </w:p>
    <w:p>
      <w:pPr>
        <w:spacing w:after="0" w:line="183"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between Ms. Fonseca and any director or executive officer of the Company, and no arrangements or understandings between Ms. Fonseca and any other person pursuant to which she was selected as a director. Since January 1, 2025, there have been no transactions, and there are no currently proposed transactions, to which the Company was or is a participant and in which Ms. Fonseca had or is to have a direct or indirect material interest that would require disclosure pursuant to Item 404(a) of Regulation S-K.</w:t>
      </w:r>
    </w:p>
    <w:p>
      <w:pPr>
        <w:spacing w:after="0" w:line="180"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Company will also enter into an indemnification agreement with Ms. Fonseca, which will be in substantially the same form as the indemnification agreements entered into by the Company with each of the Company’s other outside directors. A copy of the indemnification agreement is filed as Exhibit 99.1 to the Company’s Current Report on Form 8-K dated October 31, 2006 and is incorporated herein by reference.</w:t>
      </w:r>
    </w:p>
    <w:p>
      <w:pPr>
        <w:spacing w:after="0" w:line="176"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press release issued by the Company announcing the appointment of Ms. Fonseca is attached hereto as Exhibit 99.1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1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FF"/>
              </w:rPr>
              <w:t>Press Release dated October 28, 2026</w:t>
            </w:r>
          </w:p>
        </w:tc>
      </w:tr>
      <w:tr>
        <w:trPr>
          <w:trHeight w:val="20"/>
        </w:trPr>
        <w:tc>
          <w:tcPr>
            <w:tcW w:w="1140" w:type="dxa"/>
            <w:vAlign w:val="bottom"/>
          </w:tcPr>
          <w:p>
            <w:pPr>
              <w:spacing w:after="0" w:line="20" w:lineRule="exact"/>
              <w:rPr>
                <w:sz w:val="1"/>
                <w:szCs w:val="1"/>
                <w:color w:val="auto"/>
              </w:rPr>
            </w:pPr>
          </w:p>
        </w:tc>
        <w:tc>
          <w:tcPr>
            <w:tcW w:w="274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1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MANPOWERGROUP INC.</w:t>
            </w:r>
          </w:p>
        </w:tc>
      </w:tr>
      <w:tr>
        <w:trPr>
          <w:trHeight w:val="580"/>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24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Dale Johnson</w:t>
            </w:r>
          </w:p>
        </w:tc>
      </w:tr>
      <w:tr>
        <w:trPr>
          <w:trHeight w:val="191"/>
        </w:trPr>
        <w:tc>
          <w:tcPr>
            <w:tcW w:w="3720" w:type="dxa"/>
            <w:vAlign w:val="bottom"/>
          </w:tcPr>
          <w:p>
            <w:pPr>
              <w:spacing w:after="0"/>
              <w:rPr>
                <w:sz w:val="16"/>
                <w:szCs w:val="16"/>
                <w:color w:val="auto"/>
              </w:rPr>
            </w:pPr>
          </w:p>
        </w:tc>
        <w:tc>
          <w:tcPr>
            <w:tcW w:w="248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Dale Johnson</w:t>
            </w:r>
          </w:p>
        </w:tc>
      </w:tr>
      <w:tr>
        <w:trPr>
          <w:trHeight w:val="248"/>
        </w:trPr>
        <w:tc>
          <w:tcPr>
            <w:tcW w:w="3720" w:type="dxa"/>
            <w:vAlign w:val="bottom"/>
          </w:tcPr>
          <w:p>
            <w:pPr>
              <w:spacing w:after="0"/>
              <w:rPr>
                <w:sz w:val="21"/>
                <w:szCs w:val="21"/>
                <w:color w:val="auto"/>
              </w:rPr>
            </w:pPr>
          </w:p>
        </w:tc>
        <w:tc>
          <w:tcPr>
            <w:tcW w:w="24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 and Chief Ethics &amp; Compliance Officer</w:t>
            </w:r>
          </w:p>
        </w:tc>
      </w:tr>
      <w:tr>
        <w:trPr>
          <w:trHeight w:val="1789"/>
        </w:trPr>
        <w:tc>
          <w:tcPr>
            <w:tcW w:w="37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ind w:left="86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5300345</wp:posOffset>
            </wp:positionH>
            <wp:positionV relativeFrom="page">
              <wp:posOffset>226060</wp:posOffset>
            </wp:positionV>
            <wp:extent cx="254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400" cy="8255"/>
                    </a:xfrm>
                    <a:prstGeom prst="rect">
                      <a:avLst/>
                    </a:prstGeom>
                    <a:noFill/>
                  </pic:spPr>
                </pic:pic>
              </a:graphicData>
            </a:graphic>
          </wp:anchor>
        </w:drawing>
        <w:t>Exhibit 99.1</w:t>
      </w:r>
    </w:p>
    <w:p>
      <w:pPr>
        <w:spacing w:after="0" w:line="38" w:lineRule="exact"/>
        <w:rPr>
          <w:sz w:val="20"/>
          <w:szCs w:val="20"/>
          <w:color w:val="auto"/>
        </w:rPr>
      </w:pPr>
    </w:p>
    <w:p>
      <w:pPr>
        <w:ind w:left="6980"/>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John Julitz</w:t>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+1 (414) 502-9314</w:t>
      </w:r>
    </w:p>
    <w:p>
      <w:pPr>
        <w:spacing w:after="0" w:line="13" w:lineRule="exact"/>
        <w:rPr>
          <w:sz w:val="20"/>
          <w:szCs w:val="20"/>
          <w:color w:val="auto"/>
        </w:rPr>
      </w:pPr>
    </w:p>
    <w:p>
      <w:pPr>
        <w:ind w:left="6980"/>
        <w:spacing w:after="0"/>
        <w:rPr>
          <w:sz w:val="20"/>
          <w:szCs w:val="20"/>
          <w:color w:val="auto"/>
        </w:rPr>
      </w:pPr>
      <w:r>
        <w:rPr>
          <w:rFonts w:ascii="Arial" w:cs="Arial" w:eastAsia="Arial" w:hAnsi="Arial"/>
          <w:sz w:val="19"/>
          <w:szCs w:val="19"/>
          <w:color w:val="467885"/>
        </w:rPr>
        <w:t>john.julitz@manpowergroup.com</w:t>
      </w:r>
    </w:p>
    <w:p>
      <w:pPr>
        <w:spacing w:after="0" w:line="179" w:lineRule="exact"/>
        <w:rPr>
          <w:sz w:val="20"/>
          <w:szCs w:val="20"/>
          <w:color w:val="auto"/>
        </w:rPr>
      </w:pPr>
    </w:p>
    <w:p>
      <w:pPr>
        <w:ind w:left="1100"/>
        <w:spacing w:after="0"/>
        <w:rPr>
          <w:sz w:val="20"/>
          <w:szCs w:val="20"/>
          <w:color w:val="auto"/>
        </w:rPr>
      </w:pPr>
      <w:r>
        <w:rPr>
          <w:rFonts w:ascii="Arial" w:cs="Arial" w:eastAsia="Arial" w:hAnsi="Arial"/>
          <w:sz w:val="25"/>
          <w:szCs w:val="25"/>
          <w:b w:val="1"/>
          <w:bCs w:val="1"/>
          <w:color w:val="auto"/>
        </w:rPr>
        <w:t>ManpowerGroup Elects Lidia Fonseca to its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4957445</wp:posOffset>
            </wp:positionH>
            <wp:positionV relativeFrom="paragraph">
              <wp:posOffset>107315</wp:posOffset>
            </wp:positionV>
            <wp:extent cx="1345565" cy="2031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45565" cy="2031365"/>
                    </a:xfrm>
                    <a:prstGeom prst="rect">
                      <a:avLst/>
                    </a:prstGeom>
                    <a:noFill/>
                  </pic:spPr>
                </pic:pic>
              </a:graphicData>
            </a:graphic>
          </wp:anchor>
        </w:drawing>
      </w:r>
    </w:p>
    <w:p>
      <w:pPr>
        <w:spacing w:after="0" w:line="188" w:lineRule="exact"/>
        <w:rPr>
          <w:sz w:val="20"/>
          <w:szCs w:val="20"/>
          <w:color w:val="auto"/>
        </w:rPr>
      </w:pPr>
    </w:p>
    <w:p>
      <w:pPr>
        <w:ind w:right="2700"/>
        <w:spacing w:after="0"/>
        <w:rPr>
          <w:sz w:val="20"/>
          <w:szCs w:val="20"/>
          <w:color w:val="auto"/>
        </w:rPr>
      </w:pPr>
      <w:r>
        <w:rPr>
          <w:rFonts w:ascii="Arial" w:cs="Arial" w:eastAsia="Arial" w:hAnsi="Arial"/>
          <w:sz w:val="22"/>
          <w:szCs w:val="22"/>
          <w:b w:val="1"/>
          <w:bCs w:val="1"/>
          <w:color w:val="auto"/>
        </w:rPr>
        <w:t xml:space="preserve">MILWAUKEE, WI (October 28, 2026) </w:t>
      </w:r>
      <w:r>
        <w:rPr>
          <w:rFonts w:ascii="Arial" w:cs="Arial" w:eastAsia="Arial" w:hAnsi="Arial"/>
          <w:sz w:val="22"/>
          <w:szCs w:val="22"/>
          <w:color w:val="auto"/>
        </w:rPr>
        <w:t>— ManpowerGroup (NYSE: MAN)</w:t>
      </w:r>
      <w:r>
        <w:rPr>
          <w:rFonts w:ascii="Arial" w:cs="Arial" w:eastAsia="Arial" w:hAnsi="Arial"/>
          <w:sz w:val="22"/>
          <w:szCs w:val="22"/>
          <w:b w:val="1"/>
          <w:bCs w:val="1"/>
          <w:color w:val="auto"/>
        </w:rPr>
        <w:t xml:space="preserve"> </w:t>
      </w:r>
      <w:r>
        <w:rPr>
          <w:rFonts w:ascii="Arial" w:cs="Arial" w:eastAsia="Arial" w:hAnsi="Arial"/>
          <w:sz w:val="22"/>
          <w:szCs w:val="22"/>
          <w:color w:val="auto"/>
        </w:rPr>
        <w:t>today announced the election of Lidia Fonseca, former Executive Vice President and Chief Digital and Technology Officer at Pfizer, to its Board of Directors, effective November 1, 2026.</w:t>
      </w:r>
    </w:p>
    <w:p>
      <w:pPr>
        <w:spacing w:after="0" w:line="246" w:lineRule="exact"/>
        <w:rPr>
          <w:sz w:val="20"/>
          <w:szCs w:val="20"/>
          <w:color w:val="auto"/>
        </w:rPr>
      </w:pPr>
    </w:p>
    <w:p>
      <w:pPr>
        <w:ind w:right="2780"/>
        <w:spacing w:after="0" w:line="235" w:lineRule="auto"/>
        <w:rPr>
          <w:sz w:val="20"/>
          <w:szCs w:val="20"/>
          <w:color w:val="auto"/>
        </w:rPr>
      </w:pPr>
      <w:r>
        <w:rPr>
          <w:rFonts w:ascii="Arial" w:cs="Arial" w:eastAsia="Arial" w:hAnsi="Arial"/>
          <w:sz w:val="22"/>
          <w:szCs w:val="22"/>
          <w:color w:val="auto"/>
        </w:rPr>
        <w:t>"Lidia brings a rare combination of technology leadership, business transformation experience and a clear understanding of how AI can create value at scale," said Jonas Prising, ManpowerGroup Chair &amp; CEO. "Her strategic perspective, operational</w:t>
      </w:r>
    </w:p>
    <w:p>
      <w:pPr>
        <w:spacing w:after="0" w:line="1" w:lineRule="exact"/>
        <w:rPr>
          <w:sz w:val="20"/>
          <w:szCs w:val="20"/>
          <w:color w:val="auto"/>
        </w:rPr>
      </w:pPr>
    </w:p>
    <w:p>
      <w:pPr>
        <w:ind w:right="2600"/>
        <w:spacing w:after="0" w:line="237" w:lineRule="auto"/>
        <w:rPr>
          <w:sz w:val="20"/>
          <w:szCs w:val="20"/>
          <w:color w:val="auto"/>
        </w:rPr>
      </w:pPr>
      <w:r>
        <w:rPr>
          <w:rFonts w:ascii="Arial" w:cs="Arial" w:eastAsia="Arial" w:hAnsi="Arial"/>
          <w:sz w:val="22"/>
          <w:szCs w:val="22"/>
          <w:color w:val="auto"/>
        </w:rPr>
        <w:t>expertise and track record of leading change strengthen our ability to evolve the business and advance our transformation strategy. We are pleased to welcome her to our Board."</w:t>
      </w:r>
    </w:p>
    <w:p>
      <w:pPr>
        <w:spacing w:after="0" w:line="243" w:lineRule="exact"/>
        <w:rPr>
          <w:sz w:val="20"/>
          <w:szCs w:val="20"/>
          <w:color w:val="auto"/>
        </w:rPr>
      </w:pPr>
    </w:p>
    <w:p>
      <w:pPr>
        <w:ind w:right="300"/>
        <w:spacing w:after="0" w:line="235" w:lineRule="auto"/>
        <w:rPr>
          <w:sz w:val="20"/>
          <w:szCs w:val="20"/>
          <w:color w:val="auto"/>
        </w:rPr>
      </w:pPr>
      <w:r>
        <w:rPr>
          <w:rFonts w:ascii="Arial" w:cs="Arial" w:eastAsia="Arial" w:hAnsi="Arial"/>
          <w:sz w:val="22"/>
          <w:szCs w:val="22"/>
          <w:color w:val="auto"/>
        </w:rPr>
        <w:t>Fonseca served as Chief Digital and Technology Officer and Executive Vice President of Pfizer from January 2019 to April 2026, leading the company's enterprise AI, digital, data and technology strategy, as well as Learning &amp; Development, and Business Process Excellence. She built Pfizer's enterprise AI program from</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22"/>
          <w:szCs w:val="22"/>
          <w:color w:val="auto"/>
        </w:rPr>
        <w:t>inception, and scaled it across the enterprise, contributing to significant growth and cost savings. She currently serves as Senior Advisor to Pfizer's Chief Executive Officer and serves on the Board of Directors of Medtronic plc (NYSE: MDT).</w:t>
      </w:r>
    </w:p>
    <w:p>
      <w:pPr>
        <w:spacing w:after="0" w:line="243" w:lineRule="exact"/>
        <w:rPr>
          <w:sz w:val="20"/>
          <w:szCs w:val="20"/>
          <w:color w:val="auto"/>
        </w:rPr>
      </w:pPr>
    </w:p>
    <w:p>
      <w:pPr>
        <w:ind w:right="460"/>
        <w:spacing w:after="0" w:line="249" w:lineRule="auto"/>
        <w:rPr>
          <w:sz w:val="20"/>
          <w:szCs w:val="20"/>
          <w:color w:val="auto"/>
        </w:rPr>
      </w:pPr>
      <w:r>
        <w:rPr>
          <w:rFonts w:ascii="Arial" w:cs="Arial" w:eastAsia="Arial" w:hAnsi="Arial"/>
          <w:sz w:val="22"/>
          <w:szCs w:val="22"/>
          <w:color w:val="auto"/>
        </w:rPr>
        <w:t>Previously, Fonseca spent a decade in diagnostics as Senior Vice President and Chief Information Officer of</w:t>
      </w:r>
    </w:p>
    <w:p>
      <w:pPr>
        <w:spacing w:after="0" w:line="2" w:lineRule="exact"/>
        <w:rPr>
          <w:sz w:val="20"/>
          <w:szCs w:val="20"/>
          <w:color w:val="auto"/>
        </w:rPr>
      </w:pPr>
    </w:p>
    <w:p>
      <w:pPr>
        <w:ind w:right="540"/>
        <w:spacing w:after="0"/>
        <w:rPr>
          <w:sz w:val="20"/>
          <w:szCs w:val="20"/>
          <w:color w:val="auto"/>
        </w:rPr>
      </w:pPr>
      <w:r>
        <w:rPr>
          <w:rFonts w:ascii="Arial" w:cs="Arial" w:eastAsia="Arial" w:hAnsi="Arial"/>
          <w:sz w:val="22"/>
          <w:szCs w:val="22"/>
          <w:color w:val="auto"/>
        </w:rPr>
        <w:t>Quest Diagnostics and, earlier, of LabCorp. She began her career in operations and executive leadership roles at Philips Healthcare. Fonseca holds a bachelor’s degree from the University of California, Berkeley, and an MBA and a Master of Business Informatics from Rotterdam School of Management at Erasmus University.</w:t>
      </w:r>
    </w:p>
    <w:p>
      <w:pPr>
        <w:spacing w:after="0" w:line="242"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MANPOWERGROUP</w:t>
      </w:r>
    </w:p>
    <w:p>
      <w:pPr>
        <w:spacing w:after="0" w:line="43" w:lineRule="exact"/>
        <w:rPr>
          <w:sz w:val="20"/>
          <w:szCs w:val="20"/>
          <w:color w:val="auto"/>
        </w:rPr>
      </w:pPr>
    </w:p>
    <w:p>
      <w:pPr>
        <w:ind w:right="320"/>
        <w:spacing w:after="0" w:line="226" w:lineRule="auto"/>
        <w:rPr>
          <w:sz w:val="20"/>
          <w:szCs w:val="20"/>
          <w:color w:val="auto"/>
        </w:rPr>
      </w:pPr>
      <w:r>
        <w:rPr>
          <w:rFonts w:ascii="Arial" w:cs="Arial" w:eastAsia="Arial" w:hAnsi="Arial"/>
          <w:sz w:val="20"/>
          <w:szCs w:val="20"/>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w:t>
      </w:r>
    </w:p>
    <w:p>
      <w:pPr>
        <w:spacing w:after="0" w:line="1" w:lineRule="exact"/>
        <w:rPr>
          <w:sz w:val="20"/>
          <w:szCs w:val="20"/>
          <w:color w:val="auto"/>
        </w:rPr>
      </w:pPr>
    </w:p>
    <w:p>
      <w:pPr>
        <w:ind w:right="300"/>
        <w:spacing w:after="0" w:line="225" w:lineRule="auto"/>
        <w:rPr>
          <w:sz w:val="20"/>
          <w:szCs w:val="20"/>
          <w:color w:val="auto"/>
        </w:rPr>
      </w:pPr>
      <w:r>
        <w:rPr>
          <w:rFonts w:ascii="Arial" w:cs="Arial" w:eastAsia="Arial" w:hAnsi="Arial"/>
          <w:sz w:val="20"/>
          <w:szCs w:val="20"/>
          <w:color w:val="auto"/>
        </w:rPr>
        <w:t>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more than 75 years. We are recognized consistently as a best place to work for Women, Inclusion, Equality, and Disability, and in 2026 ManpowerGroup was</w:t>
      </w:r>
    </w:p>
    <w:p>
      <w:pPr>
        <w:spacing w:after="0" w:line="2" w:lineRule="exact"/>
        <w:rPr>
          <w:sz w:val="20"/>
          <w:szCs w:val="20"/>
          <w:color w:val="auto"/>
        </w:rPr>
      </w:pPr>
    </w:p>
    <w:p>
      <w:pPr>
        <w:ind w:right="440"/>
        <w:spacing w:after="0" w:line="239" w:lineRule="auto"/>
        <w:rPr>
          <w:sz w:val="20"/>
          <w:szCs w:val="20"/>
          <w:color w:val="auto"/>
        </w:rPr>
      </w:pPr>
      <w:r>
        <w:rPr>
          <w:rFonts w:ascii="Arial" w:cs="Arial" w:eastAsia="Arial" w:hAnsi="Arial"/>
          <w:sz w:val="20"/>
          <w:szCs w:val="20"/>
          <w:color w:val="auto"/>
        </w:rPr>
        <w:t>named one of the World's Most Ethical Companies for the 17th time; all confirming our position as the brand of choice for in-demand talent.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visit www.manpowergroup.com, or follow us on LinkedIn, Facebook, and Bluesky.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763905</wp:posOffset>
            </wp:positionV>
            <wp:extent cx="70377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860"/>
          </w:cols>
          <w:pgMar w:left="1080" w:top="716" w:right="95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2026-10-28T12:03:27Z</dcterms:created>
  <dcterms:modified xsi:type="dcterms:W3CDTF">2026-10-28T12:03:27Z</dcterms:modified>
</cp:coreProperties>
</file>