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w:t>
      </w:r>
    </w:p>
    <w:p>
      <w:pPr>
        <w:jc w:val="center"/>
        <w:spacing w:after="0" w:line="234" w:lineRule="auto"/>
        <w:rPr>
          <w:sz w:val="20"/>
          <w:szCs w:val="20"/>
          <w:color w:val="auto"/>
        </w:rPr>
      </w:pPr>
      <w:r>
        <w:rPr>
          <w:rFonts w:ascii="Arial" w:cs="Arial" w:eastAsia="Arial" w:hAnsi="Arial"/>
          <w:sz w:val="28"/>
          <w:szCs w:val="28"/>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February 1, 2022</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MANPOWERGROUP INC.</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36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84"/>
              </w:rPr>
              <w:t>Wisconsin</w:t>
            </w:r>
          </w:p>
        </w:tc>
        <w:tc>
          <w:tcPr>
            <w:tcW w:w="3080" w:type="dxa"/>
            <w:vAlign w:val="bottom"/>
            <w:gridSpan w:val="3"/>
          </w:tcPr>
          <w:p>
            <w:pPr>
              <w:jc w:val="right"/>
              <w:ind w:right="1540"/>
              <w:spacing w:after="0"/>
              <w:rPr>
                <w:sz w:val="20"/>
                <w:szCs w:val="20"/>
                <w:color w:val="auto"/>
              </w:rPr>
            </w:pPr>
            <w:r>
              <w:rPr>
                <w:rFonts w:ascii="Arial" w:cs="Arial" w:eastAsia="Arial" w:hAnsi="Arial"/>
                <w:sz w:val="16"/>
                <w:szCs w:val="16"/>
                <w:b w:val="1"/>
                <w:bCs w:val="1"/>
                <w:color w:val="auto"/>
              </w:rPr>
              <w:t>1-10686</w:t>
            </w:r>
          </w:p>
        </w:tc>
        <w:tc>
          <w:tcPr>
            <w:tcW w:w="3820" w:type="dxa"/>
            <w:vAlign w:val="bottom"/>
            <w:gridSpan w:val="2"/>
          </w:tcPr>
          <w:p>
            <w:pPr>
              <w:jc w:val="right"/>
              <w:ind w:right="1341"/>
              <w:spacing w:after="0"/>
              <w:rPr>
                <w:sz w:val="20"/>
                <w:szCs w:val="20"/>
                <w:color w:val="auto"/>
              </w:rPr>
            </w:pPr>
            <w:r>
              <w:rPr>
                <w:rFonts w:ascii="Arial" w:cs="Arial" w:eastAsia="Arial" w:hAnsi="Arial"/>
                <w:sz w:val="16"/>
                <w:szCs w:val="16"/>
                <w:b w:val="1"/>
                <w:bCs w:val="1"/>
                <w:color w:val="auto"/>
              </w:rPr>
              <w:t>39-1672779</w:t>
            </w:r>
          </w:p>
        </w:tc>
      </w:tr>
      <w:tr>
        <w:trPr>
          <w:trHeight w:val="196"/>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(State or other jurisdiction of incorporation)</w:t>
            </w:r>
          </w:p>
        </w:tc>
        <w:tc>
          <w:tcPr>
            <w:tcW w:w="2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6"/>
                <w:szCs w:val="16"/>
                <w:b w:val="1"/>
                <w:bCs w:val="1"/>
                <w:color w:val="auto"/>
                <w:w w:val="90"/>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(IRS Employer Identification No.)</w:t>
            </w:r>
          </w:p>
        </w:tc>
      </w:tr>
      <w:tr>
        <w:trPr>
          <w:trHeight w:val="264"/>
        </w:trPr>
        <w:tc>
          <w:tcPr>
            <w:tcW w:w="4360" w:type="dxa"/>
            <w:vAlign w:val="bottom"/>
            <w:gridSpan w:val="3"/>
          </w:tcPr>
          <w:p>
            <w:pPr>
              <w:jc w:val="center"/>
              <w:ind w:left="961"/>
              <w:spacing w:after="0"/>
              <w:rPr>
                <w:sz w:val="20"/>
                <w:szCs w:val="20"/>
                <w:color w:val="auto"/>
              </w:rPr>
            </w:pPr>
            <w:r>
              <w:rPr>
                <w:rFonts w:ascii="Arial" w:cs="Arial" w:eastAsia="Arial" w:hAnsi="Arial"/>
                <w:sz w:val="16"/>
                <w:szCs w:val="16"/>
                <w:b w:val="1"/>
                <w:bCs w:val="1"/>
                <w:color w:val="auto"/>
                <w:w w:val="89"/>
              </w:rPr>
              <w:t>100 Manpower Place</w:t>
            </w: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0" w:type="dxa"/>
            <w:vAlign w:val="bottom"/>
          </w:tcPr>
          <w:p>
            <w:pPr>
              <w:spacing w:after="0"/>
              <w:rPr>
                <w:sz w:val="22"/>
                <w:szCs w:val="22"/>
                <w:color w:val="auto"/>
              </w:rPr>
            </w:pPr>
          </w:p>
        </w:tc>
      </w:tr>
      <w:tr>
        <w:trPr>
          <w:trHeight w:val="194"/>
        </w:trPr>
        <w:tc>
          <w:tcPr>
            <w:tcW w:w="4360" w:type="dxa"/>
            <w:vAlign w:val="bottom"/>
            <w:tcBorders>
              <w:bottom w:val="single" w:sz="8" w:color="auto"/>
            </w:tcBorders>
            <w:gridSpan w:val="3"/>
          </w:tcPr>
          <w:p>
            <w:pPr>
              <w:jc w:val="center"/>
              <w:ind w:left="961"/>
              <w:spacing w:after="0"/>
              <w:rPr>
                <w:sz w:val="20"/>
                <w:szCs w:val="20"/>
                <w:color w:val="auto"/>
              </w:rPr>
            </w:pPr>
            <w:r>
              <w:rPr>
                <w:rFonts w:ascii="Arial" w:cs="Arial" w:eastAsia="Arial" w:hAnsi="Arial"/>
                <w:sz w:val="16"/>
                <w:szCs w:val="16"/>
                <w:b w:val="1"/>
                <w:bCs w:val="1"/>
                <w:color w:val="auto"/>
                <w:w w:val="89"/>
              </w:rPr>
              <w:t>Milwaukee, Wisconsin</w:t>
            </w:r>
          </w:p>
        </w:tc>
        <w:tc>
          <w:tcPr>
            <w:tcW w:w="104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2"/>
          </w:tcPr>
          <w:p>
            <w:pPr>
              <w:jc w:val="right"/>
              <w:ind w:right="2421"/>
              <w:spacing w:after="0"/>
              <w:rPr>
                <w:sz w:val="20"/>
                <w:szCs w:val="20"/>
                <w:color w:val="auto"/>
              </w:rPr>
            </w:pPr>
            <w:r>
              <w:rPr>
                <w:rFonts w:ascii="Arial" w:cs="Arial" w:eastAsia="Arial" w:hAnsi="Arial"/>
                <w:sz w:val="16"/>
                <w:szCs w:val="16"/>
                <w:b w:val="1"/>
                <w:bCs w:val="1"/>
                <w:color w:val="auto"/>
              </w:rPr>
              <w:t>53212</w:t>
            </w:r>
          </w:p>
        </w:tc>
      </w:tr>
      <w:tr>
        <w:trPr>
          <w:trHeight w:val="196"/>
        </w:trPr>
        <w:tc>
          <w:tcPr>
            <w:tcW w:w="4360" w:type="dxa"/>
            <w:vAlign w:val="bottom"/>
            <w:gridSpan w:val="3"/>
          </w:tcPr>
          <w:p>
            <w:pPr>
              <w:jc w:val="center"/>
              <w:ind w:left="961"/>
              <w:spacing w:after="0"/>
              <w:rPr>
                <w:sz w:val="20"/>
                <w:szCs w:val="20"/>
                <w:color w:val="auto"/>
              </w:rPr>
            </w:pPr>
            <w:r>
              <w:rPr>
                <w:rFonts w:ascii="Arial" w:cs="Arial" w:eastAsia="Arial" w:hAnsi="Arial"/>
                <w:sz w:val="16"/>
                <w:szCs w:val="16"/>
                <w:b w:val="1"/>
                <w:bCs w:val="1"/>
                <w:color w:val="auto"/>
                <w:w w:val="87"/>
              </w:rPr>
              <w:t>(Address of principal executive offices)</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721"/>
              <w:spacing w:after="0"/>
              <w:rPr>
                <w:sz w:val="20"/>
                <w:szCs w:val="20"/>
                <w:color w:val="auto"/>
              </w:rPr>
            </w:pPr>
            <w:r>
              <w:rPr>
                <w:rFonts w:ascii="Arial" w:cs="Arial" w:eastAsia="Arial" w:hAnsi="Arial"/>
                <w:sz w:val="16"/>
                <w:szCs w:val="16"/>
                <w:b w:val="1"/>
                <w:bCs w:val="1"/>
                <w:color w:val="auto"/>
                <w:w w:val="90"/>
              </w:rPr>
              <w:t>(Zip Code)</w:t>
            </w:r>
          </w:p>
        </w:tc>
      </w:tr>
    </w:tbl>
    <w:p>
      <w:pPr>
        <w:spacing w:after="0" w:line="79" w:lineRule="exact"/>
        <w:rPr>
          <w:sz w:val="24"/>
          <w:szCs w:val="24"/>
          <w:color w:val="auto"/>
        </w:rPr>
      </w:pPr>
    </w:p>
    <w:p>
      <w:pPr>
        <w:ind w:left="3460"/>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112" w:lineRule="exact"/>
        <w:rPr>
          <w:sz w:val="24"/>
          <w:szCs w:val="24"/>
          <w:color w:val="auto"/>
        </w:rPr>
      </w:pPr>
    </w:p>
    <w:p>
      <w:pPr>
        <w:ind w:left="36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1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8"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8"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8"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47" w:lineRule="exact"/>
        <w:rPr>
          <w:sz w:val="24"/>
          <w:szCs w:val="24"/>
          <w:color w:val="auto"/>
        </w:rPr>
      </w:pPr>
    </w:p>
    <w:tbl>
      <w:tblPr>
        <w:tblLayout w:type="fixed"/>
        <w:tblInd w:w="10" w:type="dxa"/>
        <w:tblCellMar>
          <w:top w:w="0" w:type="dxa"/>
          <w:left w:w="0" w:type="dxa"/>
          <w:bottom w:w="0" w:type="dxa"/>
          <w:right w:w="0" w:type="dxa"/>
        </w:tblCellMar>
      </w:tblPr>
      <w:tr>
        <w:trPr>
          <w:trHeight w:val="200"/>
        </w:trPr>
        <w:tc>
          <w:tcPr>
            <w:tcW w:w="3760" w:type="dxa"/>
            <w:vAlign w:val="bottom"/>
          </w:tcPr>
          <w:p>
            <w:pPr>
              <w:spacing w:after="0"/>
              <w:rPr>
                <w:sz w:val="20"/>
                <w:szCs w:val="20"/>
                <w:color w:val="auto"/>
              </w:rPr>
            </w:pPr>
            <w:r>
              <w:rPr>
                <w:rFonts w:ascii="Arial" w:cs="Arial" w:eastAsia="Arial" w:hAnsi="Arial"/>
                <w:sz w:val="16"/>
                <w:szCs w:val="16"/>
                <w:color w:val="auto"/>
                <w:w w:val="91"/>
              </w:rPr>
              <w:t>Securities registered pursuant to Section 12(b) of the Act:</w:t>
            </w:r>
          </w:p>
        </w:tc>
        <w:tc>
          <w:tcPr>
            <w:tcW w:w="376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147"/>
        </w:trPr>
        <w:tc>
          <w:tcPr>
            <w:tcW w:w="376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tcPr>
          <w:p>
            <w:pPr>
              <w:spacing w:after="0"/>
              <w:rPr>
                <w:sz w:val="12"/>
                <w:szCs w:val="12"/>
                <w:color w:val="auto"/>
              </w:rPr>
            </w:pPr>
          </w:p>
        </w:tc>
      </w:tr>
      <w:tr>
        <w:trPr>
          <w:trHeight w:val="157"/>
        </w:trPr>
        <w:tc>
          <w:tcPr>
            <w:tcW w:w="3760" w:type="dxa"/>
            <w:vAlign w:val="bottom"/>
            <w:tcBorders>
              <w:left w:val="single" w:sz="8" w:color="auto"/>
              <w:bottom w:val="single" w:sz="8" w:color="auto"/>
              <w:right w:val="single" w:sz="8" w:color="auto"/>
            </w:tcBorders>
          </w:tcPr>
          <w:p>
            <w:pPr>
              <w:jc w:val="center"/>
              <w:spacing w:after="0" w:line="138" w:lineRule="exact"/>
              <w:rPr>
                <w:sz w:val="20"/>
                <w:szCs w:val="20"/>
                <w:color w:val="auto"/>
              </w:rPr>
            </w:pPr>
            <w:r>
              <w:rPr>
                <w:rFonts w:ascii="Arial" w:cs="Arial" w:eastAsia="Arial" w:hAnsi="Arial"/>
                <w:sz w:val="15"/>
                <w:szCs w:val="15"/>
                <w:color w:val="auto"/>
                <w:w w:val="94"/>
              </w:rPr>
              <w:t>Title of each class</w:t>
            </w:r>
          </w:p>
        </w:tc>
        <w:tc>
          <w:tcPr>
            <w:tcW w:w="3760" w:type="dxa"/>
            <w:vAlign w:val="bottom"/>
            <w:tcBorders>
              <w:bottom w:val="single" w:sz="8" w:color="auto"/>
              <w:right w:val="single" w:sz="8" w:color="auto"/>
            </w:tcBorders>
          </w:tcPr>
          <w:p>
            <w:pPr>
              <w:jc w:val="center"/>
              <w:spacing w:after="0" w:line="138" w:lineRule="exact"/>
              <w:rPr>
                <w:sz w:val="20"/>
                <w:szCs w:val="20"/>
                <w:color w:val="auto"/>
              </w:rPr>
            </w:pPr>
            <w:r>
              <w:rPr>
                <w:rFonts w:ascii="Arial" w:cs="Arial" w:eastAsia="Arial" w:hAnsi="Arial"/>
                <w:sz w:val="15"/>
                <w:szCs w:val="15"/>
                <w:color w:val="auto"/>
                <w:w w:val="96"/>
              </w:rPr>
              <w:t>Trading Symbol(s)</w:t>
            </w:r>
          </w:p>
        </w:tc>
        <w:tc>
          <w:tcPr>
            <w:tcW w:w="3740" w:type="dxa"/>
            <w:vAlign w:val="bottom"/>
            <w:tcBorders>
              <w:bottom w:val="single" w:sz="8" w:color="auto"/>
              <w:right w:val="single" w:sz="8" w:color="auto"/>
            </w:tcBorders>
          </w:tcPr>
          <w:p>
            <w:pPr>
              <w:jc w:val="center"/>
              <w:spacing w:after="0" w:line="138" w:lineRule="exact"/>
              <w:rPr>
                <w:sz w:val="20"/>
                <w:szCs w:val="20"/>
                <w:color w:val="auto"/>
              </w:rPr>
            </w:pPr>
            <w:r>
              <w:rPr>
                <w:rFonts w:ascii="Arial" w:cs="Arial" w:eastAsia="Arial" w:hAnsi="Arial"/>
                <w:sz w:val="15"/>
                <w:szCs w:val="15"/>
                <w:color w:val="auto"/>
                <w:w w:val="94"/>
              </w:rPr>
              <w:t>Name of each exchange on which registered</w:t>
            </w:r>
          </w:p>
        </w:tc>
      </w:tr>
      <w:tr>
        <w:trPr>
          <w:trHeight w:val="153"/>
        </w:trPr>
        <w:tc>
          <w:tcPr>
            <w:tcW w:w="3760" w:type="dxa"/>
            <w:vAlign w:val="bottom"/>
            <w:tcBorders>
              <w:left w:val="single" w:sz="8" w:color="auto"/>
              <w:bottom w:val="single" w:sz="8" w:color="auto"/>
              <w:right w:val="single" w:sz="8" w:color="auto"/>
            </w:tcBorders>
          </w:tcPr>
          <w:p>
            <w:pPr>
              <w:jc w:val="center"/>
              <w:spacing w:after="0" w:line="153" w:lineRule="exact"/>
              <w:rPr>
                <w:sz w:val="20"/>
                <w:szCs w:val="20"/>
                <w:color w:val="auto"/>
              </w:rPr>
            </w:pPr>
            <w:r>
              <w:rPr>
                <w:rFonts w:ascii="Arial" w:cs="Arial" w:eastAsia="Arial" w:hAnsi="Arial"/>
                <w:sz w:val="16"/>
                <w:szCs w:val="16"/>
                <w:color w:val="auto"/>
                <w:w w:val="89"/>
              </w:rPr>
              <w:t>Common Stock, $.01 par value</w:t>
            </w:r>
          </w:p>
        </w:tc>
        <w:tc>
          <w:tcPr>
            <w:tcW w:w="376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6"/>
                <w:szCs w:val="16"/>
                <w:color w:val="auto"/>
              </w:rPr>
              <w:t>MAN</w:t>
            </w:r>
          </w:p>
        </w:tc>
        <w:tc>
          <w:tcPr>
            <w:tcW w:w="37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6"/>
                <w:szCs w:val="16"/>
                <w:color w:val="auto"/>
                <w:w w:val="89"/>
              </w:rPr>
              <w:t>New York Stock Exchange</w:t>
            </w:r>
          </w:p>
        </w:tc>
      </w:tr>
    </w:tbl>
    <w:p>
      <w:pPr>
        <w:spacing w:after="0" w:line="141" w:lineRule="exact"/>
        <w:rPr>
          <w:sz w:val="24"/>
          <w:szCs w:val="24"/>
          <w:color w:val="auto"/>
        </w:rPr>
      </w:pPr>
    </w:p>
    <w:p>
      <w:pPr>
        <w:ind w:right="240"/>
        <w:spacing w:after="0" w:line="23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0" w:lineRule="exact"/>
        <w:rPr>
          <w:sz w:val="24"/>
          <w:szCs w:val="24"/>
          <w:color w:val="auto"/>
        </w:rPr>
      </w:pPr>
    </w:p>
    <w:p>
      <w:pPr>
        <w:ind w:right="320"/>
        <w:spacing w:after="0" w:line="23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99"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175" w:lineRule="exact"/>
        <w:rPr>
          <w:sz w:val="20"/>
          <w:szCs w:val="20"/>
          <w:color w:val="auto"/>
        </w:rPr>
      </w:pPr>
    </w:p>
    <w:p>
      <w:pPr>
        <w:ind w:right="260"/>
        <w:spacing w:after="0" w:line="266" w:lineRule="auto"/>
        <w:rPr>
          <w:sz w:val="20"/>
          <w:szCs w:val="20"/>
          <w:color w:val="auto"/>
        </w:rPr>
      </w:pPr>
      <w:r>
        <w:rPr>
          <w:rFonts w:ascii="Arial" w:cs="Arial" w:eastAsia="Arial" w:hAnsi="Arial"/>
          <w:sz w:val="15"/>
          <w:szCs w:val="15"/>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12" w:lineRule="exact"/>
        <w:rPr>
          <w:sz w:val="20"/>
          <w:szCs w:val="20"/>
          <w:color w:val="auto"/>
        </w:rPr>
      </w:pPr>
    </w:p>
    <w:p>
      <w:pPr>
        <w:ind w:right="460"/>
        <w:spacing w:after="0" w:line="252" w:lineRule="auto"/>
        <w:rPr>
          <w:sz w:val="20"/>
          <w:szCs w:val="20"/>
          <w:color w:val="auto"/>
        </w:rPr>
      </w:pPr>
      <w:r>
        <w:rPr>
          <w:rFonts w:ascii="Arial" w:cs="Arial" w:eastAsia="Arial" w:hAnsi="Arial"/>
          <w:sz w:val="16"/>
          <w:szCs w:val="16"/>
          <w:color w:val="auto"/>
        </w:rPr>
        <w:t>On February 1, 2022, we issued a press release announcing our results of operations for the three months and year ended December 31, 2021. A copy of the press release is attached hereto as Exhibit 99.1 and is incorporated herein by reference.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gridSpan w:val="2"/>
          </w:tcPr>
          <w:p>
            <w:pPr>
              <w:spacing w:after="0"/>
              <w:rPr>
                <w:sz w:val="20"/>
                <w:szCs w:val="20"/>
                <w:color w:val="auto"/>
              </w:rPr>
            </w:pPr>
            <w:r>
              <w:rPr>
                <w:rFonts w:ascii="Arial" w:cs="Arial" w:eastAsia="Arial" w:hAnsi="Arial"/>
                <w:sz w:val="16"/>
                <w:szCs w:val="16"/>
                <w:b w:val="1"/>
                <w:bCs w:val="1"/>
                <w:color w:val="auto"/>
              </w:rPr>
              <w:t>Item 9.01.</w:t>
            </w:r>
          </w:p>
        </w:tc>
        <w:tc>
          <w:tcPr>
            <w:tcW w:w="10460" w:type="dxa"/>
            <w:vAlign w:val="bottom"/>
            <w:gridSpan w:val="5"/>
          </w:tcPr>
          <w:p>
            <w:pPr>
              <w:ind w:left="140"/>
              <w:spacing w:after="0"/>
              <w:rPr>
                <w:sz w:val="20"/>
                <w:szCs w:val="20"/>
                <w:color w:val="auto"/>
              </w:rPr>
            </w:pPr>
            <w:r>
              <w:rPr>
                <w:rFonts w:ascii="Arial" w:cs="Arial" w:eastAsia="Arial" w:hAnsi="Arial"/>
                <w:sz w:val="16"/>
                <w:szCs w:val="16"/>
                <w:b w:val="1"/>
                <w:bCs w:val="1"/>
                <w:color w:val="auto"/>
              </w:rPr>
              <w:t>Exhibits</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Exhibit No.</w:t>
            </w: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80" w:type="dxa"/>
            <w:vAlign w:val="bottom"/>
          </w:tcPr>
          <w:p>
            <w:pPr>
              <w:spacing w:after="0" w:line="145" w:lineRule="exact"/>
              <w:rPr>
                <w:sz w:val="20"/>
                <w:szCs w:val="20"/>
                <w:color w:val="auto"/>
              </w:rPr>
            </w:pPr>
            <w:r>
              <w:rPr>
                <w:rFonts w:ascii="Arial" w:cs="Arial" w:eastAsia="Arial" w:hAnsi="Arial"/>
                <w:sz w:val="16"/>
                <w:szCs w:val="16"/>
                <w:color w:val="auto"/>
              </w:rPr>
              <w:t>99.1</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80" w:type="dxa"/>
            <w:vAlign w:val="bottom"/>
            <w:gridSpan w:val="3"/>
          </w:tcPr>
          <w:p>
            <w:pPr>
              <w:spacing w:after="0" w:line="145" w:lineRule="exact"/>
              <w:rPr>
                <w:rFonts w:ascii="Arial" w:cs="Arial" w:eastAsia="Arial" w:hAnsi="Arial"/>
                <w:sz w:val="16"/>
                <w:szCs w:val="16"/>
                <w:color w:val="0000FF"/>
              </w:rPr>
            </w:pPr>
            <w:hyperlink w:anchor="page4">
              <w:r>
                <w:rPr>
                  <w:rFonts w:ascii="Arial" w:cs="Arial" w:eastAsia="Arial" w:hAnsi="Arial"/>
                  <w:sz w:val="16"/>
                  <w:szCs w:val="16"/>
                  <w:color w:val="0000FF"/>
                </w:rPr>
                <w:t>Press Release dated February 1, 2022</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420" w:type="dxa"/>
            <w:vAlign w:val="bottom"/>
            <w:vMerge w:val="restart"/>
          </w:tcPr>
          <w:p>
            <w:pPr>
              <w:ind w:left="40"/>
              <w:spacing w:after="0" w:line="158" w:lineRule="exact"/>
              <w:rPr>
                <w:rFonts w:ascii="Arial" w:cs="Arial" w:eastAsia="Arial" w:hAnsi="Arial"/>
                <w:sz w:val="16"/>
                <w:szCs w:val="16"/>
                <w:color w:val="0000FF"/>
                <w:w w:val="87"/>
              </w:rPr>
            </w:pPr>
            <w:hyperlink w:anchor="page13">
              <w:r>
                <w:rPr>
                  <w:rFonts w:ascii="Arial" w:cs="Arial" w:eastAsia="Arial" w:hAnsi="Arial"/>
                  <w:sz w:val="16"/>
                  <w:szCs w:val="16"/>
                  <w:color w:val="0000FF"/>
                  <w:w w:val="87"/>
                </w:rPr>
                <w:t>2022 Conference Call</w:t>
              </w:r>
            </w:hyperlink>
          </w:p>
        </w:tc>
        <w:tc>
          <w:tcPr>
            <w:tcW w:w="60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 w:type="dxa"/>
            <w:vAlign w:val="bottom"/>
            <w:gridSpan w:val="2"/>
            <w:vMerge w:val="restart"/>
          </w:tcPr>
          <w:p>
            <w:pPr>
              <w:spacing w:after="0" w:line="158" w:lineRule="exact"/>
              <w:rPr>
                <w:sz w:val="20"/>
                <w:szCs w:val="20"/>
                <w:color w:val="auto"/>
              </w:rPr>
            </w:pPr>
            <w:r>
              <w:rPr>
                <w:rFonts w:ascii="Arial" w:cs="Arial" w:eastAsia="Arial" w:hAnsi="Arial"/>
                <w:sz w:val="16"/>
                <w:szCs w:val="16"/>
                <w:color w:val="auto"/>
              </w:rPr>
              <w:t>99.2</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80" w:type="dxa"/>
            <w:vAlign w:val="bottom"/>
          </w:tcPr>
          <w:p>
            <w:pPr>
              <w:spacing w:after="0" w:line="145" w:lineRule="exact"/>
              <w:rPr>
                <w:rFonts w:ascii="Arial" w:cs="Arial" w:eastAsia="Arial" w:hAnsi="Arial"/>
                <w:sz w:val="16"/>
                <w:szCs w:val="16"/>
                <w:color w:val="0000FF"/>
                <w:w w:val="87"/>
              </w:rPr>
            </w:pPr>
            <w:hyperlink w:anchor="page13">
              <w:r>
                <w:rPr>
                  <w:rFonts w:ascii="Arial" w:cs="Arial" w:eastAsia="Arial" w:hAnsi="Arial"/>
                  <w:sz w:val="16"/>
                  <w:szCs w:val="16"/>
                  <w:color w:val="0000FF"/>
                  <w:w w:val="87"/>
                </w:rPr>
                <w:t>Presentation materials for February 1,</w:t>
              </w:r>
            </w:hyperlink>
          </w:p>
        </w:tc>
        <w:tc>
          <w:tcPr>
            <w:tcW w:w="1420" w:type="dxa"/>
            <w:vAlign w:val="bottom"/>
            <w:vMerge w:val="continue"/>
          </w:tcPr>
          <w:p>
            <w:pPr>
              <w:spacing w:after="0"/>
              <w:rPr>
                <w:sz w:val="13"/>
                <w:szCs w:val="13"/>
                <w:color w:val="auto"/>
              </w:rPr>
            </w:pPr>
          </w:p>
        </w:tc>
        <w:tc>
          <w:tcPr>
            <w:tcW w:w="6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gridSpan w:val="2"/>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0" w:type="dxa"/>
            <w:vAlign w:val="bottom"/>
            <w:gridSpan w:val="2"/>
          </w:tcPr>
          <w:p>
            <w:pPr>
              <w:spacing w:after="0"/>
              <w:rPr>
                <w:sz w:val="20"/>
                <w:szCs w:val="20"/>
                <w:color w:val="auto"/>
              </w:rPr>
            </w:pPr>
            <w:r>
              <w:rPr>
                <w:rFonts w:ascii="Arial" w:cs="Arial" w:eastAsia="Arial" w:hAnsi="Arial"/>
                <w:sz w:val="16"/>
                <w:szCs w:val="16"/>
                <w:color w:val="auto"/>
              </w:rPr>
              <w:t>104</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80" w:type="dxa"/>
            <w:vAlign w:val="bottom"/>
            <w:gridSpan w:val="3"/>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0" w:type="dxa"/>
            <w:vAlign w:val="bottom"/>
          </w:tcPr>
          <w:p>
            <w:pPr>
              <w:spacing w:after="0"/>
              <w:rPr>
                <w:sz w:val="1"/>
                <w:szCs w:val="1"/>
                <w:color w:val="auto"/>
              </w:rPr>
            </w:pPr>
          </w:p>
        </w:tc>
      </w:tr>
      <w:tr>
        <w:trPr>
          <w:trHeight w:val="1235"/>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36"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w:t>
      </w:r>
    </w:p>
    <w:p>
      <w:pPr>
        <w:spacing w:after="0" w:line="175" w:lineRule="exact"/>
        <w:rPr>
          <w:sz w:val="20"/>
          <w:szCs w:val="20"/>
          <w:color w:val="auto"/>
        </w:rPr>
      </w:pPr>
    </w:p>
    <w:p>
      <w:pPr>
        <w:ind w:right="40" w:firstLine="510"/>
        <w:spacing w:after="0" w:line="25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5960" w:type="dxa"/>
            <w:vAlign w:val="bottom"/>
            <w:gridSpan w:val="2"/>
          </w:tcPr>
          <w:p>
            <w:pPr>
              <w:ind w:left="180"/>
              <w:spacing w:after="0"/>
              <w:rPr>
                <w:sz w:val="20"/>
                <w:szCs w:val="20"/>
                <w:color w:val="auto"/>
              </w:rPr>
            </w:pPr>
            <w:r>
              <w:rPr>
                <w:rFonts w:ascii="Arial" w:cs="Arial" w:eastAsia="Arial" w:hAnsi="Arial"/>
                <w:sz w:val="16"/>
                <w:szCs w:val="16"/>
                <w:color w:val="auto"/>
              </w:rPr>
              <w:t>MANPOWERGROUP INC.</w:t>
            </w:r>
          </w:p>
        </w:tc>
      </w:tr>
      <w:tr>
        <w:trPr>
          <w:trHeight w:val="344"/>
        </w:trPr>
        <w:tc>
          <w:tcPr>
            <w:tcW w:w="5300" w:type="dxa"/>
            <w:vAlign w:val="bottom"/>
            <w:gridSpan w:val="2"/>
          </w:tcPr>
          <w:p>
            <w:pPr>
              <w:spacing w:after="0"/>
              <w:rPr>
                <w:sz w:val="20"/>
                <w:szCs w:val="20"/>
                <w:color w:val="auto"/>
              </w:rPr>
            </w:pPr>
            <w:r>
              <w:rPr>
                <w:rFonts w:ascii="Arial" w:cs="Arial" w:eastAsia="Arial" w:hAnsi="Arial"/>
                <w:sz w:val="16"/>
                <w:szCs w:val="16"/>
                <w:color w:val="auto"/>
                <w:w w:val="88"/>
              </w:rPr>
              <w:t>Dated:February 1, 2022</w:t>
            </w:r>
          </w:p>
        </w:tc>
        <w:tc>
          <w:tcPr>
            <w:tcW w:w="900" w:type="dxa"/>
            <w:vAlign w:val="bottom"/>
          </w:tcPr>
          <w:p>
            <w:pPr>
              <w:ind w:left="180"/>
              <w:spacing w:after="0"/>
              <w:rPr>
                <w:sz w:val="20"/>
                <w:szCs w:val="20"/>
                <w:color w:val="auto"/>
              </w:rPr>
            </w:pPr>
            <w:r>
              <w:rPr>
                <w:rFonts w:ascii="Arial" w:cs="Arial" w:eastAsia="Arial" w:hAnsi="Arial"/>
                <w:sz w:val="16"/>
                <w:szCs w:val="16"/>
                <w:color w:val="auto"/>
              </w:rPr>
              <w:t>By:</w:t>
            </w:r>
          </w:p>
        </w:tc>
        <w:tc>
          <w:tcPr>
            <w:tcW w:w="5060" w:type="dxa"/>
            <w:vAlign w:val="bottom"/>
          </w:tcPr>
          <w:p>
            <w:pPr>
              <w:spacing w:after="0"/>
              <w:rPr>
                <w:sz w:val="20"/>
                <w:szCs w:val="20"/>
                <w:color w:val="auto"/>
              </w:rPr>
            </w:pPr>
            <w:r>
              <w:rPr>
                <w:rFonts w:ascii="Arial" w:cs="Arial" w:eastAsia="Arial" w:hAnsi="Arial"/>
                <w:sz w:val="16"/>
                <w:szCs w:val="16"/>
                <w:color w:val="auto"/>
              </w:rPr>
              <w:t>/s/ John T. McGinnis</w:t>
            </w:r>
          </w:p>
        </w:tc>
      </w:tr>
      <w:tr>
        <w:trPr>
          <w:trHeight w:val="169"/>
        </w:trPr>
        <w:tc>
          <w:tcPr>
            <w:tcW w:w="740" w:type="dxa"/>
            <w:vAlign w:val="bottom"/>
          </w:tcPr>
          <w:p>
            <w:pPr>
              <w:spacing w:after="0"/>
              <w:rPr>
                <w:sz w:val="14"/>
                <w:szCs w:val="14"/>
                <w:color w:val="auto"/>
              </w:rPr>
            </w:pPr>
          </w:p>
        </w:tc>
        <w:tc>
          <w:tcPr>
            <w:tcW w:w="4560" w:type="dxa"/>
            <w:vAlign w:val="bottom"/>
            <w:tcBorders>
              <w:top w:val="single" w:sz="8" w:color="auto"/>
            </w:tcBorders>
          </w:tcPr>
          <w:p>
            <w:pPr>
              <w:spacing w:after="0"/>
              <w:rPr>
                <w:sz w:val="14"/>
                <w:szCs w:val="14"/>
                <w:color w:val="auto"/>
              </w:rPr>
            </w:pPr>
          </w:p>
        </w:tc>
        <w:tc>
          <w:tcPr>
            <w:tcW w:w="900" w:type="dxa"/>
            <w:vAlign w:val="bottom"/>
          </w:tcPr>
          <w:p>
            <w:pPr>
              <w:ind w:left="180"/>
              <w:spacing w:after="0" w:line="168" w:lineRule="exact"/>
              <w:rPr>
                <w:sz w:val="20"/>
                <w:szCs w:val="20"/>
                <w:color w:val="auto"/>
              </w:rPr>
            </w:pPr>
            <w:r>
              <w:rPr>
                <w:rFonts w:ascii="Arial" w:cs="Arial" w:eastAsia="Arial" w:hAnsi="Arial"/>
                <w:sz w:val="16"/>
                <w:szCs w:val="16"/>
                <w:color w:val="auto"/>
              </w:rPr>
              <w:t>Name:</w:t>
            </w:r>
          </w:p>
        </w:tc>
        <w:tc>
          <w:tcPr>
            <w:tcW w:w="5060" w:type="dxa"/>
            <w:vAlign w:val="bottom"/>
            <w:tcBorders>
              <w:top w:val="single" w:sz="8" w:color="auto"/>
            </w:tcBorders>
          </w:tcPr>
          <w:p>
            <w:pPr>
              <w:spacing w:after="0" w:line="168" w:lineRule="exact"/>
              <w:rPr>
                <w:sz w:val="20"/>
                <w:szCs w:val="20"/>
                <w:color w:val="auto"/>
              </w:rPr>
            </w:pPr>
            <w:r>
              <w:rPr>
                <w:rFonts w:ascii="Arial" w:cs="Arial" w:eastAsia="Arial" w:hAnsi="Arial"/>
                <w:sz w:val="16"/>
                <w:szCs w:val="16"/>
                <w:color w:val="auto"/>
              </w:rPr>
              <w:t>John T. McGinnis</w:t>
            </w:r>
          </w:p>
        </w:tc>
      </w:tr>
      <w:tr>
        <w:trPr>
          <w:trHeight w:val="154"/>
        </w:trPr>
        <w:tc>
          <w:tcPr>
            <w:tcW w:w="74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900" w:type="dxa"/>
            <w:vAlign w:val="bottom"/>
          </w:tcPr>
          <w:p>
            <w:pPr>
              <w:ind w:left="180"/>
              <w:spacing w:after="0" w:line="155" w:lineRule="exact"/>
              <w:rPr>
                <w:sz w:val="20"/>
                <w:szCs w:val="20"/>
                <w:color w:val="auto"/>
              </w:rPr>
            </w:pPr>
            <w:r>
              <w:rPr>
                <w:rFonts w:ascii="Arial" w:cs="Arial" w:eastAsia="Arial" w:hAnsi="Arial"/>
                <w:sz w:val="16"/>
                <w:szCs w:val="16"/>
                <w:color w:val="auto"/>
              </w:rPr>
              <w:t>Title:</w:t>
            </w:r>
          </w:p>
        </w:tc>
        <w:tc>
          <w:tcPr>
            <w:tcW w:w="5060" w:type="dxa"/>
            <w:vAlign w:val="bottom"/>
          </w:tcPr>
          <w:p>
            <w:pPr>
              <w:spacing w:after="0" w:line="155" w:lineRule="exact"/>
              <w:rPr>
                <w:sz w:val="20"/>
                <w:szCs w:val="20"/>
                <w:color w:val="auto"/>
              </w:rPr>
            </w:pPr>
            <w:r>
              <w:rPr>
                <w:rFonts w:ascii="Arial" w:cs="Arial" w:eastAsia="Arial" w:hAnsi="Arial"/>
                <w:sz w:val="16"/>
                <w:szCs w:val="16"/>
                <w:color w:val="auto"/>
              </w:rPr>
              <w:t>Executive Vice President and</w:t>
            </w:r>
          </w:p>
        </w:tc>
      </w:tr>
      <w:tr>
        <w:trPr>
          <w:trHeight w:val="200"/>
        </w:trPr>
        <w:tc>
          <w:tcPr>
            <w:tcW w:w="7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477"/>
        </w:trPr>
        <w:tc>
          <w:tcPr>
            <w:tcW w:w="74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-652780</wp:posOffset>
            </wp:positionV>
            <wp:extent cx="152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4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36"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1344295" cy="720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44295" cy="72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676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4"/>
          <w:szCs w:val="14"/>
          <w:b w:val="1"/>
          <w:bCs w:val="1"/>
          <w:color w:val="auto"/>
        </w:rPr>
        <w:t>Contact:</w:t>
      </w:r>
    </w:p>
    <w:p>
      <w:pPr>
        <w:spacing w:after="0" w:line="17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Jack McGinnis</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+1.414.906.7977</w:t>
      </w:r>
    </w:p>
    <w:p>
      <w:pPr>
        <w:ind w:left="6780"/>
        <w:spacing w:after="0"/>
        <w:rPr>
          <w:sz w:val="20"/>
          <w:szCs w:val="20"/>
          <w:color w:val="auto"/>
        </w:rPr>
      </w:pPr>
      <w:r>
        <w:rPr>
          <w:rFonts w:ascii="Arial" w:cs="Arial" w:eastAsia="Arial" w:hAnsi="Arial"/>
          <w:sz w:val="16"/>
          <w:szCs w:val="16"/>
          <w:color w:val="auto"/>
        </w:rPr>
        <w:t>jack.mcginnis@manpowergroup.com</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ManpowerGroup Reports 4th Quarter 2021 Results</w:t>
      </w:r>
    </w:p>
    <w:p>
      <w:pPr>
        <w:spacing w:after="0" w:line="163" w:lineRule="exact"/>
        <w:rPr>
          <w:sz w:val="20"/>
          <w:szCs w:val="20"/>
          <w:color w:val="auto"/>
        </w:rPr>
      </w:pPr>
    </w:p>
    <w:p>
      <w:pPr>
        <w:ind w:left="1120" w:right="280" w:hanging="375"/>
        <w:spacing w:after="0" w:line="248" w:lineRule="auto"/>
        <w:tabs>
          <w:tab w:leader="none" w:pos="1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6% revenue increase (9% constant currency (CC)) and gross profit margin of 17.2 in the quarter reflecting good growth in higher-margin offerings and record levels of permanent recruitment activity</w:t>
      </w:r>
    </w:p>
    <w:p>
      <w:pPr>
        <w:spacing w:after="0" w:line="69" w:lineRule="exact"/>
        <w:rPr>
          <w:rFonts w:ascii="Arial" w:cs="Arial" w:eastAsia="Arial" w:hAnsi="Arial"/>
          <w:sz w:val="17"/>
          <w:szCs w:val="17"/>
          <w:color w:val="auto"/>
        </w:rPr>
      </w:pPr>
    </w:p>
    <w:p>
      <w:pPr>
        <w:ind w:left="1120" w:right="80" w:hanging="375"/>
        <w:spacing w:after="0" w:line="248" w:lineRule="auto"/>
        <w:tabs>
          <w:tab w:leader="none" w:pos="1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All brands recorded revenue growth during the quarter with Experis recording strong 33% revenue growth (14% organic CC), Talent Solutions 10% revenue growth (11% CC) and Manpower 1% revenue growth (4% CC)</w:t>
      </w:r>
    </w:p>
    <w:p>
      <w:pPr>
        <w:spacing w:after="0" w:line="69" w:lineRule="exact"/>
        <w:rPr>
          <w:rFonts w:ascii="Arial" w:cs="Arial" w:eastAsia="Arial" w:hAnsi="Arial"/>
          <w:sz w:val="17"/>
          <w:szCs w:val="17"/>
          <w:color w:val="auto"/>
        </w:rPr>
      </w:pPr>
    </w:p>
    <w:p>
      <w:pPr>
        <w:ind w:left="1120" w:right="40" w:hanging="375"/>
        <w:spacing w:after="0" w:line="248" w:lineRule="auto"/>
        <w:tabs>
          <w:tab w:leader="none" w:pos="1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Expanded EBITA and operating profit margins during the quarter, reflecting continued progress as business mix improves, operating leverage strengthens and the ettain acquisition</w:t>
      </w:r>
    </w:p>
    <w:p>
      <w:pPr>
        <w:spacing w:after="0" w:line="69" w:lineRule="exact"/>
        <w:rPr>
          <w:rFonts w:ascii="Arial" w:cs="Arial" w:eastAsia="Arial" w:hAnsi="Arial"/>
          <w:sz w:val="17"/>
          <w:szCs w:val="17"/>
          <w:color w:val="auto"/>
        </w:rPr>
      </w:pPr>
    </w:p>
    <w:p>
      <w:pPr>
        <w:ind w:left="1120" w:right="580" w:hanging="375"/>
        <w:spacing w:after="0" w:line="248" w:lineRule="auto"/>
        <w:tabs>
          <w:tab w:leader="none" w:pos="1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Company repurchased $60 million of common stock during the quarter, paid down $75 million of the $150 million incremental borrowing used for ettain acquisition</w:t>
      </w:r>
    </w:p>
    <w:p>
      <w:pPr>
        <w:spacing w:after="0" w:line="69" w:lineRule="exact"/>
        <w:rPr>
          <w:rFonts w:ascii="Arial" w:cs="Arial" w:eastAsia="Arial" w:hAnsi="Arial"/>
          <w:sz w:val="17"/>
          <w:szCs w:val="17"/>
          <w:color w:val="auto"/>
        </w:rPr>
      </w:pPr>
    </w:p>
    <w:p>
      <w:pPr>
        <w:ind w:left="1120" w:right="120" w:hanging="375"/>
        <w:spacing w:after="0" w:line="248" w:lineRule="auto"/>
        <w:tabs>
          <w:tab w:leader="none" w:pos="1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Adjusted our geographic portfolio further in January 2022 through the sale of our Russia business which will operate as a franchise going forward</w:t>
      </w:r>
    </w:p>
    <w:p>
      <w:pPr>
        <w:spacing w:after="0" w:line="295" w:lineRule="exact"/>
        <w:rPr>
          <w:sz w:val="20"/>
          <w:szCs w:val="20"/>
          <w:color w:val="auto"/>
        </w:rPr>
      </w:pPr>
    </w:p>
    <w:p>
      <w:pPr>
        <w:jc w:val="both"/>
        <w:spacing w:after="0" w:line="372" w:lineRule="auto"/>
        <w:rPr>
          <w:sz w:val="20"/>
          <w:szCs w:val="20"/>
          <w:color w:val="auto"/>
        </w:rPr>
      </w:pPr>
      <w:r>
        <w:rPr>
          <w:rFonts w:ascii="Arial" w:cs="Arial" w:eastAsia="Arial" w:hAnsi="Arial"/>
          <w:sz w:val="17"/>
          <w:szCs w:val="17"/>
          <w:b w:val="1"/>
          <w:bCs w:val="1"/>
          <w:color w:val="auto"/>
        </w:rPr>
        <w:t xml:space="preserve">MILWAUKEE, February 1, 2022 -- </w:t>
      </w:r>
      <w:r>
        <w:rPr>
          <w:rFonts w:ascii="Arial" w:cs="Arial" w:eastAsia="Arial" w:hAnsi="Arial"/>
          <w:sz w:val="17"/>
          <w:szCs w:val="17"/>
          <w:color w:val="auto"/>
        </w:rPr>
        <w:t>ManpowerGroup (NYSE: MAN) today reported net earnings of $2.02 per diluted share for the three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December 31, 2021 compared to $1.33 per diluted share in the prior year period. Net earnings in the quarter were $111.1 million compared to $76.2 million a year earlier. Revenues for the fourth quarter were $5.4 billion, a 6% increase from the prior year period.</w:t>
      </w:r>
    </w:p>
    <w:p>
      <w:pPr>
        <w:jc w:val="both"/>
        <w:ind w:firstLine="406"/>
        <w:spacing w:after="0" w:line="363" w:lineRule="auto"/>
        <w:rPr>
          <w:sz w:val="20"/>
          <w:szCs w:val="20"/>
          <w:color w:val="auto"/>
        </w:rPr>
      </w:pPr>
      <w:r>
        <w:rPr>
          <w:rFonts w:ascii="Arial" w:cs="Arial" w:eastAsia="Arial" w:hAnsi="Arial"/>
          <w:sz w:val="17"/>
          <w:szCs w:val="17"/>
          <w:color w:val="auto"/>
        </w:rPr>
        <w:t>The current year quarter included ettain group transaction and integration costs. These costs reduced earnings per share by $0.18 in the current quarter. Excluding these costs, earnings per share was $2.20 per diluted share in the quarter. The prior year period included restructuring costs which decreased earnings per share by $0.15.</w:t>
      </w:r>
    </w:p>
    <w:p>
      <w:pPr>
        <w:jc w:val="both"/>
        <w:ind w:right="20" w:firstLine="278"/>
        <w:spacing w:after="0" w:line="367" w:lineRule="auto"/>
        <w:rPr>
          <w:sz w:val="20"/>
          <w:szCs w:val="20"/>
          <w:color w:val="auto"/>
        </w:rPr>
      </w:pPr>
      <w:r>
        <w:rPr>
          <w:rFonts w:ascii="Arial" w:cs="Arial" w:eastAsia="Arial" w:hAnsi="Arial"/>
          <w:sz w:val="17"/>
          <w:szCs w:val="17"/>
          <w:color w:val="auto"/>
        </w:rPr>
        <w:t>Financial results in the quarter were also impacted by the stronger U.S. dollar relative to foreign currencies compared to the prior year period, resulting in a 4 cent negative impact to earnings per share in the quarter compared to the prior year. On a constant currency basis, revenues increased 9% (6% organic constant currency) compared to the prior year period. Excluding the net impact of transaction and integration costs in the current year and restructuring costs in the prior year period, on a constant currency basis, net earnings per diluted share increased 51%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144145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6" w:right="319" w:bottom="1440" w:gutter="0" w:footer="0" w:header="0"/>
        </w:sectPr>
      </w:pPr>
    </w:p>
    <w:bookmarkStart w:id="4" w:name="page5"/>
    <w:bookmarkEnd w:id="4"/>
    <w:p>
      <w:pPr>
        <w:jc w:val="both"/>
        <w:ind w:right="20" w:firstLine="256"/>
        <w:spacing w:after="0" w:line="363" w:lineRule="auto"/>
        <w:rPr>
          <w:sz w:val="20"/>
          <w:szCs w:val="20"/>
          <w:color w:val="auto"/>
        </w:rPr>
      </w:pPr>
      <w:r>
        <w:rPr>
          <w:rFonts w:ascii="Arial" w:cs="Arial" w:eastAsia="Arial" w:hAnsi="Arial"/>
          <w:sz w:val="17"/>
          <w:szCs w:val="17"/>
          <w:color w:val="auto"/>
        </w:rPr>
        <w:t>Jonas Prising, ManpowerGroup Chairman &amp; CEO, said, “Our fourth quarter results reflect good growth in higher margin offerings and improved business mix leading to better operating leverage.</w:t>
      </w:r>
    </w:p>
    <w:p>
      <w:pPr>
        <w:jc w:val="both"/>
        <w:ind w:firstLine="464"/>
        <w:spacing w:after="0" w:line="363" w:lineRule="auto"/>
        <w:rPr>
          <w:sz w:val="20"/>
          <w:szCs w:val="20"/>
          <w:color w:val="auto"/>
        </w:rPr>
      </w:pPr>
      <w:r>
        <w:rPr>
          <w:rFonts w:ascii="Arial" w:cs="Arial" w:eastAsia="Arial" w:hAnsi="Arial"/>
          <w:sz w:val="17"/>
          <w:szCs w:val="17"/>
          <w:color w:val="auto"/>
        </w:rPr>
        <w:t>Our focus on our Diversification, Digitization and Innovation during the past year positions us well for a successful 2022. The acquisition of ettain is already enhancing the contribution of our IT resourcing capabilities in our Experis business. Talent Solutions delivered strong overall growth with record revenue levels in RPO and MSP during 2021. Ongoing initiatives in the Manpower business are driving significant year over year gross profit margin growth.</w:t>
      </w:r>
    </w:p>
    <w:p>
      <w:pPr>
        <w:jc w:val="both"/>
        <w:ind w:right="20" w:firstLine="324"/>
        <w:spacing w:after="0" w:line="363" w:lineRule="auto"/>
        <w:rPr>
          <w:sz w:val="20"/>
          <w:szCs w:val="20"/>
          <w:color w:val="auto"/>
        </w:rPr>
      </w:pPr>
      <w:r>
        <w:rPr>
          <w:rFonts w:ascii="Arial" w:cs="Arial" w:eastAsia="Arial" w:hAnsi="Arial"/>
          <w:sz w:val="17"/>
          <w:szCs w:val="17"/>
          <w:color w:val="auto"/>
        </w:rPr>
        <w:t>I thank all our people for their resilience, agility, and innovation -- providing our clients with the skilled talent and workforce solutions expertise they need more than ever in a strengthening labor market, while finding meaningful work for millions of people.</w:t>
      </w:r>
    </w:p>
    <w:p>
      <w:pPr>
        <w:jc w:val="both"/>
        <w:ind w:firstLine="250"/>
        <w:spacing w:after="0" w:line="363" w:lineRule="auto"/>
        <w:rPr>
          <w:sz w:val="20"/>
          <w:szCs w:val="20"/>
          <w:color w:val="auto"/>
        </w:rPr>
      </w:pPr>
      <w:r>
        <w:rPr>
          <w:rFonts w:ascii="Arial" w:cs="Arial" w:eastAsia="Arial" w:hAnsi="Arial"/>
          <w:sz w:val="17"/>
          <w:szCs w:val="17"/>
          <w:color w:val="auto"/>
        </w:rPr>
        <w:t>We anticipate diluted earnings per share in the first quarter will be between $1.56 and $1.64, which includes an estimated unfavorable currency impact of 10 cents. Our guidance excludes ettain integration costs ranging from $4 million to $6 million and the expected loss on sale of our Russia business of $8 million.”</w:t>
      </w:r>
    </w:p>
    <w:p>
      <w:pPr>
        <w:jc w:val="both"/>
        <w:ind w:firstLine="272"/>
        <w:spacing w:after="0" w:line="363" w:lineRule="auto"/>
        <w:rPr>
          <w:sz w:val="20"/>
          <w:szCs w:val="20"/>
          <w:color w:val="auto"/>
        </w:rPr>
      </w:pPr>
      <w:r>
        <w:rPr>
          <w:rFonts w:ascii="Arial" w:cs="Arial" w:eastAsia="Arial" w:hAnsi="Arial"/>
          <w:sz w:val="17"/>
          <w:szCs w:val="17"/>
          <w:color w:val="auto"/>
        </w:rPr>
        <w:t>Net earnings for the year ended December 31, 2021 were $382.4 million, or net earnings of $6.91 per diluted share compared to net earnings of $23.8 million, or net earnings of $0.41 per diluted share in the prior year. The full year period included restructuring costs and ettain group acquisition and integration costs which reduced earnings per share by $0.33. Excluding these costs, earnings per share was $7.24 per diluted share for the year. The prior full year period included special items and restructuring costs which reduced earnings per share by $3.26. Revenues for the year were $20.7 billion, an increase of 15% from the prior year or an increase of 12% in constant currency (11% organic constant currency). Reported earnings per share for the year were positively impacted by 17 cents due to changes in foreign currencies compared to the prior year.</w:t>
      </w:r>
    </w:p>
    <w:p>
      <w:pPr>
        <w:jc w:val="both"/>
        <w:ind w:firstLine="275"/>
        <w:spacing w:after="0" w:line="363" w:lineRule="auto"/>
        <w:rPr>
          <w:sz w:val="20"/>
          <w:szCs w:val="20"/>
          <w:color w:val="auto"/>
        </w:rPr>
      </w:pPr>
      <w:r>
        <w:rPr>
          <w:rFonts w:ascii="Arial" w:cs="Arial" w:eastAsia="Arial" w:hAnsi="Arial"/>
          <w:sz w:val="17"/>
          <w:szCs w:val="17"/>
          <w:color w:val="auto"/>
        </w:rPr>
        <w:t xml:space="preserve">In conjunction with its fourth quarter and full year earnings release, ManpowerGroup will broadcast its conference call live over the Internet on February 1, 2022 at 7:30 a.m. central time (8:30 a.m. eastern time). Prepared remarks for the conference call are included within the Investor Relations section of our website at manpowergroup.com. Interested parties are invited to listen to the webcast and view the presentation by logging on to </w:t>
      </w:r>
      <w:r>
        <w:rPr>
          <w:rFonts w:ascii="Arial" w:cs="Arial" w:eastAsia="Arial" w:hAnsi="Arial"/>
          <w:sz w:val="17"/>
          <w:szCs w:val="17"/>
          <w:color w:val="0000FF"/>
        </w:rPr>
        <w:t>http://investor.manpowergroup.com/</w:t>
      </w:r>
      <w:r>
        <w:rPr>
          <w:rFonts w:ascii="Arial" w:cs="Arial" w:eastAsia="Arial" w:hAnsi="Arial"/>
          <w:sz w:val="17"/>
          <w:szCs w:val="17"/>
          <w:color w:val="auto"/>
        </w:rPr>
        <w:t>in the section titled “Investor Relations.”</w:t>
      </w:r>
    </w:p>
    <w:p>
      <w:pPr>
        <w:ind w:left="100"/>
        <w:spacing w:after="0"/>
        <w:rPr>
          <w:sz w:val="20"/>
          <w:szCs w:val="20"/>
          <w:color w:val="auto"/>
        </w:rPr>
      </w:pPr>
      <w:r>
        <w:rPr>
          <w:rFonts w:ascii="Arial" w:cs="Arial" w:eastAsia="Arial" w:hAnsi="Arial"/>
          <w:sz w:val="17"/>
          <w:szCs w:val="17"/>
          <w:color w:val="auto"/>
        </w:rPr>
        <w:t xml:space="preserve">Supplemental financial information referenced in the conference call can be found at </w:t>
      </w:r>
      <w:r>
        <w:rPr>
          <w:rFonts w:ascii="Arial" w:cs="Arial" w:eastAsia="Arial" w:hAnsi="Arial"/>
          <w:sz w:val="17"/>
          <w:szCs w:val="17"/>
          <w:color w:val="0000FF"/>
        </w:rPr>
        <w:t>http://investor.manpowergroup.com/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1374775</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97"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About ManpowerGroup</w:t>
      </w:r>
    </w:p>
    <w:p>
      <w:pPr>
        <w:spacing w:after="0" w:line="61" w:lineRule="exact"/>
        <w:rPr>
          <w:sz w:val="20"/>
          <w:szCs w:val="20"/>
          <w:color w:val="auto"/>
        </w:rPr>
      </w:pPr>
    </w:p>
    <w:p>
      <w:pPr>
        <w:jc w:val="both"/>
        <w:spacing w:after="0" w:line="223" w:lineRule="auto"/>
        <w:rPr>
          <w:sz w:val="20"/>
          <w:szCs w:val="20"/>
          <w:color w:val="auto"/>
        </w:rPr>
      </w:pPr>
      <w:r>
        <w:rPr>
          <w:rFonts w:ascii="Arial" w:cs="Arial" w:eastAsia="Arial" w:hAnsi="Arial"/>
          <w:sz w:val="16"/>
          <w:szCs w:val="16"/>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75 countries and territories and has done so for over 70 years. We are recognized consistently for our diversity - as a best place to work for Women, Inclusion, Equality and Disability and in 2021 ManpowerGroup was named one of the World's Most Ethical Companies for the 12</w:t>
      </w:r>
      <w:r>
        <w:rPr>
          <w:rFonts w:ascii="Arial" w:cs="Arial" w:eastAsia="Arial" w:hAnsi="Arial"/>
          <w:sz w:val="21"/>
          <w:szCs w:val="21"/>
          <w:color w:val="auto"/>
          <w:vertAlign w:val="superscript"/>
        </w:rPr>
        <w:t>th</w:t>
      </w:r>
      <w:r>
        <w:rPr>
          <w:rFonts w:ascii="Arial" w:cs="Arial" w:eastAsia="Arial" w:hAnsi="Arial"/>
          <w:sz w:val="16"/>
          <w:szCs w:val="16"/>
          <w:color w:val="auto"/>
        </w:rPr>
        <w:t>year - all confirming our position as the brand of choice for in-demand talent.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This news release contains statements, including statements regarding economic uncertainty, the global recovery, financial outlook, the Company’s strategic initiatives, the anticipated results of the ettain acquisition and the position for future growth of the Experis and Talent Solutions brands that are forward-looking in nature and, accordingly, are subject to risks and uncertainties regarding the Company’s expected future results.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2020, which information is incorporated herein by reference.</w:t>
      </w:r>
    </w:p>
    <w:p>
      <w:pPr>
        <w:spacing w:after="0" w:line="200" w:lineRule="exact"/>
        <w:rPr>
          <w:sz w:val="20"/>
          <w:szCs w:val="20"/>
          <w:color w:val="auto"/>
        </w:rPr>
      </w:pPr>
    </w:p>
    <w:p>
      <w:pPr>
        <w:spacing w:after="0" w:line="278"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569595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67" w:right="319" w:bottom="1440" w:gutter="0" w:footer="0" w:header="0"/>
        </w:sectPr>
      </w:pPr>
    </w:p>
    <w:bookmarkStart w:id="6" w:name="page7"/>
    <w:bookmarkEnd w:id="6"/>
    <w:p>
      <w:pPr>
        <w:jc w:val="center"/>
        <w:ind w:right="-4"/>
        <w:spacing w:after="0"/>
        <w:rPr>
          <w:sz w:val="20"/>
          <w:szCs w:val="20"/>
          <w:color w:val="auto"/>
        </w:rPr>
      </w:pPr>
      <w:r>
        <w:rPr>
          <w:rFonts w:ascii="Arial" w:cs="Arial" w:eastAsia="Arial" w:hAnsi="Arial"/>
          <w:sz w:val="16"/>
          <w:szCs w:val="16"/>
          <w:color w:val="auto"/>
        </w:rPr>
        <w:t>ManpowerGroup</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Results of Operations</w:t>
      </w:r>
    </w:p>
    <w:p>
      <w:pPr>
        <w:jc w:val="center"/>
        <w:ind w:right="-4"/>
        <w:spacing w:after="0"/>
        <w:rPr>
          <w:sz w:val="20"/>
          <w:szCs w:val="20"/>
          <w:color w:val="auto"/>
        </w:rPr>
      </w:pPr>
      <w:r>
        <w:rPr>
          <w:rFonts w:ascii="Arial" w:cs="Arial" w:eastAsia="Arial" w:hAnsi="Arial"/>
          <w:sz w:val="16"/>
          <w:szCs w:val="16"/>
          <w:color w:val="auto"/>
        </w:rPr>
        <w:t>(In millions, except per share data)</w:t>
      </w:r>
    </w:p>
    <w:p>
      <w:pPr>
        <w:spacing w:after="0" w:line="153" w:lineRule="exact"/>
        <w:rPr>
          <w:sz w:val="20"/>
          <w:szCs w:val="20"/>
          <w:color w:val="auto"/>
        </w:rPr>
      </w:pPr>
    </w:p>
    <w:tbl>
      <w:tblPr>
        <w:tblLayout w:type="fixed"/>
        <w:tblInd w:w="5" w:type="dxa"/>
        <w:tblCellMar>
          <w:top w:w="0" w:type="dxa"/>
          <w:left w:w="0" w:type="dxa"/>
          <w:bottom w:w="0" w:type="dxa"/>
          <w:right w:w="0" w:type="dxa"/>
        </w:tblCellMar>
      </w:tblPr>
      <w:tr>
        <w:trPr>
          <w:trHeight w:val="194"/>
        </w:trPr>
        <w:tc>
          <w:tcPr>
            <w:tcW w:w="53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right="720"/>
              <w:spacing w:after="0"/>
              <w:rPr>
                <w:sz w:val="20"/>
                <w:szCs w:val="20"/>
                <w:color w:val="auto"/>
              </w:rPr>
            </w:pPr>
            <w:r>
              <w:rPr>
                <w:rFonts w:ascii="Arial" w:cs="Arial" w:eastAsia="Arial" w:hAnsi="Arial"/>
                <w:sz w:val="16"/>
                <w:szCs w:val="16"/>
                <w:b w:val="1"/>
                <w:bCs w:val="1"/>
                <w:color w:val="auto"/>
                <w:w w:val="89"/>
              </w:rPr>
              <w:t>Three Months Ended December 31</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700"/>
              <w:spacing w:after="0" w:line="169" w:lineRule="exact"/>
              <w:rPr>
                <w:sz w:val="20"/>
                <w:szCs w:val="20"/>
                <w:color w:val="auto"/>
              </w:rPr>
            </w:pPr>
            <w:r>
              <w:rPr>
                <w:rFonts w:ascii="Arial" w:cs="Arial" w:eastAsia="Arial" w:hAnsi="Arial"/>
                <w:sz w:val="16"/>
                <w:szCs w:val="16"/>
                <w:b w:val="1"/>
                <w:bCs w:val="1"/>
                <w:color w:val="auto"/>
                <w:w w:val="93"/>
              </w:rPr>
              <w:t>% Variance</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3"/>
        </w:trPr>
        <w:tc>
          <w:tcPr>
            <w:tcW w:w="5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3"/>
          </w:tcPr>
          <w:p>
            <w:pPr>
              <w:jc w:val="center"/>
              <w:ind w:right="820"/>
              <w:spacing w:after="0" w:line="153" w:lineRule="exact"/>
              <w:rPr>
                <w:sz w:val="20"/>
                <w:szCs w:val="20"/>
                <w:color w:val="auto"/>
              </w:rPr>
            </w:pPr>
            <w:r>
              <w:rPr>
                <w:rFonts w:ascii="Arial" w:cs="Arial" w:eastAsia="Arial" w:hAnsi="Arial"/>
                <w:sz w:val="16"/>
                <w:szCs w:val="16"/>
                <w:b w:val="1"/>
                <w:bCs w:val="1"/>
                <w:color w:val="auto"/>
                <w:w w:val="89"/>
              </w:rPr>
              <w:t>Amount</w:t>
            </w:r>
          </w:p>
        </w:tc>
        <w:tc>
          <w:tcPr>
            <w:tcW w:w="900" w:type="dxa"/>
            <w:vAlign w:val="bottom"/>
          </w:tcPr>
          <w:p>
            <w:pPr>
              <w:ind w:left="20"/>
              <w:spacing w:after="0" w:line="153" w:lineRule="exact"/>
              <w:rPr>
                <w:sz w:val="20"/>
                <w:szCs w:val="20"/>
                <w:color w:val="auto"/>
              </w:rPr>
            </w:pPr>
            <w:r>
              <w:rPr>
                <w:rFonts w:ascii="Arial" w:cs="Arial" w:eastAsia="Arial" w:hAnsi="Arial"/>
                <w:sz w:val="16"/>
                <w:szCs w:val="16"/>
                <w:b w:val="1"/>
                <w:bCs w:val="1"/>
                <w:color w:val="auto"/>
              </w:rPr>
              <w:t>Constant</w:t>
            </w:r>
          </w:p>
        </w:tc>
        <w:tc>
          <w:tcPr>
            <w:tcW w:w="240" w:type="dxa"/>
            <w:vAlign w:val="bottom"/>
          </w:tcPr>
          <w:p>
            <w:pPr>
              <w:spacing w:after="0"/>
              <w:rPr>
                <w:sz w:val="13"/>
                <w:szCs w:val="13"/>
                <w:color w:val="auto"/>
              </w:rPr>
            </w:pPr>
          </w:p>
        </w:tc>
      </w:tr>
      <w:tr>
        <w:trPr>
          <w:trHeight w:val="194"/>
        </w:trPr>
        <w:tc>
          <w:tcPr>
            <w:tcW w:w="53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88"/>
              </w:rPr>
              <w:t>Reported</w:t>
            </w:r>
          </w:p>
        </w:tc>
        <w:tc>
          <w:tcPr>
            <w:tcW w:w="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Currency</w:t>
            </w:r>
          </w:p>
        </w:tc>
        <w:tc>
          <w:tcPr>
            <w:tcW w:w="240" w:type="dxa"/>
            <w:vAlign w:val="bottom"/>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jc w:val="center"/>
              <w:ind w:left="721"/>
              <w:spacing w:after="0" w:line="169" w:lineRule="exact"/>
              <w:rPr>
                <w:sz w:val="20"/>
                <w:szCs w:val="20"/>
                <w:color w:val="auto"/>
              </w:rPr>
            </w:pPr>
            <w:r>
              <w:rPr>
                <w:rFonts w:ascii="Arial" w:cs="Arial" w:eastAsia="Arial" w:hAnsi="Arial"/>
                <w:sz w:val="16"/>
                <w:szCs w:val="16"/>
                <w:color w:val="auto"/>
                <w:w w:val="90"/>
              </w:rPr>
              <w:t>(Unaudited)</w:t>
            </w: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7"/>
        </w:trPr>
        <w:tc>
          <w:tcPr>
            <w:tcW w:w="538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Revenues from services (a)</w:t>
            </w: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w w:val="86"/>
              </w:rPr>
              <w:t>5,382.3</w:t>
            </w:r>
          </w:p>
        </w:tc>
        <w:tc>
          <w:tcPr>
            <w:tcW w:w="340" w:type="dxa"/>
            <w:vAlign w:val="bottom"/>
            <w:gridSpan w:val="2"/>
            <w:shd w:val="clear" w:color="auto" w:fill="CFF0FC"/>
          </w:tcPr>
          <w:p>
            <w:pPr>
              <w:jc w:val="right"/>
              <w:spacing w:after="0" w:line="178"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5,054.9</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line="178" w:lineRule="exact"/>
              <w:rPr>
                <w:sz w:val="20"/>
                <w:szCs w:val="20"/>
                <w:color w:val="auto"/>
              </w:rPr>
            </w:pPr>
            <w:r>
              <w:rPr>
                <w:rFonts w:ascii="Arial" w:cs="Arial" w:eastAsia="Arial" w:hAnsi="Arial"/>
                <w:sz w:val="16"/>
                <w:szCs w:val="16"/>
                <w:color w:val="auto"/>
              </w:rPr>
              <w:t>6.5 %</w:t>
            </w: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9.5 %</w:t>
            </w:r>
          </w:p>
        </w:tc>
      </w:tr>
      <w:tr>
        <w:trPr>
          <w:trHeight w:val="177"/>
        </w:trPr>
        <w:tc>
          <w:tcPr>
            <w:tcW w:w="5380" w:type="dxa"/>
            <w:vAlign w:val="bottom"/>
          </w:tcPr>
          <w:p>
            <w:pPr>
              <w:spacing w:after="0" w:line="178" w:lineRule="exact"/>
              <w:rPr>
                <w:sz w:val="20"/>
                <w:szCs w:val="20"/>
                <w:color w:val="auto"/>
              </w:rPr>
            </w:pPr>
            <w:r>
              <w:rPr>
                <w:rFonts w:ascii="Arial" w:cs="Arial" w:eastAsia="Arial" w:hAnsi="Arial"/>
                <w:sz w:val="16"/>
                <w:szCs w:val="16"/>
                <w:color w:val="auto"/>
              </w:rPr>
              <w:t>Cost of services</w:t>
            </w:r>
          </w:p>
        </w:tc>
        <w:tc>
          <w:tcPr>
            <w:tcW w:w="8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w w:val="86"/>
              </w:rPr>
              <w:t>4,456.0</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4,256.0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240"/>
              <w:spacing w:after="0" w:line="178" w:lineRule="exact"/>
              <w:rPr>
                <w:sz w:val="20"/>
                <w:szCs w:val="20"/>
                <w:color w:val="auto"/>
              </w:rPr>
            </w:pPr>
            <w:r>
              <w:rPr>
                <w:rFonts w:ascii="Arial" w:cs="Arial" w:eastAsia="Arial" w:hAnsi="Arial"/>
                <w:sz w:val="16"/>
                <w:szCs w:val="16"/>
                <w:color w:val="auto"/>
              </w:rPr>
              <w:t>4.7 %</w:t>
            </w:r>
          </w:p>
        </w:tc>
        <w:tc>
          <w:tcPr>
            <w:tcW w:w="220" w:type="dxa"/>
            <w:vAlign w:val="bottom"/>
          </w:tcPr>
          <w:p>
            <w:pPr>
              <w:spacing w:after="0"/>
              <w:rPr>
                <w:sz w:val="15"/>
                <w:szCs w:val="15"/>
                <w:color w:val="auto"/>
              </w:rPr>
            </w:pPr>
          </w:p>
        </w:tc>
        <w:tc>
          <w:tcPr>
            <w:tcW w:w="11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7.7 %</w:t>
            </w:r>
          </w:p>
        </w:tc>
      </w:tr>
      <w:tr>
        <w:trPr>
          <w:trHeight w:val="169"/>
        </w:trPr>
        <w:tc>
          <w:tcPr>
            <w:tcW w:w="5380" w:type="dxa"/>
            <w:vAlign w:val="bottom"/>
            <w:shd w:val="clear" w:color="auto" w:fill="CFF0FC"/>
          </w:tcPr>
          <w:p>
            <w:pPr>
              <w:ind w:left="80"/>
              <w:spacing w:after="0" w:line="169" w:lineRule="exact"/>
              <w:rPr>
                <w:sz w:val="20"/>
                <w:szCs w:val="20"/>
                <w:color w:val="auto"/>
              </w:rPr>
            </w:pPr>
            <w:r>
              <w:rPr>
                <w:rFonts w:ascii="Arial" w:cs="Arial" w:eastAsia="Arial" w:hAnsi="Arial"/>
                <w:sz w:val="16"/>
                <w:szCs w:val="16"/>
                <w:color w:val="auto"/>
              </w:rPr>
              <w:t>Gross profit</w:t>
            </w:r>
          </w:p>
        </w:tc>
        <w:tc>
          <w:tcPr>
            <w:tcW w:w="8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926.3</w:t>
            </w:r>
          </w:p>
        </w:tc>
        <w:tc>
          <w:tcPr>
            <w:tcW w:w="2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798.9</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6"/>
                <w:szCs w:val="16"/>
                <w:color w:val="auto"/>
              </w:rPr>
              <w:t>15.9 %</w:t>
            </w: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18.8 %</w:t>
            </w:r>
          </w:p>
        </w:tc>
      </w:tr>
      <w:tr>
        <w:trPr>
          <w:trHeight w:val="157"/>
        </w:trPr>
        <w:tc>
          <w:tcPr>
            <w:tcW w:w="5380" w:type="dxa"/>
            <w:vAlign w:val="bottom"/>
          </w:tcPr>
          <w:p>
            <w:pPr>
              <w:spacing w:after="0" w:line="158" w:lineRule="exact"/>
              <w:rPr>
                <w:sz w:val="20"/>
                <w:szCs w:val="20"/>
                <w:color w:val="auto"/>
              </w:rPr>
            </w:pPr>
            <w:r>
              <w:rPr>
                <w:rFonts w:ascii="Arial" w:cs="Arial" w:eastAsia="Arial" w:hAnsi="Arial"/>
                <w:sz w:val="16"/>
                <w:szCs w:val="16"/>
                <w:color w:val="auto"/>
              </w:rPr>
              <w:t>Selling and administrative expenses</w:t>
            </w:r>
          </w:p>
        </w:tc>
        <w:tc>
          <w:tcPr>
            <w:tcW w:w="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6"/>
                <w:szCs w:val="16"/>
                <w:color w:val="auto"/>
              </w:rPr>
              <w:t>759.7</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6"/>
                <w:szCs w:val="16"/>
                <w:color w:val="auto"/>
              </w:rPr>
              <w:t>660.6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right"/>
              <w:ind w:right="240"/>
              <w:spacing w:after="0" w:line="158" w:lineRule="exact"/>
              <w:rPr>
                <w:sz w:val="20"/>
                <w:szCs w:val="20"/>
                <w:color w:val="auto"/>
              </w:rPr>
            </w:pPr>
            <w:r>
              <w:rPr>
                <w:rFonts w:ascii="Arial" w:cs="Arial" w:eastAsia="Arial" w:hAnsi="Arial"/>
                <w:sz w:val="16"/>
                <w:szCs w:val="16"/>
                <w:color w:val="auto"/>
              </w:rPr>
              <w:t>15.0 %</w:t>
            </w:r>
          </w:p>
        </w:tc>
        <w:tc>
          <w:tcPr>
            <w:tcW w:w="220" w:type="dxa"/>
            <w:vAlign w:val="bottom"/>
          </w:tcPr>
          <w:p>
            <w:pPr>
              <w:spacing w:after="0"/>
              <w:rPr>
                <w:sz w:val="13"/>
                <w:szCs w:val="13"/>
                <w:color w:val="auto"/>
              </w:rPr>
            </w:pPr>
          </w:p>
        </w:tc>
        <w:tc>
          <w:tcPr>
            <w:tcW w:w="1140" w:type="dxa"/>
            <w:vAlign w:val="bottom"/>
            <w:gridSpan w:val="2"/>
          </w:tcPr>
          <w:p>
            <w:pPr>
              <w:jc w:val="right"/>
              <w:ind w:right="100"/>
              <w:spacing w:after="0" w:line="158" w:lineRule="exact"/>
              <w:rPr>
                <w:sz w:val="20"/>
                <w:szCs w:val="20"/>
                <w:color w:val="auto"/>
              </w:rPr>
            </w:pPr>
            <w:r>
              <w:rPr>
                <w:rFonts w:ascii="Arial" w:cs="Arial" w:eastAsia="Arial" w:hAnsi="Arial"/>
                <w:sz w:val="16"/>
                <w:szCs w:val="16"/>
                <w:color w:val="auto"/>
              </w:rPr>
              <w:t>17.6 %</w:t>
            </w:r>
          </w:p>
        </w:tc>
      </w:tr>
      <w:tr>
        <w:trPr>
          <w:trHeight w:val="169"/>
        </w:trPr>
        <w:tc>
          <w:tcPr>
            <w:tcW w:w="5380" w:type="dxa"/>
            <w:vAlign w:val="bottom"/>
            <w:shd w:val="clear" w:color="auto" w:fill="CFF0FC"/>
          </w:tcPr>
          <w:p>
            <w:pPr>
              <w:ind w:left="80"/>
              <w:spacing w:after="0" w:line="169" w:lineRule="exact"/>
              <w:rPr>
                <w:sz w:val="20"/>
                <w:szCs w:val="20"/>
                <w:color w:val="auto"/>
              </w:rPr>
            </w:pPr>
            <w:r>
              <w:rPr>
                <w:rFonts w:ascii="Arial" w:cs="Arial" w:eastAsia="Arial" w:hAnsi="Arial"/>
                <w:sz w:val="16"/>
                <w:szCs w:val="16"/>
                <w:color w:val="auto"/>
              </w:rPr>
              <w:t>Operating profit</w:t>
            </w:r>
          </w:p>
        </w:tc>
        <w:tc>
          <w:tcPr>
            <w:tcW w:w="8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166.6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138.3</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6"/>
                <w:szCs w:val="16"/>
                <w:color w:val="auto"/>
              </w:rPr>
              <w:t>20.4 %</w:t>
            </w: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24.7 %</w:t>
            </w:r>
          </w:p>
        </w:tc>
      </w:tr>
      <w:tr>
        <w:trPr>
          <w:trHeight w:val="177"/>
        </w:trPr>
        <w:tc>
          <w:tcPr>
            <w:tcW w:w="5380" w:type="dxa"/>
            <w:vAlign w:val="bottom"/>
          </w:tcPr>
          <w:p>
            <w:pPr>
              <w:spacing w:after="0" w:line="178" w:lineRule="exact"/>
              <w:rPr>
                <w:sz w:val="20"/>
                <w:szCs w:val="20"/>
                <w:color w:val="auto"/>
              </w:rPr>
            </w:pPr>
            <w:r>
              <w:rPr>
                <w:rFonts w:ascii="Arial" w:cs="Arial" w:eastAsia="Arial" w:hAnsi="Arial"/>
                <w:sz w:val="16"/>
                <w:szCs w:val="16"/>
                <w:color w:val="auto"/>
              </w:rPr>
              <w:t>Interest and other expenses, net</w:t>
            </w:r>
          </w:p>
        </w:tc>
        <w:tc>
          <w:tcPr>
            <w:tcW w:w="8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4.2</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7.6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240"/>
              <w:spacing w:after="0" w:line="178" w:lineRule="exact"/>
              <w:rPr>
                <w:sz w:val="20"/>
                <w:szCs w:val="20"/>
                <w:color w:val="auto"/>
              </w:rPr>
            </w:pPr>
            <w:r>
              <w:rPr>
                <w:rFonts w:ascii="Arial" w:cs="Arial" w:eastAsia="Arial" w:hAnsi="Arial"/>
                <w:sz w:val="16"/>
                <w:szCs w:val="16"/>
                <w:color w:val="auto"/>
              </w:rPr>
              <w:t>-46.4 %</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9"/>
        </w:trPr>
        <w:tc>
          <w:tcPr>
            <w:tcW w:w="5380" w:type="dxa"/>
            <w:vAlign w:val="bottom"/>
            <w:shd w:val="clear" w:color="auto" w:fill="CFF0FC"/>
          </w:tcPr>
          <w:p>
            <w:pPr>
              <w:ind w:left="80"/>
              <w:spacing w:after="0" w:line="169" w:lineRule="exact"/>
              <w:rPr>
                <w:sz w:val="20"/>
                <w:szCs w:val="20"/>
                <w:color w:val="auto"/>
              </w:rPr>
            </w:pPr>
            <w:r>
              <w:rPr>
                <w:rFonts w:ascii="Arial" w:cs="Arial" w:eastAsia="Arial" w:hAnsi="Arial"/>
                <w:sz w:val="16"/>
                <w:szCs w:val="16"/>
                <w:color w:val="auto"/>
              </w:rPr>
              <w:t>Earnings before income taxes</w:t>
            </w:r>
          </w:p>
        </w:tc>
        <w:tc>
          <w:tcPr>
            <w:tcW w:w="8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162.4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130.7</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6"/>
                <w:szCs w:val="16"/>
                <w:color w:val="auto"/>
              </w:rPr>
              <w:t>24.3 %</w:t>
            </w: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26.5 %</w:t>
            </w:r>
          </w:p>
        </w:tc>
      </w:tr>
      <w:tr>
        <w:trPr>
          <w:trHeight w:val="177"/>
        </w:trPr>
        <w:tc>
          <w:tcPr>
            <w:tcW w:w="5380" w:type="dxa"/>
            <w:vAlign w:val="bottom"/>
          </w:tcPr>
          <w:p>
            <w:pPr>
              <w:spacing w:after="0" w:line="178" w:lineRule="exact"/>
              <w:rPr>
                <w:sz w:val="20"/>
                <w:szCs w:val="20"/>
                <w:color w:val="auto"/>
              </w:rPr>
            </w:pPr>
            <w:r>
              <w:rPr>
                <w:rFonts w:ascii="Arial" w:cs="Arial" w:eastAsia="Arial" w:hAnsi="Arial"/>
                <w:sz w:val="16"/>
                <w:szCs w:val="16"/>
                <w:color w:val="auto"/>
              </w:rPr>
              <w:t>Provision for income taxes</w:t>
            </w:r>
          </w:p>
        </w:tc>
        <w:tc>
          <w:tcPr>
            <w:tcW w:w="8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51.3</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54.5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240"/>
              <w:spacing w:after="0" w:line="178" w:lineRule="exact"/>
              <w:rPr>
                <w:sz w:val="20"/>
                <w:szCs w:val="20"/>
                <w:color w:val="auto"/>
              </w:rPr>
            </w:pPr>
            <w:r>
              <w:rPr>
                <w:rFonts w:ascii="Arial" w:cs="Arial" w:eastAsia="Arial" w:hAnsi="Arial"/>
                <w:sz w:val="16"/>
                <w:szCs w:val="16"/>
                <w:color w:val="auto"/>
              </w:rPr>
              <w:t>-5.7 %</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9"/>
        </w:trPr>
        <w:tc>
          <w:tcPr>
            <w:tcW w:w="5380" w:type="dxa"/>
            <w:vAlign w:val="bottom"/>
            <w:tcBorders>
              <w:bottom w:val="single" w:sz="8" w:color="CFF0FC"/>
            </w:tcBorders>
            <w:shd w:val="clear" w:color="auto" w:fill="CFF0FC"/>
          </w:tcPr>
          <w:p>
            <w:pPr>
              <w:ind w:left="80"/>
              <w:spacing w:after="0" w:line="158" w:lineRule="exact"/>
              <w:rPr>
                <w:sz w:val="20"/>
                <w:szCs w:val="20"/>
                <w:color w:val="auto"/>
              </w:rPr>
            </w:pPr>
            <w:r>
              <w:rPr>
                <w:rFonts w:ascii="Arial" w:cs="Arial" w:eastAsia="Arial" w:hAnsi="Arial"/>
                <w:sz w:val="16"/>
                <w:szCs w:val="16"/>
                <w:color w:val="auto"/>
              </w:rPr>
              <w:t>Net earnings</w:t>
            </w:r>
          </w:p>
        </w:tc>
        <w:tc>
          <w:tcPr>
            <w:tcW w:w="800" w:type="dxa"/>
            <w:vAlign w:val="bottom"/>
            <w:tcBorders>
              <w:bottom w:val="single" w:sz="8" w:color="auto"/>
            </w:tcBorders>
            <w:shd w:val="clear" w:color="auto" w:fill="CFF0FC"/>
          </w:tcPr>
          <w:p>
            <w:pPr>
              <w:jc w:val="right"/>
              <w:ind w:right="646"/>
              <w:spacing w:after="0" w:line="158"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6"/>
                <w:szCs w:val="16"/>
                <w:color w:val="auto"/>
              </w:rPr>
              <w:t>111.1</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6"/>
                <w:szCs w:val="16"/>
                <w:color w:val="auto"/>
              </w:rPr>
              <w:t>76.2</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gridSpan w:val="2"/>
            <w:shd w:val="clear" w:color="auto" w:fill="CFF0FC"/>
          </w:tcPr>
          <w:p>
            <w:pPr>
              <w:jc w:val="right"/>
              <w:ind w:right="240"/>
              <w:spacing w:after="0" w:line="158" w:lineRule="exact"/>
              <w:rPr>
                <w:sz w:val="20"/>
                <w:szCs w:val="20"/>
                <w:color w:val="auto"/>
              </w:rPr>
            </w:pPr>
            <w:r>
              <w:rPr>
                <w:rFonts w:ascii="Arial" w:cs="Arial" w:eastAsia="Arial" w:hAnsi="Arial"/>
                <w:sz w:val="16"/>
                <w:szCs w:val="16"/>
                <w:color w:val="auto"/>
              </w:rPr>
              <w:t>45.7 %</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2"/>
            <w:shd w:val="clear" w:color="auto" w:fill="CFF0FC"/>
          </w:tcPr>
          <w:p>
            <w:pPr>
              <w:jc w:val="right"/>
              <w:ind w:right="100"/>
              <w:spacing w:after="0" w:line="158" w:lineRule="exact"/>
              <w:rPr>
                <w:sz w:val="20"/>
                <w:szCs w:val="20"/>
                <w:color w:val="auto"/>
              </w:rPr>
            </w:pPr>
            <w:r>
              <w:rPr>
                <w:rFonts w:ascii="Arial" w:cs="Arial" w:eastAsia="Arial" w:hAnsi="Arial"/>
                <w:sz w:val="16"/>
                <w:szCs w:val="16"/>
                <w:color w:val="auto"/>
              </w:rPr>
              <w:t>48.3 %</w:t>
            </w:r>
          </w:p>
        </w:tc>
      </w:tr>
      <w:tr>
        <w:trPr>
          <w:trHeight w:val="153"/>
        </w:trPr>
        <w:tc>
          <w:tcPr>
            <w:tcW w:w="5380" w:type="dxa"/>
            <w:vAlign w:val="bottom"/>
          </w:tcPr>
          <w:p>
            <w:pPr>
              <w:spacing w:after="0" w:line="153" w:lineRule="exact"/>
              <w:rPr>
                <w:sz w:val="20"/>
                <w:szCs w:val="20"/>
                <w:color w:val="auto"/>
              </w:rPr>
            </w:pPr>
            <w:r>
              <w:rPr>
                <w:rFonts w:ascii="Arial" w:cs="Arial" w:eastAsia="Arial" w:hAnsi="Arial"/>
                <w:sz w:val="16"/>
                <w:szCs w:val="16"/>
                <w:color w:val="auto"/>
              </w:rPr>
              <w:t>Net earnings per share - basic</w:t>
            </w:r>
          </w:p>
        </w:tc>
        <w:tc>
          <w:tcPr>
            <w:tcW w:w="800" w:type="dxa"/>
            <w:vAlign w:val="bottom"/>
          </w:tcPr>
          <w:p>
            <w:pPr>
              <w:jc w:val="right"/>
              <w:ind w:right="646"/>
              <w:spacing w:after="0" w:line="153" w:lineRule="exact"/>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53" w:lineRule="exact"/>
              <w:rPr>
                <w:sz w:val="20"/>
                <w:szCs w:val="20"/>
                <w:color w:val="auto"/>
              </w:rPr>
            </w:pPr>
            <w:r>
              <w:rPr>
                <w:rFonts w:ascii="Arial" w:cs="Arial" w:eastAsia="Arial" w:hAnsi="Arial"/>
                <w:sz w:val="16"/>
                <w:szCs w:val="16"/>
                <w:color w:val="auto"/>
              </w:rPr>
              <w:t>2.05</w:t>
            </w:r>
          </w:p>
        </w:tc>
        <w:tc>
          <w:tcPr>
            <w:tcW w:w="340" w:type="dxa"/>
            <w:vAlign w:val="bottom"/>
            <w:gridSpan w:val="2"/>
          </w:tcPr>
          <w:p>
            <w:pPr>
              <w:jc w:val="right"/>
              <w:spacing w:after="0" w:line="153"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53" w:lineRule="exact"/>
              <w:rPr>
                <w:sz w:val="20"/>
                <w:szCs w:val="20"/>
                <w:color w:val="auto"/>
              </w:rPr>
            </w:pPr>
            <w:r>
              <w:rPr>
                <w:rFonts w:ascii="Arial" w:cs="Arial" w:eastAsia="Arial" w:hAnsi="Arial"/>
                <w:sz w:val="16"/>
                <w:szCs w:val="16"/>
                <w:color w:val="auto"/>
              </w:rPr>
              <w:t>1.34</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right"/>
              <w:ind w:right="240"/>
              <w:spacing w:after="0" w:line="153" w:lineRule="exact"/>
              <w:rPr>
                <w:sz w:val="20"/>
                <w:szCs w:val="20"/>
                <w:color w:val="auto"/>
              </w:rPr>
            </w:pPr>
            <w:r>
              <w:rPr>
                <w:rFonts w:ascii="Arial" w:cs="Arial" w:eastAsia="Arial" w:hAnsi="Arial"/>
                <w:sz w:val="16"/>
                <w:szCs w:val="16"/>
                <w:color w:val="auto"/>
              </w:rPr>
              <w:t>53.0 %</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5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3"/>
        </w:trPr>
        <w:tc>
          <w:tcPr>
            <w:tcW w:w="5380" w:type="dxa"/>
            <w:vAlign w:val="bottom"/>
            <w:tcBorders>
              <w:bottom w:val="single" w:sz="8" w:color="CFF0FC"/>
            </w:tcBorders>
            <w:shd w:val="clear" w:color="auto" w:fill="CFF0FC"/>
          </w:tcPr>
          <w:p>
            <w:pPr>
              <w:spacing w:after="0" w:line="153" w:lineRule="exact"/>
              <w:rPr>
                <w:sz w:val="20"/>
                <w:szCs w:val="20"/>
                <w:color w:val="auto"/>
              </w:rPr>
            </w:pPr>
            <w:r>
              <w:rPr>
                <w:rFonts w:ascii="Arial" w:cs="Arial" w:eastAsia="Arial" w:hAnsi="Arial"/>
                <w:sz w:val="16"/>
                <w:szCs w:val="16"/>
                <w:color w:val="auto"/>
              </w:rPr>
              <w:t>Net earnings per share - diluted</w:t>
            </w:r>
          </w:p>
        </w:tc>
        <w:tc>
          <w:tcPr>
            <w:tcW w:w="800" w:type="dxa"/>
            <w:vAlign w:val="bottom"/>
            <w:tcBorders>
              <w:bottom w:val="single" w:sz="8" w:color="auto"/>
            </w:tcBorders>
            <w:shd w:val="clear" w:color="auto" w:fill="CFF0FC"/>
          </w:tcPr>
          <w:p>
            <w:pPr>
              <w:jc w:val="right"/>
              <w:ind w:right="646"/>
              <w:spacing w:after="0" w:line="153"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6"/>
                <w:szCs w:val="16"/>
                <w:color w:val="auto"/>
              </w:rPr>
              <w:t>2.02</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6"/>
                <w:szCs w:val="16"/>
                <w:color w:val="auto"/>
              </w:rPr>
              <w:t>1.33</w:t>
            </w: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gridSpan w:val="2"/>
            <w:shd w:val="clear" w:color="auto" w:fill="CFF0FC"/>
          </w:tcPr>
          <w:p>
            <w:pPr>
              <w:jc w:val="right"/>
              <w:ind w:right="240"/>
              <w:spacing w:after="0" w:line="153" w:lineRule="exact"/>
              <w:rPr>
                <w:sz w:val="20"/>
                <w:szCs w:val="20"/>
                <w:color w:val="auto"/>
              </w:rPr>
            </w:pPr>
            <w:r>
              <w:rPr>
                <w:rFonts w:ascii="Arial" w:cs="Arial" w:eastAsia="Arial" w:hAnsi="Arial"/>
                <w:sz w:val="16"/>
                <w:szCs w:val="16"/>
                <w:color w:val="auto"/>
              </w:rPr>
              <w:t>51.9 %</w:t>
            </w:r>
          </w:p>
        </w:tc>
        <w:tc>
          <w:tcPr>
            <w:tcW w:w="22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gridSpan w:val="2"/>
            <w:shd w:val="clear" w:color="auto" w:fill="CFF0FC"/>
          </w:tcPr>
          <w:p>
            <w:pPr>
              <w:jc w:val="right"/>
              <w:ind w:right="100"/>
              <w:spacing w:after="0" w:line="153" w:lineRule="exact"/>
              <w:rPr>
                <w:sz w:val="20"/>
                <w:szCs w:val="20"/>
                <w:color w:val="auto"/>
              </w:rPr>
            </w:pPr>
            <w:r>
              <w:rPr>
                <w:rFonts w:ascii="Arial" w:cs="Arial" w:eastAsia="Arial" w:hAnsi="Arial"/>
                <w:sz w:val="16"/>
                <w:szCs w:val="16"/>
                <w:color w:val="auto"/>
              </w:rPr>
              <w:t>54.9 %</w:t>
            </w:r>
          </w:p>
        </w:tc>
      </w:tr>
      <w:tr>
        <w:trPr>
          <w:trHeight w:val="153"/>
        </w:trPr>
        <w:tc>
          <w:tcPr>
            <w:tcW w:w="5380" w:type="dxa"/>
            <w:vAlign w:val="bottom"/>
          </w:tcPr>
          <w:p>
            <w:pPr>
              <w:spacing w:after="0" w:line="153" w:lineRule="exact"/>
              <w:rPr>
                <w:sz w:val="20"/>
                <w:szCs w:val="20"/>
                <w:color w:val="auto"/>
              </w:rPr>
            </w:pPr>
            <w:r>
              <w:rPr>
                <w:rFonts w:ascii="Arial" w:cs="Arial" w:eastAsia="Arial" w:hAnsi="Arial"/>
                <w:sz w:val="16"/>
                <w:szCs w:val="16"/>
                <w:color w:val="auto"/>
              </w:rPr>
              <w:t>Weighted average shares - basic</w:t>
            </w:r>
          </w:p>
        </w:tc>
        <w:tc>
          <w:tcPr>
            <w:tcW w:w="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color w:val="auto"/>
              </w:rPr>
              <w:t>54.2</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color w:val="auto"/>
              </w:rPr>
              <w:t>57.0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right"/>
              <w:ind w:right="240"/>
              <w:spacing w:after="0" w:line="153" w:lineRule="exact"/>
              <w:rPr>
                <w:sz w:val="20"/>
                <w:szCs w:val="20"/>
                <w:color w:val="auto"/>
              </w:rPr>
            </w:pPr>
            <w:r>
              <w:rPr>
                <w:rFonts w:ascii="Arial" w:cs="Arial" w:eastAsia="Arial" w:hAnsi="Arial"/>
                <w:sz w:val="16"/>
                <w:szCs w:val="16"/>
                <w:color w:val="auto"/>
              </w:rPr>
              <w:t>-4.9 %</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5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3"/>
        </w:trPr>
        <w:tc>
          <w:tcPr>
            <w:tcW w:w="5380" w:type="dxa"/>
            <w:vAlign w:val="bottom"/>
            <w:tcBorders>
              <w:bottom w:val="single" w:sz="8" w:color="CFF0FC"/>
            </w:tcBorders>
            <w:shd w:val="clear" w:color="auto" w:fill="CFF0FC"/>
          </w:tcPr>
          <w:p>
            <w:pPr>
              <w:spacing w:after="0" w:line="153" w:lineRule="exact"/>
              <w:rPr>
                <w:sz w:val="20"/>
                <w:szCs w:val="20"/>
                <w:color w:val="auto"/>
              </w:rPr>
            </w:pPr>
            <w:r>
              <w:rPr>
                <w:rFonts w:ascii="Arial" w:cs="Arial" w:eastAsia="Arial" w:hAnsi="Arial"/>
                <w:sz w:val="16"/>
                <w:szCs w:val="16"/>
                <w:color w:val="auto"/>
              </w:rPr>
              <w:t>Weighted average shares - diluted</w:t>
            </w:r>
          </w:p>
        </w:tc>
        <w:tc>
          <w:tcPr>
            <w:tcW w:w="80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6"/>
                <w:szCs w:val="16"/>
                <w:color w:val="auto"/>
              </w:rPr>
              <w:t>55.0</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6"/>
                <w:szCs w:val="16"/>
                <w:color w:val="auto"/>
              </w:rPr>
              <w:t>57.4</w:t>
            </w: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gridSpan w:val="2"/>
            <w:shd w:val="clear" w:color="auto" w:fill="CFF0FC"/>
          </w:tcPr>
          <w:p>
            <w:pPr>
              <w:jc w:val="right"/>
              <w:ind w:right="240"/>
              <w:spacing w:after="0" w:line="153" w:lineRule="exact"/>
              <w:rPr>
                <w:sz w:val="20"/>
                <w:szCs w:val="20"/>
                <w:color w:val="auto"/>
              </w:rPr>
            </w:pPr>
            <w:r>
              <w:rPr>
                <w:rFonts w:ascii="Arial" w:cs="Arial" w:eastAsia="Arial" w:hAnsi="Arial"/>
                <w:sz w:val="16"/>
                <w:szCs w:val="16"/>
                <w:color w:val="auto"/>
              </w:rPr>
              <w:t>-4.2 %</w:t>
            </w:r>
          </w:p>
        </w:tc>
        <w:tc>
          <w:tcPr>
            <w:tcW w:w="22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-1273810</wp:posOffset>
            </wp:positionV>
            <wp:extent cx="7810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105" cy="145415"/>
                    </a:xfrm>
                    <a:prstGeom prst="rect">
                      <a:avLst/>
                    </a:prstGeom>
                    <a:noFill/>
                  </pic:spPr>
                </pic:pic>
              </a:graphicData>
            </a:graphic>
          </wp:anchor>
        </w:drawing>
        <w:drawing>
          <wp:anchor simplePos="0" relativeHeight="251657728" behindDoc="1" locked="0" layoutInCell="0" allowOverlap="1">
            <wp:simplePos x="0" y="0"/>
            <wp:positionH relativeFrom="column">
              <wp:posOffset>5184140</wp:posOffset>
            </wp:positionH>
            <wp:positionV relativeFrom="paragraph">
              <wp:posOffset>-1273810</wp:posOffset>
            </wp:positionV>
            <wp:extent cx="7048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485" cy="145415"/>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-562610</wp:posOffset>
            </wp:positionV>
            <wp:extent cx="527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-547370</wp:posOffset>
            </wp:positionV>
            <wp:extent cx="5270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-562610</wp:posOffset>
            </wp:positionV>
            <wp:extent cx="4508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-547370</wp:posOffset>
            </wp:positionV>
            <wp:extent cx="4508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-292100</wp:posOffset>
            </wp:positionV>
            <wp:extent cx="5270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-277495</wp:posOffset>
            </wp:positionV>
            <wp:extent cx="5270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-292100</wp:posOffset>
            </wp:positionV>
            <wp:extent cx="4508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-277495</wp:posOffset>
            </wp:positionV>
            <wp:extent cx="4508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-21590</wp:posOffset>
            </wp:positionV>
            <wp:extent cx="5270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-6985</wp:posOffset>
            </wp:positionV>
            <wp:extent cx="5270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-21590</wp:posOffset>
            </wp:positionV>
            <wp:extent cx="4508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-6985</wp:posOffset>
            </wp:positionV>
            <wp:extent cx="4508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145" w:lineRule="exact"/>
        <w:rPr>
          <w:sz w:val="20"/>
          <w:szCs w:val="20"/>
          <w:color w:val="auto"/>
        </w:rPr>
      </w:pPr>
    </w:p>
    <w:p>
      <w:pPr>
        <w:jc w:val="both"/>
        <w:ind w:left="505" w:right="20" w:hanging="505"/>
        <w:spacing w:after="0" w:line="242" w:lineRule="auto"/>
        <w:tabs>
          <w:tab w:leader="none" w:pos="505"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$4.3 million and $4.2 million for the three months ended December 31, 2021 and 2020, respectively. These fees are primarily based on revenues generated by the franchise offices, which were $361.0 million and $175.5 million for the three months ended December 31,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513080</wp:posOffset>
            </wp:positionV>
            <wp:extent cx="71748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40" w:right="319" w:bottom="1440" w:gutter="0" w:footer="0" w:header="0"/>
        </w:sectPr>
      </w:pPr>
    </w:p>
    <w:bookmarkStart w:id="7" w:name="page8"/>
    <w:bookmarkEnd w:id="7"/>
    <w:p>
      <w:pPr>
        <w:ind w:left="5086"/>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906"/>
        <w:spacing w:after="0"/>
        <w:rPr>
          <w:sz w:val="20"/>
          <w:szCs w:val="20"/>
          <w:color w:val="auto"/>
        </w:rPr>
      </w:pPr>
      <w:r>
        <w:rPr>
          <w:rFonts w:ascii="Arial" w:cs="Arial" w:eastAsia="Arial" w:hAnsi="Arial"/>
          <w:sz w:val="16"/>
          <w:szCs w:val="16"/>
          <w:color w:val="auto"/>
        </w:rPr>
        <w:t>Operating Unit Results</w:t>
      </w:r>
    </w:p>
    <w:p>
      <w:pPr>
        <w:spacing w:after="0" w:line="1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(In millions)</w:t>
      </w:r>
    </w:p>
    <w:p>
      <w:pPr>
        <w:spacing w:after="0" w:line="167" w:lineRule="exact"/>
        <w:rPr>
          <w:sz w:val="20"/>
          <w:szCs w:val="20"/>
          <w:color w:val="auto"/>
        </w:rPr>
      </w:pPr>
    </w:p>
    <w:tbl>
      <w:tblPr>
        <w:tblLayout w:type="fixed"/>
        <w:tblInd w:w="6" w:type="dxa"/>
        <w:tblCellMar>
          <w:top w:w="0" w:type="dxa"/>
          <w:left w:w="0" w:type="dxa"/>
          <w:bottom w:w="0" w:type="dxa"/>
          <w:right w:w="0" w:type="dxa"/>
        </w:tblCellMar>
      </w:tblPr>
      <w:tr>
        <w:trPr>
          <w:trHeight w:val="194"/>
        </w:trPr>
        <w:tc>
          <w:tcPr>
            <w:tcW w:w="5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right="720"/>
              <w:spacing w:after="0"/>
              <w:rPr>
                <w:sz w:val="20"/>
                <w:szCs w:val="20"/>
                <w:color w:val="auto"/>
              </w:rPr>
            </w:pPr>
            <w:r>
              <w:rPr>
                <w:rFonts w:ascii="Arial" w:cs="Arial" w:eastAsia="Arial" w:hAnsi="Arial"/>
                <w:sz w:val="16"/>
                <w:szCs w:val="16"/>
                <w:b w:val="1"/>
                <w:bCs w:val="1"/>
                <w:color w:val="auto"/>
                <w:w w:val="89"/>
              </w:rPr>
              <w:t>Three Months Ended December 31</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700"/>
              <w:spacing w:after="0" w:line="169" w:lineRule="exact"/>
              <w:rPr>
                <w:sz w:val="20"/>
                <w:szCs w:val="20"/>
                <w:color w:val="auto"/>
              </w:rPr>
            </w:pPr>
            <w:r>
              <w:rPr>
                <w:rFonts w:ascii="Arial" w:cs="Arial" w:eastAsia="Arial" w:hAnsi="Arial"/>
                <w:sz w:val="16"/>
                <w:szCs w:val="16"/>
                <w:b w:val="1"/>
                <w:bCs w:val="1"/>
                <w:color w:val="auto"/>
                <w:w w:val="93"/>
              </w:rPr>
              <w:t>% Variance</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3"/>
        </w:trPr>
        <w:tc>
          <w:tcPr>
            <w:tcW w:w="5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3"/>
          </w:tcPr>
          <w:p>
            <w:pPr>
              <w:jc w:val="center"/>
              <w:ind w:right="820"/>
              <w:spacing w:after="0" w:line="153" w:lineRule="exact"/>
              <w:rPr>
                <w:sz w:val="20"/>
                <w:szCs w:val="20"/>
                <w:color w:val="auto"/>
              </w:rPr>
            </w:pPr>
            <w:r>
              <w:rPr>
                <w:rFonts w:ascii="Arial" w:cs="Arial" w:eastAsia="Arial" w:hAnsi="Arial"/>
                <w:sz w:val="16"/>
                <w:szCs w:val="16"/>
                <w:b w:val="1"/>
                <w:bCs w:val="1"/>
                <w:color w:val="auto"/>
                <w:w w:val="89"/>
              </w:rPr>
              <w:t>Amount</w:t>
            </w:r>
          </w:p>
        </w:tc>
        <w:tc>
          <w:tcPr>
            <w:tcW w:w="900" w:type="dxa"/>
            <w:vAlign w:val="bottom"/>
          </w:tcPr>
          <w:p>
            <w:pPr>
              <w:ind w:left="20"/>
              <w:spacing w:after="0" w:line="153" w:lineRule="exact"/>
              <w:rPr>
                <w:sz w:val="20"/>
                <w:szCs w:val="20"/>
                <w:color w:val="auto"/>
              </w:rPr>
            </w:pPr>
            <w:r>
              <w:rPr>
                <w:rFonts w:ascii="Arial" w:cs="Arial" w:eastAsia="Arial" w:hAnsi="Arial"/>
                <w:sz w:val="16"/>
                <w:szCs w:val="16"/>
                <w:b w:val="1"/>
                <w:bCs w:val="1"/>
                <w:color w:val="auto"/>
              </w:rPr>
              <w:t>Constant</w:t>
            </w:r>
          </w:p>
        </w:tc>
        <w:tc>
          <w:tcPr>
            <w:tcW w:w="240" w:type="dxa"/>
            <w:vAlign w:val="bottom"/>
          </w:tcPr>
          <w:p>
            <w:pPr>
              <w:spacing w:after="0"/>
              <w:rPr>
                <w:sz w:val="13"/>
                <w:szCs w:val="13"/>
                <w:color w:val="auto"/>
              </w:rPr>
            </w:pPr>
          </w:p>
        </w:tc>
      </w:tr>
      <w:tr>
        <w:trPr>
          <w:trHeight w:val="194"/>
        </w:trPr>
        <w:tc>
          <w:tcPr>
            <w:tcW w:w="5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88"/>
              </w:rPr>
              <w:t>Reported</w:t>
            </w:r>
          </w:p>
        </w:tc>
        <w:tc>
          <w:tcPr>
            <w:tcW w:w="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Currency</w:t>
            </w:r>
          </w:p>
        </w:tc>
        <w:tc>
          <w:tcPr>
            <w:tcW w:w="240" w:type="dxa"/>
            <w:vAlign w:val="bottom"/>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center"/>
              <w:ind w:left="721"/>
              <w:spacing w:after="0" w:line="169" w:lineRule="exact"/>
              <w:rPr>
                <w:sz w:val="20"/>
                <w:szCs w:val="20"/>
                <w:color w:val="auto"/>
              </w:rPr>
            </w:pPr>
            <w:r>
              <w:rPr>
                <w:rFonts w:ascii="Arial" w:cs="Arial" w:eastAsia="Arial" w:hAnsi="Arial"/>
                <w:sz w:val="16"/>
                <w:szCs w:val="16"/>
                <w:color w:val="auto"/>
                <w:w w:val="90"/>
              </w:rPr>
              <w:t>(Unaudited)</w:t>
            </w: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7"/>
        </w:trPr>
        <w:tc>
          <w:tcPr>
            <w:tcW w:w="538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Revenues from Services:</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77"/>
        </w:trPr>
        <w:tc>
          <w:tcPr>
            <w:tcW w:w="5380" w:type="dxa"/>
            <w:vAlign w:val="bottom"/>
          </w:tcPr>
          <w:p>
            <w:pPr>
              <w:ind w:left="160"/>
              <w:spacing w:after="0" w:line="178" w:lineRule="exact"/>
              <w:rPr>
                <w:sz w:val="20"/>
                <w:szCs w:val="20"/>
                <w:color w:val="auto"/>
              </w:rPr>
            </w:pPr>
            <w:r>
              <w:rPr>
                <w:rFonts w:ascii="Arial" w:cs="Arial" w:eastAsia="Arial" w:hAnsi="Arial"/>
                <w:sz w:val="16"/>
                <w:szCs w:val="16"/>
                <w:color w:val="auto"/>
              </w:rPr>
              <w:t>Americas: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7"/>
        </w:trPr>
        <w:tc>
          <w:tcPr>
            <w:tcW w:w="5380" w:type="dxa"/>
            <w:vAlign w:val="bottom"/>
            <w:shd w:val="clear" w:color="auto" w:fill="CFF0FC"/>
          </w:tcPr>
          <w:p>
            <w:pPr>
              <w:ind w:left="320"/>
              <w:spacing w:after="0" w:line="178" w:lineRule="exact"/>
              <w:rPr>
                <w:sz w:val="20"/>
                <w:szCs w:val="20"/>
                <w:color w:val="auto"/>
              </w:rPr>
            </w:pPr>
            <w:r>
              <w:rPr>
                <w:rFonts w:ascii="Arial" w:cs="Arial" w:eastAsia="Arial" w:hAnsi="Arial"/>
                <w:sz w:val="16"/>
                <w:szCs w:val="16"/>
                <w:color w:val="auto"/>
              </w:rPr>
              <w:t>United States (a)</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860.8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621.6</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line="178" w:lineRule="exact"/>
              <w:rPr>
                <w:sz w:val="20"/>
                <w:szCs w:val="20"/>
                <w:color w:val="auto"/>
              </w:rPr>
            </w:pPr>
            <w:r>
              <w:rPr>
                <w:rFonts w:ascii="Arial" w:cs="Arial" w:eastAsia="Arial" w:hAnsi="Arial"/>
                <w:sz w:val="16"/>
                <w:szCs w:val="16"/>
                <w:color w:val="auto"/>
              </w:rPr>
              <w:t>38.5 %</w:t>
            </w: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38.5 %</w:t>
            </w:r>
          </w:p>
        </w:tc>
      </w:tr>
      <w:tr>
        <w:trPr>
          <w:trHeight w:val="177"/>
        </w:trPr>
        <w:tc>
          <w:tcPr>
            <w:tcW w:w="5380" w:type="dxa"/>
            <w:vAlign w:val="bottom"/>
          </w:tcPr>
          <w:p>
            <w:pPr>
              <w:ind w:left="320"/>
              <w:spacing w:after="0" w:line="178" w:lineRule="exact"/>
              <w:rPr>
                <w:sz w:val="20"/>
                <w:szCs w:val="20"/>
                <w:color w:val="auto"/>
              </w:rPr>
            </w:pPr>
            <w:r>
              <w:rPr>
                <w:rFonts w:ascii="Arial" w:cs="Arial" w:eastAsia="Arial" w:hAnsi="Arial"/>
                <w:sz w:val="16"/>
                <w:szCs w:val="16"/>
                <w:color w:val="auto"/>
              </w:rPr>
              <w:t>Other Americas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358.1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394.1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240"/>
              <w:spacing w:after="0" w:line="178" w:lineRule="exact"/>
              <w:rPr>
                <w:sz w:val="20"/>
                <w:szCs w:val="20"/>
                <w:color w:val="auto"/>
              </w:rPr>
            </w:pPr>
            <w:r>
              <w:rPr>
                <w:rFonts w:ascii="Arial" w:cs="Arial" w:eastAsia="Arial" w:hAnsi="Arial"/>
                <w:sz w:val="16"/>
                <w:szCs w:val="16"/>
                <w:color w:val="auto"/>
              </w:rPr>
              <w:t>-9.2 %</w:t>
            </w:r>
          </w:p>
        </w:tc>
        <w:tc>
          <w:tcPr>
            <w:tcW w:w="220" w:type="dxa"/>
            <w:vAlign w:val="bottom"/>
          </w:tcPr>
          <w:p>
            <w:pPr>
              <w:spacing w:after="0"/>
              <w:rPr>
                <w:sz w:val="15"/>
                <w:szCs w:val="15"/>
                <w:color w:val="auto"/>
              </w:rPr>
            </w:pPr>
          </w:p>
        </w:tc>
        <w:tc>
          <w:tcPr>
            <w:tcW w:w="11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-5.0 %</w:t>
            </w:r>
          </w:p>
        </w:tc>
      </w:tr>
      <w:tr>
        <w:trPr>
          <w:trHeight w:val="169"/>
        </w:trPr>
        <w:tc>
          <w:tcPr>
            <w:tcW w:w="53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1,218.9</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1,015.7</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300" w:type="dxa"/>
            <w:vAlign w:val="bottom"/>
            <w:tcBorders>
              <w:bottom w:val="single" w:sz="8" w:color="CFF0FC"/>
            </w:tcBorders>
            <w:gridSpan w:val="2"/>
            <w:shd w:val="clear" w:color="auto" w:fill="CFF0FC"/>
          </w:tcPr>
          <w:p>
            <w:pPr>
              <w:jc w:val="right"/>
              <w:ind w:right="240"/>
              <w:spacing w:after="0" w:line="169" w:lineRule="exact"/>
              <w:rPr>
                <w:sz w:val="20"/>
                <w:szCs w:val="20"/>
                <w:color w:val="auto"/>
              </w:rPr>
            </w:pPr>
            <w:r>
              <w:rPr>
                <w:rFonts w:ascii="Arial" w:cs="Arial" w:eastAsia="Arial" w:hAnsi="Arial"/>
                <w:sz w:val="16"/>
                <w:szCs w:val="16"/>
                <w:color w:val="auto"/>
              </w:rPr>
              <w:t>20.0 %</w:t>
            </w:r>
          </w:p>
        </w:tc>
        <w:tc>
          <w:tcPr>
            <w:tcW w:w="2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21.6 %</w:t>
            </w:r>
          </w:p>
        </w:tc>
      </w:tr>
      <w:tr>
        <w:trPr>
          <w:trHeight w:val="169"/>
        </w:trPr>
        <w:tc>
          <w:tcPr>
            <w:tcW w:w="5380" w:type="dxa"/>
            <w:vAlign w:val="bottom"/>
          </w:tcPr>
          <w:p>
            <w:pPr>
              <w:ind w:left="160"/>
              <w:spacing w:after="0" w:line="169" w:lineRule="exact"/>
              <w:rPr>
                <w:sz w:val="20"/>
                <w:szCs w:val="20"/>
                <w:color w:val="auto"/>
              </w:rPr>
            </w:pPr>
            <w:r>
              <w:rPr>
                <w:rFonts w:ascii="Arial" w:cs="Arial" w:eastAsia="Arial" w:hAnsi="Arial"/>
                <w:sz w:val="16"/>
                <w:szCs w:val="16"/>
                <w:color w:val="auto"/>
              </w:rPr>
              <w:t>Southern Europe:</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7"/>
        </w:trPr>
        <w:tc>
          <w:tcPr>
            <w:tcW w:w="5380" w:type="dxa"/>
            <w:vAlign w:val="bottom"/>
            <w:shd w:val="clear" w:color="auto" w:fill="CFF0FC"/>
          </w:tcPr>
          <w:p>
            <w:pPr>
              <w:ind w:left="320"/>
              <w:spacing w:after="0" w:line="178" w:lineRule="exact"/>
              <w:rPr>
                <w:sz w:val="20"/>
                <w:szCs w:val="20"/>
                <w:color w:val="auto"/>
              </w:rPr>
            </w:pPr>
            <w:r>
              <w:rPr>
                <w:rFonts w:ascii="Arial" w:cs="Arial" w:eastAsia="Arial" w:hAnsi="Arial"/>
                <w:sz w:val="16"/>
                <w:szCs w:val="16"/>
                <w:color w:val="auto"/>
              </w:rPr>
              <w:t>France</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1,318.6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1,303.0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line="178" w:lineRule="exact"/>
              <w:rPr>
                <w:sz w:val="20"/>
                <w:szCs w:val="20"/>
                <w:color w:val="auto"/>
              </w:rPr>
            </w:pPr>
            <w:r>
              <w:rPr>
                <w:rFonts w:ascii="Arial" w:cs="Arial" w:eastAsia="Arial" w:hAnsi="Arial"/>
                <w:sz w:val="16"/>
                <w:szCs w:val="16"/>
                <w:color w:val="auto"/>
              </w:rPr>
              <w:t>1.2 %</w:t>
            </w: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5.5 %</w:t>
            </w:r>
          </w:p>
        </w:tc>
      </w:tr>
      <w:tr>
        <w:trPr>
          <w:trHeight w:val="177"/>
        </w:trPr>
        <w:tc>
          <w:tcPr>
            <w:tcW w:w="5380" w:type="dxa"/>
            <w:vAlign w:val="bottom"/>
          </w:tcPr>
          <w:p>
            <w:pPr>
              <w:ind w:left="320"/>
              <w:spacing w:after="0" w:line="178" w:lineRule="exact"/>
              <w:rPr>
                <w:sz w:val="20"/>
                <w:szCs w:val="20"/>
                <w:color w:val="auto"/>
              </w:rPr>
            </w:pPr>
            <w:r>
              <w:rPr>
                <w:rFonts w:ascii="Arial" w:cs="Arial" w:eastAsia="Arial" w:hAnsi="Arial"/>
                <w:sz w:val="16"/>
                <w:szCs w:val="16"/>
                <w:color w:val="auto"/>
              </w:rPr>
              <w:t>Italy</w:t>
            </w:r>
          </w:p>
        </w:tc>
        <w:tc>
          <w:tcPr>
            <w:tcW w:w="280" w:type="dxa"/>
            <w:vAlign w:val="bottom"/>
          </w:tcPr>
          <w:p>
            <w:pPr>
              <w:spacing w:after="0"/>
              <w:rPr>
                <w:sz w:val="15"/>
                <w:szCs w:val="15"/>
                <w:color w:val="auto"/>
              </w:rPr>
            </w:pPr>
          </w:p>
        </w:tc>
        <w:tc>
          <w:tcPr>
            <w:tcW w:w="980" w:type="dxa"/>
            <w:vAlign w:val="bottom"/>
          </w:tcPr>
          <w:p>
            <w:pPr>
              <w:jc w:val="right"/>
              <w:spacing w:after="0" w:line="178" w:lineRule="exact"/>
              <w:rPr>
                <w:sz w:val="20"/>
                <w:szCs w:val="20"/>
                <w:color w:val="auto"/>
              </w:rPr>
            </w:pPr>
            <w:r>
              <w:rPr>
                <w:rFonts w:ascii="Arial" w:cs="Arial" w:eastAsia="Arial" w:hAnsi="Arial"/>
                <w:sz w:val="16"/>
                <w:szCs w:val="16"/>
                <w:color w:val="auto"/>
              </w:rPr>
              <w:t>467.1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78" w:lineRule="exact"/>
              <w:rPr>
                <w:sz w:val="20"/>
                <w:szCs w:val="20"/>
                <w:color w:val="auto"/>
              </w:rPr>
            </w:pPr>
            <w:r>
              <w:rPr>
                <w:rFonts w:ascii="Arial" w:cs="Arial" w:eastAsia="Arial" w:hAnsi="Arial"/>
                <w:sz w:val="16"/>
                <w:szCs w:val="16"/>
                <w:color w:val="auto"/>
              </w:rPr>
              <w:t>423.3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240"/>
              <w:spacing w:after="0" w:line="178" w:lineRule="exact"/>
              <w:rPr>
                <w:sz w:val="20"/>
                <w:szCs w:val="20"/>
                <w:color w:val="auto"/>
              </w:rPr>
            </w:pPr>
            <w:r>
              <w:rPr>
                <w:rFonts w:ascii="Arial" w:cs="Arial" w:eastAsia="Arial" w:hAnsi="Arial"/>
                <w:sz w:val="16"/>
                <w:szCs w:val="16"/>
                <w:color w:val="auto"/>
              </w:rPr>
              <w:t>10.3 %</w:t>
            </w:r>
          </w:p>
        </w:tc>
        <w:tc>
          <w:tcPr>
            <w:tcW w:w="220" w:type="dxa"/>
            <w:vAlign w:val="bottom"/>
          </w:tcPr>
          <w:p>
            <w:pPr>
              <w:spacing w:after="0"/>
              <w:rPr>
                <w:sz w:val="15"/>
                <w:szCs w:val="15"/>
                <w:color w:val="auto"/>
              </w:rPr>
            </w:pPr>
          </w:p>
        </w:tc>
        <w:tc>
          <w:tcPr>
            <w:tcW w:w="11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15.2 %</w:t>
            </w:r>
          </w:p>
        </w:tc>
      </w:tr>
      <w:tr>
        <w:trPr>
          <w:trHeight w:val="177"/>
        </w:trPr>
        <w:tc>
          <w:tcPr>
            <w:tcW w:w="5380" w:type="dxa"/>
            <w:vAlign w:val="bottom"/>
            <w:tcBorders>
              <w:bottom w:val="single" w:sz="8" w:color="CFF0FC"/>
            </w:tcBorders>
            <w:shd w:val="clear" w:color="auto" w:fill="CFF0FC"/>
          </w:tcPr>
          <w:p>
            <w:pPr>
              <w:ind w:left="320"/>
              <w:spacing w:after="0" w:line="178" w:lineRule="exact"/>
              <w:rPr>
                <w:sz w:val="20"/>
                <w:szCs w:val="20"/>
                <w:color w:val="auto"/>
              </w:rPr>
            </w:pPr>
            <w:r>
              <w:rPr>
                <w:rFonts w:ascii="Arial" w:cs="Arial" w:eastAsia="Arial" w:hAnsi="Arial"/>
                <w:sz w:val="16"/>
                <w:szCs w:val="16"/>
                <w:color w:val="auto"/>
              </w:rPr>
              <w:t>Other Southern Europe</w:t>
            </w:r>
          </w:p>
        </w:tc>
        <w:tc>
          <w:tcPr>
            <w:tcW w:w="2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595.8</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601.0</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gridSpan w:val="2"/>
            <w:shd w:val="clear" w:color="auto" w:fill="CFF0FC"/>
          </w:tcPr>
          <w:p>
            <w:pPr>
              <w:jc w:val="right"/>
              <w:ind w:right="240"/>
              <w:spacing w:after="0" w:line="178" w:lineRule="exact"/>
              <w:rPr>
                <w:sz w:val="20"/>
                <w:szCs w:val="20"/>
                <w:color w:val="auto"/>
              </w:rPr>
            </w:pPr>
            <w:r>
              <w:rPr>
                <w:rFonts w:ascii="Arial" w:cs="Arial" w:eastAsia="Arial" w:hAnsi="Arial"/>
                <w:sz w:val="16"/>
                <w:szCs w:val="16"/>
                <w:color w:val="auto"/>
              </w:rPr>
              <w:t>-0.8 %</w:t>
            </w:r>
          </w:p>
        </w:tc>
        <w:tc>
          <w:tcPr>
            <w:tcW w:w="22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1.3 %</w:t>
            </w:r>
          </w:p>
        </w:tc>
      </w:tr>
      <w:tr>
        <w:trPr>
          <w:trHeight w:val="169"/>
        </w:trPr>
        <w:tc>
          <w:tcPr>
            <w:tcW w:w="5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2,381.5</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2,327.3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40"/>
              <w:spacing w:after="0" w:line="169" w:lineRule="exact"/>
              <w:rPr>
                <w:sz w:val="20"/>
                <w:szCs w:val="20"/>
                <w:color w:val="auto"/>
              </w:rPr>
            </w:pPr>
            <w:r>
              <w:rPr>
                <w:rFonts w:ascii="Arial" w:cs="Arial" w:eastAsia="Arial" w:hAnsi="Arial"/>
                <w:sz w:val="16"/>
                <w:szCs w:val="16"/>
                <w:color w:val="auto"/>
              </w:rPr>
              <w:t>2.3 %</w:t>
            </w:r>
          </w:p>
        </w:tc>
        <w:tc>
          <w:tcPr>
            <w:tcW w:w="220" w:type="dxa"/>
            <w:vAlign w:val="bottom"/>
          </w:tcPr>
          <w:p>
            <w:pPr>
              <w:spacing w:after="0"/>
              <w:rPr>
                <w:sz w:val="14"/>
                <w:szCs w:val="14"/>
                <w:color w:val="auto"/>
              </w:rPr>
            </w:pPr>
          </w:p>
        </w:tc>
        <w:tc>
          <w:tcPr>
            <w:tcW w:w="114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6.2 %</w:t>
            </w:r>
          </w:p>
        </w:tc>
      </w:tr>
      <w:tr>
        <w:trPr>
          <w:trHeight w:val="169"/>
        </w:trPr>
        <w:tc>
          <w:tcPr>
            <w:tcW w:w="5380" w:type="dxa"/>
            <w:vAlign w:val="bottom"/>
            <w:shd w:val="clear" w:color="auto" w:fill="CFF0FC"/>
          </w:tcPr>
          <w:p>
            <w:pPr>
              <w:ind w:left="160"/>
              <w:spacing w:after="0" w:line="169" w:lineRule="exact"/>
              <w:rPr>
                <w:sz w:val="20"/>
                <w:szCs w:val="20"/>
                <w:color w:val="auto"/>
              </w:rPr>
            </w:pPr>
            <w:r>
              <w:rPr>
                <w:rFonts w:ascii="Arial" w:cs="Arial" w:eastAsia="Arial" w:hAnsi="Arial"/>
                <w:sz w:val="16"/>
                <w:szCs w:val="16"/>
                <w:color w:val="auto"/>
              </w:rPr>
              <w:t>Northern Europe</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1,179.6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1,094.8</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6"/>
                <w:szCs w:val="16"/>
                <w:color w:val="auto"/>
              </w:rPr>
              <w:t>7.7 %</w:t>
            </w: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8.6 %</w:t>
            </w:r>
          </w:p>
        </w:tc>
      </w:tr>
      <w:tr>
        <w:trPr>
          <w:trHeight w:val="177"/>
        </w:trPr>
        <w:tc>
          <w:tcPr>
            <w:tcW w:w="5380" w:type="dxa"/>
            <w:vAlign w:val="bottom"/>
          </w:tcPr>
          <w:p>
            <w:pPr>
              <w:ind w:left="160"/>
              <w:spacing w:after="0" w:line="178" w:lineRule="exact"/>
              <w:rPr>
                <w:sz w:val="20"/>
                <w:szCs w:val="20"/>
                <w:color w:val="auto"/>
              </w:rPr>
            </w:pPr>
            <w:r>
              <w:rPr>
                <w:rFonts w:ascii="Arial" w:cs="Arial" w:eastAsia="Arial" w:hAnsi="Arial"/>
                <w:sz w:val="16"/>
                <w:szCs w:val="16"/>
                <w:color w:val="auto"/>
              </w:rPr>
              <w:t>APME</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622.6</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617.1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240"/>
              <w:spacing w:after="0" w:line="178" w:lineRule="exact"/>
              <w:rPr>
                <w:sz w:val="20"/>
                <w:szCs w:val="20"/>
                <w:color w:val="auto"/>
              </w:rPr>
            </w:pPr>
            <w:r>
              <w:rPr>
                <w:rFonts w:ascii="Arial" w:cs="Arial" w:eastAsia="Arial" w:hAnsi="Arial"/>
                <w:sz w:val="16"/>
                <w:szCs w:val="16"/>
                <w:color w:val="auto"/>
              </w:rPr>
              <w:t>0.9 %</w:t>
            </w:r>
          </w:p>
        </w:tc>
        <w:tc>
          <w:tcPr>
            <w:tcW w:w="220" w:type="dxa"/>
            <w:vAlign w:val="bottom"/>
          </w:tcPr>
          <w:p>
            <w:pPr>
              <w:spacing w:after="0"/>
              <w:rPr>
                <w:sz w:val="15"/>
                <w:szCs w:val="15"/>
                <w:color w:val="auto"/>
              </w:rPr>
            </w:pPr>
          </w:p>
        </w:tc>
        <w:tc>
          <w:tcPr>
            <w:tcW w:w="11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6.9 %</w:t>
            </w:r>
          </w:p>
        </w:tc>
      </w:tr>
      <w:tr>
        <w:trPr>
          <w:trHeight w:val="169"/>
        </w:trPr>
        <w:tc>
          <w:tcPr>
            <w:tcW w:w="53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5,402.6</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5,054.9</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r>
      <w:tr>
        <w:trPr>
          <w:trHeight w:val="169"/>
        </w:trPr>
        <w:tc>
          <w:tcPr>
            <w:tcW w:w="5380" w:type="dxa"/>
            <w:vAlign w:val="bottom"/>
          </w:tcPr>
          <w:p>
            <w:pPr>
              <w:ind w:left="160"/>
              <w:spacing w:after="0" w:line="169" w:lineRule="exact"/>
              <w:rPr>
                <w:sz w:val="20"/>
                <w:szCs w:val="20"/>
                <w:color w:val="auto"/>
              </w:rPr>
            </w:pPr>
            <w:r>
              <w:rPr>
                <w:rFonts w:ascii="Arial" w:cs="Arial" w:eastAsia="Arial" w:hAnsi="Arial"/>
                <w:sz w:val="16"/>
                <w:szCs w:val="16"/>
                <w:color w:val="auto"/>
              </w:rPr>
              <w:t>Intercompany Eliminations</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line="169" w:lineRule="exact"/>
              <w:rPr>
                <w:sz w:val="20"/>
                <w:szCs w:val="20"/>
                <w:color w:val="auto"/>
              </w:rPr>
            </w:pPr>
            <w:r>
              <w:rPr>
                <w:rFonts w:ascii="Arial" w:cs="Arial" w:eastAsia="Arial" w:hAnsi="Arial"/>
                <w:sz w:val="16"/>
                <w:szCs w:val="16"/>
                <w:color w:val="auto"/>
              </w:rPr>
              <w:t>(20.3 )</w:t>
            </w:r>
          </w:p>
        </w:tc>
        <w:tc>
          <w:tcPr>
            <w:tcW w:w="120" w:type="dxa"/>
            <w:vAlign w:val="bottom"/>
          </w:tcPr>
          <w:p>
            <w:pPr>
              <w:spacing w:after="0"/>
              <w:rPr>
                <w:sz w:val="14"/>
                <w:szCs w:val="14"/>
                <w:color w:val="auto"/>
              </w:rPr>
            </w:pPr>
          </w:p>
        </w:tc>
        <w:tc>
          <w:tcPr>
            <w:tcW w:w="1600" w:type="dxa"/>
            <w:vAlign w:val="bottom"/>
            <w:gridSpan w:val="3"/>
          </w:tcPr>
          <w:p>
            <w:pPr>
              <w:jc w:val="right"/>
              <w:ind w:right="460"/>
              <w:spacing w:after="0" w:line="169" w:lineRule="exact"/>
              <w:rPr>
                <w:sz w:val="20"/>
                <w:szCs w:val="20"/>
                <w:color w:val="auto"/>
              </w:rPr>
            </w:pPr>
            <w:r>
              <w:rPr>
                <w:rFonts w:ascii="Arial" w:cs="Arial" w:eastAsia="Arial" w:hAnsi="Arial"/>
                <w:sz w:val="16"/>
                <w:szCs w:val="16"/>
                <w:color w:val="auto"/>
              </w:rPr>
              <w:t>—</w:t>
            </w: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9"/>
        </w:trPr>
        <w:tc>
          <w:tcPr>
            <w:tcW w:w="53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5,382.3</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5,054.9</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300" w:type="dxa"/>
            <w:vAlign w:val="bottom"/>
            <w:tcBorders>
              <w:bottom w:val="single" w:sz="8" w:color="CFF0FC"/>
            </w:tcBorders>
            <w:gridSpan w:val="2"/>
            <w:shd w:val="clear" w:color="auto" w:fill="CFF0FC"/>
          </w:tcPr>
          <w:p>
            <w:pPr>
              <w:jc w:val="right"/>
              <w:ind w:right="240"/>
              <w:spacing w:after="0" w:line="169" w:lineRule="exact"/>
              <w:rPr>
                <w:sz w:val="20"/>
                <w:szCs w:val="20"/>
                <w:color w:val="auto"/>
              </w:rPr>
            </w:pPr>
            <w:r>
              <w:rPr>
                <w:rFonts w:ascii="Arial" w:cs="Arial" w:eastAsia="Arial" w:hAnsi="Arial"/>
                <w:sz w:val="16"/>
                <w:szCs w:val="16"/>
                <w:color w:val="auto"/>
              </w:rPr>
              <w:t>6.5 %</w:t>
            </w:r>
          </w:p>
        </w:tc>
        <w:tc>
          <w:tcPr>
            <w:tcW w:w="2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9.5 %</w:t>
            </w:r>
          </w:p>
        </w:tc>
      </w:tr>
      <w:tr>
        <w:trPr>
          <w:trHeight w:val="169"/>
        </w:trPr>
        <w:tc>
          <w:tcPr>
            <w:tcW w:w="5380" w:type="dxa"/>
            <w:vAlign w:val="bottom"/>
          </w:tcPr>
          <w:p>
            <w:pPr>
              <w:spacing w:after="0" w:line="169" w:lineRule="exact"/>
              <w:rPr>
                <w:sz w:val="20"/>
                <w:szCs w:val="20"/>
                <w:color w:val="auto"/>
              </w:rPr>
            </w:pPr>
            <w:r>
              <w:rPr>
                <w:rFonts w:ascii="Arial" w:cs="Arial" w:eastAsia="Arial" w:hAnsi="Arial"/>
                <w:sz w:val="16"/>
                <w:szCs w:val="16"/>
                <w:color w:val="auto"/>
              </w:rPr>
              <w:t>Operating Unit Profit:</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7"/>
        </w:trPr>
        <w:tc>
          <w:tcPr>
            <w:tcW w:w="5380" w:type="dxa"/>
            <w:vAlign w:val="bottom"/>
            <w:shd w:val="clear" w:color="auto" w:fill="CFF0FC"/>
          </w:tcPr>
          <w:p>
            <w:pPr>
              <w:ind w:left="160"/>
              <w:spacing w:after="0" w:line="178" w:lineRule="exact"/>
              <w:rPr>
                <w:sz w:val="20"/>
                <w:szCs w:val="20"/>
                <w:color w:val="auto"/>
              </w:rPr>
            </w:pPr>
            <w:r>
              <w:rPr>
                <w:rFonts w:ascii="Arial" w:cs="Arial" w:eastAsia="Arial" w:hAnsi="Arial"/>
                <w:sz w:val="16"/>
                <w:szCs w:val="16"/>
                <w:color w:val="auto"/>
              </w:rPr>
              <w:t>Americas:</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77"/>
        </w:trPr>
        <w:tc>
          <w:tcPr>
            <w:tcW w:w="5380" w:type="dxa"/>
            <w:vAlign w:val="bottom"/>
          </w:tcPr>
          <w:p>
            <w:pPr>
              <w:ind w:left="320"/>
              <w:spacing w:after="0" w:line="178" w:lineRule="exact"/>
              <w:rPr>
                <w:sz w:val="20"/>
                <w:szCs w:val="20"/>
                <w:color w:val="auto"/>
              </w:rPr>
            </w:pPr>
            <w:r>
              <w:rPr>
                <w:rFonts w:ascii="Arial" w:cs="Arial" w:eastAsia="Arial" w:hAnsi="Arial"/>
                <w:sz w:val="16"/>
                <w:szCs w:val="16"/>
                <w:color w:val="auto"/>
              </w:rPr>
              <w:t>United States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78" w:lineRule="exact"/>
              <w:rPr>
                <w:sz w:val="20"/>
                <w:szCs w:val="20"/>
                <w:color w:val="auto"/>
              </w:rPr>
            </w:pPr>
            <w:r>
              <w:rPr>
                <w:rFonts w:ascii="Arial" w:cs="Arial" w:eastAsia="Arial" w:hAnsi="Arial"/>
                <w:sz w:val="16"/>
                <w:szCs w:val="16"/>
                <w:color w:val="auto"/>
              </w:rPr>
              <w:t>40.6</w:t>
            </w:r>
          </w:p>
        </w:tc>
        <w:tc>
          <w:tcPr>
            <w:tcW w:w="240" w:type="dxa"/>
            <w:vAlign w:val="bottom"/>
          </w:tcPr>
          <w:p>
            <w:pPr>
              <w:spacing w:after="0"/>
              <w:rPr>
                <w:sz w:val="15"/>
                <w:szCs w:val="15"/>
                <w:color w:val="auto"/>
              </w:rPr>
            </w:pPr>
          </w:p>
        </w:tc>
        <w:tc>
          <w:tcPr>
            <w:tcW w:w="12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line="178" w:lineRule="exact"/>
              <w:rPr>
                <w:sz w:val="20"/>
                <w:szCs w:val="20"/>
                <w:color w:val="auto"/>
              </w:rPr>
            </w:pPr>
            <w:r>
              <w:rPr>
                <w:rFonts w:ascii="Arial" w:cs="Arial" w:eastAsia="Arial" w:hAnsi="Arial"/>
                <w:sz w:val="16"/>
                <w:szCs w:val="16"/>
                <w:color w:val="auto"/>
              </w:rPr>
              <w:t>30.1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240"/>
              <w:spacing w:after="0" w:line="178" w:lineRule="exact"/>
              <w:rPr>
                <w:sz w:val="20"/>
                <w:szCs w:val="20"/>
                <w:color w:val="auto"/>
              </w:rPr>
            </w:pPr>
            <w:r>
              <w:rPr>
                <w:rFonts w:ascii="Arial" w:cs="Arial" w:eastAsia="Arial" w:hAnsi="Arial"/>
                <w:sz w:val="16"/>
                <w:szCs w:val="16"/>
                <w:color w:val="auto"/>
              </w:rPr>
              <w:t>34.7 %</w:t>
            </w:r>
          </w:p>
        </w:tc>
        <w:tc>
          <w:tcPr>
            <w:tcW w:w="220" w:type="dxa"/>
            <w:vAlign w:val="bottom"/>
          </w:tcPr>
          <w:p>
            <w:pPr>
              <w:spacing w:after="0"/>
              <w:rPr>
                <w:sz w:val="15"/>
                <w:szCs w:val="15"/>
                <w:color w:val="auto"/>
              </w:rPr>
            </w:pPr>
          </w:p>
        </w:tc>
        <w:tc>
          <w:tcPr>
            <w:tcW w:w="11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34.7 %</w:t>
            </w:r>
          </w:p>
        </w:tc>
      </w:tr>
      <w:tr>
        <w:trPr>
          <w:trHeight w:val="177"/>
        </w:trPr>
        <w:tc>
          <w:tcPr>
            <w:tcW w:w="5380" w:type="dxa"/>
            <w:vAlign w:val="bottom"/>
            <w:tcBorders>
              <w:bottom w:val="single" w:sz="8" w:color="CFF0FC"/>
            </w:tcBorders>
            <w:shd w:val="clear" w:color="auto" w:fill="CFF0FC"/>
          </w:tcPr>
          <w:p>
            <w:pPr>
              <w:ind w:left="320"/>
              <w:spacing w:after="0" w:line="178" w:lineRule="exact"/>
              <w:rPr>
                <w:sz w:val="20"/>
                <w:szCs w:val="20"/>
                <w:color w:val="auto"/>
              </w:rPr>
            </w:pPr>
            <w:r>
              <w:rPr>
                <w:rFonts w:ascii="Arial" w:cs="Arial" w:eastAsia="Arial" w:hAnsi="Arial"/>
                <w:sz w:val="16"/>
                <w:szCs w:val="16"/>
                <w:color w:val="auto"/>
              </w:rPr>
              <w:t>Other Americas</w:t>
            </w:r>
          </w:p>
        </w:tc>
        <w:tc>
          <w:tcPr>
            <w:tcW w:w="2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13.7</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18.1</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gridSpan w:val="2"/>
            <w:shd w:val="clear" w:color="auto" w:fill="CFF0FC"/>
          </w:tcPr>
          <w:p>
            <w:pPr>
              <w:jc w:val="right"/>
              <w:ind w:right="240"/>
              <w:spacing w:after="0" w:line="178" w:lineRule="exact"/>
              <w:rPr>
                <w:sz w:val="20"/>
                <w:szCs w:val="20"/>
                <w:color w:val="auto"/>
              </w:rPr>
            </w:pPr>
            <w:r>
              <w:rPr>
                <w:rFonts w:ascii="Arial" w:cs="Arial" w:eastAsia="Arial" w:hAnsi="Arial"/>
                <w:sz w:val="16"/>
                <w:szCs w:val="16"/>
                <w:color w:val="auto"/>
              </w:rPr>
              <w:t>-23.8 %</w:t>
            </w:r>
          </w:p>
        </w:tc>
        <w:tc>
          <w:tcPr>
            <w:tcW w:w="22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-19.2 %</w:t>
            </w:r>
          </w:p>
        </w:tc>
      </w:tr>
      <w:tr>
        <w:trPr>
          <w:trHeight w:val="169"/>
        </w:trPr>
        <w:tc>
          <w:tcPr>
            <w:tcW w:w="5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54.3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48.2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40"/>
              <w:spacing w:after="0" w:line="169" w:lineRule="exact"/>
              <w:rPr>
                <w:sz w:val="20"/>
                <w:szCs w:val="20"/>
                <w:color w:val="auto"/>
              </w:rPr>
            </w:pPr>
            <w:r>
              <w:rPr>
                <w:rFonts w:ascii="Arial" w:cs="Arial" w:eastAsia="Arial" w:hAnsi="Arial"/>
                <w:sz w:val="16"/>
                <w:szCs w:val="16"/>
                <w:color w:val="auto"/>
              </w:rPr>
              <w:t>12.7 %</w:t>
            </w:r>
          </w:p>
        </w:tc>
        <w:tc>
          <w:tcPr>
            <w:tcW w:w="220" w:type="dxa"/>
            <w:vAlign w:val="bottom"/>
          </w:tcPr>
          <w:p>
            <w:pPr>
              <w:spacing w:after="0"/>
              <w:rPr>
                <w:sz w:val="14"/>
                <w:szCs w:val="14"/>
                <w:color w:val="auto"/>
              </w:rPr>
            </w:pPr>
          </w:p>
        </w:tc>
        <w:tc>
          <w:tcPr>
            <w:tcW w:w="114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14.5 %</w:t>
            </w:r>
          </w:p>
        </w:tc>
      </w:tr>
      <w:tr>
        <w:trPr>
          <w:trHeight w:val="169"/>
        </w:trPr>
        <w:tc>
          <w:tcPr>
            <w:tcW w:w="5380" w:type="dxa"/>
            <w:vAlign w:val="bottom"/>
            <w:shd w:val="clear" w:color="auto" w:fill="CFF0FC"/>
          </w:tcPr>
          <w:p>
            <w:pPr>
              <w:ind w:left="160"/>
              <w:spacing w:after="0" w:line="169" w:lineRule="exact"/>
              <w:rPr>
                <w:sz w:val="20"/>
                <w:szCs w:val="20"/>
                <w:color w:val="auto"/>
              </w:rPr>
            </w:pPr>
            <w:r>
              <w:rPr>
                <w:rFonts w:ascii="Arial" w:cs="Arial" w:eastAsia="Arial" w:hAnsi="Arial"/>
                <w:sz w:val="16"/>
                <w:szCs w:val="16"/>
                <w:color w:val="auto"/>
              </w:rPr>
              <w:t>Southern Europe:</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r>
      <w:tr>
        <w:trPr>
          <w:trHeight w:val="177"/>
        </w:trPr>
        <w:tc>
          <w:tcPr>
            <w:tcW w:w="5380" w:type="dxa"/>
            <w:vAlign w:val="bottom"/>
          </w:tcPr>
          <w:p>
            <w:pPr>
              <w:ind w:left="320"/>
              <w:spacing w:after="0" w:line="178" w:lineRule="exact"/>
              <w:rPr>
                <w:sz w:val="20"/>
                <w:szCs w:val="20"/>
                <w:color w:val="auto"/>
              </w:rPr>
            </w:pPr>
            <w:r>
              <w:rPr>
                <w:rFonts w:ascii="Arial" w:cs="Arial" w:eastAsia="Arial" w:hAnsi="Arial"/>
                <w:sz w:val="16"/>
                <w:szCs w:val="16"/>
                <w:color w:val="auto"/>
              </w:rPr>
              <w:t>France</w:t>
            </w:r>
          </w:p>
        </w:tc>
        <w:tc>
          <w:tcPr>
            <w:tcW w:w="280" w:type="dxa"/>
            <w:vAlign w:val="bottom"/>
          </w:tcPr>
          <w:p>
            <w:pPr>
              <w:spacing w:after="0"/>
              <w:rPr>
                <w:sz w:val="15"/>
                <w:szCs w:val="15"/>
                <w:color w:val="auto"/>
              </w:rPr>
            </w:pPr>
          </w:p>
        </w:tc>
        <w:tc>
          <w:tcPr>
            <w:tcW w:w="980" w:type="dxa"/>
            <w:vAlign w:val="bottom"/>
          </w:tcPr>
          <w:p>
            <w:pPr>
              <w:jc w:val="right"/>
              <w:spacing w:after="0" w:line="178" w:lineRule="exact"/>
              <w:rPr>
                <w:sz w:val="20"/>
                <w:szCs w:val="20"/>
                <w:color w:val="auto"/>
              </w:rPr>
            </w:pPr>
            <w:r>
              <w:rPr>
                <w:rFonts w:ascii="Arial" w:cs="Arial" w:eastAsia="Arial" w:hAnsi="Arial"/>
                <w:sz w:val="16"/>
                <w:szCs w:val="16"/>
                <w:color w:val="auto"/>
              </w:rPr>
              <w:t>63.6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78" w:lineRule="exact"/>
              <w:rPr>
                <w:sz w:val="20"/>
                <w:szCs w:val="20"/>
                <w:color w:val="auto"/>
              </w:rPr>
            </w:pPr>
            <w:r>
              <w:rPr>
                <w:rFonts w:ascii="Arial" w:cs="Arial" w:eastAsia="Arial" w:hAnsi="Arial"/>
                <w:sz w:val="16"/>
                <w:szCs w:val="16"/>
                <w:color w:val="auto"/>
              </w:rPr>
              <w:t>62.0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240"/>
              <w:spacing w:after="0" w:line="178" w:lineRule="exact"/>
              <w:rPr>
                <w:sz w:val="20"/>
                <w:szCs w:val="20"/>
                <w:color w:val="auto"/>
              </w:rPr>
            </w:pPr>
            <w:r>
              <w:rPr>
                <w:rFonts w:ascii="Arial" w:cs="Arial" w:eastAsia="Arial" w:hAnsi="Arial"/>
                <w:sz w:val="16"/>
                <w:szCs w:val="16"/>
                <w:color w:val="auto"/>
              </w:rPr>
              <w:t>2.5 %</w:t>
            </w:r>
          </w:p>
        </w:tc>
        <w:tc>
          <w:tcPr>
            <w:tcW w:w="220" w:type="dxa"/>
            <w:vAlign w:val="bottom"/>
          </w:tcPr>
          <w:p>
            <w:pPr>
              <w:spacing w:after="0"/>
              <w:rPr>
                <w:sz w:val="15"/>
                <w:szCs w:val="15"/>
                <w:color w:val="auto"/>
              </w:rPr>
            </w:pPr>
          </w:p>
        </w:tc>
        <w:tc>
          <w:tcPr>
            <w:tcW w:w="11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6.9 %</w:t>
            </w:r>
          </w:p>
        </w:tc>
      </w:tr>
      <w:tr>
        <w:trPr>
          <w:trHeight w:val="177"/>
        </w:trPr>
        <w:tc>
          <w:tcPr>
            <w:tcW w:w="5380" w:type="dxa"/>
            <w:vAlign w:val="bottom"/>
            <w:shd w:val="clear" w:color="auto" w:fill="CFF0FC"/>
          </w:tcPr>
          <w:p>
            <w:pPr>
              <w:ind w:left="320"/>
              <w:spacing w:after="0" w:line="178" w:lineRule="exact"/>
              <w:rPr>
                <w:sz w:val="20"/>
                <w:szCs w:val="20"/>
                <w:color w:val="auto"/>
              </w:rPr>
            </w:pPr>
            <w:r>
              <w:rPr>
                <w:rFonts w:ascii="Arial" w:cs="Arial" w:eastAsia="Arial" w:hAnsi="Arial"/>
                <w:sz w:val="16"/>
                <w:szCs w:val="16"/>
                <w:color w:val="auto"/>
              </w:rPr>
              <w:t>Italy</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33.4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23.6</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line="178" w:lineRule="exact"/>
              <w:rPr>
                <w:sz w:val="20"/>
                <w:szCs w:val="20"/>
                <w:color w:val="auto"/>
              </w:rPr>
            </w:pPr>
            <w:r>
              <w:rPr>
                <w:rFonts w:ascii="Arial" w:cs="Arial" w:eastAsia="Arial" w:hAnsi="Arial"/>
                <w:sz w:val="16"/>
                <w:szCs w:val="16"/>
                <w:color w:val="auto"/>
              </w:rPr>
              <w:t>42.1 %</w:t>
            </w: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48.3 %</w:t>
            </w:r>
          </w:p>
        </w:tc>
      </w:tr>
      <w:tr>
        <w:trPr>
          <w:trHeight w:val="177"/>
        </w:trPr>
        <w:tc>
          <w:tcPr>
            <w:tcW w:w="5380" w:type="dxa"/>
            <w:vAlign w:val="bottom"/>
          </w:tcPr>
          <w:p>
            <w:pPr>
              <w:ind w:left="320"/>
              <w:spacing w:after="0" w:line="178" w:lineRule="exact"/>
              <w:rPr>
                <w:sz w:val="20"/>
                <w:szCs w:val="20"/>
                <w:color w:val="auto"/>
              </w:rPr>
            </w:pPr>
            <w:r>
              <w:rPr>
                <w:rFonts w:ascii="Arial" w:cs="Arial" w:eastAsia="Arial" w:hAnsi="Arial"/>
                <w:sz w:val="16"/>
                <w:szCs w:val="16"/>
                <w:color w:val="auto"/>
              </w:rPr>
              <w:t>Other Southern Europe</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19.9</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14.7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240"/>
              <w:spacing w:after="0" w:line="178" w:lineRule="exact"/>
              <w:rPr>
                <w:sz w:val="20"/>
                <w:szCs w:val="20"/>
                <w:color w:val="auto"/>
              </w:rPr>
            </w:pPr>
            <w:r>
              <w:rPr>
                <w:rFonts w:ascii="Arial" w:cs="Arial" w:eastAsia="Arial" w:hAnsi="Arial"/>
                <w:sz w:val="16"/>
                <w:szCs w:val="16"/>
                <w:color w:val="auto"/>
              </w:rPr>
              <w:t>36.0 %</w:t>
            </w:r>
          </w:p>
        </w:tc>
        <w:tc>
          <w:tcPr>
            <w:tcW w:w="220" w:type="dxa"/>
            <w:vAlign w:val="bottom"/>
          </w:tcPr>
          <w:p>
            <w:pPr>
              <w:spacing w:after="0"/>
              <w:rPr>
                <w:sz w:val="15"/>
                <w:szCs w:val="15"/>
                <w:color w:val="auto"/>
              </w:rPr>
            </w:pPr>
          </w:p>
        </w:tc>
        <w:tc>
          <w:tcPr>
            <w:tcW w:w="11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38.6 %</w:t>
            </w:r>
          </w:p>
        </w:tc>
      </w:tr>
      <w:tr>
        <w:trPr>
          <w:trHeight w:val="169"/>
        </w:trPr>
        <w:tc>
          <w:tcPr>
            <w:tcW w:w="53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116.9</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100.3</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300" w:type="dxa"/>
            <w:vAlign w:val="bottom"/>
            <w:tcBorders>
              <w:bottom w:val="single" w:sz="8" w:color="CFF0FC"/>
            </w:tcBorders>
            <w:gridSpan w:val="2"/>
            <w:shd w:val="clear" w:color="auto" w:fill="CFF0FC"/>
          </w:tcPr>
          <w:p>
            <w:pPr>
              <w:jc w:val="right"/>
              <w:ind w:right="240"/>
              <w:spacing w:after="0" w:line="169" w:lineRule="exact"/>
              <w:rPr>
                <w:sz w:val="20"/>
                <w:szCs w:val="20"/>
                <w:color w:val="auto"/>
              </w:rPr>
            </w:pPr>
            <w:r>
              <w:rPr>
                <w:rFonts w:ascii="Arial" w:cs="Arial" w:eastAsia="Arial" w:hAnsi="Arial"/>
                <w:sz w:val="16"/>
                <w:szCs w:val="16"/>
                <w:color w:val="auto"/>
              </w:rPr>
              <w:t>16.7 %</w:t>
            </w:r>
          </w:p>
        </w:tc>
        <w:tc>
          <w:tcPr>
            <w:tcW w:w="2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21.2 %</w:t>
            </w:r>
          </w:p>
        </w:tc>
      </w:tr>
      <w:tr>
        <w:trPr>
          <w:trHeight w:val="169"/>
        </w:trPr>
        <w:tc>
          <w:tcPr>
            <w:tcW w:w="5380" w:type="dxa"/>
            <w:vAlign w:val="bottom"/>
          </w:tcPr>
          <w:p>
            <w:pPr>
              <w:ind w:left="160"/>
              <w:spacing w:after="0" w:line="169" w:lineRule="exact"/>
              <w:rPr>
                <w:sz w:val="20"/>
                <w:szCs w:val="20"/>
                <w:color w:val="auto"/>
              </w:rPr>
            </w:pPr>
            <w:r>
              <w:rPr>
                <w:rFonts w:ascii="Arial" w:cs="Arial" w:eastAsia="Arial" w:hAnsi="Arial"/>
                <w:sz w:val="16"/>
                <w:szCs w:val="16"/>
                <w:color w:val="auto"/>
              </w:rPr>
              <w:t>Northern Europe</w:t>
            </w:r>
          </w:p>
        </w:tc>
        <w:tc>
          <w:tcPr>
            <w:tcW w:w="2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28.6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8.7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40"/>
              <w:spacing w:after="0" w:line="169" w:lineRule="exact"/>
              <w:rPr>
                <w:sz w:val="20"/>
                <w:szCs w:val="20"/>
                <w:color w:val="auto"/>
              </w:rPr>
            </w:pPr>
            <w:r>
              <w:rPr>
                <w:rFonts w:ascii="Arial" w:cs="Arial" w:eastAsia="Arial" w:hAnsi="Arial"/>
                <w:sz w:val="16"/>
                <w:szCs w:val="16"/>
                <w:color w:val="auto"/>
              </w:rPr>
              <w:t>225.9 %</w:t>
            </w:r>
          </w:p>
        </w:tc>
        <w:tc>
          <w:tcPr>
            <w:tcW w:w="220" w:type="dxa"/>
            <w:vAlign w:val="bottom"/>
          </w:tcPr>
          <w:p>
            <w:pPr>
              <w:spacing w:after="0"/>
              <w:rPr>
                <w:sz w:val="14"/>
                <w:szCs w:val="14"/>
                <w:color w:val="auto"/>
              </w:rPr>
            </w:pPr>
          </w:p>
        </w:tc>
        <w:tc>
          <w:tcPr>
            <w:tcW w:w="114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215.5 %</w:t>
            </w:r>
          </w:p>
        </w:tc>
      </w:tr>
      <w:tr>
        <w:trPr>
          <w:trHeight w:val="177"/>
        </w:trPr>
        <w:tc>
          <w:tcPr>
            <w:tcW w:w="5380" w:type="dxa"/>
            <w:vAlign w:val="bottom"/>
            <w:tcBorders>
              <w:bottom w:val="single" w:sz="8" w:color="CFF0FC"/>
            </w:tcBorders>
            <w:shd w:val="clear" w:color="auto" w:fill="CFF0FC"/>
          </w:tcPr>
          <w:p>
            <w:pPr>
              <w:ind w:left="160"/>
              <w:spacing w:after="0" w:line="178" w:lineRule="exact"/>
              <w:rPr>
                <w:sz w:val="20"/>
                <w:szCs w:val="20"/>
                <w:color w:val="auto"/>
              </w:rPr>
            </w:pPr>
            <w:r>
              <w:rPr>
                <w:rFonts w:ascii="Arial" w:cs="Arial" w:eastAsia="Arial" w:hAnsi="Arial"/>
                <w:sz w:val="16"/>
                <w:szCs w:val="16"/>
                <w:color w:val="auto"/>
              </w:rPr>
              <w:t>APME</w:t>
            </w:r>
          </w:p>
        </w:tc>
        <w:tc>
          <w:tcPr>
            <w:tcW w:w="2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20.9</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18.5</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gridSpan w:val="2"/>
            <w:shd w:val="clear" w:color="auto" w:fill="CFF0FC"/>
          </w:tcPr>
          <w:p>
            <w:pPr>
              <w:jc w:val="right"/>
              <w:ind w:right="240"/>
              <w:spacing w:after="0" w:line="178" w:lineRule="exact"/>
              <w:rPr>
                <w:sz w:val="20"/>
                <w:szCs w:val="20"/>
                <w:color w:val="auto"/>
              </w:rPr>
            </w:pPr>
            <w:r>
              <w:rPr>
                <w:rFonts w:ascii="Arial" w:cs="Arial" w:eastAsia="Arial" w:hAnsi="Arial"/>
                <w:sz w:val="16"/>
                <w:szCs w:val="16"/>
                <w:color w:val="auto"/>
              </w:rPr>
              <w:t>12.6 %</w:t>
            </w:r>
          </w:p>
        </w:tc>
        <w:tc>
          <w:tcPr>
            <w:tcW w:w="22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21.2 %</w:t>
            </w:r>
          </w:p>
        </w:tc>
      </w:tr>
      <w:tr>
        <w:trPr>
          <w:trHeight w:val="169"/>
        </w:trPr>
        <w:tc>
          <w:tcPr>
            <w:tcW w:w="5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220.7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175.7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7"/>
        </w:trPr>
        <w:tc>
          <w:tcPr>
            <w:tcW w:w="538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Corporate expenses</w:t>
            </w: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80"/>
              <w:spacing w:after="0" w:line="178" w:lineRule="exact"/>
              <w:rPr>
                <w:sz w:val="20"/>
                <w:szCs w:val="20"/>
                <w:color w:val="auto"/>
              </w:rPr>
            </w:pPr>
            <w:r>
              <w:rPr>
                <w:rFonts w:ascii="Arial" w:cs="Arial" w:eastAsia="Arial" w:hAnsi="Arial"/>
                <w:sz w:val="16"/>
                <w:szCs w:val="16"/>
                <w:color w:val="auto"/>
              </w:rPr>
              <w:t>(43.8 )</w:t>
            </w:r>
          </w:p>
        </w:tc>
        <w:tc>
          <w:tcPr>
            <w:tcW w:w="12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80"/>
              <w:spacing w:after="0" w:line="178" w:lineRule="exact"/>
              <w:rPr>
                <w:sz w:val="20"/>
                <w:szCs w:val="20"/>
                <w:color w:val="auto"/>
              </w:rPr>
            </w:pPr>
            <w:r>
              <w:rPr>
                <w:rFonts w:ascii="Arial" w:cs="Arial" w:eastAsia="Arial" w:hAnsi="Arial"/>
                <w:sz w:val="16"/>
                <w:szCs w:val="16"/>
                <w:color w:val="auto"/>
              </w:rPr>
              <w:t>(30.4 )</w:t>
            </w: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77"/>
        </w:trPr>
        <w:tc>
          <w:tcPr>
            <w:tcW w:w="5380" w:type="dxa"/>
            <w:vAlign w:val="bottom"/>
          </w:tcPr>
          <w:p>
            <w:pPr>
              <w:spacing w:after="0" w:line="178" w:lineRule="exact"/>
              <w:rPr>
                <w:sz w:val="20"/>
                <w:szCs w:val="20"/>
                <w:color w:val="auto"/>
              </w:rPr>
            </w:pPr>
            <w:r>
              <w:rPr>
                <w:rFonts w:ascii="Arial" w:cs="Arial" w:eastAsia="Arial" w:hAnsi="Arial"/>
                <w:sz w:val="16"/>
                <w:szCs w:val="16"/>
                <w:color w:val="auto"/>
              </w:rPr>
              <w:t>Intangible asset amortization expense</w:t>
            </w:r>
          </w:p>
        </w:tc>
        <w:tc>
          <w:tcPr>
            <w:tcW w:w="280" w:type="dxa"/>
            <w:vAlign w:val="bottom"/>
          </w:tcPr>
          <w:p>
            <w:pPr>
              <w:spacing w:after="0"/>
              <w:rPr>
                <w:sz w:val="15"/>
                <w:szCs w:val="15"/>
                <w:color w:val="auto"/>
              </w:rPr>
            </w:pPr>
          </w:p>
        </w:tc>
        <w:tc>
          <w:tcPr>
            <w:tcW w:w="122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(10.3 )</w:t>
            </w:r>
          </w:p>
        </w:tc>
        <w:tc>
          <w:tcPr>
            <w:tcW w:w="120" w:type="dxa"/>
            <w:vAlign w:val="bottom"/>
          </w:tcPr>
          <w:p>
            <w:pPr>
              <w:spacing w:after="0"/>
              <w:rPr>
                <w:sz w:val="15"/>
                <w:szCs w:val="15"/>
                <w:color w:val="auto"/>
              </w:rPr>
            </w:pPr>
          </w:p>
        </w:tc>
        <w:tc>
          <w:tcPr>
            <w:tcW w:w="140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(7.0 )</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9"/>
        </w:trPr>
        <w:tc>
          <w:tcPr>
            <w:tcW w:w="5380" w:type="dxa"/>
            <w:vAlign w:val="bottom"/>
            <w:shd w:val="clear" w:color="auto" w:fill="CFF0FC"/>
          </w:tcPr>
          <w:p>
            <w:pPr>
              <w:ind w:left="160"/>
              <w:spacing w:after="0" w:line="169" w:lineRule="exact"/>
              <w:rPr>
                <w:sz w:val="20"/>
                <w:szCs w:val="20"/>
                <w:color w:val="auto"/>
              </w:rPr>
            </w:pPr>
            <w:r>
              <w:rPr>
                <w:rFonts w:ascii="Arial" w:cs="Arial" w:eastAsia="Arial" w:hAnsi="Arial"/>
                <w:sz w:val="16"/>
                <w:szCs w:val="16"/>
                <w:color w:val="auto"/>
              </w:rPr>
              <w:t>Operating profit</w:t>
            </w:r>
          </w:p>
        </w:tc>
        <w:tc>
          <w:tcPr>
            <w:tcW w:w="28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166.6</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138.3</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6"/>
                <w:szCs w:val="16"/>
                <w:color w:val="auto"/>
              </w:rPr>
              <w:t>20.4 %</w:t>
            </w: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24.7 %</w:t>
            </w:r>
          </w:p>
        </w:tc>
      </w:tr>
      <w:tr>
        <w:trPr>
          <w:trHeight w:val="177"/>
        </w:trPr>
        <w:tc>
          <w:tcPr>
            <w:tcW w:w="5380" w:type="dxa"/>
            <w:vAlign w:val="bottom"/>
          </w:tcPr>
          <w:p>
            <w:pPr>
              <w:spacing w:after="0" w:line="178" w:lineRule="exact"/>
              <w:rPr>
                <w:sz w:val="20"/>
                <w:szCs w:val="20"/>
                <w:color w:val="auto"/>
              </w:rPr>
            </w:pPr>
            <w:r>
              <w:rPr>
                <w:rFonts w:ascii="Arial" w:cs="Arial" w:eastAsia="Arial" w:hAnsi="Arial"/>
                <w:sz w:val="16"/>
                <w:szCs w:val="16"/>
                <w:color w:val="auto"/>
              </w:rPr>
              <w:t>Interest and other expenses, net (b)</w:t>
            </w:r>
          </w:p>
        </w:tc>
        <w:tc>
          <w:tcPr>
            <w:tcW w:w="280" w:type="dxa"/>
            <w:vAlign w:val="bottom"/>
          </w:tcPr>
          <w:p>
            <w:pPr>
              <w:spacing w:after="0"/>
              <w:rPr>
                <w:sz w:val="15"/>
                <w:szCs w:val="15"/>
                <w:color w:val="auto"/>
              </w:rPr>
            </w:pPr>
          </w:p>
        </w:tc>
        <w:tc>
          <w:tcPr>
            <w:tcW w:w="122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(4.2 )</w:t>
            </w:r>
          </w:p>
        </w:tc>
        <w:tc>
          <w:tcPr>
            <w:tcW w:w="120" w:type="dxa"/>
            <w:vAlign w:val="bottom"/>
          </w:tcPr>
          <w:p>
            <w:pPr>
              <w:spacing w:after="0"/>
              <w:rPr>
                <w:sz w:val="15"/>
                <w:szCs w:val="15"/>
                <w:color w:val="auto"/>
              </w:rPr>
            </w:pPr>
          </w:p>
        </w:tc>
        <w:tc>
          <w:tcPr>
            <w:tcW w:w="140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(7.6 )</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9"/>
        </w:trPr>
        <w:tc>
          <w:tcPr>
            <w:tcW w:w="5380" w:type="dxa"/>
            <w:vAlign w:val="bottom"/>
            <w:tcBorders>
              <w:bottom w:val="single" w:sz="8" w:color="CFF0FC"/>
            </w:tcBorders>
            <w:shd w:val="clear" w:color="auto" w:fill="CFF0FC"/>
          </w:tcPr>
          <w:p>
            <w:pPr>
              <w:ind w:left="160"/>
              <w:spacing w:after="0" w:line="169" w:lineRule="exact"/>
              <w:rPr>
                <w:sz w:val="20"/>
                <w:szCs w:val="20"/>
                <w:color w:val="auto"/>
              </w:rPr>
            </w:pPr>
            <w:r>
              <w:rPr>
                <w:rFonts w:ascii="Arial" w:cs="Arial" w:eastAsia="Arial" w:hAnsi="Arial"/>
                <w:sz w:val="16"/>
                <w:szCs w:val="16"/>
                <w:color w:val="auto"/>
              </w:rPr>
              <w:t>Earnings before income taxes</w:t>
            </w:r>
          </w:p>
        </w:tc>
        <w:tc>
          <w:tcPr>
            <w:tcW w:w="280" w:type="dxa"/>
            <w:vAlign w:val="bottom"/>
            <w:tcBorders>
              <w:top w:val="single" w:sz="8" w:color="auto"/>
              <w:bottom w:val="single" w:sz="8" w:color="auto"/>
            </w:tcBorders>
            <w:shd w:val="clear" w:color="auto" w:fill="CFF0FC"/>
          </w:tcPr>
          <w:p>
            <w:pPr>
              <w:jc w:val="right"/>
              <w:ind w:right="127"/>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162.4</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130.7</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-3278505</wp:posOffset>
            </wp:positionV>
            <wp:extent cx="60325" cy="5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-3278505</wp:posOffset>
            </wp:positionV>
            <wp:extent cx="60325" cy="5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-2820670</wp:posOffset>
            </wp:positionV>
            <wp:extent cx="60325" cy="5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-2820670</wp:posOffset>
            </wp:positionV>
            <wp:extent cx="60325" cy="5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-2347595</wp:posOffset>
            </wp:positionV>
            <wp:extent cx="60325" cy="5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-2347595</wp:posOffset>
            </wp:positionV>
            <wp:extent cx="60325" cy="5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-2106930</wp:posOffset>
            </wp:positionV>
            <wp:extent cx="60325" cy="5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-2106930</wp:posOffset>
            </wp:positionV>
            <wp:extent cx="60325" cy="5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-1649095</wp:posOffset>
            </wp:positionV>
            <wp:extent cx="60325" cy="5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-1649095</wp:posOffset>
            </wp:positionV>
            <wp:extent cx="60325" cy="5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-950595</wp:posOffset>
            </wp:positionV>
            <wp:extent cx="60325" cy="50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-950595</wp:posOffset>
            </wp:positionV>
            <wp:extent cx="60325" cy="5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-717550</wp:posOffset>
            </wp:positionV>
            <wp:extent cx="60325" cy="5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-717550</wp:posOffset>
            </wp:positionV>
            <wp:extent cx="60325" cy="50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-21590</wp:posOffset>
            </wp:positionV>
            <wp:extent cx="6032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-6985</wp:posOffset>
            </wp:positionV>
            <wp:extent cx="6032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-21590</wp:posOffset>
            </wp:positionV>
            <wp:extent cx="6032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-6985</wp:posOffset>
            </wp:positionV>
            <wp:extent cx="6032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145" w:lineRule="exact"/>
        <w:rPr>
          <w:sz w:val="20"/>
          <w:szCs w:val="20"/>
          <w:color w:val="auto"/>
        </w:rPr>
      </w:pPr>
    </w:p>
    <w:p>
      <w:pPr>
        <w:ind w:left="506" w:right="200" w:hanging="506"/>
        <w:spacing w:after="0" w:line="242" w:lineRule="auto"/>
        <w:tabs>
          <w:tab w:leader="none" w:pos="367"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$3.4 million and $3.8 million for the three months ended December 31, 2021 and 2020, respectively. These fees are primarily based on revenues generated by the franchise offices, which were $124.2 million and $129.7 million for the three months ended December 31, 2021 and 2020, respectively.</w:t>
      </w:r>
    </w:p>
    <w:p>
      <w:pPr>
        <w:spacing w:after="0" w:line="46" w:lineRule="exact"/>
        <w:rPr>
          <w:rFonts w:ascii="Arial" w:cs="Arial" w:eastAsia="Arial" w:hAnsi="Arial"/>
          <w:sz w:val="16"/>
          <w:szCs w:val="16"/>
          <w:color w:val="auto"/>
        </w:rPr>
      </w:pPr>
    </w:p>
    <w:p>
      <w:pPr>
        <w:ind w:left="386" w:hanging="386"/>
        <w:spacing w:after="0"/>
        <w:tabs>
          <w:tab w:leader="none" w:pos="386"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components of interest and other expenses, net were:</w:t>
      </w:r>
    </w:p>
    <w:tbl>
      <w:tblPr>
        <w:tblLayout w:type="fixed"/>
        <w:tblInd w:w="6" w:type="dxa"/>
        <w:tblCellMar>
          <w:top w:w="0" w:type="dxa"/>
          <w:left w:w="0" w:type="dxa"/>
          <w:bottom w:w="0" w:type="dxa"/>
          <w:right w:w="0" w:type="dxa"/>
        </w:tblCellMar>
      </w:tblPr>
      <w:tr>
        <w:trPr>
          <w:trHeight w:val="183"/>
        </w:trPr>
        <w:tc>
          <w:tcPr>
            <w:tcW w:w="7700" w:type="dxa"/>
            <w:vAlign w:val="bottom"/>
          </w:tcPr>
          <w:p>
            <w:pPr>
              <w:spacing w:after="0"/>
              <w:rPr>
                <w:sz w:val="15"/>
                <w:szCs w:val="15"/>
                <w:color w:val="auto"/>
              </w:rPr>
            </w:pPr>
          </w:p>
        </w:tc>
        <w:tc>
          <w:tcPr>
            <w:tcW w:w="114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r>
      <w:tr>
        <w:trPr>
          <w:trHeight w:val="169"/>
        </w:trPr>
        <w:tc>
          <w:tcPr>
            <w:tcW w:w="770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Interest expense</w:t>
            </w:r>
          </w:p>
        </w:tc>
        <w:tc>
          <w:tcPr>
            <w:tcW w:w="1140" w:type="dxa"/>
            <w:vAlign w:val="bottom"/>
            <w:shd w:val="clear" w:color="auto" w:fill="CFF0FC"/>
          </w:tcPr>
          <w:p>
            <w:pPr>
              <w:jc w:val="right"/>
              <w:ind w:right="985"/>
              <w:spacing w:after="0" w:line="169" w:lineRule="exact"/>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9.3</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7"/>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11.0</w:t>
            </w:r>
          </w:p>
        </w:tc>
        <w:tc>
          <w:tcPr>
            <w:tcW w:w="120" w:type="dxa"/>
            <w:vAlign w:val="bottom"/>
            <w:shd w:val="clear" w:color="auto" w:fill="CFF0FC"/>
          </w:tcPr>
          <w:p>
            <w:pPr>
              <w:spacing w:after="0"/>
              <w:rPr>
                <w:sz w:val="14"/>
                <w:szCs w:val="14"/>
                <w:color w:val="auto"/>
              </w:rPr>
            </w:pPr>
          </w:p>
        </w:tc>
      </w:tr>
      <w:tr>
        <w:trPr>
          <w:trHeight w:val="177"/>
        </w:trPr>
        <w:tc>
          <w:tcPr>
            <w:tcW w:w="7700" w:type="dxa"/>
            <w:vAlign w:val="bottom"/>
          </w:tcPr>
          <w:p>
            <w:pPr>
              <w:spacing w:after="0" w:line="178" w:lineRule="exact"/>
              <w:rPr>
                <w:sz w:val="20"/>
                <w:szCs w:val="20"/>
                <w:color w:val="auto"/>
              </w:rPr>
            </w:pPr>
            <w:r>
              <w:rPr>
                <w:rFonts w:ascii="Arial" w:cs="Arial" w:eastAsia="Arial" w:hAnsi="Arial"/>
                <w:sz w:val="16"/>
                <w:szCs w:val="16"/>
                <w:color w:val="auto"/>
              </w:rPr>
              <w:t>Interest income</w:t>
            </w:r>
          </w:p>
        </w:tc>
        <w:tc>
          <w:tcPr>
            <w:tcW w:w="1140" w:type="dxa"/>
            <w:vAlign w:val="bottom"/>
          </w:tcPr>
          <w:p>
            <w:pPr>
              <w:spacing w:after="0"/>
              <w:rPr>
                <w:sz w:val="15"/>
                <w:szCs w:val="15"/>
                <w:color w:val="auto"/>
              </w:rPr>
            </w:pPr>
          </w:p>
        </w:tc>
        <w:tc>
          <w:tcPr>
            <w:tcW w:w="74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(2.9 )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(3.2 )</w:t>
            </w:r>
          </w:p>
        </w:tc>
      </w:tr>
      <w:tr>
        <w:trPr>
          <w:trHeight w:val="177"/>
        </w:trPr>
        <w:tc>
          <w:tcPr>
            <w:tcW w:w="770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Foreign exchange loss</w:t>
            </w:r>
          </w:p>
        </w:tc>
        <w:tc>
          <w:tcPr>
            <w:tcW w:w="11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0.7</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0.7</w:t>
            </w:r>
          </w:p>
        </w:tc>
        <w:tc>
          <w:tcPr>
            <w:tcW w:w="120" w:type="dxa"/>
            <w:vAlign w:val="bottom"/>
            <w:shd w:val="clear" w:color="auto" w:fill="CFF0FC"/>
          </w:tcPr>
          <w:p>
            <w:pPr>
              <w:spacing w:after="0"/>
              <w:rPr>
                <w:sz w:val="15"/>
                <w:szCs w:val="15"/>
                <w:color w:val="auto"/>
              </w:rPr>
            </w:pPr>
          </w:p>
        </w:tc>
      </w:tr>
      <w:tr>
        <w:trPr>
          <w:trHeight w:val="177"/>
        </w:trPr>
        <w:tc>
          <w:tcPr>
            <w:tcW w:w="7700" w:type="dxa"/>
            <w:vAlign w:val="bottom"/>
          </w:tcPr>
          <w:p>
            <w:pPr>
              <w:spacing w:after="0" w:line="178" w:lineRule="exact"/>
              <w:rPr>
                <w:sz w:val="20"/>
                <w:szCs w:val="20"/>
                <w:color w:val="auto"/>
              </w:rPr>
            </w:pPr>
            <w:r>
              <w:rPr>
                <w:rFonts w:ascii="Arial" w:cs="Arial" w:eastAsia="Arial" w:hAnsi="Arial"/>
                <w:sz w:val="16"/>
                <w:szCs w:val="16"/>
                <w:color w:val="auto"/>
              </w:rPr>
              <w:t>Miscellaneous income</w:t>
            </w:r>
          </w:p>
        </w:tc>
        <w:tc>
          <w:tcPr>
            <w:tcW w:w="1140" w:type="dxa"/>
            <w:vAlign w:val="bottom"/>
          </w:tcPr>
          <w:p>
            <w:pPr>
              <w:spacing w:after="0"/>
              <w:rPr>
                <w:sz w:val="15"/>
                <w:szCs w:val="15"/>
                <w:color w:val="auto"/>
              </w:rPr>
            </w:pPr>
          </w:p>
        </w:tc>
        <w:tc>
          <w:tcPr>
            <w:tcW w:w="74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(2.9 )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(0.9 )</w:t>
            </w:r>
          </w:p>
        </w:tc>
      </w:tr>
      <w:tr>
        <w:trPr>
          <w:trHeight w:val="209"/>
        </w:trPr>
        <w:tc>
          <w:tcPr>
            <w:tcW w:w="77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ind w:right="985"/>
              <w:spacing w:after="0" w:line="169" w:lineRule="exact"/>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4.2</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07"/>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641"/>
        </w:trPr>
        <w:tc>
          <w:tcPr>
            <w:tcW w:w="77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-457200</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-442595</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-457200</wp:posOffset>
            </wp:positionV>
            <wp:extent cx="673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-442595</wp:posOffset>
            </wp:positionV>
            <wp:extent cx="673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6"/>
          </w:cols>
          <w:pgMar w:left="314" w:top="340" w:right="319" w:bottom="1440" w:gutter="0" w:footer="0" w:header="0"/>
        </w:sectPr>
      </w:pPr>
    </w:p>
    <w:bookmarkStart w:id="8" w:name="page9"/>
    <w:bookmarkEnd w:id="8"/>
    <w:p>
      <w:pPr>
        <w:jc w:val="center"/>
        <w:ind w:right="-4"/>
        <w:spacing w:after="0"/>
        <w:rPr>
          <w:sz w:val="20"/>
          <w:szCs w:val="20"/>
          <w:color w:val="auto"/>
        </w:rPr>
      </w:pPr>
      <w:r>
        <w:rPr>
          <w:rFonts w:ascii="Arial" w:cs="Arial" w:eastAsia="Arial" w:hAnsi="Arial"/>
          <w:sz w:val="16"/>
          <w:szCs w:val="16"/>
          <w:color w:val="auto"/>
        </w:rPr>
        <w:t>ManpowerGroup</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Results of Operations</w:t>
      </w:r>
    </w:p>
    <w:p>
      <w:pPr>
        <w:jc w:val="center"/>
        <w:ind w:right="-4"/>
        <w:spacing w:after="0"/>
        <w:rPr>
          <w:sz w:val="20"/>
          <w:szCs w:val="20"/>
          <w:color w:val="auto"/>
        </w:rPr>
      </w:pPr>
      <w:r>
        <w:rPr>
          <w:rFonts w:ascii="Arial" w:cs="Arial" w:eastAsia="Arial" w:hAnsi="Arial"/>
          <w:sz w:val="16"/>
          <w:szCs w:val="16"/>
          <w:color w:val="auto"/>
        </w:rPr>
        <w:t>(In millions, except per share data)</w:t>
      </w:r>
    </w:p>
    <w:p>
      <w:pPr>
        <w:spacing w:after="0" w:line="188" w:lineRule="exact"/>
        <w:rPr>
          <w:sz w:val="20"/>
          <w:szCs w:val="20"/>
          <w:color w:val="auto"/>
        </w:rPr>
      </w:pPr>
    </w:p>
    <w:tbl>
      <w:tblPr>
        <w:tblLayout w:type="fixed"/>
        <w:tblInd w:w="5" w:type="dxa"/>
        <w:tblCellMar>
          <w:top w:w="0" w:type="dxa"/>
          <w:left w:w="0" w:type="dxa"/>
          <w:bottom w:w="0" w:type="dxa"/>
          <w:right w:w="0" w:type="dxa"/>
        </w:tblCellMar>
      </w:tblPr>
      <w:tr>
        <w:trPr>
          <w:trHeight w:val="194"/>
        </w:trPr>
        <w:tc>
          <w:tcPr>
            <w:tcW w:w="5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right="920"/>
              <w:spacing w:after="0"/>
              <w:rPr>
                <w:sz w:val="20"/>
                <w:szCs w:val="20"/>
                <w:color w:val="auto"/>
              </w:rPr>
            </w:pPr>
            <w:r>
              <w:rPr>
                <w:rFonts w:ascii="Arial" w:cs="Arial" w:eastAsia="Arial" w:hAnsi="Arial"/>
                <w:sz w:val="16"/>
                <w:szCs w:val="16"/>
                <w:b w:val="1"/>
                <w:bCs w:val="1"/>
                <w:color w:val="auto"/>
                <w:w w:val="89"/>
              </w:rPr>
              <w:t>Year Ended December 31</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720"/>
              <w:spacing w:after="0" w:line="169" w:lineRule="exact"/>
              <w:rPr>
                <w:sz w:val="20"/>
                <w:szCs w:val="20"/>
                <w:color w:val="auto"/>
              </w:rPr>
            </w:pPr>
            <w:r>
              <w:rPr>
                <w:rFonts w:ascii="Arial" w:cs="Arial" w:eastAsia="Arial" w:hAnsi="Arial"/>
                <w:sz w:val="16"/>
                <w:szCs w:val="16"/>
                <w:b w:val="1"/>
                <w:bCs w:val="1"/>
                <w:color w:val="auto"/>
                <w:w w:val="91"/>
              </w:rPr>
              <w:t>% Variance</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3"/>
          </w:tcPr>
          <w:p>
            <w:pPr>
              <w:jc w:val="center"/>
              <w:ind w:right="780"/>
              <w:spacing w:after="0" w:line="153" w:lineRule="exact"/>
              <w:rPr>
                <w:sz w:val="20"/>
                <w:szCs w:val="20"/>
                <w:color w:val="auto"/>
              </w:rPr>
            </w:pPr>
            <w:r>
              <w:rPr>
                <w:rFonts w:ascii="Arial" w:cs="Arial" w:eastAsia="Arial" w:hAnsi="Arial"/>
                <w:sz w:val="16"/>
                <w:szCs w:val="16"/>
                <w:b w:val="1"/>
                <w:bCs w:val="1"/>
                <w:color w:val="auto"/>
                <w:w w:val="89"/>
              </w:rPr>
              <w:t>Amount</w:t>
            </w:r>
          </w:p>
        </w:tc>
        <w:tc>
          <w:tcPr>
            <w:tcW w:w="900" w:type="dxa"/>
            <w:vAlign w:val="bottom"/>
          </w:tcPr>
          <w:p>
            <w:pPr>
              <w:jc w:val="right"/>
              <w:ind w:right="181"/>
              <w:spacing w:after="0" w:line="153" w:lineRule="exact"/>
              <w:rPr>
                <w:sz w:val="20"/>
                <w:szCs w:val="20"/>
                <w:color w:val="auto"/>
              </w:rPr>
            </w:pPr>
            <w:r>
              <w:rPr>
                <w:rFonts w:ascii="Arial" w:cs="Arial" w:eastAsia="Arial" w:hAnsi="Arial"/>
                <w:sz w:val="16"/>
                <w:szCs w:val="16"/>
                <w:b w:val="1"/>
                <w:bCs w:val="1"/>
                <w:color w:val="auto"/>
                <w:w w:val="89"/>
              </w:rPr>
              <w:t>Constant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88"/>
              </w:rPr>
              <w:t>Reported</w:t>
            </w:r>
          </w:p>
        </w:tc>
        <w:tc>
          <w:tcPr>
            <w:tcW w:w="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w w:val="91"/>
              </w:rPr>
              <w:t>Currency</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3"/>
          </w:tcPr>
          <w:p>
            <w:pPr>
              <w:jc w:val="center"/>
              <w:ind w:left="521"/>
              <w:spacing w:after="0" w:line="169" w:lineRule="exact"/>
              <w:rPr>
                <w:sz w:val="20"/>
                <w:szCs w:val="20"/>
                <w:color w:val="auto"/>
              </w:rPr>
            </w:pPr>
            <w:r>
              <w:rPr>
                <w:rFonts w:ascii="Arial" w:cs="Arial" w:eastAsia="Arial" w:hAnsi="Arial"/>
                <w:sz w:val="16"/>
                <w:szCs w:val="16"/>
                <w:color w:val="auto"/>
                <w:w w:val="90"/>
              </w:rPr>
              <w:t>(Unaudited)</w:t>
            </w: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34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Revenues from services (a)</w:t>
            </w:r>
          </w:p>
        </w:tc>
        <w:tc>
          <w:tcPr>
            <w:tcW w:w="280" w:type="dxa"/>
            <w:vAlign w:val="bottom"/>
            <w:shd w:val="clear" w:color="auto" w:fill="CFF0FC"/>
          </w:tcPr>
          <w:p>
            <w:pPr>
              <w:jc w:val="right"/>
              <w:ind w:right="101"/>
              <w:spacing w:after="0" w:line="178" w:lineRule="exact"/>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20,724.4</w:t>
            </w:r>
          </w:p>
        </w:tc>
        <w:tc>
          <w:tcPr>
            <w:tcW w:w="540" w:type="dxa"/>
            <w:vAlign w:val="bottom"/>
            <w:gridSpan w:val="2"/>
            <w:shd w:val="clear" w:color="auto" w:fill="CFF0FC"/>
          </w:tcPr>
          <w:p>
            <w:pPr>
              <w:jc w:val="right"/>
              <w:ind w:right="101"/>
              <w:spacing w:after="0" w:line="178"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18,001.0</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line="178" w:lineRule="exact"/>
              <w:rPr>
                <w:sz w:val="20"/>
                <w:szCs w:val="20"/>
                <w:color w:val="auto"/>
              </w:rPr>
            </w:pPr>
            <w:r>
              <w:rPr>
                <w:rFonts w:ascii="Arial" w:cs="Arial" w:eastAsia="Arial" w:hAnsi="Arial"/>
                <w:sz w:val="16"/>
                <w:szCs w:val="16"/>
                <w:color w:val="auto"/>
              </w:rPr>
              <w:t>15.1 %</w:t>
            </w: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12.1 %</w:t>
            </w:r>
          </w:p>
        </w:tc>
        <w:tc>
          <w:tcPr>
            <w:tcW w:w="0" w:type="dxa"/>
            <w:vAlign w:val="bottom"/>
          </w:tcPr>
          <w:p>
            <w:pPr>
              <w:spacing w:after="0"/>
              <w:rPr>
                <w:sz w:val="1"/>
                <w:szCs w:val="1"/>
                <w:color w:val="auto"/>
              </w:rPr>
            </w:pPr>
          </w:p>
        </w:tc>
      </w:tr>
      <w:tr>
        <w:trPr>
          <w:trHeight w:val="177"/>
        </w:trPr>
        <w:tc>
          <w:tcPr>
            <w:tcW w:w="5340" w:type="dxa"/>
            <w:vAlign w:val="bottom"/>
          </w:tcPr>
          <w:p>
            <w:pPr>
              <w:spacing w:after="0" w:line="178" w:lineRule="exact"/>
              <w:rPr>
                <w:sz w:val="20"/>
                <w:szCs w:val="20"/>
                <w:color w:val="auto"/>
              </w:rPr>
            </w:pPr>
            <w:r>
              <w:rPr>
                <w:rFonts w:ascii="Arial" w:cs="Arial" w:eastAsia="Arial" w:hAnsi="Arial"/>
                <w:sz w:val="16"/>
                <w:szCs w:val="16"/>
                <w:color w:val="auto"/>
              </w:rPr>
              <w:t>Cost of services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17,316.9</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15,176.3</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240"/>
              <w:spacing w:after="0" w:line="178" w:lineRule="exact"/>
              <w:rPr>
                <w:sz w:val="20"/>
                <w:szCs w:val="20"/>
                <w:color w:val="auto"/>
              </w:rPr>
            </w:pPr>
            <w:r>
              <w:rPr>
                <w:rFonts w:ascii="Arial" w:cs="Arial" w:eastAsia="Arial" w:hAnsi="Arial"/>
                <w:sz w:val="16"/>
                <w:szCs w:val="16"/>
                <w:color w:val="auto"/>
              </w:rPr>
              <w:t>14.1 %</w:t>
            </w:r>
          </w:p>
        </w:tc>
        <w:tc>
          <w:tcPr>
            <w:tcW w:w="220" w:type="dxa"/>
            <w:vAlign w:val="bottom"/>
          </w:tcPr>
          <w:p>
            <w:pPr>
              <w:spacing w:after="0"/>
              <w:rPr>
                <w:sz w:val="15"/>
                <w:szCs w:val="15"/>
                <w:color w:val="auto"/>
              </w:rPr>
            </w:pPr>
          </w:p>
        </w:tc>
        <w:tc>
          <w:tcPr>
            <w:tcW w:w="11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11.1 %</w:t>
            </w:r>
          </w:p>
        </w:tc>
        <w:tc>
          <w:tcPr>
            <w:tcW w:w="0" w:type="dxa"/>
            <w:vAlign w:val="bottom"/>
          </w:tcPr>
          <w:p>
            <w:pPr>
              <w:spacing w:after="0"/>
              <w:rPr>
                <w:sz w:val="1"/>
                <w:szCs w:val="1"/>
                <w:color w:val="auto"/>
              </w:rPr>
            </w:pPr>
          </w:p>
        </w:tc>
      </w:tr>
      <w:tr>
        <w:trPr>
          <w:trHeight w:val="169"/>
        </w:trPr>
        <w:tc>
          <w:tcPr>
            <w:tcW w:w="5340" w:type="dxa"/>
            <w:vAlign w:val="bottom"/>
            <w:shd w:val="clear" w:color="auto" w:fill="CFF0FC"/>
          </w:tcPr>
          <w:p>
            <w:pPr>
              <w:ind w:left="80"/>
              <w:spacing w:after="0" w:line="169" w:lineRule="exact"/>
              <w:rPr>
                <w:sz w:val="20"/>
                <w:szCs w:val="20"/>
                <w:color w:val="auto"/>
              </w:rPr>
            </w:pPr>
            <w:r>
              <w:rPr>
                <w:rFonts w:ascii="Arial" w:cs="Arial" w:eastAsia="Arial" w:hAnsi="Arial"/>
                <w:sz w:val="16"/>
                <w:szCs w:val="16"/>
                <w:color w:val="auto"/>
              </w:rPr>
              <w:t>Gross profit</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3,407.5</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2,824.7</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6"/>
                <w:szCs w:val="16"/>
                <w:color w:val="auto"/>
              </w:rPr>
              <w:t>20.6 %</w:t>
            </w: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17.9 %</w:t>
            </w:r>
          </w:p>
        </w:tc>
        <w:tc>
          <w:tcPr>
            <w:tcW w:w="0" w:type="dxa"/>
            <w:vAlign w:val="bottom"/>
          </w:tcPr>
          <w:p>
            <w:pPr>
              <w:spacing w:after="0"/>
              <w:rPr>
                <w:sz w:val="1"/>
                <w:szCs w:val="1"/>
                <w:color w:val="auto"/>
              </w:rPr>
            </w:pPr>
          </w:p>
        </w:tc>
      </w:tr>
      <w:tr>
        <w:trPr>
          <w:trHeight w:val="142"/>
        </w:trPr>
        <w:tc>
          <w:tcPr>
            <w:tcW w:w="5340" w:type="dxa"/>
            <w:vAlign w:val="bottom"/>
          </w:tcPr>
          <w:p>
            <w:pPr>
              <w:ind w:left="80"/>
              <w:spacing w:after="0" w:line="142" w:lineRule="exact"/>
              <w:rPr>
                <w:sz w:val="20"/>
                <w:szCs w:val="20"/>
                <w:color w:val="auto"/>
              </w:rPr>
            </w:pPr>
            <w:r>
              <w:rPr>
                <w:rFonts w:ascii="Arial" w:cs="Arial" w:eastAsia="Arial" w:hAnsi="Arial"/>
                <w:sz w:val="16"/>
                <w:szCs w:val="16"/>
                <w:color w:val="auto"/>
              </w:rPr>
              <w:t>Selling and administrative expenses,</w:t>
            </w:r>
          </w:p>
        </w:tc>
        <w:tc>
          <w:tcPr>
            <w:tcW w:w="2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2,822.1</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2,570.3</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9.8 %</w:t>
            </w:r>
          </w:p>
        </w:tc>
        <w:tc>
          <w:tcPr>
            <w:tcW w:w="220" w:type="dxa"/>
            <w:vAlign w:val="bottom"/>
          </w:tcPr>
          <w:p>
            <w:pPr>
              <w:spacing w:after="0"/>
              <w:rPr>
                <w:sz w:val="12"/>
                <w:szCs w:val="12"/>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7.2 %</w:t>
            </w:r>
          </w:p>
        </w:tc>
        <w:tc>
          <w:tcPr>
            <w:tcW w:w="0" w:type="dxa"/>
            <w:vAlign w:val="bottom"/>
          </w:tcPr>
          <w:p>
            <w:pPr>
              <w:spacing w:after="0"/>
              <w:rPr>
                <w:sz w:val="1"/>
                <w:szCs w:val="1"/>
                <w:color w:val="auto"/>
              </w:rPr>
            </w:pPr>
          </w:p>
        </w:tc>
      </w:tr>
      <w:tr>
        <w:trPr>
          <w:trHeight w:val="189"/>
        </w:trPr>
        <w:tc>
          <w:tcPr>
            <w:tcW w:w="5340" w:type="dxa"/>
            <w:vAlign w:val="bottom"/>
          </w:tcPr>
          <w:p>
            <w:pPr>
              <w:ind w:left="120"/>
              <w:spacing w:after="0"/>
              <w:rPr>
                <w:sz w:val="20"/>
                <w:szCs w:val="20"/>
                <w:color w:val="auto"/>
              </w:rPr>
            </w:pPr>
            <w:r>
              <w:rPr>
                <w:rFonts w:ascii="Arial" w:cs="Arial" w:eastAsia="Arial" w:hAnsi="Arial"/>
                <w:sz w:val="16"/>
                <w:szCs w:val="16"/>
                <w:color w:val="auto"/>
              </w:rPr>
              <w:t>excluding goodwill impairment charge</w:t>
            </w: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340" w:type="dxa"/>
            <w:vAlign w:val="bottom"/>
            <w:tcBorders>
              <w:bottom w:val="single" w:sz="8" w:color="CFF0FC"/>
            </w:tcBorders>
            <w:shd w:val="clear" w:color="auto" w:fill="CFF0FC"/>
          </w:tcPr>
          <w:p>
            <w:pPr>
              <w:ind w:left="80"/>
              <w:spacing w:after="0" w:line="178" w:lineRule="exact"/>
              <w:rPr>
                <w:sz w:val="20"/>
                <w:szCs w:val="20"/>
                <w:color w:val="auto"/>
              </w:rPr>
            </w:pPr>
            <w:r>
              <w:rPr>
                <w:rFonts w:ascii="Arial" w:cs="Arial" w:eastAsia="Arial" w:hAnsi="Arial"/>
                <w:sz w:val="16"/>
                <w:szCs w:val="16"/>
                <w:color w:val="auto"/>
              </w:rPr>
              <w:t>Goodwill impairment charge (b)</w:t>
            </w:r>
          </w:p>
        </w:tc>
        <w:tc>
          <w:tcPr>
            <w:tcW w:w="2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66.8</w:t>
            </w:r>
          </w:p>
        </w:tc>
        <w:tc>
          <w:tcPr>
            <w:tcW w:w="2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520" w:type="dxa"/>
            <w:vAlign w:val="bottom"/>
            <w:tcBorders>
              <w:bottom w:val="single" w:sz="8" w:color="CFF0FC"/>
            </w:tcBorders>
            <w:gridSpan w:val="3"/>
            <w:shd w:val="clear" w:color="auto" w:fill="CFF0FC"/>
          </w:tcPr>
          <w:p>
            <w:pPr>
              <w:ind w:left="640"/>
              <w:spacing w:after="0" w:line="178" w:lineRule="exact"/>
              <w:rPr>
                <w:sz w:val="20"/>
                <w:szCs w:val="20"/>
                <w:color w:val="auto"/>
              </w:rPr>
            </w:pPr>
            <w:r>
              <w:rPr>
                <w:rFonts w:ascii="Arial" w:cs="Arial" w:eastAsia="Arial" w:hAnsi="Arial"/>
                <w:sz w:val="16"/>
                <w:szCs w:val="16"/>
                <w:color w:val="auto"/>
              </w:rPr>
              <w:t>N/A</w:t>
            </w:r>
          </w:p>
        </w:tc>
        <w:tc>
          <w:tcPr>
            <w:tcW w:w="1140" w:type="dxa"/>
            <w:vAlign w:val="bottom"/>
            <w:tcBorders>
              <w:bottom w:val="single" w:sz="8" w:color="CFF0FC"/>
            </w:tcBorders>
            <w:gridSpan w:val="2"/>
            <w:shd w:val="clear" w:color="auto" w:fill="CFF0FC"/>
          </w:tcPr>
          <w:p>
            <w:pPr>
              <w:jc w:val="right"/>
              <w:ind w:right="260"/>
              <w:spacing w:after="0" w:line="178"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69"/>
        </w:trPr>
        <w:tc>
          <w:tcPr>
            <w:tcW w:w="5340" w:type="dxa"/>
            <w:vAlign w:val="bottom"/>
          </w:tcPr>
          <w:p>
            <w:pPr>
              <w:spacing w:after="0" w:line="169" w:lineRule="exact"/>
              <w:rPr>
                <w:sz w:val="20"/>
                <w:szCs w:val="20"/>
                <w:color w:val="auto"/>
              </w:rPr>
            </w:pPr>
            <w:r>
              <w:rPr>
                <w:rFonts w:ascii="Arial" w:cs="Arial" w:eastAsia="Arial" w:hAnsi="Arial"/>
                <w:sz w:val="16"/>
                <w:szCs w:val="16"/>
                <w:color w:val="auto"/>
              </w:rPr>
              <w:t>Selling and administrative expenses</w:t>
            </w:r>
          </w:p>
        </w:tc>
        <w:tc>
          <w:tcPr>
            <w:tcW w:w="28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6"/>
                <w:szCs w:val="16"/>
                <w:color w:val="auto"/>
              </w:rPr>
              <w:t>2,822.1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6"/>
                <w:szCs w:val="16"/>
                <w:color w:val="auto"/>
              </w:rPr>
              <w:t>2,637.1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240"/>
              <w:spacing w:after="0" w:line="169" w:lineRule="exact"/>
              <w:rPr>
                <w:sz w:val="20"/>
                <w:szCs w:val="20"/>
                <w:color w:val="auto"/>
              </w:rPr>
            </w:pPr>
            <w:r>
              <w:rPr>
                <w:rFonts w:ascii="Arial" w:cs="Arial" w:eastAsia="Arial" w:hAnsi="Arial"/>
                <w:sz w:val="16"/>
                <w:szCs w:val="16"/>
                <w:color w:val="auto"/>
              </w:rPr>
              <w:t>7.0 %</w:t>
            </w:r>
          </w:p>
        </w:tc>
        <w:tc>
          <w:tcPr>
            <w:tcW w:w="220" w:type="dxa"/>
            <w:vAlign w:val="bottom"/>
          </w:tcPr>
          <w:p>
            <w:pPr>
              <w:spacing w:after="0"/>
              <w:rPr>
                <w:sz w:val="14"/>
                <w:szCs w:val="14"/>
                <w:color w:val="auto"/>
              </w:rPr>
            </w:pPr>
          </w:p>
        </w:tc>
        <w:tc>
          <w:tcPr>
            <w:tcW w:w="114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177"/>
        </w:trPr>
        <w:tc>
          <w:tcPr>
            <w:tcW w:w="5340" w:type="dxa"/>
            <w:vAlign w:val="bottom"/>
            <w:shd w:val="clear" w:color="auto" w:fill="CFF0FC"/>
          </w:tcPr>
          <w:p>
            <w:pPr>
              <w:ind w:left="80"/>
              <w:spacing w:after="0" w:line="178" w:lineRule="exact"/>
              <w:rPr>
                <w:sz w:val="20"/>
                <w:szCs w:val="20"/>
                <w:color w:val="auto"/>
              </w:rPr>
            </w:pPr>
            <w:r>
              <w:rPr>
                <w:rFonts w:ascii="Arial" w:cs="Arial" w:eastAsia="Arial" w:hAnsi="Arial"/>
                <w:sz w:val="16"/>
                <w:szCs w:val="16"/>
                <w:color w:val="auto"/>
              </w:rPr>
              <w:t>Operating profit</w:t>
            </w: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585.4</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187.6</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line="178" w:lineRule="exact"/>
              <w:rPr>
                <w:sz w:val="20"/>
                <w:szCs w:val="20"/>
                <w:color w:val="auto"/>
              </w:rPr>
            </w:pPr>
            <w:r>
              <w:rPr>
                <w:rFonts w:ascii="Arial" w:cs="Arial" w:eastAsia="Arial" w:hAnsi="Arial"/>
                <w:sz w:val="16"/>
                <w:szCs w:val="16"/>
                <w:color w:val="auto"/>
              </w:rPr>
              <w:t>212.0 %</w:t>
            </w: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205.5 %</w:t>
            </w:r>
          </w:p>
        </w:tc>
        <w:tc>
          <w:tcPr>
            <w:tcW w:w="0" w:type="dxa"/>
            <w:vAlign w:val="bottom"/>
          </w:tcPr>
          <w:p>
            <w:pPr>
              <w:spacing w:after="0"/>
              <w:rPr>
                <w:sz w:val="1"/>
                <w:szCs w:val="1"/>
                <w:color w:val="auto"/>
              </w:rPr>
            </w:pPr>
          </w:p>
        </w:tc>
      </w:tr>
      <w:tr>
        <w:trPr>
          <w:trHeight w:val="177"/>
        </w:trPr>
        <w:tc>
          <w:tcPr>
            <w:tcW w:w="5340" w:type="dxa"/>
            <w:vAlign w:val="bottom"/>
          </w:tcPr>
          <w:p>
            <w:pPr>
              <w:spacing w:after="0" w:line="178" w:lineRule="exact"/>
              <w:rPr>
                <w:sz w:val="20"/>
                <w:szCs w:val="20"/>
                <w:color w:val="auto"/>
              </w:rPr>
            </w:pPr>
            <w:r>
              <w:rPr>
                <w:rFonts w:ascii="Arial" w:cs="Arial" w:eastAsia="Arial" w:hAnsi="Arial"/>
                <w:sz w:val="16"/>
                <w:szCs w:val="16"/>
                <w:color w:val="auto"/>
              </w:rPr>
              <w:t>Interest and other expenses, net</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17.3</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39.9</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240"/>
              <w:spacing w:after="0" w:line="178" w:lineRule="exact"/>
              <w:rPr>
                <w:sz w:val="20"/>
                <w:szCs w:val="20"/>
                <w:color w:val="auto"/>
              </w:rPr>
            </w:pPr>
            <w:r>
              <w:rPr>
                <w:rFonts w:ascii="Arial" w:cs="Arial" w:eastAsia="Arial" w:hAnsi="Arial"/>
                <w:sz w:val="16"/>
                <w:szCs w:val="16"/>
                <w:color w:val="auto"/>
              </w:rPr>
              <w:t>-56.7 %</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40" w:type="dxa"/>
            <w:vAlign w:val="bottom"/>
            <w:shd w:val="clear" w:color="auto" w:fill="CFF0FC"/>
          </w:tcPr>
          <w:p>
            <w:pPr>
              <w:ind w:left="80"/>
              <w:spacing w:after="0" w:line="169" w:lineRule="exact"/>
              <w:rPr>
                <w:sz w:val="20"/>
                <w:szCs w:val="20"/>
                <w:color w:val="auto"/>
              </w:rPr>
            </w:pPr>
            <w:r>
              <w:rPr>
                <w:rFonts w:ascii="Arial" w:cs="Arial" w:eastAsia="Arial" w:hAnsi="Arial"/>
                <w:sz w:val="16"/>
                <w:szCs w:val="16"/>
                <w:color w:val="auto"/>
              </w:rPr>
              <w:t>Earnings before income taxes</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568.1</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147.7</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6"/>
                <w:szCs w:val="16"/>
                <w:color w:val="auto"/>
              </w:rPr>
              <w:t>284.6 %</w:t>
            </w: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275.2 %</w:t>
            </w:r>
          </w:p>
        </w:tc>
        <w:tc>
          <w:tcPr>
            <w:tcW w:w="0" w:type="dxa"/>
            <w:vAlign w:val="bottom"/>
          </w:tcPr>
          <w:p>
            <w:pPr>
              <w:spacing w:after="0"/>
              <w:rPr>
                <w:sz w:val="1"/>
                <w:szCs w:val="1"/>
                <w:color w:val="auto"/>
              </w:rPr>
            </w:pPr>
          </w:p>
        </w:tc>
      </w:tr>
      <w:tr>
        <w:trPr>
          <w:trHeight w:val="177"/>
        </w:trPr>
        <w:tc>
          <w:tcPr>
            <w:tcW w:w="5340" w:type="dxa"/>
            <w:vAlign w:val="bottom"/>
          </w:tcPr>
          <w:p>
            <w:pPr>
              <w:spacing w:after="0" w:line="178" w:lineRule="exact"/>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185.7</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123.9</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240"/>
              <w:spacing w:after="0" w:line="178" w:lineRule="exact"/>
              <w:rPr>
                <w:sz w:val="20"/>
                <w:szCs w:val="20"/>
                <w:color w:val="auto"/>
              </w:rPr>
            </w:pPr>
            <w:r>
              <w:rPr>
                <w:rFonts w:ascii="Arial" w:cs="Arial" w:eastAsia="Arial" w:hAnsi="Arial"/>
                <w:sz w:val="16"/>
                <w:szCs w:val="16"/>
                <w:color w:val="auto"/>
              </w:rPr>
              <w:t>49.9 %</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CFF0FC"/>
            </w:tcBorders>
            <w:shd w:val="clear" w:color="auto" w:fill="CFF0FC"/>
          </w:tcPr>
          <w:p>
            <w:pPr>
              <w:ind w:left="80"/>
              <w:spacing w:after="0" w:line="158" w:lineRule="exact"/>
              <w:rPr>
                <w:sz w:val="20"/>
                <w:szCs w:val="20"/>
                <w:color w:val="auto"/>
              </w:rPr>
            </w:pPr>
            <w:r>
              <w:rPr>
                <w:rFonts w:ascii="Arial" w:cs="Arial" w:eastAsia="Arial" w:hAnsi="Arial"/>
                <w:sz w:val="16"/>
                <w:szCs w:val="16"/>
                <w:color w:val="auto"/>
              </w:rPr>
              <w:t>Net earnings</w:t>
            </w:r>
          </w:p>
        </w:tc>
        <w:tc>
          <w:tcPr>
            <w:tcW w:w="280" w:type="dxa"/>
            <w:vAlign w:val="bottom"/>
            <w:tcBorders>
              <w:bottom w:val="single" w:sz="8" w:color="auto"/>
            </w:tcBorders>
            <w:shd w:val="clear" w:color="auto" w:fill="CFF0FC"/>
          </w:tcPr>
          <w:p>
            <w:pPr>
              <w:jc w:val="right"/>
              <w:ind w:right="101"/>
              <w:spacing w:after="0" w:line="158"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6"/>
                <w:szCs w:val="16"/>
                <w:color w:val="auto"/>
              </w:rPr>
              <w:t>382.4</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01"/>
              <w:spacing w:after="0" w:line="158"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6"/>
                <w:szCs w:val="16"/>
                <w:color w:val="auto"/>
              </w:rPr>
              <w:t>23.8</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gridSpan w:val="2"/>
            <w:shd w:val="clear" w:color="auto" w:fill="CFF0FC"/>
          </w:tcPr>
          <w:p>
            <w:pPr>
              <w:jc w:val="right"/>
              <w:ind w:right="240"/>
              <w:spacing w:after="0" w:line="158" w:lineRule="exact"/>
              <w:rPr>
                <w:sz w:val="20"/>
                <w:szCs w:val="20"/>
                <w:color w:val="auto"/>
              </w:rPr>
            </w:pPr>
            <w:r>
              <w:rPr>
                <w:rFonts w:ascii="Arial" w:cs="Arial" w:eastAsia="Arial" w:hAnsi="Arial"/>
                <w:sz w:val="16"/>
                <w:szCs w:val="16"/>
                <w:color w:val="auto"/>
              </w:rPr>
              <w:t>1504.6 %</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2"/>
            <w:shd w:val="clear" w:color="auto" w:fill="CFF0FC"/>
          </w:tcPr>
          <w:p>
            <w:pPr>
              <w:jc w:val="right"/>
              <w:ind w:right="100"/>
              <w:spacing w:after="0" w:line="158" w:lineRule="exact"/>
              <w:rPr>
                <w:sz w:val="20"/>
                <w:szCs w:val="20"/>
                <w:color w:val="auto"/>
              </w:rPr>
            </w:pPr>
            <w:r>
              <w:rPr>
                <w:rFonts w:ascii="Arial" w:cs="Arial" w:eastAsia="Arial" w:hAnsi="Arial"/>
                <w:sz w:val="16"/>
                <w:szCs w:val="16"/>
                <w:color w:val="auto"/>
              </w:rPr>
              <w:t>1465.2 %</w:t>
            </w:r>
          </w:p>
        </w:tc>
        <w:tc>
          <w:tcPr>
            <w:tcW w:w="0" w:type="dxa"/>
            <w:vAlign w:val="bottom"/>
          </w:tcPr>
          <w:p>
            <w:pPr>
              <w:spacing w:after="0"/>
              <w:rPr>
                <w:sz w:val="1"/>
                <w:szCs w:val="1"/>
                <w:color w:val="auto"/>
              </w:rPr>
            </w:pPr>
          </w:p>
        </w:tc>
      </w:tr>
      <w:tr>
        <w:trPr>
          <w:trHeight w:val="153"/>
        </w:trPr>
        <w:tc>
          <w:tcPr>
            <w:tcW w:w="5340" w:type="dxa"/>
            <w:vAlign w:val="bottom"/>
          </w:tcPr>
          <w:p>
            <w:pPr>
              <w:spacing w:after="0" w:line="153" w:lineRule="exact"/>
              <w:rPr>
                <w:sz w:val="20"/>
                <w:szCs w:val="20"/>
                <w:color w:val="auto"/>
              </w:rPr>
            </w:pPr>
            <w:r>
              <w:rPr>
                <w:rFonts w:ascii="Arial" w:cs="Arial" w:eastAsia="Arial" w:hAnsi="Arial"/>
                <w:sz w:val="16"/>
                <w:szCs w:val="16"/>
                <w:color w:val="auto"/>
              </w:rPr>
              <w:t>Net earnings per share - basic</w:t>
            </w:r>
          </w:p>
        </w:tc>
        <w:tc>
          <w:tcPr>
            <w:tcW w:w="280" w:type="dxa"/>
            <w:vAlign w:val="bottom"/>
          </w:tcPr>
          <w:p>
            <w:pPr>
              <w:jc w:val="right"/>
              <w:ind w:right="101"/>
              <w:spacing w:after="0" w:line="153"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line="153" w:lineRule="exact"/>
              <w:rPr>
                <w:sz w:val="20"/>
                <w:szCs w:val="20"/>
                <w:color w:val="auto"/>
              </w:rPr>
            </w:pPr>
            <w:r>
              <w:rPr>
                <w:rFonts w:ascii="Arial" w:cs="Arial" w:eastAsia="Arial" w:hAnsi="Arial"/>
                <w:sz w:val="16"/>
                <w:szCs w:val="16"/>
                <w:color w:val="auto"/>
              </w:rPr>
              <w:t>7.01</w:t>
            </w:r>
          </w:p>
        </w:tc>
        <w:tc>
          <w:tcPr>
            <w:tcW w:w="540" w:type="dxa"/>
            <w:vAlign w:val="bottom"/>
            <w:gridSpan w:val="2"/>
          </w:tcPr>
          <w:p>
            <w:pPr>
              <w:jc w:val="right"/>
              <w:ind w:right="101"/>
              <w:spacing w:after="0" w:line="15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53" w:lineRule="exact"/>
              <w:rPr>
                <w:sz w:val="20"/>
                <w:szCs w:val="20"/>
                <w:color w:val="auto"/>
              </w:rPr>
            </w:pPr>
            <w:r>
              <w:rPr>
                <w:rFonts w:ascii="Arial" w:cs="Arial" w:eastAsia="Arial" w:hAnsi="Arial"/>
                <w:sz w:val="16"/>
                <w:szCs w:val="16"/>
                <w:color w:val="auto"/>
              </w:rPr>
              <w:t>0.41</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240"/>
              <w:spacing w:after="0" w:line="153" w:lineRule="exact"/>
              <w:rPr>
                <w:sz w:val="20"/>
                <w:szCs w:val="20"/>
                <w:color w:val="auto"/>
              </w:rPr>
            </w:pPr>
            <w:r>
              <w:rPr>
                <w:rFonts w:ascii="Arial" w:cs="Arial" w:eastAsia="Arial" w:hAnsi="Arial"/>
                <w:sz w:val="16"/>
                <w:szCs w:val="16"/>
                <w:color w:val="auto"/>
              </w:rPr>
              <w:t>1609.8 %</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340" w:type="dxa"/>
            <w:vAlign w:val="bottom"/>
            <w:tcBorders>
              <w:bottom w:val="single" w:sz="8" w:color="CFF0FC"/>
            </w:tcBorders>
            <w:shd w:val="clear" w:color="auto" w:fill="CFF0FC"/>
          </w:tcPr>
          <w:p>
            <w:pPr>
              <w:spacing w:after="0" w:line="153" w:lineRule="exact"/>
              <w:rPr>
                <w:sz w:val="20"/>
                <w:szCs w:val="20"/>
                <w:color w:val="auto"/>
              </w:rPr>
            </w:pPr>
            <w:r>
              <w:rPr>
                <w:rFonts w:ascii="Arial" w:cs="Arial" w:eastAsia="Arial" w:hAnsi="Arial"/>
                <w:sz w:val="16"/>
                <w:szCs w:val="16"/>
                <w:color w:val="auto"/>
              </w:rPr>
              <w:t>Net earnings per share - diluted</w:t>
            </w:r>
          </w:p>
        </w:tc>
        <w:tc>
          <w:tcPr>
            <w:tcW w:w="280" w:type="dxa"/>
            <w:vAlign w:val="bottom"/>
            <w:tcBorders>
              <w:bottom w:val="single" w:sz="8" w:color="auto"/>
            </w:tcBorders>
            <w:shd w:val="clear" w:color="auto" w:fill="CFF0FC"/>
          </w:tcPr>
          <w:p>
            <w:pPr>
              <w:jc w:val="right"/>
              <w:ind w:right="101"/>
              <w:spacing w:after="0" w:line="15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6"/>
                <w:szCs w:val="16"/>
                <w:color w:val="auto"/>
              </w:rPr>
              <w:t>6.91</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01"/>
              <w:spacing w:after="0" w:line="15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6"/>
                <w:szCs w:val="16"/>
                <w:color w:val="auto"/>
              </w:rPr>
              <w:t>0.41</w:t>
            </w:r>
          </w:p>
        </w:tc>
        <w:tc>
          <w:tcPr>
            <w:tcW w:w="2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gridSpan w:val="2"/>
            <w:shd w:val="clear" w:color="auto" w:fill="CFF0FC"/>
          </w:tcPr>
          <w:p>
            <w:pPr>
              <w:jc w:val="right"/>
              <w:ind w:right="240"/>
              <w:spacing w:after="0" w:line="153" w:lineRule="exact"/>
              <w:rPr>
                <w:sz w:val="20"/>
                <w:szCs w:val="20"/>
                <w:color w:val="auto"/>
              </w:rPr>
            </w:pPr>
            <w:r>
              <w:rPr>
                <w:rFonts w:ascii="Arial" w:cs="Arial" w:eastAsia="Arial" w:hAnsi="Arial"/>
                <w:sz w:val="16"/>
                <w:szCs w:val="16"/>
                <w:color w:val="auto"/>
              </w:rPr>
              <w:t>1585.4 %</w:t>
            </w:r>
          </w:p>
        </w:tc>
        <w:tc>
          <w:tcPr>
            <w:tcW w:w="22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gridSpan w:val="2"/>
            <w:shd w:val="clear" w:color="auto" w:fill="CFF0FC"/>
          </w:tcPr>
          <w:p>
            <w:pPr>
              <w:jc w:val="right"/>
              <w:ind w:right="100"/>
              <w:spacing w:after="0" w:line="153" w:lineRule="exact"/>
              <w:rPr>
                <w:sz w:val="20"/>
                <w:szCs w:val="20"/>
                <w:color w:val="auto"/>
              </w:rPr>
            </w:pPr>
            <w:r>
              <w:rPr>
                <w:rFonts w:ascii="Arial" w:cs="Arial" w:eastAsia="Arial" w:hAnsi="Arial"/>
                <w:sz w:val="16"/>
                <w:szCs w:val="16"/>
                <w:color w:val="auto"/>
              </w:rPr>
              <w:t>1543.9 %</w:t>
            </w:r>
          </w:p>
        </w:tc>
        <w:tc>
          <w:tcPr>
            <w:tcW w:w="0" w:type="dxa"/>
            <w:vAlign w:val="bottom"/>
          </w:tcPr>
          <w:p>
            <w:pPr>
              <w:spacing w:after="0"/>
              <w:rPr>
                <w:sz w:val="1"/>
                <w:szCs w:val="1"/>
                <w:color w:val="auto"/>
              </w:rPr>
            </w:pPr>
          </w:p>
        </w:tc>
      </w:tr>
      <w:tr>
        <w:trPr>
          <w:trHeight w:val="153"/>
        </w:trPr>
        <w:tc>
          <w:tcPr>
            <w:tcW w:w="5340" w:type="dxa"/>
            <w:vAlign w:val="bottom"/>
          </w:tcPr>
          <w:p>
            <w:pPr>
              <w:spacing w:after="0" w:line="153" w:lineRule="exact"/>
              <w:rPr>
                <w:sz w:val="20"/>
                <w:szCs w:val="20"/>
                <w:color w:val="auto"/>
              </w:rPr>
            </w:pPr>
            <w:r>
              <w:rPr>
                <w:rFonts w:ascii="Arial" w:cs="Arial" w:eastAsia="Arial" w:hAnsi="Arial"/>
                <w:sz w:val="16"/>
                <w:szCs w:val="16"/>
                <w:color w:val="auto"/>
              </w:rPr>
              <w:t>Weighted average shares - basic</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color w:val="auto"/>
              </w:rPr>
              <w:t>54.5</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color w:val="auto"/>
              </w:rPr>
              <w:t>58.0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240"/>
              <w:spacing w:after="0" w:line="153" w:lineRule="exact"/>
              <w:rPr>
                <w:sz w:val="20"/>
                <w:szCs w:val="20"/>
                <w:color w:val="auto"/>
              </w:rPr>
            </w:pPr>
            <w:r>
              <w:rPr>
                <w:rFonts w:ascii="Arial" w:cs="Arial" w:eastAsia="Arial" w:hAnsi="Arial"/>
                <w:sz w:val="16"/>
                <w:szCs w:val="16"/>
                <w:color w:val="auto"/>
              </w:rPr>
              <w:t>-6.0 %</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340" w:type="dxa"/>
            <w:vAlign w:val="bottom"/>
            <w:tcBorders>
              <w:bottom w:val="single" w:sz="8" w:color="CFF0FC"/>
            </w:tcBorders>
            <w:shd w:val="clear" w:color="auto" w:fill="CFF0FC"/>
          </w:tcPr>
          <w:p>
            <w:pPr>
              <w:spacing w:after="0" w:line="153" w:lineRule="exact"/>
              <w:rPr>
                <w:sz w:val="20"/>
                <w:szCs w:val="20"/>
                <w:color w:val="auto"/>
              </w:rPr>
            </w:pPr>
            <w:r>
              <w:rPr>
                <w:rFonts w:ascii="Arial" w:cs="Arial" w:eastAsia="Arial" w:hAnsi="Arial"/>
                <w:sz w:val="16"/>
                <w:szCs w:val="16"/>
                <w:color w:val="auto"/>
              </w:rPr>
              <w:t>Weighted average shares - diluted</w:t>
            </w:r>
          </w:p>
        </w:tc>
        <w:tc>
          <w:tcPr>
            <w:tcW w:w="2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6"/>
                <w:szCs w:val="16"/>
                <w:color w:val="auto"/>
              </w:rPr>
              <w:t>55.4</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6"/>
                <w:szCs w:val="16"/>
                <w:color w:val="auto"/>
              </w:rPr>
              <w:t>58.3</w:t>
            </w:r>
          </w:p>
        </w:tc>
        <w:tc>
          <w:tcPr>
            <w:tcW w:w="2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gridSpan w:val="2"/>
            <w:shd w:val="clear" w:color="auto" w:fill="CFF0FC"/>
          </w:tcPr>
          <w:p>
            <w:pPr>
              <w:jc w:val="right"/>
              <w:ind w:right="240"/>
              <w:spacing w:after="0" w:line="153" w:lineRule="exact"/>
              <w:rPr>
                <w:sz w:val="20"/>
                <w:szCs w:val="20"/>
                <w:color w:val="auto"/>
              </w:rPr>
            </w:pPr>
            <w:r>
              <w:rPr>
                <w:rFonts w:ascii="Arial" w:cs="Arial" w:eastAsia="Arial" w:hAnsi="Arial"/>
                <w:sz w:val="16"/>
                <w:szCs w:val="16"/>
                <w:color w:val="auto"/>
              </w:rPr>
              <w:t>-5.0 %</w:t>
            </w:r>
          </w:p>
        </w:tc>
        <w:tc>
          <w:tcPr>
            <w:tcW w:w="22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-1258570</wp:posOffset>
            </wp:positionV>
            <wp:extent cx="74930" cy="50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930" cy="508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-1258570</wp:posOffset>
            </wp:positionV>
            <wp:extent cx="67310" cy="50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-562610</wp:posOffset>
            </wp:positionV>
            <wp:extent cx="7493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-547370</wp:posOffset>
            </wp:positionV>
            <wp:extent cx="7493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-562610</wp:posOffset>
            </wp:positionV>
            <wp:extent cx="673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-547370</wp:posOffset>
            </wp:positionV>
            <wp:extent cx="673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-292100</wp:posOffset>
            </wp:positionV>
            <wp:extent cx="7493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-277495</wp:posOffset>
            </wp:positionV>
            <wp:extent cx="7493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-292100</wp:posOffset>
            </wp:positionV>
            <wp:extent cx="673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-277495</wp:posOffset>
            </wp:positionV>
            <wp:extent cx="673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-21590</wp:posOffset>
            </wp:positionV>
            <wp:extent cx="7493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-6985</wp:posOffset>
            </wp:positionV>
            <wp:extent cx="7493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-21590</wp:posOffset>
            </wp:positionV>
            <wp:extent cx="673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-6985</wp:posOffset>
            </wp:positionV>
            <wp:extent cx="6731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45" w:lineRule="exact"/>
        <w:rPr>
          <w:sz w:val="20"/>
          <w:szCs w:val="20"/>
          <w:color w:val="auto"/>
        </w:rPr>
      </w:pPr>
    </w:p>
    <w:p>
      <w:pPr>
        <w:jc w:val="both"/>
        <w:ind w:left="505" w:hanging="505"/>
        <w:spacing w:after="0" w:line="242" w:lineRule="auto"/>
        <w:tabs>
          <w:tab w:leader="none" w:pos="505"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$15.3 million and $14.1 million for the years ended December 31, 2021 and 2020, respectively. These fees are primarily based on revenues generated by the franchise offices, which were $1,116.9 million and $622.8 million for the years ended December 31, 2021 and 2020, respectively.</w:t>
      </w:r>
    </w:p>
    <w:p>
      <w:pPr>
        <w:spacing w:after="0" w:line="153" w:lineRule="exact"/>
        <w:rPr>
          <w:rFonts w:ascii="Arial" w:cs="Arial" w:eastAsia="Arial" w:hAnsi="Arial"/>
          <w:sz w:val="16"/>
          <w:szCs w:val="16"/>
          <w:color w:val="auto"/>
        </w:rPr>
      </w:pPr>
    </w:p>
    <w:p>
      <w:pPr>
        <w:ind w:left="505" w:hanging="505"/>
        <w:spacing w:after="0"/>
        <w:tabs>
          <w:tab w:leader="none" w:pos="50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goodwill impairment charge for the year ended December 31, 2020 relates to our investment in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186055</wp:posOffset>
            </wp:positionV>
            <wp:extent cx="717486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40" w:right="319" w:bottom="1440" w:gutter="0" w:footer="0" w:header="0"/>
        </w:sectPr>
      </w:pPr>
    </w:p>
    <w:bookmarkStart w:id="9" w:name="page10"/>
    <w:bookmarkEnd w:id="9"/>
    <w:p>
      <w:pPr>
        <w:ind w:left="5086"/>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906"/>
        <w:spacing w:after="0"/>
        <w:rPr>
          <w:sz w:val="20"/>
          <w:szCs w:val="20"/>
          <w:color w:val="auto"/>
        </w:rPr>
      </w:pPr>
      <w:r>
        <w:rPr>
          <w:rFonts w:ascii="Arial" w:cs="Arial" w:eastAsia="Arial" w:hAnsi="Arial"/>
          <w:sz w:val="16"/>
          <w:szCs w:val="16"/>
          <w:color w:val="auto"/>
        </w:rPr>
        <w:t>Operating Unit Results</w:t>
      </w:r>
    </w:p>
    <w:p>
      <w:pPr>
        <w:spacing w:after="0" w:line="1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(In millions)</w:t>
      </w:r>
    </w:p>
    <w:p>
      <w:pPr>
        <w:spacing w:after="0" w:line="202" w:lineRule="exact"/>
        <w:rPr>
          <w:sz w:val="20"/>
          <w:szCs w:val="20"/>
          <w:color w:val="auto"/>
        </w:rPr>
      </w:pPr>
    </w:p>
    <w:tbl>
      <w:tblPr>
        <w:tblLayout w:type="fixed"/>
        <w:tblInd w:w="6" w:type="dxa"/>
        <w:tblCellMar>
          <w:top w:w="0" w:type="dxa"/>
          <w:left w:w="0" w:type="dxa"/>
          <w:bottom w:w="0" w:type="dxa"/>
          <w:right w:w="0" w:type="dxa"/>
        </w:tblCellMar>
      </w:tblPr>
      <w:tr>
        <w:trPr>
          <w:trHeight w:val="194"/>
        </w:trPr>
        <w:tc>
          <w:tcPr>
            <w:tcW w:w="5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right="880"/>
              <w:spacing w:after="0"/>
              <w:rPr>
                <w:sz w:val="20"/>
                <w:szCs w:val="20"/>
                <w:color w:val="auto"/>
              </w:rPr>
            </w:pPr>
            <w:r>
              <w:rPr>
                <w:rFonts w:ascii="Arial" w:cs="Arial" w:eastAsia="Arial" w:hAnsi="Arial"/>
                <w:sz w:val="16"/>
                <w:szCs w:val="16"/>
                <w:b w:val="1"/>
                <w:bCs w:val="1"/>
                <w:color w:val="auto"/>
                <w:w w:val="89"/>
              </w:rPr>
              <w:t>Year Ended December 31</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700"/>
              <w:spacing w:after="0" w:line="169" w:lineRule="exact"/>
              <w:rPr>
                <w:sz w:val="20"/>
                <w:szCs w:val="20"/>
                <w:color w:val="auto"/>
              </w:rPr>
            </w:pPr>
            <w:r>
              <w:rPr>
                <w:rFonts w:ascii="Arial" w:cs="Arial" w:eastAsia="Arial" w:hAnsi="Arial"/>
                <w:sz w:val="16"/>
                <w:szCs w:val="16"/>
                <w:b w:val="1"/>
                <w:bCs w:val="1"/>
                <w:color w:val="auto"/>
                <w:w w:val="93"/>
              </w:rPr>
              <w:t>% Variance</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3"/>
        </w:trPr>
        <w:tc>
          <w:tcPr>
            <w:tcW w:w="5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3"/>
          </w:tcPr>
          <w:p>
            <w:pPr>
              <w:jc w:val="center"/>
              <w:ind w:right="820"/>
              <w:spacing w:after="0" w:line="153" w:lineRule="exact"/>
              <w:rPr>
                <w:sz w:val="20"/>
                <w:szCs w:val="20"/>
                <w:color w:val="auto"/>
              </w:rPr>
            </w:pPr>
            <w:r>
              <w:rPr>
                <w:rFonts w:ascii="Arial" w:cs="Arial" w:eastAsia="Arial" w:hAnsi="Arial"/>
                <w:sz w:val="16"/>
                <w:szCs w:val="16"/>
                <w:b w:val="1"/>
                <w:bCs w:val="1"/>
                <w:color w:val="auto"/>
                <w:w w:val="89"/>
              </w:rPr>
              <w:t>Amount</w:t>
            </w:r>
          </w:p>
        </w:tc>
        <w:tc>
          <w:tcPr>
            <w:tcW w:w="900" w:type="dxa"/>
            <w:vAlign w:val="bottom"/>
          </w:tcPr>
          <w:p>
            <w:pPr>
              <w:jc w:val="right"/>
              <w:ind w:right="181"/>
              <w:spacing w:after="0" w:line="153" w:lineRule="exact"/>
              <w:rPr>
                <w:sz w:val="20"/>
                <w:szCs w:val="20"/>
                <w:color w:val="auto"/>
              </w:rPr>
            </w:pPr>
            <w:r>
              <w:rPr>
                <w:rFonts w:ascii="Arial" w:cs="Arial" w:eastAsia="Arial" w:hAnsi="Arial"/>
                <w:sz w:val="16"/>
                <w:szCs w:val="16"/>
                <w:b w:val="1"/>
                <w:bCs w:val="1"/>
                <w:color w:val="auto"/>
                <w:w w:val="89"/>
              </w:rPr>
              <w:t>Constant</w:t>
            </w:r>
          </w:p>
        </w:tc>
        <w:tc>
          <w:tcPr>
            <w:tcW w:w="240" w:type="dxa"/>
            <w:vAlign w:val="bottom"/>
          </w:tcPr>
          <w:p>
            <w:pPr>
              <w:spacing w:after="0"/>
              <w:rPr>
                <w:sz w:val="13"/>
                <w:szCs w:val="13"/>
                <w:color w:val="auto"/>
              </w:rPr>
            </w:pPr>
          </w:p>
        </w:tc>
      </w:tr>
      <w:tr>
        <w:trPr>
          <w:trHeight w:val="194"/>
        </w:trPr>
        <w:tc>
          <w:tcPr>
            <w:tcW w:w="5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88"/>
              </w:rPr>
              <w:t>Reported</w:t>
            </w:r>
          </w:p>
        </w:tc>
        <w:tc>
          <w:tcPr>
            <w:tcW w:w="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w w:val="91"/>
              </w:rPr>
              <w:t>Currency</w:t>
            </w:r>
          </w:p>
        </w:tc>
        <w:tc>
          <w:tcPr>
            <w:tcW w:w="240" w:type="dxa"/>
            <w:vAlign w:val="bottom"/>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3"/>
          </w:tcPr>
          <w:p>
            <w:pPr>
              <w:jc w:val="center"/>
              <w:ind w:left="561"/>
              <w:spacing w:after="0" w:line="169" w:lineRule="exact"/>
              <w:rPr>
                <w:sz w:val="20"/>
                <w:szCs w:val="20"/>
                <w:color w:val="auto"/>
              </w:rPr>
            </w:pPr>
            <w:r>
              <w:rPr>
                <w:rFonts w:ascii="Arial" w:cs="Arial" w:eastAsia="Arial" w:hAnsi="Arial"/>
                <w:sz w:val="16"/>
                <w:szCs w:val="16"/>
                <w:color w:val="auto"/>
                <w:w w:val="90"/>
              </w:rPr>
              <w:t>(Unaudited)</w:t>
            </w: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7"/>
        </w:trPr>
        <w:tc>
          <w:tcPr>
            <w:tcW w:w="538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Revenues from Services:</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77"/>
        </w:trPr>
        <w:tc>
          <w:tcPr>
            <w:tcW w:w="5380" w:type="dxa"/>
            <w:vAlign w:val="bottom"/>
          </w:tcPr>
          <w:p>
            <w:pPr>
              <w:ind w:left="160"/>
              <w:spacing w:after="0" w:line="178" w:lineRule="exact"/>
              <w:rPr>
                <w:sz w:val="20"/>
                <w:szCs w:val="20"/>
                <w:color w:val="auto"/>
              </w:rPr>
            </w:pPr>
            <w:r>
              <w:rPr>
                <w:rFonts w:ascii="Arial" w:cs="Arial" w:eastAsia="Arial" w:hAnsi="Arial"/>
                <w:sz w:val="16"/>
                <w:szCs w:val="16"/>
                <w:color w:val="auto"/>
              </w:rPr>
              <w:t>Americas: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7"/>
        </w:trPr>
        <w:tc>
          <w:tcPr>
            <w:tcW w:w="5380" w:type="dxa"/>
            <w:vAlign w:val="bottom"/>
            <w:shd w:val="clear" w:color="auto" w:fill="CFF0FC"/>
          </w:tcPr>
          <w:p>
            <w:pPr>
              <w:ind w:left="320"/>
              <w:spacing w:after="0" w:line="178" w:lineRule="exact"/>
              <w:rPr>
                <w:sz w:val="20"/>
                <w:szCs w:val="20"/>
                <w:color w:val="auto"/>
              </w:rPr>
            </w:pPr>
            <w:r>
              <w:rPr>
                <w:rFonts w:ascii="Arial" w:cs="Arial" w:eastAsia="Arial" w:hAnsi="Arial"/>
                <w:sz w:val="16"/>
                <w:szCs w:val="16"/>
                <w:color w:val="auto"/>
              </w:rPr>
              <w:t>United States (a)</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2,743.3</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1"/>
              <w:spacing w:after="0" w:line="178" w:lineRule="exact"/>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2,327.2</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line="178" w:lineRule="exact"/>
              <w:rPr>
                <w:sz w:val="20"/>
                <w:szCs w:val="20"/>
                <w:color w:val="auto"/>
              </w:rPr>
            </w:pPr>
            <w:r>
              <w:rPr>
                <w:rFonts w:ascii="Arial" w:cs="Arial" w:eastAsia="Arial" w:hAnsi="Arial"/>
                <w:sz w:val="16"/>
                <w:szCs w:val="16"/>
                <w:color w:val="auto"/>
              </w:rPr>
              <w:t>17.9 %</w:t>
            </w: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17.9 %</w:t>
            </w:r>
          </w:p>
        </w:tc>
      </w:tr>
      <w:tr>
        <w:trPr>
          <w:trHeight w:val="177"/>
        </w:trPr>
        <w:tc>
          <w:tcPr>
            <w:tcW w:w="5380" w:type="dxa"/>
            <w:vAlign w:val="bottom"/>
          </w:tcPr>
          <w:p>
            <w:pPr>
              <w:ind w:left="320"/>
              <w:spacing w:after="0" w:line="178" w:lineRule="exact"/>
              <w:rPr>
                <w:sz w:val="20"/>
                <w:szCs w:val="20"/>
                <w:color w:val="auto"/>
              </w:rPr>
            </w:pPr>
            <w:r>
              <w:rPr>
                <w:rFonts w:ascii="Arial" w:cs="Arial" w:eastAsia="Arial" w:hAnsi="Arial"/>
                <w:sz w:val="16"/>
                <w:szCs w:val="16"/>
                <w:color w:val="auto"/>
              </w:rPr>
              <w:t>Other Americas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1,520.4</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1,465.2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240"/>
              <w:spacing w:after="0" w:line="178" w:lineRule="exact"/>
              <w:rPr>
                <w:sz w:val="20"/>
                <w:szCs w:val="20"/>
                <w:color w:val="auto"/>
              </w:rPr>
            </w:pPr>
            <w:r>
              <w:rPr>
                <w:rFonts w:ascii="Arial" w:cs="Arial" w:eastAsia="Arial" w:hAnsi="Arial"/>
                <w:sz w:val="16"/>
                <w:szCs w:val="16"/>
                <w:color w:val="auto"/>
              </w:rPr>
              <w:t>3.8 %</w:t>
            </w:r>
          </w:p>
        </w:tc>
        <w:tc>
          <w:tcPr>
            <w:tcW w:w="220" w:type="dxa"/>
            <w:vAlign w:val="bottom"/>
          </w:tcPr>
          <w:p>
            <w:pPr>
              <w:spacing w:after="0"/>
              <w:rPr>
                <w:sz w:val="15"/>
                <w:szCs w:val="15"/>
                <w:color w:val="auto"/>
              </w:rPr>
            </w:pPr>
          </w:p>
        </w:tc>
        <w:tc>
          <w:tcPr>
            <w:tcW w:w="11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5.3 %</w:t>
            </w:r>
          </w:p>
        </w:tc>
      </w:tr>
      <w:tr>
        <w:trPr>
          <w:trHeight w:val="169"/>
        </w:trPr>
        <w:tc>
          <w:tcPr>
            <w:tcW w:w="53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4,263.7</w:t>
            </w:r>
          </w:p>
        </w:tc>
        <w:tc>
          <w:tcPr>
            <w:tcW w:w="2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3,792.4</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300" w:type="dxa"/>
            <w:vAlign w:val="bottom"/>
            <w:tcBorders>
              <w:bottom w:val="single" w:sz="8" w:color="CFF0FC"/>
            </w:tcBorders>
            <w:gridSpan w:val="2"/>
            <w:shd w:val="clear" w:color="auto" w:fill="CFF0FC"/>
          </w:tcPr>
          <w:p>
            <w:pPr>
              <w:jc w:val="right"/>
              <w:ind w:right="240"/>
              <w:spacing w:after="0" w:line="169" w:lineRule="exact"/>
              <w:rPr>
                <w:sz w:val="20"/>
                <w:szCs w:val="20"/>
                <w:color w:val="auto"/>
              </w:rPr>
            </w:pPr>
            <w:r>
              <w:rPr>
                <w:rFonts w:ascii="Arial" w:cs="Arial" w:eastAsia="Arial" w:hAnsi="Arial"/>
                <w:sz w:val="16"/>
                <w:szCs w:val="16"/>
                <w:color w:val="auto"/>
              </w:rPr>
              <w:t>12.4 %</w:t>
            </w:r>
          </w:p>
        </w:tc>
        <w:tc>
          <w:tcPr>
            <w:tcW w:w="2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13.0 %</w:t>
            </w:r>
          </w:p>
        </w:tc>
      </w:tr>
      <w:tr>
        <w:trPr>
          <w:trHeight w:val="169"/>
        </w:trPr>
        <w:tc>
          <w:tcPr>
            <w:tcW w:w="5380" w:type="dxa"/>
            <w:vAlign w:val="bottom"/>
          </w:tcPr>
          <w:p>
            <w:pPr>
              <w:ind w:left="160"/>
              <w:spacing w:after="0" w:line="169" w:lineRule="exact"/>
              <w:rPr>
                <w:sz w:val="20"/>
                <w:szCs w:val="20"/>
                <w:color w:val="auto"/>
              </w:rPr>
            </w:pPr>
            <w:r>
              <w:rPr>
                <w:rFonts w:ascii="Arial" w:cs="Arial" w:eastAsia="Arial" w:hAnsi="Arial"/>
                <w:sz w:val="16"/>
                <w:szCs w:val="16"/>
                <w:color w:val="auto"/>
              </w:rPr>
              <w:t>Southern Europe:</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7"/>
        </w:trPr>
        <w:tc>
          <w:tcPr>
            <w:tcW w:w="5380" w:type="dxa"/>
            <w:vAlign w:val="bottom"/>
            <w:shd w:val="clear" w:color="auto" w:fill="CFF0FC"/>
          </w:tcPr>
          <w:p>
            <w:pPr>
              <w:ind w:left="320"/>
              <w:spacing w:after="0" w:line="178" w:lineRule="exact"/>
              <w:rPr>
                <w:sz w:val="20"/>
                <w:szCs w:val="20"/>
                <w:color w:val="auto"/>
              </w:rPr>
            </w:pPr>
            <w:r>
              <w:rPr>
                <w:rFonts w:ascii="Arial" w:cs="Arial" w:eastAsia="Arial" w:hAnsi="Arial"/>
                <w:sz w:val="16"/>
                <w:szCs w:val="16"/>
                <w:color w:val="auto"/>
              </w:rPr>
              <w:t>France</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5,171.3</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4,338.1</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line="178" w:lineRule="exact"/>
              <w:rPr>
                <w:sz w:val="20"/>
                <w:szCs w:val="20"/>
                <w:color w:val="auto"/>
              </w:rPr>
            </w:pPr>
            <w:r>
              <w:rPr>
                <w:rFonts w:ascii="Arial" w:cs="Arial" w:eastAsia="Arial" w:hAnsi="Arial"/>
                <w:sz w:val="16"/>
                <w:szCs w:val="16"/>
                <w:color w:val="auto"/>
              </w:rPr>
              <w:t>19.2 %</w:t>
            </w: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15.3 %</w:t>
            </w:r>
          </w:p>
        </w:tc>
      </w:tr>
      <w:tr>
        <w:trPr>
          <w:trHeight w:val="177"/>
        </w:trPr>
        <w:tc>
          <w:tcPr>
            <w:tcW w:w="5380" w:type="dxa"/>
            <w:vAlign w:val="bottom"/>
          </w:tcPr>
          <w:p>
            <w:pPr>
              <w:ind w:left="320"/>
              <w:spacing w:after="0" w:line="178" w:lineRule="exact"/>
              <w:rPr>
                <w:sz w:val="20"/>
                <w:szCs w:val="20"/>
                <w:color w:val="auto"/>
              </w:rPr>
            </w:pPr>
            <w:r>
              <w:rPr>
                <w:rFonts w:ascii="Arial" w:cs="Arial" w:eastAsia="Arial" w:hAnsi="Arial"/>
                <w:sz w:val="16"/>
                <w:szCs w:val="16"/>
                <w:color w:val="auto"/>
              </w:rPr>
              <w:t>Italy</w:t>
            </w:r>
          </w:p>
        </w:tc>
        <w:tc>
          <w:tcPr>
            <w:tcW w:w="280" w:type="dxa"/>
            <w:vAlign w:val="bottom"/>
          </w:tcPr>
          <w:p>
            <w:pPr>
              <w:spacing w:after="0"/>
              <w:rPr>
                <w:sz w:val="15"/>
                <w:szCs w:val="15"/>
                <w:color w:val="auto"/>
              </w:rPr>
            </w:pPr>
          </w:p>
        </w:tc>
        <w:tc>
          <w:tcPr>
            <w:tcW w:w="980" w:type="dxa"/>
            <w:vAlign w:val="bottom"/>
          </w:tcPr>
          <w:p>
            <w:pPr>
              <w:jc w:val="right"/>
              <w:spacing w:after="0" w:line="178" w:lineRule="exact"/>
              <w:rPr>
                <w:sz w:val="20"/>
                <w:szCs w:val="20"/>
                <w:color w:val="auto"/>
              </w:rPr>
            </w:pPr>
            <w:r>
              <w:rPr>
                <w:rFonts w:ascii="Arial" w:cs="Arial" w:eastAsia="Arial" w:hAnsi="Arial"/>
                <w:sz w:val="16"/>
                <w:szCs w:val="16"/>
                <w:color w:val="auto"/>
              </w:rPr>
              <w:t>1,795.4</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1,370.7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240"/>
              <w:spacing w:after="0" w:line="178" w:lineRule="exact"/>
              <w:rPr>
                <w:sz w:val="20"/>
                <w:szCs w:val="20"/>
                <w:color w:val="auto"/>
              </w:rPr>
            </w:pPr>
            <w:r>
              <w:rPr>
                <w:rFonts w:ascii="Arial" w:cs="Arial" w:eastAsia="Arial" w:hAnsi="Arial"/>
                <w:sz w:val="16"/>
                <w:szCs w:val="16"/>
                <w:color w:val="auto"/>
              </w:rPr>
              <w:t>31.0 %</w:t>
            </w:r>
          </w:p>
        </w:tc>
        <w:tc>
          <w:tcPr>
            <w:tcW w:w="220" w:type="dxa"/>
            <w:vAlign w:val="bottom"/>
          </w:tcPr>
          <w:p>
            <w:pPr>
              <w:spacing w:after="0"/>
              <w:rPr>
                <w:sz w:val="15"/>
                <w:szCs w:val="15"/>
                <w:color w:val="auto"/>
              </w:rPr>
            </w:pPr>
          </w:p>
        </w:tc>
        <w:tc>
          <w:tcPr>
            <w:tcW w:w="11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26.7 %</w:t>
            </w:r>
          </w:p>
        </w:tc>
      </w:tr>
      <w:tr>
        <w:trPr>
          <w:trHeight w:val="177"/>
        </w:trPr>
        <w:tc>
          <w:tcPr>
            <w:tcW w:w="5380" w:type="dxa"/>
            <w:vAlign w:val="bottom"/>
            <w:tcBorders>
              <w:bottom w:val="single" w:sz="8" w:color="CFF0FC"/>
            </w:tcBorders>
            <w:shd w:val="clear" w:color="auto" w:fill="CFF0FC"/>
          </w:tcPr>
          <w:p>
            <w:pPr>
              <w:ind w:left="320"/>
              <w:spacing w:after="0" w:line="178" w:lineRule="exact"/>
              <w:rPr>
                <w:sz w:val="20"/>
                <w:szCs w:val="20"/>
                <w:color w:val="auto"/>
              </w:rPr>
            </w:pPr>
            <w:r>
              <w:rPr>
                <w:rFonts w:ascii="Arial" w:cs="Arial" w:eastAsia="Arial" w:hAnsi="Arial"/>
                <w:sz w:val="16"/>
                <w:szCs w:val="16"/>
                <w:color w:val="auto"/>
              </w:rPr>
              <w:t>Other Southern Europe</w:t>
            </w:r>
          </w:p>
        </w:tc>
        <w:tc>
          <w:tcPr>
            <w:tcW w:w="2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2,380.1</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2,146.4</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gridSpan w:val="2"/>
            <w:shd w:val="clear" w:color="auto" w:fill="CFF0FC"/>
          </w:tcPr>
          <w:p>
            <w:pPr>
              <w:jc w:val="right"/>
              <w:ind w:right="240"/>
              <w:spacing w:after="0" w:line="178" w:lineRule="exact"/>
              <w:rPr>
                <w:sz w:val="20"/>
                <w:szCs w:val="20"/>
                <w:color w:val="auto"/>
              </w:rPr>
            </w:pPr>
            <w:r>
              <w:rPr>
                <w:rFonts w:ascii="Arial" w:cs="Arial" w:eastAsia="Arial" w:hAnsi="Arial"/>
                <w:sz w:val="16"/>
                <w:szCs w:val="16"/>
                <w:color w:val="auto"/>
              </w:rPr>
              <w:t>10.9 %</w:t>
            </w:r>
          </w:p>
        </w:tc>
        <w:tc>
          <w:tcPr>
            <w:tcW w:w="22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7.1 %</w:t>
            </w:r>
          </w:p>
        </w:tc>
      </w:tr>
      <w:tr>
        <w:trPr>
          <w:trHeight w:val="169"/>
        </w:trPr>
        <w:tc>
          <w:tcPr>
            <w:tcW w:w="5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9,346.8</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7,855.2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40"/>
              <w:spacing w:after="0" w:line="169" w:lineRule="exact"/>
              <w:rPr>
                <w:sz w:val="20"/>
                <w:szCs w:val="20"/>
                <w:color w:val="auto"/>
              </w:rPr>
            </w:pPr>
            <w:r>
              <w:rPr>
                <w:rFonts w:ascii="Arial" w:cs="Arial" w:eastAsia="Arial" w:hAnsi="Arial"/>
                <w:sz w:val="16"/>
                <w:szCs w:val="16"/>
                <w:color w:val="auto"/>
              </w:rPr>
              <w:t>19.0 %</w:t>
            </w:r>
          </w:p>
        </w:tc>
        <w:tc>
          <w:tcPr>
            <w:tcW w:w="220" w:type="dxa"/>
            <w:vAlign w:val="bottom"/>
          </w:tcPr>
          <w:p>
            <w:pPr>
              <w:spacing w:after="0"/>
              <w:rPr>
                <w:sz w:val="14"/>
                <w:szCs w:val="14"/>
                <w:color w:val="auto"/>
              </w:rPr>
            </w:pPr>
          </w:p>
        </w:tc>
        <w:tc>
          <w:tcPr>
            <w:tcW w:w="114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15.0 %</w:t>
            </w:r>
          </w:p>
        </w:tc>
      </w:tr>
      <w:tr>
        <w:trPr>
          <w:trHeight w:val="169"/>
        </w:trPr>
        <w:tc>
          <w:tcPr>
            <w:tcW w:w="5380" w:type="dxa"/>
            <w:vAlign w:val="bottom"/>
            <w:shd w:val="clear" w:color="auto" w:fill="CFF0FC"/>
          </w:tcPr>
          <w:p>
            <w:pPr>
              <w:ind w:left="160"/>
              <w:spacing w:after="0" w:line="169" w:lineRule="exact"/>
              <w:rPr>
                <w:sz w:val="20"/>
                <w:szCs w:val="20"/>
                <w:color w:val="auto"/>
              </w:rPr>
            </w:pPr>
            <w:r>
              <w:rPr>
                <w:rFonts w:ascii="Arial" w:cs="Arial" w:eastAsia="Arial" w:hAnsi="Arial"/>
                <w:sz w:val="16"/>
                <w:szCs w:val="16"/>
                <w:color w:val="auto"/>
              </w:rPr>
              <w:t>Northern Europe</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4,670.5</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3,976.7</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6"/>
                <w:szCs w:val="16"/>
                <w:color w:val="auto"/>
              </w:rPr>
              <w:t>17.4 %</w:t>
            </w: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11.4 %</w:t>
            </w:r>
          </w:p>
        </w:tc>
      </w:tr>
      <w:tr>
        <w:trPr>
          <w:trHeight w:val="177"/>
        </w:trPr>
        <w:tc>
          <w:tcPr>
            <w:tcW w:w="5380" w:type="dxa"/>
            <w:vAlign w:val="bottom"/>
          </w:tcPr>
          <w:p>
            <w:pPr>
              <w:ind w:left="160"/>
              <w:spacing w:after="0" w:line="178" w:lineRule="exact"/>
              <w:rPr>
                <w:sz w:val="20"/>
                <w:szCs w:val="20"/>
                <w:color w:val="auto"/>
              </w:rPr>
            </w:pPr>
            <w:r>
              <w:rPr>
                <w:rFonts w:ascii="Arial" w:cs="Arial" w:eastAsia="Arial" w:hAnsi="Arial"/>
                <w:sz w:val="16"/>
                <w:szCs w:val="16"/>
                <w:color w:val="auto"/>
              </w:rPr>
              <w:t>APME</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2,481.1</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2,376.7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240"/>
              <w:spacing w:after="0" w:line="178" w:lineRule="exact"/>
              <w:rPr>
                <w:sz w:val="20"/>
                <w:szCs w:val="20"/>
                <w:color w:val="auto"/>
              </w:rPr>
            </w:pPr>
            <w:r>
              <w:rPr>
                <w:rFonts w:ascii="Arial" w:cs="Arial" w:eastAsia="Arial" w:hAnsi="Arial"/>
                <w:sz w:val="16"/>
                <w:szCs w:val="16"/>
                <w:color w:val="auto"/>
              </w:rPr>
              <w:t>4.4 %</w:t>
            </w:r>
          </w:p>
        </w:tc>
        <w:tc>
          <w:tcPr>
            <w:tcW w:w="220" w:type="dxa"/>
            <w:vAlign w:val="bottom"/>
          </w:tcPr>
          <w:p>
            <w:pPr>
              <w:spacing w:after="0"/>
              <w:rPr>
                <w:sz w:val="15"/>
                <w:szCs w:val="15"/>
                <w:color w:val="auto"/>
              </w:rPr>
            </w:pPr>
          </w:p>
        </w:tc>
        <w:tc>
          <w:tcPr>
            <w:tcW w:w="11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4.2 %</w:t>
            </w:r>
          </w:p>
        </w:tc>
      </w:tr>
      <w:tr>
        <w:trPr>
          <w:trHeight w:val="169"/>
        </w:trPr>
        <w:tc>
          <w:tcPr>
            <w:tcW w:w="53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20,762.1</w:t>
            </w:r>
          </w:p>
        </w:tc>
        <w:tc>
          <w:tcPr>
            <w:tcW w:w="2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18,001.0</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r>
      <w:tr>
        <w:trPr>
          <w:trHeight w:val="169"/>
        </w:trPr>
        <w:tc>
          <w:tcPr>
            <w:tcW w:w="5380" w:type="dxa"/>
            <w:vAlign w:val="bottom"/>
          </w:tcPr>
          <w:p>
            <w:pPr>
              <w:ind w:left="160"/>
              <w:spacing w:after="0" w:line="169" w:lineRule="exact"/>
              <w:rPr>
                <w:sz w:val="20"/>
                <w:szCs w:val="20"/>
                <w:color w:val="auto"/>
              </w:rPr>
            </w:pPr>
            <w:r>
              <w:rPr>
                <w:rFonts w:ascii="Arial" w:cs="Arial" w:eastAsia="Arial" w:hAnsi="Arial"/>
                <w:sz w:val="16"/>
                <w:szCs w:val="16"/>
                <w:color w:val="auto"/>
              </w:rPr>
              <w:t>Intercompany Eliminations</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line="169" w:lineRule="exact"/>
              <w:rPr>
                <w:sz w:val="20"/>
                <w:szCs w:val="20"/>
                <w:color w:val="auto"/>
              </w:rPr>
            </w:pPr>
            <w:r>
              <w:rPr>
                <w:rFonts w:ascii="Arial" w:cs="Arial" w:eastAsia="Arial" w:hAnsi="Arial"/>
                <w:sz w:val="16"/>
                <w:szCs w:val="16"/>
                <w:color w:val="auto"/>
              </w:rPr>
              <w:t>(37.7 )</w:t>
            </w:r>
          </w:p>
        </w:tc>
        <w:tc>
          <w:tcPr>
            <w:tcW w:w="280" w:type="dxa"/>
            <w:vAlign w:val="bottom"/>
          </w:tcPr>
          <w:p>
            <w:pPr>
              <w:spacing w:after="0"/>
              <w:rPr>
                <w:sz w:val="14"/>
                <w:szCs w:val="14"/>
                <w:color w:val="auto"/>
              </w:rPr>
            </w:pPr>
          </w:p>
        </w:tc>
        <w:tc>
          <w:tcPr>
            <w:tcW w:w="1440" w:type="dxa"/>
            <w:vAlign w:val="bottom"/>
            <w:gridSpan w:val="3"/>
          </w:tcPr>
          <w:p>
            <w:pPr>
              <w:jc w:val="right"/>
              <w:ind w:right="460"/>
              <w:spacing w:after="0" w:line="169" w:lineRule="exact"/>
              <w:rPr>
                <w:sz w:val="20"/>
                <w:szCs w:val="20"/>
                <w:color w:val="auto"/>
              </w:rPr>
            </w:pPr>
            <w:r>
              <w:rPr>
                <w:rFonts w:ascii="Arial" w:cs="Arial" w:eastAsia="Arial" w:hAnsi="Arial"/>
                <w:sz w:val="16"/>
                <w:szCs w:val="16"/>
                <w:color w:val="auto"/>
              </w:rPr>
              <w:t>—</w:t>
            </w: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9"/>
        </w:trPr>
        <w:tc>
          <w:tcPr>
            <w:tcW w:w="53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6"/>
                <w:szCs w:val="16"/>
                <w:color w:val="auto"/>
              </w:rPr>
              <w:t>20,724.4</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6"/>
                <w:szCs w:val="16"/>
                <w:color w:val="auto"/>
              </w:rPr>
              <w:t>18,001.0</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gridSpan w:val="2"/>
            <w:shd w:val="clear" w:color="auto" w:fill="CFF0FC"/>
          </w:tcPr>
          <w:p>
            <w:pPr>
              <w:jc w:val="right"/>
              <w:ind w:right="240"/>
              <w:spacing w:after="0" w:line="158" w:lineRule="exact"/>
              <w:rPr>
                <w:sz w:val="20"/>
                <w:szCs w:val="20"/>
                <w:color w:val="auto"/>
              </w:rPr>
            </w:pPr>
            <w:r>
              <w:rPr>
                <w:rFonts w:ascii="Arial" w:cs="Arial" w:eastAsia="Arial" w:hAnsi="Arial"/>
                <w:sz w:val="16"/>
                <w:szCs w:val="16"/>
                <w:color w:val="auto"/>
              </w:rPr>
              <w:t>15.1 %</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2"/>
            <w:shd w:val="clear" w:color="auto" w:fill="CFF0FC"/>
          </w:tcPr>
          <w:p>
            <w:pPr>
              <w:jc w:val="right"/>
              <w:ind w:right="100"/>
              <w:spacing w:after="0" w:line="158" w:lineRule="exact"/>
              <w:rPr>
                <w:sz w:val="20"/>
                <w:szCs w:val="20"/>
                <w:color w:val="auto"/>
              </w:rPr>
            </w:pPr>
            <w:r>
              <w:rPr>
                <w:rFonts w:ascii="Arial" w:cs="Arial" w:eastAsia="Arial" w:hAnsi="Arial"/>
                <w:sz w:val="16"/>
                <w:szCs w:val="16"/>
                <w:color w:val="auto"/>
              </w:rPr>
              <w:t>12.1 %</w:t>
            </w:r>
          </w:p>
        </w:tc>
      </w:tr>
      <w:tr>
        <w:trPr>
          <w:trHeight w:val="153"/>
        </w:trPr>
        <w:tc>
          <w:tcPr>
            <w:tcW w:w="5380" w:type="dxa"/>
            <w:vAlign w:val="bottom"/>
          </w:tcPr>
          <w:p>
            <w:pPr>
              <w:spacing w:after="0" w:line="153" w:lineRule="exact"/>
              <w:rPr>
                <w:sz w:val="20"/>
                <w:szCs w:val="20"/>
                <w:color w:val="auto"/>
              </w:rPr>
            </w:pPr>
            <w:r>
              <w:rPr>
                <w:rFonts w:ascii="Arial" w:cs="Arial" w:eastAsia="Arial" w:hAnsi="Arial"/>
                <w:sz w:val="16"/>
                <w:szCs w:val="16"/>
                <w:color w:val="auto"/>
              </w:rPr>
              <w:t>Operating Unit Profit (Loss):</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7"/>
        </w:trPr>
        <w:tc>
          <w:tcPr>
            <w:tcW w:w="5380" w:type="dxa"/>
            <w:vAlign w:val="bottom"/>
            <w:shd w:val="clear" w:color="auto" w:fill="CFF0FC"/>
          </w:tcPr>
          <w:p>
            <w:pPr>
              <w:ind w:left="160"/>
              <w:spacing w:after="0" w:line="178" w:lineRule="exact"/>
              <w:rPr>
                <w:sz w:val="20"/>
                <w:szCs w:val="20"/>
                <w:color w:val="auto"/>
              </w:rPr>
            </w:pPr>
            <w:r>
              <w:rPr>
                <w:rFonts w:ascii="Arial" w:cs="Arial" w:eastAsia="Arial" w:hAnsi="Arial"/>
                <w:sz w:val="16"/>
                <w:szCs w:val="16"/>
                <w:color w:val="auto"/>
              </w:rPr>
              <w:t>Americas:</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77"/>
        </w:trPr>
        <w:tc>
          <w:tcPr>
            <w:tcW w:w="5380" w:type="dxa"/>
            <w:vAlign w:val="bottom"/>
          </w:tcPr>
          <w:p>
            <w:pPr>
              <w:ind w:left="320"/>
              <w:spacing w:after="0" w:line="178" w:lineRule="exact"/>
              <w:rPr>
                <w:sz w:val="20"/>
                <w:szCs w:val="20"/>
                <w:color w:val="auto"/>
              </w:rPr>
            </w:pPr>
            <w:r>
              <w:rPr>
                <w:rFonts w:ascii="Arial" w:cs="Arial" w:eastAsia="Arial" w:hAnsi="Arial"/>
                <w:sz w:val="16"/>
                <w:szCs w:val="16"/>
                <w:color w:val="auto"/>
              </w:rPr>
              <w:t>United States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78" w:lineRule="exact"/>
              <w:rPr>
                <w:sz w:val="20"/>
                <w:szCs w:val="20"/>
                <w:color w:val="auto"/>
              </w:rPr>
            </w:pPr>
            <w:r>
              <w:rPr>
                <w:rFonts w:ascii="Arial" w:cs="Arial" w:eastAsia="Arial" w:hAnsi="Arial"/>
                <w:sz w:val="16"/>
                <w:szCs w:val="16"/>
                <w:color w:val="auto"/>
              </w:rPr>
              <w:t>136.0</w:t>
            </w:r>
          </w:p>
        </w:tc>
        <w:tc>
          <w:tcPr>
            <w:tcW w:w="240" w:type="dxa"/>
            <w:vAlign w:val="bottom"/>
          </w:tcPr>
          <w:p>
            <w:pPr>
              <w:spacing w:after="0"/>
              <w:rPr>
                <w:sz w:val="15"/>
                <w:szCs w:val="15"/>
                <w:color w:val="auto"/>
              </w:rPr>
            </w:pPr>
          </w:p>
        </w:tc>
        <w:tc>
          <w:tcPr>
            <w:tcW w:w="280" w:type="dxa"/>
            <w:vAlign w:val="bottom"/>
          </w:tcPr>
          <w:p>
            <w:pPr>
              <w:jc w:val="right"/>
              <w:ind w:right="101"/>
              <w:spacing w:after="0" w:line="178"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60.9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240"/>
              <w:spacing w:after="0" w:line="178" w:lineRule="exact"/>
              <w:rPr>
                <w:sz w:val="20"/>
                <w:szCs w:val="20"/>
                <w:color w:val="auto"/>
              </w:rPr>
            </w:pPr>
            <w:r>
              <w:rPr>
                <w:rFonts w:ascii="Arial" w:cs="Arial" w:eastAsia="Arial" w:hAnsi="Arial"/>
                <w:sz w:val="16"/>
                <w:szCs w:val="16"/>
                <w:color w:val="auto"/>
              </w:rPr>
              <w:t>123.3 %</w:t>
            </w:r>
          </w:p>
        </w:tc>
        <w:tc>
          <w:tcPr>
            <w:tcW w:w="220" w:type="dxa"/>
            <w:vAlign w:val="bottom"/>
          </w:tcPr>
          <w:p>
            <w:pPr>
              <w:spacing w:after="0"/>
              <w:rPr>
                <w:sz w:val="15"/>
                <w:szCs w:val="15"/>
                <w:color w:val="auto"/>
              </w:rPr>
            </w:pPr>
          </w:p>
        </w:tc>
        <w:tc>
          <w:tcPr>
            <w:tcW w:w="11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123.3 %</w:t>
            </w:r>
          </w:p>
        </w:tc>
      </w:tr>
      <w:tr>
        <w:trPr>
          <w:trHeight w:val="177"/>
        </w:trPr>
        <w:tc>
          <w:tcPr>
            <w:tcW w:w="5380" w:type="dxa"/>
            <w:vAlign w:val="bottom"/>
            <w:tcBorders>
              <w:bottom w:val="single" w:sz="8" w:color="CFF0FC"/>
            </w:tcBorders>
            <w:shd w:val="clear" w:color="auto" w:fill="CFF0FC"/>
          </w:tcPr>
          <w:p>
            <w:pPr>
              <w:ind w:left="320"/>
              <w:spacing w:after="0" w:line="178" w:lineRule="exact"/>
              <w:rPr>
                <w:sz w:val="20"/>
                <w:szCs w:val="20"/>
                <w:color w:val="auto"/>
              </w:rPr>
            </w:pPr>
            <w:r>
              <w:rPr>
                <w:rFonts w:ascii="Arial" w:cs="Arial" w:eastAsia="Arial" w:hAnsi="Arial"/>
                <w:sz w:val="16"/>
                <w:szCs w:val="16"/>
                <w:color w:val="auto"/>
              </w:rPr>
              <w:t>Other Americas</w:t>
            </w:r>
          </w:p>
        </w:tc>
        <w:tc>
          <w:tcPr>
            <w:tcW w:w="2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59.2</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55.1</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gridSpan w:val="2"/>
            <w:shd w:val="clear" w:color="auto" w:fill="CFF0FC"/>
          </w:tcPr>
          <w:p>
            <w:pPr>
              <w:jc w:val="right"/>
              <w:ind w:right="240"/>
              <w:spacing w:after="0" w:line="178" w:lineRule="exact"/>
              <w:rPr>
                <w:sz w:val="20"/>
                <w:szCs w:val="20"/>
                <w:color w:val="auto"/>
              </w:rPr>
            </w:pPr>
            <w:r>
              <w:rPr>
                <w:rFonts w:ascii="Arial" w:cs="Arial" w:eastAsia="Arial" w:hAnsi="Arial"/>
                <w:sz w:val="16"/>
                <w:szCs w:val="16"/>
                <w:color w:val="auto"/>
              </w:rPr>
              <w:t>7.5 %</w:t>
            </w:r>
          </w:p>
        </w:tc>
        <w:tc>
          <w:tcPr>
            <w:tcW w:w="22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11.5 %</w:t>
            </w:r>
          </w:p>
        </w:tc>
      </w:tr>
      <w:tr>
        <w:trPr>
          <w:trHeight w:val="169"/>
        </w:trPr>
        <w:tc>
          <w:tcPr>
            <w:tcW w:w="5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195.2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116.0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40"/>
              <w:spacing w:after="0" w:line="169" w:lineRule="exact"/>
              <w:rPr>
                <w:sz w:val="20"/>
                <w:szCs w:val="20"/>
                <w:color w:val="auto"/>
              </w:rPr>
            </w:pPr>
            <w:r>
              <w:rPr>
                <w:rFonts w:ascii="Arial" w:cs="Arial" w:eastAsia="Arial" w:hAnsi="Arial"/>
                <w:sz w:val="16"/>
                <w:szCs w:val="16"/>
                <w:color w:val="auto"/>
              </w:rPr>
              <w:t>68.2 %</w:t>
            </w:r>
          </w:p>
        </w:tc>
        <w:tc>
          <w:tcPr>
            <w:tcW w:w="220" w:type="dxa"/>
            <w:vAlign w:val="bottom"/>
          </w:tcPr>
          <w:p>
            <w:pPr>
              <w:spacing w:after="0"/>
              <w:rPr>
                <w:sz w:val="14"/>
                <w:szCs w:val="14"/>
                <w:color w:val="auto"/>
              </w:rPr>
            </w:pPr>
          </w:p>
        </w:tc>
        <w:tc>
          <w:tcPr>
            <w:tcW w:w="114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70.2 %</w:t>
            </w:r>
          </w:p>
        </w:tc>
      </w:tr>
      <w:tr>
        <w:trPr>
          <w:trHeight w:val="169"/>
        </w:trPr>
        <w:tc>
          <w:tcPr>
            <w:tcW w:w="5380" w:type="dxa"/>
            <w:vAlign w:val="bottom"/>
            <w:shd w:val="clear" w:color="auto" w:fill="CFF0FC"/>
          </w:tcPr>
          <w:p>
            <w:pPr>
              <w:ind w:left="160"/>
              <w:spacing w:after="0" w:line="169" w:lineRule="exact"/>
              <w:rPr>
                <w:sz w:val="20"/>
                <w:szCs w:val="20"/>
                <w:color w:val="auto"/>
              </w:rPr>
            </w:pPr>
            <w:r>
              <w:rPr>
                <w:rFonts w:ascii="Arial" w:cs="Arial" w:eastAsia="Arial" w:hAnsi="Arial"/>
                <w:sz w:val="16"/>
                <w:szCs w:val="16"/>
                <w:color w:val="auto"/>
              </w:rPr>
              <w:t>Southern Europe:</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r>
      <w:tr>
        <w:trPr>
          <w:trHeight w:val="177"/>
        </w:trPr>
        <w:tc>
          <w:tcPr>
            <w:tcW w:w="5380" w:type="dxa"/>
            <w:vAlign w:val="bottom"/>
          </w:tcPr>
          <w:p>
            <w:pPr>
              <w:ind w:left="320"/>
              <w:spacing w:after="0" w:line="178" w:lineRule="exact"/>
              <w:rPr>
                <w:sz w:val="20"/>
                <w:szCs w:val="20"/>
                <w:color w:val="auto"/>
              </w:rPr>
            </w:pPr>
            <w:r>
              <w:rPr>
                <w:rFonts w:ascii="Arial" w:cs="Arial" w:eastAsia="Arial" w:hAnsi="Arial"/>
                <w:sz w:val="16"/>
                <w:szCs w:val="16"/>
                <w:color w:val="auto"/>
              </w:rPr>
              <w:t>France</w:t>
            </w:r>
          </w:p>
        </w:tc>
        <w:tc>
          <w:tcPr>
            <w:tcW w:w="280" w:type="dxa"/>
            <w:vAlign w:val="bottom"/>
          </w:tcPr>
          <w:p>
            <w:pPr>
              <w:spacing w:after="0"/>
              <w:rPr>
                <w:sz w:val="15"/>
                <w:szCs w:val="15"/>
                <w:color w:val="auto"/>
              </w:rPr>
            </w:pPr>
          </w:p>
        </w:tc>
        <w:tc>
          <w:tcPr>
            <w:tcW w:w="980" w:type="dxa"/>
            <w:vAlign w:val="bottom"/>
          </w:tcPr>
          <w:p>
            <w:pPr>
              <w:jc w:val="right"/>
              <w:spacing w:after="0" w:line="178" w:lineRule="exact"/>
              <w:rPr>
                <w:sz w:val="20"/>
                <w:szCs w:val="20"/>
                <w:color w:val="auto"/>
              </w:rPr>
            </w:pPr>
            <w:r>
              <w:rPr>
                <w:rFonts w:ascii="Arial" w:cs="Arial" w:eastAsia="Arial" w:hAnsi="Arial"/>
                <w:sz w:val="16"/>
                <w:szCs w:val="16"/>
                <w:color w:val="auto"/>
              </w:rPr>
              <w:t>233.5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149.0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240"/>
              <w:spacing w:after="0" w:line="178" w:lineRule="exact"/>
              <w:rPr>
                <w:sz w:val="20"/>
                <w:szCs w:val="20"/>
                <w:color w:val="auto"/>
              </w:rPr>
            </w:pPr>
            <w:r>
              <w:rPr>
                <w:rFonts w:ascii="Arial" w:cs="Arial" w:eastAsia="Arial" w:hAnsi="Arial"/>
                <w:sz w:val="16"/>
                <w:szCs w:val="16"/>
                <w:color w:val="auto"/>
              </w:rPr>
              <w:t>56.7 %</w:t>
            </w:r>
          </w:p>
        </w:tc>
        <w:tc>
          <w:tcPr>
            <w:tcW w:w="220" w:type="dxa"/>
            <w:vAlign w:val="bottom"/>
          </w:tcPr>
          <w:p>
            <w:pPr>
              <w:spacing w:after="0"/>
              <w:rPr>
                <w:sz w:val="15"/>
                <w:szCs w:val="15"/>
                <w:color w:val="auto"/>
              </w:rPr>
            </w:pPr>
          </w:p>
        </w:tc>
        <w:tc>
          <w:tcPr>
            <w:tcW w:w="11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52.0 %</w:t>
            </w:r>
          </w:p>
        </w:tc>
      </w:tr>
      <w:tr>
        <w:trPr>
          <w:trHeight w:val="177"/>
        </w:trPr>
        <w:tc>
          <w:tcPr>
            <w:tcW w:w="5380" w:type="dxa"/>
            <w:vAlign w:val="bottom"/>
            <w:shd w:val="clear" w:color="auto" w:fill="CFF0FC"/>
          </w:tcPr>
          <w:p>
            <w:pPr>
              <w:ind w:left="320"/>
              <w:spacing w:after="0" w:line="178" w:lineRule="exact"/>
              <w:rPr>
                <w:sz w:val="20"/>
                <w:szCs w:val="20"/>
                <w:color w:val="auto"/>
              </w:rPr>
            </w:pPr>
            <w:r>
              <w:rPr>
                <w:rFonts w:ascii="Arial" w:cs="Arial" w:eastAsia="Arial" w:hAnsi="Arial"/>
                <w:sz w:val="16"/>
                <w:szCs w:val="16"/>
                <w:color w:val="auto"/>
              </w:rPr>
              <w:t>Italy</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115.3</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64.2</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line="178" w:lineRule="exact"/>
              <w:rPr>
                <w:sz w:val="20"/>
                <w:szCs w:val="20"/>
                <w:color w:val="auto"/>
              </w:rPr>
            </w:pPr>
            <w:r>
              <w:rPr>
                <w:rFonts w:ascii="Arial" w:cs="Arial" w:eastAsia="Arial" w:hAnsi="Arial"/>
                <w:sz w:val="16"/>
                <w:szCs w:val="16"/>
                <w:color w:val="auto"/>
              </w:rPr>
              <w:t>79.7 %</w:t>
            </w: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74.7 %</w:t>
            </w:r>
          </w:p>
        </w:tc>
      </w:tr>
      <w:tr>
        <w:trPr>
          <w:trHeight w:val="177"/>
        </w:trPr>
        <w:tc>
          <w:tcPr>
            <w:tcW w:w="5380" w:type="dxa"/>
            <w:vAlign w:val="bottom"/>
          </w:tcPr>
          <w:p>
            <w:pPr>
              <w:ind w:left="320"/>
              <w:spacing w:after="0" w:line="178" w:lineRule="exact"/>
              <w:rPr>
                <w:sz w:val="20"/>
                <w:szCs w:val="20"/>
                <w:color w:val="auto"/>
              </w:rPr>
            </w:pPr>
            <w:r>
              <w:rPr>
                <w:rFonts w:ascii="Arial" w:cs="Arial" w:eastAsia="Arial" w:hAnsi="Arial"/>
                <w:sz w:val="16"/>
                <w:szCs w:val="16"/>
                <w:color w:val="auto"/>
              </w:rPr>
              <w:t>Other Southern Europe</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67.5</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23.8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240"/>
              <w:spacing w:after="0" w:line="178" w:lineRule="exact"/>
              <w:rPr>
                <w:sz w:val="20"/>
                <w:szCs w:val="20"/>
                <w:color w:val="auto"/>
              </w:rPr>
            </w:pPr>
            <w:r>
              <w:rPr>
                <w:rFonts w:ascii="Arial" w:cs="Arial" w:eastAsia="Arial" w:hAnsi="Arial"/>
                <w:sz w:val="16"/>
                <w:szCs w:val="16"/>
                <w:color w:val="auto"/>
              </w:rPr>
              <w:t>183.5 %</w:t>
            </w:r>
          </w:p>
        </w:tc>
        <w:tc>
          <w:tcPr>
            <w:tcW w:w="220" w:type="dxa"/>
            <w:vAlign w:val="bottom"/>
          </w:tcPr>
          <w:p>
            <w:pPr>
              <w:spacing w:after="0"/>
              <w:rPr>
                <w:sz w:val="15"/>
                <w:szCs w:val="15"/>
                <w:color w:val="auto"/>
              </w:rPr>
            </w:pPr>
          </w:p>
        </w:tc>
        <w:tc>
          <w:tcPr>
            <w:tcW w:w="11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175.6 %</w:t>
            </w:r>
          </w:p>
        </w:tc>
      </w:tr>
      <w:tr>
        <w:trPr>
          <w:trHeight w:val="169"/>
        </w:trPr>
        <w:tc>
          <w:tcPr>
            <w:tcW w:w="53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416.3</w:t>
            </w:r>
          </w:p>
        </w:tc>
        <w:tc>
          <w:tcPr>
            <w:tcW w:w="2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237.0</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300" w:type="dxa"/>
            <w:vAlign w:val="bottom"/>
            <w:tcBorders>
              <w:bottom w:val="single" w:sz="8" w:color="CFF0FC"/>
            </w:tcBorders>
            <w:gridSpan w:val="2"/>
            <w:shd w:val="clear" w:color="auto" w:fill="CFF0FC"/>
          </w:tcPr>
          <w:p>
            <w:pPr>
              <w:jc w:val="right"/>
              <w:ind w:right="240"/>
              <w:spacing w:after="0" w:line="169" w:lineRule="exact"/>
              <w:rPr>
                <w:sz w:val="20"/>
                <w:szCs w:val="20"/>
                <w:color w:val="auto"/>
              </w:rPr>
            </w:pPr>
            <w:r>
              <w:rPr>
                <w:rFonts w:ascii="Arial" w:cs="Arial" w:eastAsia="Arial" w:hAnsi="Arial"/>
                <w:sz w:val="16"/>
                <w:szCs w:val="16"/>
                <w:color w:val="auto"/>
              </w:rPr>
              <w:t>75.7 %</w:t>
            </w:r>
          </w:p>
        </w:tc>
        <w:tc>
          <w:tcPr>
            <w:tcW w:w="2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70.6 %</w:t>
            </w:r>
          </w:p>
        </w:tc>
      </w:tr>
      <w:tr>
        <w:trPr>
          <w:trHeight w:val="169"/>
        </w:trPr>
        <w:tc>
          <w:tcPr>
            <w:tcW w:w="5380" w:type="dxa"/>
            <w:vAlign w:val="bottom"/>
          </w:tcPr>
          <w:p>
            <w:pPr>
              <w:ind w:left="160"/>
              <w:spacing w:after="0" w:line="169" w:lineRule="exact"/>
              <w:rPr>
                <w:sz w:val="20"/>
                <w:szCs w:val="20"/>
                <w:color w:val="auto"/>
              </w:rPr>
            </w:pPr>
            <w:r>
              <w:rPr>
                <w:rFonts w:ascii="Arial" w:cs="Arial" w:eastAsia="Arial" w:hAnsi="Arial"/>
                <w:sz w:val="16"/>
                <w:szCs w:val="16"/>
                <w:color w:val="auto"/>
              </w:rPr>
              <w:t>Northern Europe</w:t>
            </w:r>
          </w:p>
        </w:tc>
        <w:tc>
          <w:tcPr>
            <w:tcW w:w="2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67.8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80"/>
              <w:spacing w:after="0" w:line="169" w:lineRule="exact"/>
              <w:rPr>
                <w:sz w:val="20"/>
                <w:szCs w:val="20"/>
                <w:color w:val="auto"/>
              </w:rPr>
            </w:pPr>
            <w:r>
              <w:rPr>
                <w:rFonts w:ascii="Arial" w:cs="Arial" w:eastAsia="Arial" w:hAnsi="Arial"/>
                <w:sz w:val="16"/>
                <w:szCs w:val="16"/>
                <w:color w:val="auto"/>
              </w:rPr>
              <w:t>(27.6 )</w:t>
            </w:r>
          </w:p>
        </w:tc>
        <w:tc>
          <w:tcPr>
            <w:tcW w:w="200" w:type="dxa"/>
            <w:vAlign w:val="bottom"/>
          </w:tcPr>
          <w:p>
            <w:pPr>
              <w:spacing w:after="0"/>
              <w:rPr>
                <w:sz w:val="14"/>
                <w:szCs w:val="14"/>
                <w:color w:val="auto"/>
              </w:rPr>
            </w:pPr>
          </w:p>
        </w:tc>
        <w:tc>
          <w:tcPr>
            <w:tcW w:w="1520" w:type="dxa"/>
            <w:vAlign w:val="bottom"/>
            <w:gridSpan w:val="3"/>
          </w:tcPr>
          <w:p>
            <w:pPr>
              <w:ind w:left="640"/>
              <w:spacing w:after="0" w:line="169" w:lineRule="exact"/>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260"/>
              <w:spacing w:after="0" w:line="169" w:lineRule="exact"/>
              <w:rPr>
                <w:sz w:val="20"/>
                <w:szCs w:val="20"/>
                <w:color w:val="auto"/>
              </w:rPr>
            </w:pPr>
            <w:r>
              <w:rPr>
                <w:rFonts w:ascii="Arial" w:cs="Arial" w:eastAsia="Arial" w:hAnsi="Arial"/>
                <w:sz w:val="16"/>
                <w:szCs w:val="16"/>
                <w:color w:val="auto"/>
              </w:rPr>
              <w:t>N/A</w:t>
            </w:r>
          </w:p>
        </w:tc>
      </w:tr>
      <w:tr>
        <w:trPr>
          <w:trHeight w:val="177"/>
        </w:trPr>
        <w:tc>
          <w:tcPr>
            <w:tcW w:w="5380" w:type="dxa"/>
            <w:vAlign w:val="bottom"/>
            <w:tcBorders>
              <w:bottom w:val="single" w:sz="8" w:color="CFF0FC"/>
            </w:tcBorders>
            <w:shd w:val="clear" w:color="auto" w:fill="CFF0FC"/>
          </w:tcPr>
          <w:p>
            <w:pPr>
              <w:ind w:left="160"/>
              <w:spacing w:after="0" w:line="178" w:lineRule="exact"/>
              <w:rPr>
                <w:sz w:val="20"/>
                <w:szCs w:val="20"/>
                <w:color w:val="auto"/>
              </w:rPr>
            </w:pPr>
            <w:r>
              <w:rPr>
                <w:rFonts w:ascii="Arial" w:cs="Arial" w:eastAsia="Arial" w:hAnsi="Arial"/>
                <w:sz w:val="16"/>
                <w:szCs w:val="16"/>
                <w:color w:val="auto"/>
              </w:rPr>
              <w:t>APME</w:t>
            </w:r>
          </w:p>
        </w:tc>
        <w:tc>
          <w:tcPr>
            <w:tcW w:w="2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84.6</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70.1</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gridSpan w:val="2"/>
            <w:shd w:val="clear" w:color="auto" w:fill="CFF0FC"/>
          </w:tcPr>
          <w:p>
            <w:pPr>
              <w:jc w:val="right"/>
              <w:ind w:right="240"/>
              <w:spacing w:after="0" w:line="178" w:lineRule="exact"/>
              <w:rPr>
                <w:sz w:val="20"/>
                <w:szCs w:val="20"/>
                <w:color w:val="auto"/>
              </w:rPr>
            </w:pPr>
            <w:r>
              <w:rPr>
                <w:rFonts w:ascii="Arial" w:cs="Arial" w:eastAsia="Arial" w:hAnsi="Arial"/>
                <w:sz w:val="16"/>
                <w:szCs w:val="16"/>
                <w:color w:val="auto"/>
              </w:rPr>
              <w:t>20.9 %</w:t>
            </w:r>
          </w:p>
        </w:tc>
        <w:tc>
          <w:tcPr>
            <w:tcW w:w="22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22.8 %</w:t>
            </w:r>
          </w:p>
        </w:tc>
      </w:tr>
      <w:tr>
        <w:trPr>
          <w:trHeight w:val="169"/>
        </w:trPr>
        <w:tc>
          <w:tcPr>
            <w:tcW w:w="5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763.9</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6"/>
                <w:szCs w:val="16"/>
                <w:color w:val="auto"/>
              </w:rPr>
              <w:t>395.5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7"/>
        </w:trPr>
        <w:tc>
          <w:tcPr>
            <w:tcW w:w="538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Corporate expenses</w:t>
            </w: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80"/>
              <w:spacing w:after="0" w:line="178" w:lineRule="exact"/>
              <w:rPr>
                <w:sz w:val="20"/>
                <w:szCs w:val="20"/>
                <w:color w:val="auto"/>
              </w:rPr>
            </w:pPr>
            <w:r>
              <w:rPr>
                <w:rFonts w:ascii="Arial" w:cs="Arial" w:eastAsia="Arial" w:hAnsi="Arial"/>
                <w:sz w:val="16"/>
                <w:szCs w:val="16"/>
                <w:color w:val="auto"/>
              </w:rPr>
              <w:t>(154.3 )</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line="178" w:lineRule="exact"/>
              <w:rPr>
                <w:sz w:val="20"/>
                <w:szCs w:val="20"/>
                <w:color w:val="auto"/>
              </w:rPr>
            </w:pPr>
            <w:r>
              <w:rPr>
                <w:rFonts w:ascii="Arial" w:cs="Arial" w:eastAsia="Arial" w:hAnsi="Arial"/>
                <w:sz w:val="16"/>
                <w:szCs w:val="16"/>
                <w:color w:val="auto"/>
              </w:rPr>
              <w:t>(113.9 )</w:t>
            </w: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77"/>
        </w:trPr>
        <w:tc>
          <w:tcPr>
            <w:tcW w:w="5380" w:type="dxa"/>
            <w:vAlign w:val="bottom"/>
          </w:tcPr>
          <w:p>
            <w:pPr>
              <w:spacing w:after="0" w:line="178" w:lineRule="exact"/>
              <w:rPr>
                <w:sz w:val="20"/>
                <w:szCs w:val="20"/>
                <w:color w:val="auto"/>
              </w:rPr>
            </w:pPr>
            <w:r>
              <w:rPr>
                <w:rFonts w:ascii="Arial" w:cs="Arial" w:eastAsia="Arial" w:hAnsi="Arial"/>
                <w:sz w:val="16"/>
                <w:szCs w:val="16"/>
                <w:color w:val="auto"/>
              </w:rPr>
              <w:t>Goodwill impairment charge</w:t>
            </w:r>
          </w:p>
        </w:tc>
        <w:tc>
          <w:tcPr>
            <w:tcW w:w="280" w:type="dxa"/>
            <w:vAlign w:val="bottom"/>
          </w:tcPr>
          <w:p>
            <w:pPr>
              <w:spacing w:after="0"/>
              <w:rPr>
                <w:sz w:val="15"/>
                <w:szCs w:val="15"/>
                <w:color w:val="auto"/>
              </w:rPr>
            </w:pPr>
          </w:p>
        </w:tc>
        <w:tc>
          <w:tcPr>
            <w:tcW w:w="1220" w:type="dxa"/>
            <w:vAlign w:val="bottom"/>
            <w:gridSpan w:val="2"/>
          </w:tcPr>
          <w:p>
            <w:pPr>
              <w:jc w:val="right"/>
              <w:ind w:right="260"/>
              <w:spacing w:after="0" w:line="178"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24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(66.8 )</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7"/>
        </w:trPr>
        <w:tc>
          <w:tcPr>
            <w:tcW w:w="538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Intangible asset amortization expense</w:t>
            </w: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80"/>
              <w:spacing w:after="0" w:line="178" w:lineRule="exact"/>
              <w:rPr>
                <w:sz w:val="20"/>
                <w:szCs w:val="20"/>
                <w:color w:val="auto"/>
              </w:rPr>
            </w:pPr>
            <w:r>
              <w:rPr>
                <w:rFonts w:ascii="Arial" w:cs="Arial" w:eastAsia="Arial" w:hAnsi="Arial"/>
                <w:sz w:val="16"/>
                <w:szCs w:val="16"/>
                <w:color w:val="auto"/>
              </w:rPr>
              <w:t>(24.2 )</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line="178" w:lineRule="exact"/>
              <w:rPr>
                <w:sz w:val="20"/>
                <w:szCs w:val="20"/>
                <w:color w:val="auto"/>
              </w:rPr>
            </w:pPr>
            <w:r>
              <w:rPr>
                <w:rFonts w:ascii="Arial" w:cs="Arial" w:eastAsia="Arial" w:hAnsi="Arial"/>
                <w:sz w:val="16"/>
                <w:szCs w:val="16"/>
                <w:color w:val="auto"/>
              </w:rPr>
              <w:t>(27.2 )</w:t>
            </w: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69"/>
        </w:trPr>
        <w:tc>
          <w:tcPr>
            <w:tcW w:w="5380" w:type="dxa"/>
            <w:vAlign w:val="bottom"/>
            <w:tcBorders>
              <w:top w:val="single" w:sz="8" w:color="CFF0FC"/>
            </w:tcBorders>
          </w:tcPr>
          <w:p>
            <w:pPr>
              <w:ind w:left="160"/>
              <w:spacing w:after="0" w:line="169" w:lineRule="exact"/>
              <w:rPr>
                <w:sz w:val="20"/>
                <w:szCs w:val="20"/>
                <w:color w:val="auto"/>
              </w:rPr>
            </w:pPr>
            <w:r>
              <w:rPr>
                <w:rFonts w:ascii="Arial" w:cs="Arial" w:eastAsia="Arial" w:hAnsi="Arial"/>
                <w:sz w:val="16"/>
                <w:szCs w:val="16"/>
                <w:color w:val="auto"/>
              </w:rPr>
              <w:t>Operating profit</w:t>
            </w: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585.4</w:t>
            </w:r>
          </w:p>
        </w:tc>
        <w:tc>
          <w:tcPr>
            <w:tcW w:w="24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187.6</w:t>
            </w:r>
          </w:p>
        </w:tc>
        <w:tc>
          <w:tcPr>
            <w:tcW w:w="24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300" w:type="dxa"/>
            <w:vAlign w:val="bottom"/>
            <w:tcBorders>
              <w:top w:val="single" w:sz="8" w:color="CFF0FC"/>
            </w:tcBorders>
            <w:gridSpan w:val="2"/>
          </w:tcPr>
          <w:p>
            <w:pPr>
              <w:jc w:val="right"/>
              <w:ind w:right="240"/>
              <w:spacing w:after="0" w:line="169" w:lineRule="exact"/>
              <w:rPr>
                <w:sz w:val="20"/>
                <w:szCs w:val="20"/>
                <w:color w:val="auto"/>
              </w:rPr>
            </w:pPr>
            <w:r>
              <w:rPr>
                <w:rFonts w:ascii="Arial" w:cs="Arial" w:eastAsia="Arial" w:hAnsi="Arial"/>
                <w:sz w:val="16"/>
                <w:szCs w:val="16"/>
                <w:color w:val="auto"/>
              </w:rPr>
              <w:t>212.0 %</w:t>
            </w:r>
          </w:p>
        </w:tc>
        <w:tc>
          <w:tcPr>
            <w:tcW w:w="220" w:type="dxa"/>
            <w:vAlign w:val="bottom"/>
            <w:tcBorders>
              <w:top w:val="single" w:sz="8" w:color="CFF0FC"/>
            </w:tcBorders>
          </w:tcPr>
          <w:p>
            <w:pPr>
              <w:spacing w:after="0"/>
              <w:rPr>
                <w:sz w:val="14"/>
                <w:szCs w:val="14"/>
                <w:color w:val="auto"/>
              </w:rPr>
            </w:pPr>
          </w:p>
        </w:tc>
        <w:tc>
          <w:tcPr>
            <w:tcW w:w="1140" w:type="dxa"/>
            <w:vAlign w:val="bottom"/>
            <w:tcBorders>
              <w:top w:val="single" w:sz="8" w:color="CFF0FC"/>
            </w:tcBorders>
            <w:gridSpan w:val="2"/>
          </w:tcPr>
          <w:p>
            <w:pPr>
              <w:jc w:val="right"/>
              <w:ind w:right="100"/>
              <w:spacing w:after="0" w:line="169" w:lineRule="exact"/>
              <w:rPr>
                <w:sz w:val="20"/>
                <w:szCs w:val="20"/>
                <w:color w:val="auto"/>
              </w:rPr>
            </w:pPr>
            <w:r>
              <w:rPr>
                <w:rFonts w:ascii="Arial" w:cs="Arial" w:eastAsia="Arial" w:hAnsi="Arial"/>
                <w:sz w:val="16"/>
                <w:szCs w:val="16"/>
                <w:color w:val="auto"/>
              </w:rPr>
              <w:t>205.5 %</w:t>
            </w:r>
          </w:p>
        </w:tc>
      </w:tr>
      <w:tr>
        <w:trPr>
          <w:trHeight w:val="177"/>
        </w:trPr>
        <w:tc>
          <w:tcPr>
            <w:tcW w:w="538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Interest and other expenses, net (b)</w:t>
            </w: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80"/>
              <w:spacing w:after="0" w:line="178" w:lineRule="exact"/>
              <w:rPr>
                <w:sz w:val="20"/>
                <w:szCs w:val="20"/>
                <w:color w:val="auto"/>
              </w:rPr>
            </w:pPr>
            <w:r>
              <w:rPr>
                <w:rFonts w:ascii="Arial" w:cs="Arial" w:eastAsia="Arial" w:hAnsi="Arial"/>
                <w:sz w:val="16"/>
                <w:szCs w:val="16"/>
                <w:color w:val="auto"/>
              </w:rPr>
              <w:t>(17.3 )</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line="178" w:lineRule="exact"/>
              <w:rPr>
                <w:sz w:val="20"/>
                <w:szCs w:val="20"/>
                <w:color w:val="auto"/>
              </w:rPr>
            </w:pPr>
            <w:r>
              <w:rPr>
                <w:rFonts w:ascii="Arial" w:cs="Arial" w:eastAsia="Arial" w:hAnsi="Arial"/>
                <w:sz w:val="16"/>
                <w:szCs w:val="16"/>
                <w:color w:val="auto"/>
              </w:rPr>
              <w:t>(39.9 )</w:t>
            </w: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69"/>
        </w:trPr>
        <w:tc>
          <w:tcPr>
            <w:tcW w:w="5380" w:type="dxa"/>
            <w:vAlign w:val="bottom"/>
            <w:tcBorders>
              <w:top w:val="single" w:sz="8" w:color="CFF0FC"/>
            </w:tcBorders>
          </w:tcPr>
          <w:p>
            <w:pPr>
              <w:ind w:left="160"/>
              <w:spacing w:after="0" w:line="169" w:lineRule="exact"/>
              <w:rPr>
                <w:sz w:val="20"/>
                <w:szCs w:val="20"/>
                <w:color w:val="auto"/>
              </w:rPr>
            </w:pPr>
            <w:r>
              <w:rPr>
                <w:rFonts w:ascii="Arial" w:cs="Arial" w:eastAsia="Arial" w:hAnsi="Arial"/>
                <w:sz w:val="16"/>
                <w:szCs w:val="16"/>
                <w:color w:val="auto"/>
              </w:rPr>
              <w:t>Earnings before income taxes</w:t>
            </w:r>
          </w:p>
        </w:tc>
        <w:tc>
          <w:tcPr>
            <w:tcW w:w="280" w:type="dxa"/>
            <w:vAlign w:val="bottom"/>
            <w:tcBorders>
              <w:top w:val="single" w:sz="8" w:color="auto"/>
              <w:bottom w:val="single" w:sz="8" w:color="auto"/>
            </w:tcBorders>
          </w:tcPr>
          <w:p>
            <w:pPr>
              <w:jc w:val="right"/>
              <w:ind w:right="127"/>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568.1</w:t>
            </w:r>
          </w:p>
        </w:tc>
        <w:tc>
          <w:tcPr>
            <w:tcW w:w="24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01"/>
              <w:spacing w:after="0" w:line="169"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147.7</w:t>
            </w:r>
          </w:p>
        </w:tc>
        <w:tc>
          <w:tcPr>
            <w:tcW w:w="24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38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-3406140</wp:posOffset>
            </wp:positionV>
            <wp:extent cx="60325" cy="5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-3406140</wp:posOffset>
            </wp:positionV>
            <wp:extent cx="60325" cy="50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-2948305</wp:posOffset>
            </wp:positionV>
            <wp:extent cx="60325" cy="50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-2948305</wp:posOffset>
            </wp:positionV>
            <wp:extent cx="60325" cy="50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-2475230</wp:posOffset>
            </wp:positionV>
            <wp:extent cx="60325" cy="50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-2475230</wp:posOffset>
            </wp:positionV>
            <wp:extent cx="60325" cy="50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-2237105</wp:posOffset>
            </wp:positionV>
            <wp:extent cx="6032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-2222500</wp:posOffset>
            </wp:positionV>
            <wp:extent cx="6032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-2237105</wp:posOffset>
            </wp:positionV>
            <wp:extent cx="6032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-2222500</wp:posOffset>
            </wp:positionV>
            <wp:extent cx="6032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-1761490</wp:posOffset>
            </wp:positionV>
            <wp:extent cx="60325" cy="50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-1761490</wp:posOffset>
            </wp:positionV>
            <wp:extent cx="60325" cy="50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-1062990</wp:posOffset>
            </wp:positionV>
            <wp:extent cx="60325" cy="50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-1062990</wp:posOffset>
            </wp:positionV>
            <wp:extent cx="60325" cy="50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-830580</wp:posOffset>
            </wp:positionV>
            <wp:extent cx="60325" cy="50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-830580</wp:posOffset>
            </wp:positionV>
            <wp:extent cx="60325" cy="50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-372110</wp:posOffset>
            </wp:positionV>
            <wp:extent cx="60325" cy="50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-372110</wp:posOffset>
            </wp:positionV>
            <wp:extent cx="60325" cy="50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-139700</wp:posOffset>
            </wp:positionV>
            <wp:extent cx="60325" cy="50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-139700</wp:posOffset>
            </wp:positionV>
            <wp:extent cx="60325" cy="50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5080"/>
                    </a:xfrm>
                    <a:prstGeom prst="rect">
                      <a:avLst/>
                    </a:prstGeom>
                    <a:noFill/>
                  </pic:spPr>
                </pic:pic>
              </a:graphicData>
            </a:graphic>
          </wp:anchor>
        </w:drawing>
      </w:r>
    </w:p>
    <w:p>
      <w:pPr>
        <w:spacing w:after="0" w:line="145" w:lineRule="exact"/>
        <w:rPr>
          <w:sz w:val="20"/>
          <w:szCs w:val="20"/>
          <w:color w:val="auto"/>
        </w:rPr>
      </w:pPr>
    </w:p>
    <w:p>
      <w:pPr>
        <w:ind w:left="506" w:right="60" w:hanging="506"/>
        <w:spacing w:after="0" w:line="242" w:lineRule="auto"/>
        <w:tabs>
          <w:tab w:leader="none" w:pos="367"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$12.8 million and $12.6 million for the years ended December 31, 2021 and 2020, respectively. These fees are primarily based on revenues generated by the franchise offices, which were $477.6 million and $445.4 million for the years ended December 31, 2021 and 2020, respectively.</w:t>
      </w:r>
    </w:p>
    <w:p>
      <w:pPr>
        <w:spacing w:after="0" w:line="34" w:lineRule="exact"/>
        <w:rPr>
          <w:rFonts w:ascii="Arial" w:cs="Arial" w:eastAsia="Arial" w:hAnsi="Arial"/>
          <w:sz w:val="16"/>
          <w:szCs w:val="16"/>
          <w:color w:val="auto"/>
        </w:rPr>
      </w:pPr>
    </w:p>
    <w:p>
      <w:pPr>
        <w:ind w:left="386" w:hanging="386"/>
        <w:spacing w:after="0"/>
        <w:tabs>
          <w:tab w:leader="none" w:pos="38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components of interest and other expenses, net were:</w:t>
      </w:r>
    </w:p>
    <w:tbl>
      <w:tblPr>
        <w:tblLayout w:type="fixed"/>
        <w:tblInd w:w="6" w:type="dxa"/>
        <w:tblCellMar>
          <w:top w:w="0" w:type="dxa"/>
          <w:left w:w="0" w:type="dxa"/>
          <w:bottom w:w="0" w:type="dxa"/>
          <w:right w:w="0" w:type="dxa"/>
        </w:tblCellMar>
      </w:tblPr>
      <w:tr>
        <w:trPr>
          <w:trHeight w:val="183"/>
        </w:trPr>
        <w:tc>
          <w:tcPr>
            <w:tcW w:w="7700" w:type="dxa"/>
            <w:vAlign w:val="bottom"/>
          </w:tcPr>
          <w:p>
            <w:pPr>
              <w:spacing w:after="0"/>
              <w:rPr>
                <w:sz w:val="15"/>
                <w:szCs w:val="15"/>
                <w:color w:val="auto"/>
              </w:rPr>
            </w:pPr>
          </w:p>
        </w:tc>
        <w:tc>
          <w:tcPr>
            <w:tcW w:w="11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r>
      <w:tr>
        <w:trPr>
          <w:trHeight w:val="169"/>
        </w:trPr>
        <w:tc>
          <w:tcPr>
            <w:tcW w:w="7700" w:type="dxa"/>
            <w:vAlign w:val="bottom"/>
            <w:shd w:val="clear" w:color="auto" w:fill="CFF0FC"/>
          </w:tcPr>
          <w:p>
            <w:pPr>
              <w:ind w:left="320"/>
              <w:spacing w:after="0" w:line="169" w:lineRule="exact"/>
              <w:rPr>
                <w:sz w:val="20"/>
                <w:szCs w:val="20"/>
                <w:color w:val="auto"/>
              </w:rPr>
            </w:pPr>
            <w:r>
              <w:rPr>
                <w:rFonts w:ascii="Arial" w:cs="Arial" w:eastAsia="Arial" w:hAnsi="Arial"/>
                <w:sz w:val="16"/>
                <w:szCs w:val="16"/>
                <w:color w:val="auto"/>
              </w:rPr>
              <w:t>Interest expense</w:t>
            </w:r>
          </w:p>
        </w:tc>
        <w:tc>
          <w:tcPr>
            <w:tcW w:w="1100" w:type="dxa"/>
            <w:vAlign w:val="bottom"/>
            <w:shd w:val="clear" w:color="auto" w:fill="CFF0FC"/>
          </w:tcPr>
          <w:p>
            <w:pPr>
              <w:jc w:val="right"/>
              <w:ind w:right="945"/>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38.8</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7"/>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43.3</w:t>
            </w:r>
          </w:p>
        </w:tc>
        <w:tc>
          <w:tcPr>
            <w:tcW w:w="120" w:type="dxa"/>
            <w:vAlign w:val="bottom"/>
            <w:shd w:val="clear" w:color="auto" w:fill="CFF0FC"/>
          </w:tcPr>
          <w:p>
            <w:pPr>
              <w:spacing w:after="0"/>
              <w:rPr>
                <w:sz w:val="14"/>
                <w:szCs w:val="14"/>
                <w:color w:val="auto"/>
              </w:rPr>
            </w:pPr>
          </w:p>
        </w:tc>
      </w:tr>
      <w:tr>
        <w:trPr>
          <w:trHeight w:val="177"/>
        </w:trPr>
        <w:tc>
          <w:tcPr>
            <w:tcW w:w="7700" w:type="dxa"/>
            <w:vAlign w:val="bottom"/>
          </w:tcPr>
          <w:p>
            <w:pPr>
              <w:ind w:left="320"/>
              <w:spacing w:after="0" w:line="178" w:lineRule="exact"/>
              <w:rPr>
                <w:sz w:val="20"/>
                <w:szCs w:val="20"/>
                <w:color w:val="auto"/>
              </w:rPr>
            </w:pPr>
            <w:r>
              <w:rPr>
                <w:rFonts w:ascii="Arial" w:cs="Arial" w:eastAsia="Arial" w:hAnsi="Arial"/>
                <w:sz w:val="16"/>
                <w:szCs w:val="16"/>
                <w:color w:val="auto"/>
              </w:rPr>
              <w:t>Interest income</w:t>
            </w:r>
          </w:p>
        </w:tc>
        <w:tc>
          <w:tcPr>
            <w:tcW w:w="1100" w:type="dxa"/>
            <w:vAlign w:val="bottom"/>
          </w:tcPr>
          <w:p>
            <w:pPr>
              <w:spacing w:after="0"/>
              <w:rPr>
                <w:sz w:val="15"/>
                <w:szCs w:val="15"/>
                <w:color w:val="auto"/>
              </w:rPr>
            </w:pPr>
          </w:p>
        </w:tc>
        <w:tc>
          <w:tcPr>
            <w:tcW w:w="78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(12.0 )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(13.1 )</w:t>
            </w:r>
          </w:p>
        </w:tc>
      </w:tr>
      <w:tr>
        <w:trPr>
          <w:trHeight w:val="177"/>
        </w:trPr>
        <w:tc>
          <w:tcPr>
            <w:tcW w:w="7700" w:type="dxa"/>
            <w:vAlign w:val="bottom"/>
            <w:shd w:val="clear" w:color="auto" w:fill="CFF0FC"/>
          </w:tcPr>
          <w:p>
            <w:pPr>
              <w:ind w:left="320"/>
              <w:spacing w:after="0" w:line="178" w:lineRule="exact"/>
              <w:rPr>
                <w:sz w:val="20"/>
                <w:szCs w:val="20"/>
                <w:color w:val="auto"/>
              </w:rPr>
            </w:pPr>
            <w:r>
              <w:rPr>
                <w:rFonts w:ascii="Arial" w:cs="Arial" w:eastAsia="Arial" w:hAnsi="Arial"/>
                <w:sz w:val="16"/>
                <w:szCs w:val="16"/>
                <w:color w:val="auto"/>
              </w:rPr>
              <w:t>Foreign exchange loss</w:t>
            </w:r>
          </w:p>
        </w:tc>
        <w:tc>
          <w:tcPr>
            <w:tcW w:w="1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5.2</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4.9</w:t>
            </w:r>
          </w:p>
        </w:tc>
        <w:tc>
          <w:tcPr>
            <w:tcW w:w="120" w:type="dxa"/>
            <w:vAlign w:val="bottom"/>
            <w:shd w:val="clear" w:color="auto" w:fill="CFF0FC"/>
          </w:tcPr>
          <w:p>
            <w:pPr>
              <w:spacing w:after="0"/>
              <w:rPr>
                <w:sz w:val="15"/>
                <w:szCs w:val="15"/>
                <w:color w:val="auto"/>
              </w:rPr>
            </w:pPr>
          </w:p>
        </w:tc>
      </w:tr>
      <w:tr>
        <w:trPr>
          <w:trHeight w:val="177"/>
        </w:trPr>
        <w:tc>
          <w:tcPr>
            <w:tcW w:w="7700" w:type="dxa"/>
            <w:vAlign w:val="bottom"/>
          </w:tcPr>
          <w:p>
            <w:pPr>
              <w:ind w:left="320"/>
              <w:spacing w:after="0" w:line="178" w:lineRule="exact"/>
              <w:rPr>
                <w:sz w:val="20"/>
                <w:szCs w:val="20"/>
                <w:color w:val="auto"/>
              </w:rPr>
            </w:pPr>
            <w:r>
              <w:rPr>
                <w:rFonts w:ascii="Arial" w:cs="Arial" w:eastAsia="Arial" w:hAnsi="Arial"/>
                <w:sz w:val="16"/>
                <w:szCs w:val="16"/>
                <w:color w:val="auto"/>
              </w:rPr>
              <w:t>Miscellaneous (income) expense</w:t>
            </w:r>
          </w:p>
        </w:tc>
        <w:tc>
          <w:tcPr>
            <w:tcW w:w="1100" w:type="dxa"/>
            <w:vAlign w:val="bottom"/>
          </w:tcPr>
          <w:p>
            <w:pPr>
              <w:spacing w:after="0"/>
              <w:rPr>
                <w:sz w:val="15"/>
                <w:szCs w:val="15"/>
                <w:color w:val="auto"/>
              </w:rPr>
            </w:pPr>
          </w:p>
        </w:tc>
        <w:tc>
          <w:tcPr>
            <w:tcW w:w="78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(14.7 )</w:t>
            </w:r>
          </w:p>
        </w:tc>
        <w:tc>
          <w:tcPr>
            <w:tcW w:w="360" w:type="dxa"/>
            <w:vAlign w:val="bottom"/>
          </w:tcPr>
          <w:p>
            <w:pPr>
              <w:spacing w:after="0"/>
              <w:rPr>
                <w:sz w:val="15"/>
                <w:szCs w:val="15"/>
                <w:color w:val="auto"/>
              </w:rPr>
            </w:pPr>
          </w:p>
        </w:tc>
        <w:tc>
          <w:tcPr>
            <w:tcW w:w="1200" w:type="dxa"/>
            <w:vAlign w:val="bottom"/>
          </w:tcPr>
          <w:p>
            <w:pPr>
              <w:jc w:val="right"/>
              <w:spacing w:after="0" w:line="178" w:lineRule="exact"/>
              <w:rPr>
                <w:sz w:val="20"/>
                <w:szCs w:val="20"/>
                <w:color w:val="auto"/>
              </w:rPr>
            </w:pPr>
            <w:r>
              <w:rPr>
                <w:rFonts w:ascii="Arial" w:cs="Arial" w:eastAsia="Arial" w:hAnsi="Arial"/>
                <w:sz w:val="16"/>
                <w:szCs w:val="16"/>
                <w:color w:val="auto"/>
              </w:rPr>
              <w:t>4.8</w:t>
            </w:r>
          </w:p>
        </w:tc>
        <w:tc>
          <w:tcPr>
            <w:tcW w:w="120" w:type="dxa"/>
            <w:vAlign w:val="bottom"/>
          </w:tcPr>
          <w:p>
            <w:pPr>
              <w:spacing w:after="0"/>
              <w:rPr>
                <w:sz w:val="15"/>
                <w:szCs w:val="15"/>
                <w:color w:val="auto"/>
              </w:rPr>
            </w:pPr>
          </w:p>
        </w:tc>
      </w:tr>
      <w:tr>
        <w:trPr>
          <w:trHeight w:val="209"/>
        </w:trPr>
        <w:tc>
          <w:tcPr>
            <w:tcW w:w="77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945"/>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17.3</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07"/>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39.9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819"/>
        </w:trPr>
        <w:tc>
          <w:tcPr>
            <w:tcW w:w="77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-570230</wp:posOffset>
            </wp:positionV>
            <wp:extent cx="6731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-554990</wp:posOffset>
            </wp:positionV>
            <wp:extent cx="6731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-570230</wp:posOffset>
            </wp:positionV>
            <wp:extent cx="6731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-554990</wp:posOffset>
            </wp:positionV>
            <wp:extent cx="6731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6"/>
          </w:cols>
          <w:pgMar w:left="314" w:top="340" w:right="319" w:bottom="1440" w:gutter="0" w:footer="0" w:header="0"/>
        </w:sectPr>
      </w:pPr>
    </w:p>
    <w:bookmarkStart w:id="10" w:name="page11"/>
    <w:bookmarkEnd w:id="10"/>
    <w:p>
      <w:pPr>
        <w:ind w:left="5080"/>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Consolidated Balance Sheets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6"/>
                <w:szCs w:val="16"/>
                <w:b w:val="1"/>
                <w:bCs w:val="1"/>
                <w:color w:val="auto"/>
              </w:rPr>
              <w:t>Dec. 31,</w:t>
            </w:r>
          </w:p>
        </w:tc>
        <w:tc>
          <w:tcPr>
            <w:tcW w:w="360" w:type="dxa"/>
            <w:vAlign w:val="bottom"/>
          </w:tcPr>
          <w:p>
            <w:pPr>
              <w:spacing w:after="0"/>
              <w:rPr>
                <w:sz w:val="16"/>
                <w:szCs w:val="16"/>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Dec. 31,</w:t>
            </w:r>
          </w:p>
        </w:tc>
      </w:tr>
      <w:tr>
        <w:trPr>
          <w:trHeight w:val="194"/>
        </w:trPr>
        <w:tc>
          <w:tcPr>
            <w:tcW w:w="7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3"/>
          </w:tcPr>
          <w:p>
            <w:pPr>
              <w:jc w:val="right"/>
              <w:ind w:right="67"/>
              <w:spacing w:after="0" w:line="169" w:lineRule="exact"/>
              <w:rPr>
                <w:sz w:val="20"/>
                <w:szCs w:val="20"/>
                <w:color w:val="auto"/>
              </w:rPr>
            </w:pPr>
            <w:r>
              <w:rPr>
                <w:rFonts w:ascii="Arial" w:cs="Arial" w:eastAsia="Arial" w:hAnsi="Arial"/>
                <w:sz w:val="16"/>
                <w:szCs w:val="16"/>
                <w:color w:val="auto"/>
              </w:rPr>
              <w:t>(Unaudited)</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7700" w:type="dxa"/>
            <w:vAlign w:val="bottom"/>
            <w:shd w:val="clear" w:color="auto" w:fill="CFF0FC"/>
          </w:tcPr>
          <w:p>
            <w:pPr>
              <w:spacing w:after="0" w:line="178" w:lineRule="exact"/>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7"/>
        </w:trPr>
        <w:tc>
          <w:tcPr>
            <w:tcW w:w="7700" w:type="dxa"/>
            <w:vAlign w:val="bottom"/>
          </w:tcPr>
          <w:p>
            <w:pPr>
              <w:spacing w:after="0" w:line="178" w:lineRule="exact"/>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7700" w:type="dxa"/>
            <w:vAlign w:val="bottom"/>
            <w:shd w:val="clear" w:color="auto" w:fill="CFF0FC"/>
          </w:tcPr>
          <w:p>
            <w:pPr>
              <w:ind w:left="240"/>
              <w:spacing w:after="0" w:line="178" w:lineRule="exact"/>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847.8</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1,567.1</w:t>
            </w:r>
          </w:p>
        </w:tc>
        <w:tc>
          <w:tcPr>
            <w:tcW w:w="120" w:type="dxa"/>
            <w:vAlign w:val="bottom"/>
            <w:shd w:val="clear" w:color="auto" w:fill="CFF0FC"/>
          </w:tcPr>
          <w:p>
            <w:pPr>
              <w:spacing w:after="0"/>
              <w:rPr>
                <w:sz w:val="15"/>
                <w:szCs w:val="15"/>
                <w:color w:val="auto"/>
              </w:rPr>
            </w:pPr>
          </w:p>
        </w:tc>
      </w:tr>
      <w:tr>
        <w:trPr>
          <w:trHeight w:val="177"/>
        </w:trPr>
        <w:tc>
          <w:tcPr>
            <w:tcW w:w="7700" w:type="dxa"/>
            <w:vAlign w:val="bottom"/>
          </w:tcPr>
          <w:p>
            <w:pPr>
              <w:ind w:left="240"/>
              <w:spacing w:after="0" w:line="178" w:lineRule="exact"/>
              <w:rPr>
                <w:sz w:val="20"/>
                <w:szCs w:val="20"/>
                <w:color w:val="auto"/>
              </w:rPr>
            </w:pPr>
            <w:r>
              <w:rPr>
                <w:rFonts w:ascii="Arial" w:cs="Arial" w:eastAsia="Arial" w:hAnsi="Arial"/>
                <w:sz w:val="16"/>
                <w:szCs w:val="16"/>
                <w:color w:val="auto"/>
              </w:rPr>
              <w:t>Accounts receivable, net</w:t>
            </w:r>
          </w:p>
        </w:tc>
        <w:tc>
          <w:tcPr>
            <w:tcW w:w="300" w:type="dxa"/>
            <w:vAlign w:val="bottom"/>
          </w:tcPr>
          <w:p>
            <w:pPr>
              <w:spacing w:after="0"/>
              <w:rPr>
                <w:sz w:val="15"/>
                <w:szCs w:val="15"/>
                <w:color w:val="auto"/>
              </w:rPr>
            </w:pPr>
          </w:p>
        </w:tc>
        <w:tc>
          <w:tcPr>
            <w:tcW w:w="1300" w:type="dxa"/>
            <w:vAlign w:val="bottom"/>
          </w:tcPr>
          <w:p>
            <w:pPr>
              <w:jc w:val="right"/>
              <w:spacing w:after="0" w:line="178" w:lineRule="exact"/>
              <w:rPr>
                <w:sz w:val="20"/>
                <w:szCs w:val="20"/>
                <w:color w:val="auto"/>
              </w:rPr>
            </w:pPr>
            <w:r>
              <w:rPr>
                <w:rFonts w:ascii="Arial" w:cs="Arial" w:eastAsia="Arial" w:hAnsi="Arial"/>
                <w:sz w:val="16"/>
                <w:szCs w:val="16"/>
                <w:color w:val="auto"/>
              </w:rPr>
              <w:t>5,448.2</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line="178" w:lineRule="exact"/>
              <w:rPr>
                <w:sz w:val="20"/>
                <w:szCs w:val="20"/>
                <w:color w:val="auto"/>
              </w:rPr>
            </w:pPr>
            <w:r>
              <w:rPr>
                <w:rFonts w:ascii="Arial" w:cs="Arial" w:eastAsia="Arial" w:hAnsi="Arial"/>
                <w:sz w:val="16"/>
                <w:szCs w:val="16"/>
                <w:color w:val="auto"/>
              </w:rPr>
              <w:t>4,912.4</w:t>
            </w:r>
          </w:p>
        </w:tc>
        <w:tc>
          <w:tcPr>
            <w:tcW w:w="120" w:type="dxa"/>
            <w:vAlign w:val="bottom"/>
          </w:tcPr>
          <w:p>
            <w:pPr>
              <w:spacing w:after="0"/>
              <w:rPr>
                <w:sz w:val="15"/>
                <w:szCs w:val="15"/>
                <w:color w:val="auto"/>
              </w:rPr>
            </w:pPr>
          </w:p>
        </w:tc>
      </w:tr>
      <w:tr>
        <w:trPr>
          <w:trHeight w:val="177"/>
        </w:trPr>
        <w:tc>
          <w:tcPr>
            <w:tcW w:w="7700" w:type="dxa"/>
            <w:vAlign w:val="bottom"/>
            <w:tcBorders>
              <w:bottom w:val="single" w:sz="8" w:color="CFF0FC"/>
            </w:tcBorders>
            <w:shd w:val="clear" w:color="auto" w:fill="CFF0FC"/>
          </w:tcPr>
          <w:p>
            <w:pPr>
              <w:ind w:left="240"/>
              <w:spacing w:after="0" w:line="178" w:lineRule="exact"/>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126.7</w:t>
            </w:r>
          </w:p>
        </w:tc>
        <w:tc>
          <w:tcPr>
            <w:tcW w:w="2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186.9</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560"/>
              <w:spacing w:after="0" w:line="169" w:lineRule="exact"/>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6"/>
                <w:szCs w:val="16"/>
                <w:color w:val="auto"/>
              </w:rPr>
              <w:t>6,422.7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6"/>
                <w:szCs w:val="16"/>
                <w:color w:val="auto"/>
              </w:rPr>
              <w:t>6,666.4</w:t>
            </w:r>
          </w:p>
        </w:tc>
        <w:tc>
          <w:tcPr>
            <w:tcW w:w="120" w:type="dxa"/>
            <w:vAlign w:val="bottom"/>
          </w:tcPr>
          <w:p>
            <w:pPr>
              <w:spacing w:after="0"/>
              <w:rPr>
                <w:sz w:val="14"/>
                <w:szCs w:val="14"/>
                <w:color w:val="auto"/>
              </w:rPr>
            </w:pPr>
          </w:p>
        </w:tc>
      </w:tr>
      <w:tr>
        <w:trPr>
          <w:trHeight w:val="177"/>
        </w:trPr>
        <w:tc>
          <w:tcPr>
            <w:tcW w:w="7700" w:type="dxa"/>
            <w:vAlign w:val="bottom"/>
            <w:shd w:val="clear" w:color="auto" w:fill="CFF0FC"/>
          </w:tcPr>
          <w:p>
            <w:pPr>
              <w:spacing w:after="0" w:line="178" w:lineRule="exact"/>
              <w:rPr>
                <w:sz w:val="20"/>
                <w:szCs w:val="20"/>
                <w:color w:val="auto"/>
              </w:rPr>
            </w:pPr>
            <w:r>
              <w:rPr>
                <w:rFonts w:ascii="Arial" w:cs="Arial" w:eastAsia="Arial" w:hAnsi="Arial"/>
                <w:sz w:val="16"/>
                <w:szCs w:val="16"/>
                <w:b w:val="1"/>
                <w:bCs w:val="1"/>
                <w:color w:val="auto"/>
              </w:rPr>
              <w:t>Other assets:</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7"/>
        </w:trPr>
        <w:tc>
          <w:tcPr>
            <w:tcW w:w="7700" w:type="dxa"/>
            <w:vAlign w:val="bottom"/>
          </w:tcPr>
          <w:p>
            <w:pPr>
              <w:ind w:left="240"/>
              <w:spacing w:after="0" w:line="178" w:lineRule="exact"/>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5"/>
                <w:szCs w:val="15"/>
                <w:color w:val="auto"/>
              </w:rPr>
            </w:pPr>
          </w:p>
        </w:tc>
        <w:tc>
          <w:tcPr>
            <w:tcW w:w="1300" w:type="dxa"/>
            <w:vAlign w:val="bottom"/>
          </w:tcPr>
          <w:p>
            <w:pPr>
              <w:jc w:val="right"/>
              <w:spacing w:after="0" w:line="178" w:lineRule="exact"/>
              <w:rPr>
                <w:sz w:val="20"/>
                <w:szCs w:val="20"/>
                <w:color w:val="auto"/>
              </w:rPr>
            </w:pPr>
            <w:r>
              <w:rPr>
                <w:rFonts w:ascii="Arial" w:cs="Arial" w:eastAsia="Arial" w:hAnsi="Arial"/>
                <w:sz w:val="16"/>
                <w:szCs w:val="16"/>
                <w:color w:val="auto"/>
              </w:rPr>
              <w:t>1,722.2</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line="178" w:lineRule="exact"/>
              <w:rPr>
                <w:sz w:val="20"/>
                <w:szCs w:val="20"/>
                <w:color w:val="auto"/>
              </w:rPr>
            </w:pPr>
            <w:r>
              <w:rPr>
                <w:rFonts w:ascii="Arial" w:cs="Arial" w:eastAsia="Arial" w:hAnsi="Arial"/>
                <w:sz w:val="16"/>
                <w:szCs w:val="16"/>
                <w:color w:val="auto"/>
              </w:rPr>
              <w:t>1,225.8</w:t>
            </w:r>
          </w:p>
        </w:tc>
        <w:tc>
          <w:tcPr>
            <w:tcW w:w="120" w:type="dxa"/>
            <w:vAlign w:val="bottom"/>
          </w:tcPr>
          <w:p>
            <w:pPr>
              <w:spacing w:after="0"/>
              <w:rPr>
                <w:sz w:val="15"/>
                <w:szCs w:val="15"/>
                <w:color w:val="auto"/>
              </w:rPr>
            </w:pPr>
          </w:p>
        </w:tc>
      </w:tr>
      <w:tr>
        <w:trPr>
          <w:trHeight w:val="177"/>
        </w:trPr>
        <w:tc>
          <w:tcPr>
            <w:tcW w:w="7700" w:type="dxa"/>
            <w:vAlign w:val="bottom"/>
            <w:shd w:val="clear" w:color="auto" w:fill="CFF0FC"/>
          </w:tcPr>
          <w:p>
            <w:pPr>
              <w:ind w:left="240"/>
              <w:spacing w:after="0" w:line="178" w:lineRule="exact"/>
              <w:rPr>
                <w:sz w:val="20"/>
                <w:szCs w:val="20"/>
                <w:color w:val="auto"/>
              </w:rPr>
            </w:pPr>
            <w:r>
              <w:rPr>
                <w:rFonts w:ascii="Arial" w:cs="Arial" w:eastAsia="Arial" w:hAnsi="Arial"/>
                <w:sz w:val="16"/>
                <w:szCs w:val="16"/>
                <w:color w:val="auto"/>
              </w:rPr>
              <w:t>Intangible assets, net</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583.6</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248.6</w:t>
            </w:r>
          </w:p>
        </w:tc>
        <w:tc>
          <w:tcPr>
            <w:tcW w:w="120" w:type="dxa"/>
            <w:vAlign w:val="bottom"/>
            <w:shd w:val="clear" w:color="auto" w:fill="CFF0FC"/>
          </w:tcPr>
          <w:p>
            <w:pPr>
              <w:spacing w:after="0"/>
              <w:rPr>
                <w:sz w:val="15"/>
                <w:szCs w:val="15"/>
                <w:color w:val="auto"/>
              </w:rPr>
            </w:pPr>
          </w:p>
        </w:tc>
      </w:tr>
      <w:tr>
        <w:trPr>
          <w:trHeight w:val="177"/>
        </w:trPr>
        <w:tc>
          <w:tcPr>
            <w:tcW w:w="7700" w:type="dxa"/>
            <w:vAlign w:val="bottom"/>
          </w:tcPr>
          <w:p>
            <w:pPr>
              <w:ind w:left="240"/>
              <w:spacing w:after="0" w:line="178" w:lineRule="exact"/>
              <w:rPr>
                <w:sz w:val="20"/>
                <w:szCs w:val="20"/>
                <w:color w:val="auto"/>
              </w:rPr>
            </w:pPr>
            <w:r>
              <w:rPr>
                <w:rFonts w:ascii="Arial" w:cs="Arial" w:eastAsia="Arial" w:hAnsi="Arial"/>
                <w:sz w:val="16"/>
                <w:szCs w:val="16"/>
                <w:color w:val="auto"/>
              </w:rPr>
              <w:t>Operating lease right-of-use asset</w:t>
            </w:r>
          </w:p>
        </w:tc>
        <w:tc>
          <w:tcPr>
            <w:tcW w:w="300" w:type="dxa"/>
            <w:vAlign w:val="bottom"/>
          </w:tcPr>
          <w:p>
            <w:pPr>
              <w:spacing w:after="0"/>
              <w:rPr>
                <w:sz w:val="15"/>
                <w:szCs w:val="15"/>
                <w:color w:val="auto"/>
              </w:rPr>
            </w:pPr>
          </w:p>
        </w:tc>
        <w:tc>
          <w:tcPr>
            <w:tcW w:w="1300" w:type="dxa"/>
            <w:vAlign w:val="bottom"/>
          </w:tcPr>
          <w:p>
            <w:pPr>
              <w:jc w:val="right"/>
              <w:spacing w:after="0" w:line="178" w:lineRule="exact"/>
              <w:rPr>
                <w:sz w:val="20"/>
                <w:szCs w:val="20"/>
                <w:color w:val="auto"/>
              </w:rPr>
            </w:pPr>
            <w:r>
              <w:rPr>
                <w:rFonts w:ascii="Arial" w:cs="Arial" w:eastAsia="Arial" w:hAnsi="Arial"/>
                <w:sz w:val="16"/>
                <w:szCs w:val="16"/>
                <w:color w:val="auto"/>
              </w:rPr>
              <w:t>373.4</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line="178" w:lineRule="exact"/>
              <w:rPr>
                <w:sz w:val="20"/>
                <w:szCs w:val="20"/>
                <w:color w:val="auto"/>
              </w:rPr>
            </w:pPr>
            <w:r>
              <w:rPr>
                <w:rFonts w:ascii="Arial" w:cs="Arial" w:eastAsia="Arial" w:hAnsi="Arial"/>
                <w:sz w:val="16"/>
                <w:szCs w:val="16"/>
                <w:color w:val="auto"/>
              </w:rPr>
              <w:t>400.7</w:t>
            </w:r>
          </w:p>
        </w:tc>
        <w:tc>
          <w:tcPr>
            <w:tcW w:w="120" w:type="dxa"/>
            <w:vAlign w:val="bottom"/>
          </w:tcPr>
          <w:p>
            <w:pPr>
              <w:spacing w:after="0"/>
              <w:rPr>
                <w:sz w:val="15"/>
                <w:szCs w:val="15"/>
                <w:color w:val="auto"/>
              </w:rPr>
            </w:pPr>
          </w:p>
        </w:tc>
      </w:tr>
      <w:tr>
        <w:trPr>
          <w:trHeight w:val="177"/>
        </w:trPr>
        <w:tc>
          <w:tcPr>
            <w:tcW w:w="7700" w:type="dxa"/>
            <w:vAlign w:val="bottom"/>
            <w:tcBorders>
              <w:bottom w:val="single" w:sz="8" w:color="CFF0FC"/>
            </w:tcBorders>
            <w:shd w:val="clear" w:color="auto" w:fill="CFF0FC"/>
          </w:tcPr>
          <w:p>
            <w:pPr>
              <w:ind w:left="240"/>
              <w:spacing w:after="0" w:line="178" w:lineRule="exact"/>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610.2</w:t>
            </w:r>
          </w:p>
        </w:tc>
        <w:tc>
          <w:tcPr>
            <w:tcW w:w="2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651.6</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560"/>
              <w:spacing w:after="0" w:line="169" w:lineRule="exact"/>
              <w:rPr>
                <w:sz w:val="20"/>
                <w:szCs w:val="20"/>
                <w:color w:val="auto"/>
              </w:rPr>
            </w:pPr>
            <w:r>
              <w:rPr>
                <w:rFonts w:ascii="Arial" w:cs="Arial" w:eastAsia="Arial" w:hAnsi="Arial"/>
                <w:sz w:val="16"/>
                <w:szCs w:val="16"/>
                <w:color w:val="auto"/>
              </w:rPr>
              <w:t>Total other assets</w:t>
            </w:r>
          </w:p>
        </w:tc>
        <w:tc>
          <w:tcPr>
            <w:tcW w:w="30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6"/>
                <w:szCs w:val="16"/>
                <w:color w:val="auto"/>
              </w:rPr>
              <w:t>3,289.4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6"/>
                <w:szCs w:val="16"/>
                <w:color w:val="auto"/>
              </w:rPr>
              <w:t>2,526.7</w:t>
            </w:r>
          </w:p>
        </w:tc>
        <w:tc>
          <w:tcPr>
            <w:tcW w:w="120" w:type="dxa"/>
            <w:vAlign w:val="bottom"/>
          </w:tcPr>
          <w:p>
            <w:pPr>
              <w:spacing w:after="0"/>
              <w:rPr>
                <w:sz w:val="14"/>
                <w:szCs w:val="14"/>
                <w:color w:val="auto"/>
              </w:rPr>
            </w:pPr>
          </w:p>
        </w:tc>
      </w:tr>
      <w:tr>
        <w:trPr>
          <w:trHeight w:val="177"/>
        </w:trPr>
        <w:tc>
          <w:tcPr>
            <w:tcW w:w="7700" w:type="dxa"/>
            <w:vAlign w:val="bottom"/>
            <w:shd w:val="clear" w:color="auto" w:fill="CFF0FC"/>
          </w:tcPr>
          <w:p>
            <w:pPr>
              <w:spacing w:after="0" w:line="178" w:lineRule="exact"/>
              <w:rPr>
                <w:sz w:val="20"/>
                <w:szCs w:val="20"/>
                <w:color w:val="auto"/>
              </w:rPr>
            </w:pPr>
            <w:r>
              <w:rPr>
                <w:rFonts w:ascii="Arial" w:cs="Arial" w:eastAsia="Arial" w:hAnsi="Arial"/>
                <w:sz w:val="16"/>
                <w:szCs w:val="16"/>
                <w:b w:val="1"/>
                <w:bCs w:val="1"/>
                <w:color w:val="auto"/>
              </w:rPr>
              <w:t>Property and equipment:</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7"/>
        </w:trPr>
        <w:tc>
          <w:tcPr>
            <w:tcW w:w="7700" w:type="dxa"/>
            <w:vAlign w:val="bottom"/>
          </w:tcPr>
          <w:p>
            <w:pPr>
              <w:ind w:left="240"/>
              <w:spacing w:after="0" w:line="178" w:lineRule="exact"/>
              <w:rPr>
                <w:sz w:val="20"/>
                <w:szCs w:val="20"/>
                <w:color w:val="auto"/>
              </w:rPr>
            </w:pPr>
            <w:r>
              <w:rPr>
                <w:rFonts w:ascii="Arial" w:cs="Arial" w:eastAsia="Arial" w:hAnsi="Arial"/>
                <w:sz w:val="16"/>
                <w:szCs w:val="16"/>
                <w:color w:val="auto"/>
              </w:rPr>
              <w:t>Land, buildings, leasehold improvements and equipment</w:t>
            </w:r>
          </w:p>
        </w:tc>
        <w:tc>
          <w:tcPr>
            <w:tcW w:w="300" w:type="dxa"/>
            <w:vAlign w:val="bottom"/>
          </w:tcPr>
          <w:p>
            <w:pPr>
              <w:spacing w:after="0"/>
              <w:rPr>
                <w:sz w:val="15"/>
                <w:szCs w:val="15"/>
                <w:color w:val="auto"/>
              </w:rPr>
            </w:pPr>
          </w:p>
        </w:tc>
        <w:tc>
          <w:tcPr>
            <w:tcW w:w="1300" w:type="dxa"/>
            <w:vAlign w:val="bottom"/>
          </w:tcPr>
          <w:p>
            <w:pPr>
              <w:jc w:val="right"/>
              <w:spacing w:after="0" w:line="178" w:lineRule="exact"/>
              <w:rPr>
                <w:sz w:val="20"/>
                <w:szCs w:val="20"/>
                <w:color w:val="auto"/>
              </w:rPr>
            </w:pPr>
            <w:r>
              <w:rPr>
                <w:rFonts w:ascii="Arial" w:cs="Arial" w:eastAsia="Arial" w:hAnsi="Arial"/>
                <w:sz w:val="16"/>
                <w:szCs w:val="16"/>
                <w:color w:val="auto"/>
              </w:rPr>
              <w:t>594.9</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line="178" w:lineRule="exact"/>
              <w:rPr>
                <w:sz w:val="20"/>
                <w:szCs w:val="20"/>
                <w:color w:val="auto"/>
              </w:rPr>
            </w:pPr>
            <w:r>
              <w:rPr>
                <w:rFonts w:ascii="Arial" w:cs="Arial" w:eastAsia="Arial" w:hAnsi="Arial"/>
                <w:sz w:val="16"/>
                <w:szCs w:val="16"/>
                <w:color w:val="auto"/>
              </w:rPr>
              <w:t>614.7</w:t>
            </w:r>
          </w:p>
        </w:tc>
        <w:tc>
          <w:tcPr>
            <w:tcW w:w="120" w:type="dxa"/>
            <w:vAlign w:val="bottom"/>
          </w:tcPr>
          <w:p>
            <w:pPr>
              <w:spacing w:after="0"/>
              <w:rPr>
                <w:sz w:val="15"/>
                <w:szCs w:val="15"/>
                <w:color w:val="auto"/>
              </w:rPr>
            </w:pPr>
          </w:p>
        </w:tc>
      </w:tr>
      <w:tr>
        <w:trPr>
          <w:trHeight w:val="177"/>
        </w:trPr>
        <w:tc>
          <w:tcPr>
            <w:tcW w:w="7700" w:type="dxa"/>
            <w:vAlign w:val="bottom"/>
            <w:tcBorders>
              <w:bottom w:val="single" w:sz="8" w:color="CFF0FC"/>
            </w:tcBorders>
            <w:shd w:val="clear" w:color="auto" w:fill="CFF0FC"/>
          </w:tcPr>
          <w:p>
            <w:pPr>
              <w:ind w:left="240"/>
              <w:spacing w:after="0" w:line="178" w:lineRule="exact"/>
              <w:rPr>
                <w:sz w:val="20"/>
                <w:szCs w:val="20"/>
                <w:color w:val="auto"/>
              </w:rPr>
            </w:pPr>
            <w:r>
              <w:rPr>
                <w:rFonts w:ascii="Arial" w:cs="Arial" w:eastAsia="Arial" w:hAnsi="Arial"/>
                <w:sz w:val="16"/>
                <w:szCs w:val="16"/>
                <w:color w:val="auto"/>
              </w:rPr>
              <w:t>Less: accumulated depreciation and amortization</w:t>
            </w:r>
          </w:p>
        </w:tc>
        <w:tc>
          <w:tcPr>
            <w:tcW w:w="30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478.1</w:t>
            </w:r>
          </w:p>
        </w:tc>
        <w:tc>
          <w:tcPr>
            <w:tcW w:w="2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479.6</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400"/>
              <w:spacing w:after="0" w:line="169" w:lineRule="exact"/>
              <w:rPr>
                <w:sz w:val="20"/>
                <w:szCs w:val="20"/>
                <w:color w:val="auto"/>
              </w:rPr>
            </w:pPr>
            <w:r>
              <w:rPr>
                <w:rFonts w:ascii="Arial" w:cs="Arial" w:eastAsia="Arial" w:hAnsi="Arial"/>
                <w:sz w:val="16"/>
                <w:szCs w:val="16"/>
                <w:color w:val="auto"/>
              </w:rPr>
              <w:t>Net property and equipment</w:t>
            </w: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116.8</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135.1</w:t>
            </w:r>
          </w:p>
        </w:tc>
        <w:tc>
          <w:tcPr>
            <w:tcW w:w="120" w:type="dxa"/>
            <w:vAlign w:val="bottom"/>
          </w:tcPr>
          <w:p>
            <w:pPr>
              <w:spacing w:after="0"/>
              <w:rPr>
                <w:sz w:val="14"/>
                <w:szCs w:val="14"/>
                <w:color w:val="auto"/>
              </w:rPr>
            </w:pPr>
          </w:p>
        </w:tc>
      </w:tr>
      <w:tr>
        <w:trPr>
          <w:trHeight w:val="209"/>
        </w:trPr>
        <w:tc>
          <w:tcPr>
            <w:tcW w:w="7700" w:type="dxa"/>
            <w:vAlign w:val="bottom"/>
            <w:tcBorders>
              <w:bottom w:val="single" w:sz="8" w:color="CFF0FC"/>
            </w:tcBorders>
            <w:shd w:val="clear" w:color="auto" w:fill="CFF0FC"/>
          </w:tcPr>
          <w:p>
            <w:pPr>
              <w:ind w:left="840"/>
              <w:spacing w:after="0" w:line="169" w:lineRule="exact"/>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FF0FC"/>
          </w:tcPr>
          <w:p>
            <w:pPr>
              <w:jc w:val="right"/>
              <w:ind w:right="147"/>
              <w:spacing w:after="0" w:line="169" w:lineRule="exact"/>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9,828.9</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9,328.2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153"/>
        </w:trPr>
        <w:tc>
          <w:tcPr>
            <w:tcW w:w="7700" w:type="dxa"/>
            <w:vAlign w:val="bottom"/>
          </w:tcPr>
          <w:p>
            <w:pPr>
              <w:spacing w:after="0" w:line="153" w:lineRule="exact"/>
              <w:rPr>
                <w:sz w:val="20"/>
                <w:szCs w:val="20"/>
                <w:color w:val="auto"/>
              </w:rPr>
            </w:pPr>
            <w:r>
              <w:rPr>
                <w:rFonts w:ascii="Arial" w:cs="Arial" w:eastAsia="Arial" w:hAnsi="Arial"/>
                <w:sz w:val="16"/>
                <w:szCs w:val="16"/>
                <w:b w:val="1"/>
                <w:bCs w:val="1"/>
                <w:color w:val="auto"/>
              </w:rPr>
              <w:t>LIABILITIES AND SHAREHOLDERS' EQUITY</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7"/>
        </w:trPr>
        <w:tc>
          <w:tcPr>
            <w:tcW w:w="7700" w:type="dxa"/>
            <w:vAlign w:val="bottom"/>
            <w:shd w:val="clear" w:color="auto" w:fill="CFF0FC"/>
          </w:tcPr>
          <w:p>
            <w:pPr>
              <w:spacing w:after="0" w:line="178" w:lineRule="exact"/>
              <w:rPr>
                <w:sz w:val="20"/>
                <w:szCs w:val="20"/>
                <w:color w:val="auto"/>
              </w:rPr>
            </w:pPr>
            <w:r>
              <w:rPr>
                <w:rFonts w:ascii="Arial" w:cs="Arial" w:eastAsia="Arial" w:hAnsi="Arial"/>
                <w:sz w:val="16"/>
                <w:szCs w:val="16"/>
                <w:b w:val="1"/>
                <w:bCs w:val="1"/>
                <w:color w:val="auto"/>
              </w:rPr>
              <w:t>Current liabilities:</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7"/>
        </w:trPr>
        <w:tc>
          <w:tcPr>
            <w:tcW w:w="7700" w:type="dxa"/>
            <w:vAlign w:val="bottom"/>
          </w:tcPr>
          <w:p>
            <w:pPr>
              <w:ind w:left="240"/>
              <w:spacing w:after="0" w:line="178" w:lineRule="exact"/>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78" w:lineRule="exact"/>
              <w:rPr>
                <w:sz w:val="20"/>
                <w:szCs w:val="20"/>
                <w:color w:val="auto"/>
              </w:rPr>
            </w:pPr>
            <w:r>
              <w:rPr>
                <w:rFonts w:ascii="Arial" w:cs="Arial" w:eastAsia="Arial" w:hAnsi="Arial"/>
                <w:sz w:val="16"/>
                <w:szCs w:val="16"/>
                <w:color w:val="auto"/>
              </w:rPr>
              <w:t>3,039.2</w:t>
            </w:r>
          </w:p>
        </w:tc>
        <w:tc>
          <w:tcPr>
            <w:tcW w:w="280" w:type="dxa"/>
            <w:vAlign w:val="bottom"/>
          </w:tcPr>
          <w:p>
            <w:pPr>
              <w:spacing w:after="0"/>
              <w:rPr>
                <w:sz w:val="15"/>
                <w:szCs w:val="15"/>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78" w:lineRule="exact"/>
              <w:rPr>
                <w:sz w:val="20"/>
                <w:szCs w:val="20"/>
                <w:color w:val="auto"/>
              </w:rPr>
            </w:pPr>
            <w:r>
              <w:rPr>
                <w:rFonts w:ascii="Arial" w:cs="Arial" w:eastAsia="Arial" w:hAnsi="Arial"/>
                <w:sz w:val="16"/>
                <w:szCs w:val="16"/>
                <w:color w:val="auto"/>
              </w:rPr>
              <w:t>2,527.4</w:t>
            </w:r>
          </w:p>
        </w:tc>
        <w:tc>
          <w:tcPr>
            <w:tcW w:w="120" w:type="dxa"/>
            <w:vAlign w:val="bottom"/>
          </w:tcPr>
          <w:p>
            <w:pPr>
              <w:spacing w:after="0"/>
              <w:rPr>
                <w:sz w:val="15"/>
                <w:szCs w:val="15"/>
                <w:color w:val="auto"/>
              </w:rPr>
            </w:pPr>
          </w:p>
        </w:tc>
      </w:tr>
      <w:tr>
        <w:trPr>
          <w:trHeight w:val="177"/>
        </w:trPr>
        <w:tc>
          <w:tcPr>
            <w:tcW w:w="7700" w:type="dxa"/>
            <w:vAlign w:val="bottom"/>
            <w:shd w:val="clear" w:color="auto" w:fill="CFF0FC"/>
          </w:tcPr>
          <w:p>
            <w:pPr>
              <w:ind w:left="240"/>
              <w:spacing w:after="0" w:line="178" w:lineRule="exact"/>
              <w:rPr>
                <w:sz w:val="20"/>
                <w:szCs w:val="20"/>
                <w:color w:val="auto"/>
              </w:rPr>
            </w:pPr>
            <w:r>
              <w:rPr>
                <w:rFonts w:ascii="Arial" w:cs="Arial" w:eastAsia="Arial" w:hAnsi="Arial"/>
                <w:sz w:val="16"/>
                <w:szCs w:val="16"/>
                <w:color w:val="auto"/>
              </w:rPr>
              <w:t>Employee compensation payable</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299.4</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231.8</w:t>
            </w:r>
          </w:p>
        </w:tc>
        <w:tc>
          <w:tcPr>
            <w:tcW w:w="120" w:type="dxa"/>
            <w:vAlign w:val="bottom"/>
            <w:shd w:val="clear" w:color="auto" w:fill="CFF0FC"/>
          </w:tcPr>
          <w:p>
            <w:pPr>
              <w:spacing w:after="0"/>
              <w:rPr>
                <w:sz w:val="15"/>
                <w:szCs w:val="15"/>
                <w:color w:val="auto"/>
              </w:rPr>
            </w:pPr>
          </w:p>
        </w:tc>
      </w:tr>
      <w:tr>
        <w:trPr>
          <w:trHeight w:val="177"/>
        </w:trPr>
        <w:tc>
          <w:tcPr>
            <w:tcW w:w="7700" w:type="dxa"/>
            <w:vAlign w:val="bottom"/>
          </w:tcPr>
          <w:p>
            <w:pPr>
              <w:ind w:left="240"/>
              <w:spacing w:after="0" w:line="178" w:lineRule="exact"/>
              <w:rPr>
                <w:sz w:val="20"/>
                <w:szCs w:val="20"/>
                <w:color w:val="auto"/>
              </w:rPr>
            </w:pPr>
            <w:r>
              <w:rPr>
                <w:rFonts w:ascii="Arial" w:cs="Arial" w:eastAsia="Arial" w:hAnsi="Arial"/>
                <w:sz w:val="16"/>
                <w:szCs w:val="16"/>
                <w:color w:val="auto"/>
              </w:rPr>
              <w:t>Accrued liabilities</w:t>
            </w:r>
          </w:p>
        </w:tc>
        <w:tc>
          <w:tcPr>
            <w:tcW w:w="300" w:type="dxa"/>
            <w:vAlign w:val="bottom"/>
          </w:tcPr>
          <w:p>
            <w:pPr>
              <w:spacing w:after="0"/>
              <w:rPr>
                <w:sz w:val="15"/>
                <w:szCs w:val="15"/>
                <w:color w:val="auto"/>
              </w:rPr>
            </w:pPr>
          </w:p>
        </w:tc>
        <w:tc>
          <w:tcPr>
            <w:tcW w:w="1300" w:type="dxa"/>
            <w:vAlign w:val="bottom"/>
          </w:tcPr>
          <w:p>
            <w:pPr>
              <w:jc w:val="right"/>
              <w:spacing w:after="0" w:line="178" w:lineRule="exact"/>
              <w:rPr>
                <w:sz w:val="20"/>
                <w:szCs w:val="20"/>
                <w:color w:val="auto"/>
              </w:rPr>
            </w:pPr>
            <w:r>
              <w:rPr>
                <w:rFonts w:ascii="Arial" w:cs="Arial" w:eastAsia="Arial" w:hAnsi="Arial"/>
                <w:sz w:val="16"/>
                <w:szCs w:val="16"/>
                <w:color w:val="auto"/>
              </w:rPr>
              <w:t>584.7</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line="178" w:lineRule="exact"/>
              <w:rPr>
                <w:sz w:val="20"/>
                <w:szCs w:val="20"/>
                <w:color w:val="auto"/>
              </w:rPr>
            </w:pPr>
            <w:r>
              <w:rPr>
                <w:rFonts w:ascii="Arial" w:cs="Arial" w:eastAsia="Arial" w:hAnsi="Arial"/>
                <w:sz w:val="16"/>
                <w:szCs w:val="16"/>
                <w:color w:val="auto"/>
              </w:rPr>
              <w:t>602.1</w:t>
            </w:r>
          </w:p>
        </w:tc>
        <w:tc>
          <w:tcPr>
            <w:tcW w:w="120" w:type="dxa"/>
            <w:vAlign w:val="bottom"/>
          </w:tcPr>
          <w:p>
            <w:pPr>
              <w:spacing w:after="0"/>
              <w:rPr>
                <w:sz w:val="15"/>
                <w:szCs w:val="15"/>
                <w:color w:val="auto"/>
              </w:rPr>
            </w:pPr>
          </w:p>
        </w:tc>
      </w:tr>
      <w:tr>
        <w:trPr>
          <w:trHeight w:val="177"/>
        </w:trPr>
        <w:tc>
          <w:tcPr>
            <w:tcW w:w="7700" w:type="dxa"/>
            <w:vAlign w:val="bottom"/>
            <w:shd w:val="clear" w:color="auto" w:fill="CFF0FC"/>
          </w:tcPr>
          <w:p>
            <w:pPr>
              <w:ind w:left="240"/>
              <w:spacing w:after="0" w:line="178" w:lineRule="exact"/>
              <w:rPr>
                <w:sz w:val="20"/>
                <w:szCs w:val="20"/>
                <w:color w:val="auto"/>
              </w:rPr>
            </w:pPr>
            <w:r>
              <w:rPr>
                <w:rFonts w:ascii="Arial" w:cs="Arial" w:eastAsia="Arial" w:hAnsi="Arial"/>
                <w:sz w:val="16"/>
                <w:szCs w:val="16"/>
                <w:color w:val="auto"/>
              </w:rPr>
              <w:t>Accrued payroll taxes and insurance</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789.1</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752.0</w:t>
            </w:r>
          </w:p>
        </w:tc>
        <w:tc>
          <w:tcPr>
            <w:tcW w:w="120" w:type="dxa"/>
            <w:vAlign w:val="bottom"/>
            <w:shd w:val="clear" w:color="auto" w:fill="CFF0FC"/>
          </w:tcPr>
          <w:p>
            <w:pPr>
              <w:spacing w:after="0"/>
              <w:rPr>
                <w:sz w:val="15"/>
                <w:szCs w:val="15"/>
                <w:color w:val="auto"/>
              </w:rPr>
            </w:pPr>
          </w:p>
        </w:tc>
      </w:tr>
      <w:tr>
        <w:trPr>
          <w:trHeight w:val="177"/>
        </w:trPr>
        <w:tc>
          <w:tcPr>
            <w:tcW w:w="7700" w:type="dxa"/>
            <w:vAlign w:val="bottom"/>
          </w:tcPr>
          <w:p>
            <w:pPr>
              <w:ind w:left="240"/>
              <w:spacing w:after="0" w:line="178" w:lineRule="exact"/>
              <w:rPr>
                <w:sz w:val="20"/>
                <w:szCs w:val="20"/>
                <w:color w:val="auto"/>
              </w:rPr>
            </w:pPr>
            <w:r>
              <w:rPr>
                <w:rFonts w:ascii="Arial" w:cs="Arial" w:eastAsia="Arial" w:hAnsi="Arial"/>
                <w:sz w:val="16"/>
                <w:szCs w:val="16"/>
                <w:color w:val="auto"/>
              </w:rPr>
              <w:t>Value added taxes payable</w:t>
            </w:r>
          </w:p>
        </w:tc>
        <w:tc>
          <w:tcPr>
            <w:tcW w:w="300" w:type="dxa"/>
            <w:vAlign w:val="bottom"/>
          </w:tcPr>
          <w:p>
            <w:pPr>
              <w:spacing w:after="0"/>
              <w:rPr>
                <w:sz w:val="15"/>
                <w:szCs w:val="15"/>
                <w:color w:val="auto"/>
              </w:rPr>
            </w:pPr>
          </w:p>
        </w:tc>
        <w:tc>
          <w:tcPr>
            <w:tcW w:w="1300" w:type="dxa"/>
            <w:vAlign w:val="bottom"/>
          </w:tcPr>
          <w:p>
            <w:pPr>
              <w:jc w:val="right"/>
              <w:spacing w:after="0" w:line="178" w:lineRule="exact"/>
              <w:rPr>
                <w:sz w:val="20"/>
                <w:szCs w:val="20"/>
                <w:color w:val="auto"/>
              </w:rPr>
            </w:pPr>
            <w:r>
              <w:rPr>
                <w:rFonts w:ascii="Arial" w:cs="Arial" w:eastAsia="Arial" w:hAnsi="Arial"/>
                <w:sz w:val="16"/>
                <w:szCs w:val="16"/>
                <w:color w:val="auto"/>
              </w:rPr>
              <w:t>515.5</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line="178" w:lineRule="exact"/>
              <w:rPr>
                <w:sz w:val="20"/>
                <w:szCs w:val="20"/>
                <w:color w:val="auto"/>
              </w:rPr>
            </w:pPr>
            <w:r>
              <w:rPr>
                <w:rFonts w:ascii="Arial" w:cs="Arial" w:eastAsia="Arial" w:hAnsi="Arial"/>
                <w:sz w:val="16"/>
                <w:szCs w:val="16"/>
                <w:color w:val="auto"/>
              </w:rPr>
              <w:t>551.1</w:t>
            </w:r>
          </w:p>
        </w:tc>
        <w:tc>
          <w:tcPr>
            <w:tcW w:w="120" w:type="dxa"/>
            <w:vAlign w:val="bottom"/>
          </w:tcPr>
          <w:p>
            <w:pPr>
              <w:spacing w:after="0"/>
              <w:rPr>
                <w:sz w:val="15"/>
                <w:szCs w:val="15"/>
                <w:color w:val="auto"/>
              </w:rPr>
            </w:pPr>
          </w:p>
        </w:tc>
      </w:tr>
      <w:tr>
        <w:trPr>
          <w:trHeight w:val="177"/>
        </w:trPr>
        <w:tc>
          <w:tcPr>
            <w:tcW w:w="7700" w:type="dxa"/>
            <w:vAlign w:val="bottom"/>
            <w:tcBorders>
              <w:bottom w:val="single" w:sz="8" w:color="CFF0FC"/>
            </w:tcBorders>
            <w:shd w:val="clear" w:color="auto" w:fill="CFF0FC"/>
          </w:tcPr>
          <w:p>
            <w:pPr>
              <w:ind w:left="240"/>
              <w:spacing w:after="0" w:line="178" w:lineRule="exact"/>
              <w:rPr>
                <w:sz w:val="20"/>
                <w:szCs w:val="20"/>
                <w:color w:val="auto"/>
              </w:rPr>
            </w:pPr>
            <w:r>
              <w:rPr>
                <w:rFonts w:ascii="Arial" w:cs="Arial" w:eastAsia="Arial" w:hAnsi="Arial"/>
                <w:sz w:val="16"/>
                <w:szCs w:val="16"/>
                <w:color w:val="auto"/>
              </w:rPr>
              <w:t>Short-term borrowings and current maturities of long-term debt</w:t>
            </w:r>
          </w:p>
        </w:tc>
        <w:tc>
          <w:tcPr>
            <w:tcW w:w="30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552.6</w:t>
            </w:r>
          </w:p>
        </w:tc>
        <w:tc>
          <w:tcPr>
            <w:tcW w:w="2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20.4</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560"/>
              <w:spacing w:after="0" w:line="169" w:lineRule="exact"/>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6"/>
                <w:szCs w:val="16"/>
                <w:color w:val="auto"/>
              </w:rPr>
              <w:t>5,780.5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6"/>
                <w:szCs w:val="16"/>
                <w:color w:val="auto"/>
              </w:rPr>
              <w:t>4,684.8</w:t>
            </w:r>
          </w:p>
        </w:tc>
        <w:tc>
          <w:tcPr>
            <w:tcW w:w="120" w:type="dxa"/>
            <w:vAlign w:val="bottom"/>
          </w:tcPr>
          <w:p>
            <w:pPr>
              <w:spacing w:after="0"/>
              <w:rPr>
                <w:sz w:val="14"/>
                <w:szCs w:val="14"/>
                <w:color w:val="auto"/>
              </w:rPr>
            </w:pPr>
          </w:p>
        </w:tc>
      </w:tr>
      <w:tr>
        <w:trPr>
          <w:trHeight w:val="177"/>
        </w:trPr>
        <w:tc>
          <w:tcPr>
            <w:tcW w:w="7700" w:type="dxa"/>
            <w:vAlign w:val="bottom"/>
            <w:shd w:val="clear" w:color="auto" w:fill="CFF0FC"/>
          </w:tcPr>
          <w:p>
            <w:pPr>
              <w:spacing w:after="0" w:line="178" w:lineRule="exact"/>
              <w:rPr>
                <w:sz w:val="20"/>
                <w:szCs w:val="20"/>
                <w:color w:val="auto"/>
              </w:rPr>
            </w:pPr>
            <w:r>
              <w:rPr>
                <w:rFonts w:ascii="Arial" w:cs="Arial" w:eastAsia="Arial" w:hAnsi="Arial"/>
                <w:sz w:val="16"/>
                <w:szCs w:val="16"/>
                <w:b w:val="1"/>
                <w:bCs w:val="1"/>
                <w:color w:val="auto"/>
              </w:rPr>
              <w:t>Other liabilities:</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7"/>
        </w:trPr>
        <w:tc>
          <w:tcPr>
            <w:tcW w:w="7700" w:type="dxa"/>
            <w:vAlign w:val="bottom"/>
          </w:tcPr>
          <w:p>
            <w:pPr>
              <w:ind w:left="240"/>
              <w:spacing w:after="0" w:line="178" w:lineRule="exact"/>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5"/>
                <w:szCs w:val="15"/>
                <w:color w:val="auto"/>
              </w:rPr>
            </w:pPr>
          </w:p>
        </w:tc>
        <w:tc>
          <w:tcPr>
            <w:tcW w:w="1300" w:type="dxa"/>
            <w:vAlign w:val="bottom"/>
          </w:tcPr>
          <w:p>
            <w:pPr>
              <w:jc w:val="right"/>
              <w:spacing w:after="0" w:line="178" w:lineRule="exact"/>
              <w:rPr>
                <w:sz w:val="20"/>
                <w:szCs w:val="20"/>
                <w:color w:val="auto"/>
              </w:rPr>
            </w:pPr>
            <w:r>
              <w:rPr>
                <w:rFonts w:ascii="Arial" w:cs="Arial" w:eastAsia="Arial" w:hAnsi="Arial"/>
                <w:sz w:val="16"/>
                <w:szCs w:val="16"/>
                <w:color w:val="auto"/>
              </w:rPr>
              <w:t>565.7</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line="178" w:lineRule="exact"/>
              <w:rPr>
                <w:sz w:val="20"/>
                <w:szCs w:val="20"/>
                <w:color w:val="auto"/>
              </w:rPr>
            </w:pPr>
            <w:r>
              <w:rPr>
                <w:rFonts w:ascii="Arial" w:cs="Arial" w:eastAsia="Arial" w:hAnsi="Arial"/>
                <w:sz w:val="16"/>
                <w:szCs w:val="16"/>
                <w:color w:val="auto"/>
              </w:rPr>
              <w:t>1,103.5</w:t>
            </w:r>
          </w:p>
        </w:tc>
        <w:tc>
          <w:tcPr>
            <w:tcW w:w="120" w:type="dxa"/>
            <w:vAlign w:val="bottom"/>
          </w:tcPr>
          <w:p>
            <w:pPr>
              <w:spacing w:after="0"/>
              <w:rPr>
                <w:sz w:val="15"/>
                <w:szCs w:val="15"/>
                <w:color w:val="auto"/>
              </w:rPr>
            </w:pPr>
          </w:p>
        </w:tc>
      </w:tr>
      <w:tr>
        <w:trPr>
          <w:trHeight w:val="177"/>
        </w:trPr>
        <w:tc>
          <w:tcPr>
            <w:tcW w:w="7700" w:type="dxa"/>
            <w:vAlign w:val="bottom"/>
            <w:shd w:val="clear" w:color="auto" w:fill="CFF0FC"/>
          </w:tcPr>
          <w:p>
            <w:pPr>
              <w:ind w:left="240"/>
              <w:spacing w:after="0" w:line="178" w:lineRule="exact"/>
              <w:rPr>
                <w:sz w:val="20"/>
                <w:szCs w:val="20"/>
                <w:color w:val="auto"/>
              </w:rPr>
            </w:pPr>
            <w:r>
              <w:rPr>
                <w:rFonts w:ascii="Arial" w:cs="Arial" w:eastAsia="Arial" w:hAnsi="Arial"/>
                <w:sz w:val="16"/>
                <w:szCs w:val="16"/>
                <w:color w:val="auto"/>
              </w:rPr>
              <w:t>Long-term operating lease liability</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275.8</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305.1</w:t>
            </w:r>
          </w:p>
        </w:tc>
        <w:tc>
          <w:tcPr>
            <w:tcW w:w="120" w:type="dxa"/>
            <w:vAlign w:val="bottom"/>
            <w:shd w:val="clear" w:color="auto" w:fill="CFF0FC"/>
          </w:tcPr>
          <w:p>
            <w:pPr>
              <w:spacing w:after="0"/>
              <w:rPr>
                <w:sz w:val="15"/>
                <w:szCs w:val="15"/>
                <w:color w:val="auto"/>
              </w:rPr>
            </w:pPr>
          </w:p>
        </w:tc>
      </w:tr>
      <w:tr>
        <w:trPr>
          <w:trHeight w:val="177"/>
        </w:trPr>
        <w:tc>
          <w:tcPr>
            <w:tcW w:w="7700" w:type="dxa"/>
            <w:vAlign w:val="bottom"/>
          </w:tcPr>
          <w:p>
            <w:pPr>
              <w:ind w:left="240"/>
              <w:spacing w:after="0" w:line="178" w:lineRule="exact"/>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675.2</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781.2</w:t>
            </w:r>
          </w:p>
        </w:tc>
        <w:tc>
          <w:tcPr>
            <w:tcW w:w="120" w:type="dxa"/>
            <w:vAlign w:val="bottom"/>
          </w:tcPr>
          <w:p>
            <w:pPr>
              <w:spacing w:after="0"/>
              <w:rPr>
                <w:sz w:val="15"/>
                <w:szCs w:val="15"/>
                <w:color w:val="auto"/>
              </w:rPr>
            </w:pPr>
          </w:p>
        </w:tc>
      </w:tr>
      <w:tr>
        <w:trPr>
          <w:trHeight w:val="169"/>
        </w:trPr>
        <w:tc>
          <w:tcPr>
            <w:tcW w:w="7700" w:type="dxa"/>
            <w:vAlign w:val="bottom"/>
            <w:shd w:val="clear" w:color="auto" w:fill="CFF0FC"/>
          </w:tcPr>
          <w:p>
            <w:pPr>
              <w:ind w:left="560"/>
              <w:spacing w:after="0" w:line="169" w:lineRule="exact"/>
              <w:rPr>
                <w:sz w:val="20"/>
                <w:szCs w:val="20"/>
                <w:color w:val="auto"/>
              </w:rPr>
            </w:pPr>
            <w:r>
              <w:rPr>
                <w:rFonts w:ascii="Arial" w:cs="Arial" w:eastAsia="Arial" w:hAnsi="Arial"/>
                <w:sz w:val="16"/>
                <w:szCs w:val="16"/>
                <w:color w:val="auto"/>
              </w:rPr>
              <w:t>Total other liabilities</w:t>
            </w:r>
          </w:p>
        </w:tc>
        <w:tc>
          <w:tcPr>
            <w:tcW w:w="30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1,516.7</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2,189.8</w:t>
            </w:r>
          </w:p>
        </w:tc>
        <w:tc>
          <w:tcPr>
            <w:tcW w:w="120" w:type="dxa"/>
            <w:vAlign w:val="bottom"/>
            <w:shd w:val="clear" w:color="auto" w:fill="CFF0FC"/>
          </w:tcPr>
          <w:p>
            <w:pPr>
              <w:spacing w:after="0"/>
              <w:rPr>
                <w:sz w:val="14"/>
                <w:szCs w:val="14"/>
                <w:color w:val="auto"/>
              </w:rPr>
            </w:pPr>
          </w:p>
        </w:tc>
      </w:tr>
      <w:tr>
        <w:trPr>
          <w:trHeight w:val="177"/>
        </w:trPr>
        <w:tc>
          <w:tcPr>
            <w:tcW w:w="7700" w:type="dxa"/>
            <w:vAlign w:val="bottom"/>
          </w:tcPr>
          <w:p>
            <w:pPr>
              <w:spacing w:after="0" w:line="178" w:lineRule="exact"/>
              <w:rPr>
                <w:sz w:val="20"/>
                <w:szCs w:val="20"/>
                <w:color w:val="auto"/>
              </w:rPr>
            </w:pPr>
            <w:r>
              <w:rPr>
                <w:rFonts w:ascii="Arial" w:cs="Arial" w:eastAsia="Arial" w:hAnsi="Arial"/>
                <w:sz w:val="16"/>
                <w:szCs w:val="16"/>
                <w:b w:val="1"/>
                <w:bCs w:val="1"/>
                <w:color w:val="auto"/>
              </w:rPr>
              <w:t>Shareholders' equity:</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7700" w:type="dxa"/>
            <w:vAlign w:val="bottom"/>
            <w:shd w:val="clear" w:color="auto" w:fill="CFF0FC"/>
          </w:tcPr>
          <w:p>
            <w:pPr>
              <w:ind w:left="80"/>
              <w:spacing w:after="0" w:line="178" w:lineRule="exact"/>
              <w:rPr>
                <w:sz w:val="20"/>
                <w:szCs w:val="20"/>
                <w:color w:val="auto"/>
              </w:rPr>
            </w:pPr>
            <w:r>
              <w:rPr>
                <w:rFonts w:ascii="Arial" w:cs="Arial" w:eastAsia="Arial" w:hAnsi="Arial"/>
                <w:sz w:val="16"/>
                <w:szCs w:val="16"/>
                <w:color w:val="auto"/>
              </w:rPr>
              <w:t>ManpowerGroup shareholders' equity</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7"/>
        </w:trPr>
        <w:tc>
          <w:tcPr>
            <w:tcW w:w="7700" w:type="dxa"/>
            <w:vAlign w:val="bottom"/>
          </w:tcPr>
          <w:p>
            <w:pPr>
              <w:ind w:left="320"/>
              <w:spacing w:after="0" w:line="178" w:lineRule="exact"/>
              <w:rPr>
                <w:sz w:val="20"/>
                <w:szCs w:val="20"/>
                <w:color w:val="auto"/>
              </w:rPr>
            </w:pPr>
            <w:r>
              <w:rPr>
                <w:rFonts w:ascii="Arial" w:cs="Arial" w:eastAsia="Arial" w:hAnsi="Arial"/>
                <w:sz w:val="16"/>
                <w:szCs w:val="16"/>
                <w:color w:val="auto"/>
              </w:rPr>
              <w:t>Common stock</w:t>
            </w:r>
          </w:p>
        </w:tc>
        <w:tc>
          <w:tcPr>
            <w:tcW w:w="300" w:type="dxa"/>
            <w:vAlign w:val="bottom"/>
          </w:tcPr>
          <w:p>
            <w:pPr>
              <w:spacing w:after="0"/>
              <w:rPr>
                <w:sz w:val="15"/>
                <w:szCs w:val="15"/>
                <w:color w:val="auto"/>
              </w:rPr>
            </w:pPr>
          </w:p>
        </w:tc>
        <w:tc>
          <w:tcPr>
            <w:tcW w:w="1300" w:type="dxa"/>
            <w:vAlign w:val="bottom"/>
          </w:tcPr>
          <w:p>
            <w:pPr>
              <w:jc w:val="right"/>
              <w:spacing w:after="0" w:line="178" w:lineRule="exact"/>
              <w:rPr>
                <w:sz w:val="20"/>
                <w:szCs w:val="20"/>
                <w:color w:val="auto"/>
              </w:rPr>
            </w:pPr>
            <w:r>
              <w:rPr>
                <w:rFonts w:ascii="Arial" w:cs="Arial" w:eastAsia="Arial" w:hAnsi="Arial"/>
                <w:sz w:val="16"/>
                <w:szCs w:val="16"/>
                <w:color w:val="auto"/>
              </w:rPr>
              <w:t>1.2</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line="178" w:lineRule="exact"/>
              <w:rPr>
                <w:sz w:val="20"/>
                <w:szCs w:val="20"/>
                <w:color w:val="auto"/>
              </w:rPr>
            </w:pPr>
            <w:r>
              <w:rPr>
                <w:rFonts w:ascii="Arial" w:cs="Arial" w:eastAsia="Arial" w:hAnsi="Arial"/>
                <w:sz w:val="16"/>
                <w:szCs w:val="16"/>
                <w:color w:val="auto"/>
              </w:rPr>
              <w:t>1.2</w:t>
            </w:r>
          </w:p>
        </w:tc>
        <w:tc>
          <w:tcPr>
            <w:tcW w:w="120" w:type="dxa"/>
            <w:vAlign w:val="bottom"/>
          </w:tcPr>
          <w:p>
            <w:pPr>
              <w:spacing w:after="0"/>
              <w:rPr>
                <w:sz w:val="15"/>
                <w:szCs w:val="15"/>
                <w:color w:val="auto"/>
              </w:rPr>
            </w:pPr>
          </w:p>
        </w:tc>
      </w:tr>
      <w:tr>
        <w:trPr>
          <w:trHeight w:val="177"/>
        </w:trPr>
        <w:tc>
          <w:tcPr>
            <w:tcW w:w="7700" w:type="dxa"/>
            <w:vAlign w:val="bottom"/>
            <w:shd w:val="clear" w:color="auto" w:fill="CFF0FC"/>
          </w:tcPr>
          <w:p>
            <w:pPr>
              <w:ind w:left="320"/>
              <w:spacing w:after="0" w:line="178" w:lineRule="exact"/>
              <w:rPr>
                <w:sz w:val="20"/>
                <w:szCs w:val="20"/>
                <w:color w:val="auto"/>
              </w:rPr>
            </w:pPr>
            <w:r>
              <w:rPr>
                <w:rFonts w:ascii="Arial" w:cs="Arial" w:eastAsia="Arial" w:hAnsi="Arial"/>
                <w:sz w:val="16"/>
                <w:szCs w:val="16"/>
                <w:color w:val="auto"/>
              </w:rPr>
              <w:t>Capital in excess of par value</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3,444.7</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3,402.5</w:t>
            </w:r>
          </w:p>
        </w:tc>
        <w:tc>
          <w:tcPr>
            <w:tcW w:w="120" w:type="dxa"/>
            <w:vAlign w:val="bottom"/>
            <w:shd w:val="clear" w:color="auto" w:fill="CFF0FC"/>
          </w:tcPr>
          <w:p>
            <w:pPr>
              <w:spacing w:after="0"/>
              <w:rPr>
                <w:sz w:val="15"/>
                <w:szCs w:val="15"/>
                <w:color w:val="auto"/>
              </w:rPr>
            </w:pPr>
          </w:p>
        </w:tc>
      </w:tr>
      <w:tr>
        <w:trPr>
          <w:trHeight w:val="177"/>
        </w:trPr>
        <w:tc>
          <w:tcPr>
            <w:tcW w:w="7700" w:type="dxa"/>
            <w:vAlign w:val="bottom"/>
          </w:tcPr>
          <w:p>
            <w:pPr>
              <w:ind w:left="320"/>
              <w:spacing w:after="0" w:line="178" w:lineRule="exact"/>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15"/>
                <w:szCs w:val="15"/>
                <w:color w:val="auto"/>
              </w:rPr>
            </w:pPr>
          </w:p>
        </w:tc>
        <w:tc>
          <w:tcPr>
            <w:tcW w:w="1300" w:type="dxa"/>
            <w:vAlign w:val="bottom"/>
          </w:tcPr>
          <w:p>
            <w:pPr>
              <w:jc w:val="right"/>
              <w:spacing w:after="0" w:line="178" w:lineRule="exact"/>
              <w:rPr>
                <w:sz w:val="20"/>
                <w:szCs w:val="20"/>
                <w:color w:val="auto"/>
              </w:rPr>
            </w:pPr>
            <w:r>
              <w:rPr>
                <w:rFonts w:ascii="Arial" w:cs="Arial" w:eastAsia="Arial" w:hAnsi="Arial"/>
                <w:sz w:val="16"/>
                <w:szCs w:val="16"/>
                <w:color w:val="auto"/>
              </w:rPr>
              <w:t>3,634.6</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line="178" w:lineRule="exact"/>
              <w:rPr>
                <w:sz w:val="20"/>
                <w:szCs w:val="20"/>
                <w:color w:val="auto"/>
              </w:rPr>
            </w:pPr>
            <w:r>
              <w:rPr>
                <w:rFonts w:ascii="Arial" w:cs="Arial" w:eastAsia="Arial" w:hAnsi="Arial"/>
                <w:sz w:val="16"/>
                <w:szCs w:val="16"/>
                <w:color w:val="auto"/>
              </w:rPr>
              <w:t>3,388.8</w:t>
            </w:r>
          </w:p>
        </w:tc>
        <w:tc>
          <w:tcPr>
            <w:tcW w:w="120" w:type="dxa"/>
            <w:vAlign w:val="bottom"/>
          </w:tcPr>
          <w:p>
            <w:pPr>
              <w:spacing w:after="0"/>
              <w:rPr>
                <w:sz w:val="15"/>
                <w:szCs w:val="15"/>
                <w:color w:val="auto"/>
              </w:rPr>
            </w:pPr>
          </w:p>
        </w:tc>
      </w:tr>
      <w:tr>
        <w:trPr>
          <w:trHeight w:val="177"/>
        </w:trPr>
        <w:tc>
          <w:tcPr>
            <w:tcW w:w="7700" w:type="dxa"/>
            <w:vAlign w:val="bottom"/>
            <w:shd w:val="clear" w:color="auto" w:fill="CFF0FC"/>
          </w:tcPr>
          <w:p>
            <w:pPr>
              <w:ind w:left="320"/>
              <w:spacing w:after="0" w:line="178" w:lineRule="exact"/>
              <w:rPr>
                <w:sz w:val="20"/>
                <w:szCs w:val="20"/>
                <w:color w:val="auto"/>
              </w:rPr>
            </w:pPr>
            <w:r>
              <w:rPr>
                <w:rFonts w:ascii="Arial" w:cs="Arial" w:eastAsia="Arial" w:hAnsi="Arial"/>
                <w:sz w:val="16"/>
                <w:szCs w:val="16"/>
                <w:color w:val="auto"/>
              </w:rPr>
              <w:t>Accumulated other comprehensive loss</w:t>
            </w:r>
          </w:p>
        </w:tc>
        <w:tc>
          <w:tcPr>
            <w:tcW w:w="30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20"/>
              <w:spacing w:after="0" w:line="178" w:lineRule="exact"/>
              <w:rPr>
                <w:sz w:val="20"/>
                <w:szCs w:val="20"/>
                <w:color w:val="auto"/>
              </w:rPr>
            </w:pPr>
            <w:r>
              <w:rPr>
                <w:rFonts w:ascii="Arial" w:cs="Arial" w:eastAsia="Arial" w:hAnsi="Arial"/>
                <w:sz w:val="16"/>
                <w:szCs w:val="16"/>
                <w:color w:val="auto"/>
              </w:rPr>
              <w:t>(389.4 )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line="178" w:lineRule="exact"/>
              <w:rPr>
                <w:sz w:val="20"/>
                <w:szCs w:val="20"/>
                <w:color w:val="auto"/>
              </w:rPr>
            </w:pPr>
            <w:r>
              <w:rPr>
                <w:rFonts w:ascii="Arial" w:cs="Arial" w:eastAsia="Arial" w:hAnsi="Arial"/>
                <w:sz w:val="16"/>
                <w:szCs w:val="16"/>
                <w:color w:val="auto"/>
              </w:rPr>
              <w:t>(397.3 )</w:t>
            </w:r>
          </w:p>
        </w:tc>
      </w:tr>
      <w:tr>
        <w:trPr>
          <w:trHeight w:val="177"/>
        </w:trPr>
        <w:tc>
          <w:tcPr>
            <w:tcW w:w="7700" w:type="dxa"/>
            <w:vAlign w:val="bottom"/>
          </w:tcPr>
          <w:p>
            <w:pPr>
              <w:ind w:left="320"/>
              <w:spacing w:after="0" w:line="178" w:lineRule="exact"/>
              <w:rPr>
                <w:sz w:val="20"/>
                <w:szCs w:val="20"/>
                <w:color w:val="auto"/>
              </w:rPr>
            </w:pPr>
            <w:r>
              <w:rPr>
                <w:rFonts w:ascii="Arial" w:cs="Arial" w:eastAsia="Arial" w:hAnsi="Arial"/>
                <w:sz w:val="16"/>
                <w:szCs w:val="16"/>
                <w:color w:val="auto"/>
              </w:rPr>
              <w:t>Treasury stock, at cost</w:t>
            </w:r>
          </w:p>
        </w:tc>
        <w:tc>
          <w:tcPr>
            <w:tcW w:w="300" w:type="dxa"/>
            <w:vAlign w:val="bottom"/>
          </w:tcPr>
          <w:p>
            <w:pPr>
              <w:spacing w:after="0"/>
              <w:rPr>
                <w:sz w:val="15"/>
                <w:szCs w:val="15"/>
                <w:color w:val="auto"/>
              </w:rPr>
            </w:pPr>
          </w:p>
        </w:tc>
        <w:tc>
          <w:tcPr>
            <w:tcW w:w="158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(4,169.4 )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(3,954.2 )</w:t>
            </w:r>
          </w:p>
        </w:tc>
      </w:tr>
      <w:tr>
        <w:trPr>
          <w:trHeight w:val="169"/>
        </w:trPr>
        <w:tc>
          <w:tcPr>
            <w:tcW w:w="7700" w:type="dxa"/>
            <w:vAlign w:val="bottom"/>
            <w:tcBorders>
              <w:bottom w:val="single" w:sz="8" w:color="CFF0FC"/>
            </w:tcBorders>
            <w:shd w:val="clear" w:color="auto" w:fill="CFF0FC"/>
          </w:tcPr>
          <w:p>
            <w:pPr>
              <w:jc w:val="right"/>
              <w:ind w:right="4441"/>
              <w:spacing w:after="0" w:line="169" w:lineRule="exact"/>
              <w:rPr>
                <w:sz w:val="20"/>
                <w:szCs w:val="20"/>
                <w:color w:val="auto"/>
              </w:rPr>
            </w:pPr>
            <w:r>
              <w:rPr>
                <w:rFonts w:ascii="Arial" w:cs="Arial" w:eastAsia="Arial" w:hAnsi="Arial"/>
                <w:sz w:val="16"/>
                <w:szCs w:val="16"/>
                <w:color w:val="auto"/>
              </w:rPr>
              <w:t>Total ManpowerGroup shareholders' equity</w:t>
            </w: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3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2,521.7</w:t>
            </w:r>
          </w:p>
        </w:tc>
        <w:tc>
          <w:tcPr>
            <w:tcW w:w="2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2,441.0</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69"/>
        </w:trPr>
        <w:tc>
          <w:tcPr>
            <w:tcW w:w="7700" w:type="dxa"/>
            <w:vAlign w:val="bottom"/>
          </w:tcPr>
          <w:p>
            <w:pPr>
              <w:ind w:left="80"/>
              <w:spacing w:after="0" w:line="169" w:lineRule="exact"/>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10.0</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12.6</w:t>
            </w:r>
          </w:p>
        </w:tc>
        <w:tc>
          <w:tcPr>
            <w:tcW w:w="120" w:type="dxa"/>
            <w:vAlign w:val="bottom"/>
          </w:tcPr>
          <w:p>
            <w:pPr>
              <w:spacing w:after="0"/>
              <w:rPr>
                <w:sz w:val="14"/>
                <w:szCs w:val="14"/>
                <w:color w:val="auto"/>
              </w:rPr>
            </w:pPr>
          </w:p>
        </w:tc>
      </w:tr>
      <w:tr>
        <w:trPr>
          <w:trHeight w:val="169"/>
        </w:trPr>
        <w:tc>
          <w:tcPr>
            <w:tcW w:w="7700" w:type="dxa"/>
            <w:vAlign w:val="bottom"/>
            <w:tcBorders>
              <w:bottom w:val="single" w:sz="8" w:color="CFF0FC"/>
            </w:tcBorders>
            <w:shd w:val="clear" w:color="auto" w:fill="CFF0FC"/>
          </w:tcPr>
          <w:p>
            <w:pPr>
              <w:ind w:left="560"/>
              <w:spacing w:after="0" w:line="169" w:lineRule="exact"/>
              <w:rPr>
                <w:sz w:val="20"/>
                <w:szCs w:val="20"/>
                <w:color w:val="auto"/>
              </w:rPr>
            </w:pPr>
            <w:r>
              <w:rPr>
                <w:rFonts w:ascii="Arial" w:cs="Arial" w:eastAsia="Arial" w:hAnsi="Arial"/>
                <w:sz w:val="16"/>
                <w:szCs w:val="16"/>
                <w:color w:val="auto"/>
              </w:rPr>
              <w:t>Total shareholders' equity</w:t>
            </w:r>
          </w:p>
        </w:tc>
        <w:tc>
          <w:tcPr>
            <w:tcW w:w="30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2,531.7</w:t>
            </w:r>
          </w:p>
        </w:tc>
        <w:tc>
          <w:tcPr>
            <w:tcW w:w="2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2,453.6</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69"/>
        </w:trPr>
        <w:tc>
          <w:tcPr>
            <w:tcW w:w="7700" w:type="dxa"/>
            <w:vAlign w:val="bottom"/>
          </w:tcPr>
          <w:p>
            <w:pPr>
              <w:jc w:val="right"/>
              <w:ind w:right="4441"/>
              <w:spacing w:after="0" w:line="169" w:lineRule="exact"/>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bottom w:val="single" w:sz="8" w:color="auto"/>
            </w:tcBorders>
          </w:tcPr>
          <w:p>
            <w:pPr>
              <w:jc w:val="right"/>
              <w:ind w:right="147"/>
              <w:spacing w:after="0" w:line="169" w:lineRule="exact"/>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9,828.9</w:t>
            </w:r>
          </w:p>
        </w:tc>
        <w:tc>
          <w:tcPr>
            <w:tcW w:w="280" w:type="dxa"/>
            <w:vAlign w:val="bottom"/>
          </w:tcPr>
          <w:p>
            <w:pPr>
              <w:spacing w:after="0"/>
              <w:rPr>
                <w:sz w:val="14"/>
                <w:szCs w:val="14"/>
                <w:color w:val="auto"/>
              </w:rPr>
            </w:pPr>
          </w:p>
        </w:tc>
        <w:tc>
          <w:tcPr>
            <w:tcW w:w="360" w:type="dxa"/>
            <w:vAlign w:val="bottom"/>
            <w:tcBorders>
              <w:bottom w:val="single" w:sz="8" w:color="auto"/>
            </w:tcBorders>
          </w:tcPr>
          <w:p>
            <w:pPr>
              <w:jc w:val="right"/>
              <w:ind w:right="207"/>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9,328.2</w:t>
            </w:r>
          </w:p>
        </w:tc>
        <w:tc>
          <w:tcPr>
            <w:tcW w:w="120" w:type="dxa"/>
            <w:vAlign w:val="bottom"/>
          </w:tcPr>
          <w:p>
            <w:pPr>
              <w:spacing w:after="0"/>
              <w:rPr>
                <w:sz w:val="14"/>
                <w:szCs w:val="14"/>
                <w:color w:val="auto"/>
              </w:rPr>
            </w:pPr>
          </w:p>
        </w:tc>
      </w:tr>
      <w:tr>
        <w:trPr>
          <w:trHeight w:val="20"/>
        </w:trPr>
        <w:tc>
          <w:tcPr>
            <w:tcW w:w="7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4"/>
        </w:trPr>
        <w:tc>
          <w:tcPr>
            <w:tcW w:w="7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5899150</wp:posOffset>
            </wp:positionH>
            <wp:positionV relativeFrom="paragraph">
              <wp:posOffset>-4607560</wp:posOffset>
            </wp:positionV>
            <wp:extent cx="67310" cy="50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-4607560</wp:posOffset>
            </wp:positionV>
            <wp:extent cx="67310" cy="50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-3924300</wp:posOffset>
            </wp:positionV>
            <wp:extent cx="67310" cy="50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-3924300</wp:posOffset>
            </wp:positionV>
            <wp:extent cx="67310" cy="50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-3466465</wp:posOffset>
            </wp:positionV>
            <wp:extent cx="67310" cy="50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-3466465</wp:posOffset>
            </wp:positionV>
            <wp:extent cx="67310" cy="50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-3228340</wp:posOffset>
            </wp:positionV>
            <wp:extent cx="673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-3213735</wp:posOffset>
            </wp:positionV>
            <wp:extent cx="6731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-3228340</wp:posOffset>
            </wp:positionV>
            <wp:extent cx="6731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-3213735</wp:posOffset>
            </wp:positionV>
            <wp:extent cx="6731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-2302510</wp:posOffset>
            </wp:positionV>
            <wp:extent cx="67310" cy="50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-2302510</wp:posOffset>
            </wp:positionV>
            <wp:extent cx="67310" cy="50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-702945</wp:posOffset>
            </wp:positionV>
            <wp:extent cx="67310" cy="50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-702945</wp:posOffset>
            </wp:positionV>
            <wp:extent cx="67310" cy="50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-462280</wp:posOffset>
            </wp:positionV>
            <wp:extent cx="67310" cy="50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-462280</wp:posOffset>
            </wp:positionV>
            <wp:extent cx="67310" cy="50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40" w:right="319" w:bottom="1440" w:gutter="0" w:footer="0" w:header="0"/>
        </w:sectPr>
      </w:pPr>
    </w:p>
    <w:bookmarkStart w:id="11" w:name="page12"/>
    <w:bookmarkEnd w:id="11"/>
    <w:p>
      <w:pPr>
        <w:ind w:left="5080"/>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Consolidated Statements of Cash Flows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Year Ended</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77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December 31,</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4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61"/>
              <w:spacing w:after="0" w:line="169"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gridSpan w:val="3"/>
          </w:tcPr>
          <w:p>
            <w:pPr>
              <w:jc w:val="center"/>
              <w:spacing w:after="0" w:line="169" w:lineRule="exact"/>
              <w:rPr>
                <w:sz w:val="20"/>
                <w:szCs w:val="20"/>
                <w:color w:val="auto"/>
              </w:rPr>
            </w:pPr>
            <w:r>
              <w:rPr>
                <w:rFonts w:ascii="Arial" w:cs="Arial" w:eastAsia="Arial" w:hAnsi="Arial"/>
                <w:sz w:val="16"/>
                <w:szCs w:val="16"/>
                <w:color w:val="auto"/>
                <w:w w:val="90"/>
              </w:rPr>
              <w:t>(Unaudited)</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7"/>
        </w:trPr>
        <w:tc>
          <w:tcPr>
            <w:tcW w:w="7720" w:type="dxa"/>
            <w:vAlign w:val="bottom"/>
            <w:shd w:val="clear" w:color="auto" w:fill="CFF0FC"/>
          </w:tcPr>
          <w:p>
            <w:pPr>
              <w:spacing w:after="0" w:line="178" w:lineRule="exact"/>
              <w:rPr>
                <w:sz w:val="20"/>
                <w:szCs w:val="20"/>
                <w:color w:val="auto"/>
              </w:rPr>
            </w:pPr>
            <w:r>
              <w:rPr>
                <w:rFonts w:ascii="Arial" w:cs="Arial" w:eastAsia="Arial" w:hAnsi="Arial"/>
                <w:sz w:val="16"/>
                <w:szCs w:val="16"/>
                <w:b w:val="1"/>
                <w:bCs w:val="1"/>
                <w:color w:val="auto"/>
              </w:rPr>
              <w:t>Cash Flows from Operating Activities: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7"/>
        </w:trPr>
        <w:tc>
          <w:tcPr>
            <w:tcW w:w="7720" w:type="dxa"/>
            <w:vAlign w:val="bottom"/>
          </w:tcPr>
          <w:p>
            <w:pPr>
              <w:ind w:left="80"/>
              <w:spacing w:after="0" w:line="178" w:lineRule="exact"/>
              <w:rPr>
                <w:sz w:val="20"/>
                <w:szCs w:val="20"/>
                <w:color w:val="auto"/>
              </w:rPr>
            </w:pPr>
            <w:r>
              <w:rPr>
                <w:rFonts w:ascii="Arial" w:cs="Arial" w:eastAsia="Arial" w:hAnsi="Arial"/>
                <w:sz w:val="16"/>
                <w:szCs w:val="16"/>
                <w:color w:val="auto"/>
              </w:rPr>
              <w:t>Net earnings</w:t>
            </w:r>
          </w:p>
        </w:tc>
        <w:tc>
          <w:tcPr>
            <w:tcW w:w="1040" w:type="dxa"/>
            <w:vAlign w:val="bottom"/>
          </w:tcPr>
          <w:p>
            <w:pPr>
              <w:jc w:val="right"/>
              <w:ind w:right="88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78" w:lineRule="exact"/>
              <w:rPr>
                <w:sz w:val="20"/>
                <w:szCs w:val="20"/>
                <w:color w:val="auto"/>
              </w:rPr>
            </w:pPr>
            <w:r>
              <w:rPr>
                <w:rFonts w:ascii="Arial" w:cs="Arial" w:eastAsia="Arial" w:hAnsi="Arial"/>
                <w:sz w:val="16"/>
                <w:szCs w:val="16"/>
                <w:color w:val="auto"/>
              </w:rPr>
              <w:t>382.4</w:t>
            </w:r>
          </w:p>
        </w:tc>
        <w:tc>
          <w:tcPr>
            <w:tcW w:w="260" w:type="dxa"/>
            <w:vAlign w:val="bottom"/>
          </w:tcPr>
          <w:p>
            <w:pPr>
              <w:spacing w:after="0"/>
              <w:rPr>
                <w:sz w:val="15"/>
                <w:szCs w:val="15"/>
                <w:color w:val="auto"/>
              </w:rPr>
            </w:pPr>
          </w:p>
        </w:tc>
        <w:tc>
          <w:tcPr>
            <w:tcW w:w="480" w:type="dxa"/>
            <w:vAlign w:val="bottom"/>
          </w:tcPr>
          <w:p>
            <w:pPr>
              <w:jc w:val="right"/>
              <w:ind w:right="301"/>
              <w:spacing w:after="0" w:line="178"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line="178" w:lineRule="exact"/>
              <w:rPr>
                <w:sz w:val="20"/>
                <w:szCs w:val="20"/>
                <w:color w:val="auto"/>
              </w:rPr>
            </w:pPr>
            <w:r>
              <w:rPr>
                <w:rFonts w:ascii="Arial" w:cs="Arial" w:eastAsia="Arial" w:hAnsi="Arial"/>
                <w:sz w:val="16"/>
                <w:szCs w:val="16"/>
                <w:color w:val="auto"/>
              </w:rPr>
              <w:t>23.8</w:t>
            </w:r>
          </w:p>
        </w:tc>
        <w:tc>
          <w:tcPr>
            <w:tcW w:w="80" w:type="dxa"/>
            <w:vAlign w:val="bottom"/>
          </w:tcPr>
          <w:p>
            <w:pPr>
              <w:spacing w:after="0"/>
              <w:rPr>
                <w:sz w:val="15"/>
                <w:szCs w:val="15"/>
                <w:color w:val="auto"/>
              </w:rPr>
            </w:pPr>
          </w:p>
        </w:tc>
      </w:tr>
      <w:tr>
        <w:trPr>
          <w:trHeight w:val="177"/>
        </w:trPr>
        <w:tc>
          <w:tcPr>
            <w:tcW w:w="7720" w:type="dxa"/>
            <w:vAlign w:val="bottom"/>
            <w:shd w:val="clear" w:color="auto" w:fill="CFF0FC"/>
          </w:tcPr>
          <w:p>
            <w:pPr>
              <w:ind w:left="80"/>
              <w:spacing w:after="0" w:line="178" w:lineRule="exact"/>
              <w:rPr>
                <w:sz w:val="20"/>
                <w:szCs w:val="20"/>
                <w:color w:val="auto"/>
              </w:rPr>
            </w:pPr>
            <w:r>
              <w:rPr>
                <w:rFonts w:ascii="Arial" w:cs="Arial" w:eastAsia="Arial" w:hAnsi="Arial"/>
                <w:sz w:val="16"/>
                <w:szCs w:val="16"/>
                <w:color w:val="auto"/>
              </w:rPr>
              <w:t>Adjustments to reconcile net earnings to net cash provided by operating activities: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7"/>
        </w:trPr>
        <w:tc>
          <w:tcPr>
            <w:tcW w:w="7720" w:type="dxa"/>
            <w:vAlign w:val="bottom"/>
          </w:tcPr>
          <w:p>
            <w:pPr>
              <w:ind w:left="560"/>
              <w:spacing w:after="0" w:line="178" w:lineRule="exact"/>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15"/>
                <w:szCs w:val="15"/>
                <w:color w:val="auto"/>
              </w:rPr>
            </w:pPr>
          </w:p>
        </w:tc>
        <w:tc>
          <w:tcPr>
            <w:tcW w:w="560" w:type="dxa"/>
            <w:vAlign w:val="bottom"/>
          </w:tcPr>
          <w:p>
            <w:pPr>
              <w:jc w:val="right"/>
              <w:spacing w:after="0" w:line="178" w:lineRule="exact"/>
              <w:rPr>
                <w:sz w:val="20"/>
                <w:szCs w:val="20"/>
                <w:color w:val="auto"/>
              </w:rPr>
            </w:pPr>
            <w:r>
              <w:rPr>
                <w:rFonts w:ascii="Arial" w:cs="Arial" w:eastAsia="Arial" w:hAnsi="Arial"/>
                <w:sz w:val="16"/>
                <w:szCs w:val="16"/>
                <w:color w:val="auto"/>
              </w:rPr>
              <w:t>73.4</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spacing w:after="0" w:line="178" w:lineRule="exact"/>
              <w:rPr>
                <w:sz w:val="20"/>
                <w:szCs w:val="20"/>
                <w:color w:val="auto"/>
              </w:rPr>
            </w:pPr>
            <w:r>
              <w:rPr>
                <w:rFonts w:ascii="Arial" w:cs="Arial" w:eastAsia="Arial" w:hAnsi="Arial"/>
                <w:sz w:val="16"/>
                <w:szCs w:val="16"/>
                <w:color w:val="auto"/>
              </w:rPr>
              <w:t>76.3</w:t>
            </w:r>
          </w:p>
        </w:tc>
        <w:tc>
          <w:tcPr>
            <w:tcW w:w="80" w:type="dxa"/>
            <w:vAlign w:val="bottom"/>
          </w:tcPr>
          <w:p>
            <w:pPr>
              <w:spacing w:after="0"/>
              <w:rPr>
                <w:sz w:val="15"/>
                <w:szCs w:val="15"/>
                <w:color w:val="auto"/>
              </w:rPr>
            </w:pPr>
          </w:p>
        </w:tc>
      </w:tr>
      <w:tr>
        <w:trPr>
          <w:trHeight w:val="177"/>
        </w:trPr>
        <w:tc>
          <w:tcPr>
            <w:tcW w:w="7720" w:type="dxa"/>
            <w:vAlign w:val="bottom"/>
            <w:shd w:val="clear" w:color="auto" w:fill="CFF0FC"/>
          </w:tcPr>
          <w:p>
            <w:pPr>
              <w:ind w:left="560"/>
              <w:spacing w:after="0" w:line="178" w:lineRule="exact"/>
              <w:rPr>
                <w:sz w:val="20"/>
                <w:szCs w:val="20"/>
                <w:color w:val="auto"/>
              </w:rPr>
            </w:pPr>
            <w:r>
              <w:rPr>
                <w:rFonts w:ascii="Arial" w:cs="Arial" w:eastAsia="Arial" w:hAnsi="Arial"/>
                <w:sz w:val="16"/>
                <w:szCs w:val="16"/>
                <w:color w:val="auto"/>
              </w:rPr>
              <w:t>Non-cash goodwill and other impairment charges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81"/>
              <w:spacing w:after="0" w:line="178" w:lineRule="exact"/>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71.3</w:t>
            </w:r>
          </w:p>
        </w:tc>
        <w:tc>
          <w:tcPr>
            <w:tcW w:w="80" w:type="dxa"/>
            <w:vAlign w:val="bottom"/>
            <w:shd w:val="clear" w:color="auto" w:fill="CFF0FC"/>
          </w:tcPr>
          <w:p>
            <w:pPr>
              <w:spacing w:after="0"/>
              <w:rPr>
                <w:sz w:val="15"/>
                <w:szCs w:val="15"/>
                <w:color w:val="auto"/>
              </w:rPr>
            </w:pPr>
          </w:p>
        </w:tc>
      </w:tr>
      <w:tr>
        <w:trPr>
          <w:trHeight w:val="177"/>
        </w:trPr>
        <w:tc>
          <w:tcPr>
            <w:tcW w:w="7720" w:type="dxa"/>
            <w:vAlign w:val="bottom"/>
          </w:tcPr>
          <w:p>
            <w:pPr>
              <w:ind w:left="560"/>
              <w:spacing w:after="0" w:line="178" w:lineRule="exact"/>
              <w:rPr>
                <w:sz w:val="20"/>
                <w:szCs w:val="20"/>
                <w:color w:val="auto"/>
              </w:rPr>
            </w:pPr>
            <w:r>
              <w:rPr>
                <w:rFonts w:ascii="Arial" w:cs="Arial" w:eastAsia="Arial" w:hAnsi="Arial"/>
                <w:sz w:val="16"/>
                <w:szCs w:val="16"/>
                <w:color w:val="auto"/>
              </w:rPr>
              <w:t>Non-cash operating lease right-of-use assets impairment</w:t>
            </w:r>
          </w:p>
        </w:tc>
        <w:tc>
          <w:tcPr>
            <w:tcW w:w="1040" w:type="dxa"/>
            <w:vAlign w:val="bottom"/>
          </w:tcPr>
          <w:p>
            <w:pPr>
              <w:spacing w:after="0"/>
              <w:rPr>
                <w:sz w:val="15"/>
                <w:szCs w:val="15"/>
                <w:color w:val="auto"/>
              </w:rPr>
            </w:pPr>
          </w:p>
        </w:tc>
        <w:tc>
          <w:tcPr>
            <w:tcW w:w="820" w:type="dxa"/>
            <w:vAlign w:val="bottom"/>
            <w:gridSpan w:val="2"/>
          </w:tcPr>
          <w:p>
            <w:pPr>
              <w:jc w:val="right"/>
              <w:ind w:right="181"/>
              <w:spacing w:after="0" w:line="178" w:lineRule="exact"/>
              <w:rPr>
                <w:sz w:val="20"/>
                <w:szCs w:val="20"/>
                <w:color w:val="auto"/>
              </w:rPr>
            </w:pPr>
            <w:r>
              <w:rPr>
                <w:rFonts w:ascii="Arial" w:cs="Arial" w:eastAsia="Arial" w:hAnsi="Arial"/>
                <w:sz w:val="16"/>
                <w:szCs w:val="16"/>
                <w:color w:val="auto"/>
              </w:rPr>
              <w:t>—</w:t>
            </w:r>
          </w:p>
        </w:tc>
        <w:tc>
          <w:tcPr>
            <w:tcW w:w="480" w:type="dxa"/>
            <w:vAlign w:val="bottom"/>
          </w:tcPr>
          <w:p>
            <w:pPr>
              <w:spacing w:after="0"/>
              <w:rPr>
                <w:sz w:val="15"/>
                <w:szCs w:val="15"/>
                <w:color w:val="auto"/>
              </w:rPr>
            </w:pPr>
          </w:p>
        </w:tc>
        <w:tc>
          <w:tcPr>
            <w:tcW w:w="1120" w:type="dxa"/>
            <w:vAlign w:val="bottom"/>
          </w:tcPr>
          <w:p>
            <w:pPr>
              <w:jc w:val="right"/>
              <w:spacing w:after="0" w:line="178" w:lineRule="exact"/>
              <w:rPr>
                <w:sz w:val="20"/>
                <w:szCs w:val="20"/>
                <w:color w:val="auto"/>
              </w:rPr>
            </w:pPr>
            <w:r>
              <w:rPr>
                <w:rFonts w:ascii="Arial" w:cs="Arial" w:eastAsia="Arial" w:hAnsi="Arial"/>
                <w:sz w:val="16"/>
                <w:szCs w:val="16"/>
                <w:color w:val="auto"/>
              </w:rPr>
              <w:t>27.3</w:t>
            </w:r>
          </w:p>
        </w:tc>
        <w:tc>
          <w:tcPr>
            <w:tcW w:w="80" w:type="dxa"/>
            <w:vAlign w:val="bottom"/>
          </w:tcPr>
          <w:p>
            <w:pPr>
              <w:spacing w:after="0"/>
              <w:rPr>
                <w:sz w:val="15"/>
                <w:szCs w:val="15"/>
                <w:color w:val="auto"/>
              </w:rPr>
            </w:pPr>
          </w:p>
        </w:tc>
      </w:tr>
      <w:tr>
        <w:trPr>
          <w:trHeight w:val="177"/>
        </w:trPr>
        <w:tc>
          <w:tcPr>
            <w:tcW w:w="7720" w:type="dxa"/>
            <w:vAlign w:val="bottom"/>
            <w:shd w:val="clear" w:color="auto" w:fill="CFF0FC"/>
          </w:tcPr>
          <w:p>
            <w:pPr>
              <w:ind w:left="560"/>
              <w:spacing w:after="0" w:line="178" w:lineRule="exact"/>
              <w:rPr>
                <w:sz w:val="20"/>
                <w:szCs w:val="20"/>
                <w:color w:val="auto"/>
              </w:rPr>
            </w:pPr>
            <w:r>
              <w:rPr>
                <w:rFonts w:ascii="Arial" w:cs="Arial" w:eastAsia="Arial" w:hAnsi="Arial"/>
                <w:sz w:val="16"/>
                <w:szCs w:val="16"/>
                <w:color w:val="auto"/>
              </w:rPr>
              <w:t>Deferred income taxes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1"/>
              <w:spacing w:after="0" w:line="178" w:lineRule="exact"/>
              <w:rPr>
                <w:sz w:val="20"/>
                <w:szCs w:val="20"/>
                <w:color w:val="auto"/>
              </w:rPr>
            </w:pPr>
            <w:r>
              <w:rPr>
                <w:rFonts w:ascii="Arial" w:cs="Arial" w:eastAsia="Arial" w:hAnsi="Arial"/>
                <w:sz w:val="16"/>
                <w:szCs w:val="16"/>
                <w:color w:val="auto"/>
              </w:rPr>
              <w:t>(1.3 )</w:t>
            </w:r>
          </w:p>
        </w:tc>
        <w:tc>
          <w:tcPr>
            <w:tcW w:w="4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line="178" w:lineRule="exact"/>
              <w:rPr>
                <w:sz w:val="20"/>
                <w:szCs w:val="20"/>
                <w:color w:val="auto"/>
              </w:rPr>
            </w:pPr>
            <w:r>
              <w:rPr>
                <w:rFonts w:ascii="Arial" w:cs="Arial" w:eastAsia="Arial" w:hAnsi="Arial"/>
                <w:sz w:val="16"/>
                <w:szCs w:val="16"/>
                <w:color w:val="auto"/>
              </w:rPr>
              <w:t>(10.4 )</w:t>
            </w:r>
          </w:p>
        </w:tc>
      </w:tr>
      <w:tr>
        <w:trPr>
          <w:trHeight w:val="177"/>
        </w:trPr>
        <w:tc>
          <w:tcPr>
            <w:tcW w:w="7720" w:type="dxa"/>
            <w:vAlign w:val="bottom"/>
          </w:tcPr>
          <w:p>
            <w:pPr>
              <w:ind w:left="560"/>
              <w:spacing w:after="0" w:line="178" w:lineRule="exact"/>
              <w:rPr>
                <w:sz w:val="20"/>
                <w:szCs w:val="20"/>
                <w:color w:val="auto"/>
              </w:rPr>
            </w:pPr>
            <w:r>
              <w:rPr>
                <w:rFonts w:ascii="Arial" w:cs="Arial" w:eastAsia="Arial" w:hAnsi="Arial"/>
                <w:sz w:val="16"/>
                <w:szCs w:val="16"/>
                <w:color w:val="auto"/>
              </w:rPr>
              <w:t>Provision for doubtful accounts</w:t>
            </w:r>
          </w:p>
        </w:tc>
        <w:tc>
          <w:tcPr>
            <w:tcW w:w="1040" w:type="dxa"/>
            <w:vAlign w:val="bottom"/>
          </w:tcPr>
          <w:p>
            <w:pPr>
              <w:spacing w:after="0"/>
              <w:rPr>
                <w:sz w:val="15"/>
                <w:szCs w:val="15"/>
                <w:color w:val="auto"/>
              </w:rPr>
            </w:pPr>
          </w:p>
        </w:tc>
        <w:tc>
          <w:tcPr>
            <w:tcW w:w="560" w:type="dxa"/>
            <w:vAlign w:val="bottom"/>
          </w:tcPr>
          <w:p>
            <w:pPr>
              <w:jc w:val="right"/>
              <w:spacing w:after="0" w:line="178" w:lineRule="exact"/>
              <w:rPr>
                <w:sz w:val="20"/>
                <w:szCs w:val="20"/>
                <w:color w:val="auto"/>
              </w:rPr>
            </w:pPr>
            <w:r>
              <w:rPr>
                <w:rFonts w:ascii="Arial" w:cs="Arial" w:eastAsia="Arial" w:hAnsi="Arial"/>
                <w:sz w:val="16"/>
                <w:szCs w:val="16"/>
                <w:color w:val="auto"/>
              </w:rPr>
              <w:t>17.9</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spacing w:after="0" w:line="178" w:lineRule="exact"/>
              <w:rPr>
                <w:sz w:val="20"/>
                <w:szCs w:val="20"/>
                <w:color w:val="auto"/>
              </w:rPr>
            </w:pPr>
            <w:r>
              <w:rPr>
                <w:rFonts w:ascii="Arial" w:cs="Arial" w:eastAsia="Arial" w:hAnsi="Arial"/>
                <w:sz w:val="16"/>
                <w:szCs w:val="16"/>
                <w:color w:val="auto"/>
              </w:rPr>
              <w:t>20.3</w:t>
            </w:r>
          </w:p>
        </w:tc>
        <w:tc>
          <w:tcPr>
            <w:tcW w:w="80" w:type="dxa"/>
            <w:vAlign w:val="bottom"/>
          </w:tcPr>
          <w:p>
            <w:pPr>
              <w:spacing w:after="0"/>
              <w:rPr>
                <w:sz w:val="15"/>
                <w:szCs w:val="15"/>
                <w:color w:val="auto"/>
              </w:rPr>
            </w:pPr>
          </w:p>
        </w:tc>
      </w:tr>
      <w:tr>
        <w:trPr>
          <w:trHeight w:val="177"/>
        </w:trPr>
        <w:tc>
          <w:tcPr>
            <w:tcW w:w="7720" w:type="dxa"/>
            <w:vAlign w:val="bottom"/>
            <w:shd w:val="clear" w:color="auto" w:fill="CFF0FC"/>
          </w:tcPr>
          <w:p>
            <w:pPr>
              <w:ind w:left="560"/>
              <w:spacing w:after="0" w:line="178" w:lineRule="exact"/>
              <w:rPr>
                <w:sz w:val="20"/>
                <w:szCs w:val="20"/>
                <w:color w:val="auto"/>
              </w:rPr>
            </w:pPr>
            <w:r>
              <w:rPr>
                <w:rFonts w:ascii="Arial" w:cs="Arial" w:eastAsia="Arial" w:hAnsi="Arial"/>
                <w:sz w:val="16"/>
                <w:szCs w:val="16"/>
                <w:color w:val="auto"/>
              </w:rPr>
              <w:t>Share-based compensation</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36.8</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24.2</w:t>
            </w:r>
          </w:p>
        </w:tc>
        <w:tc>
          <w:tcPr>
            <w:tcW w:w="80" w:type="dxa"/>
            <w:vAlign w:val="bottom"/>
            <w:shd w:val="clear" w:color="auto" w:fill="CFF0FC"/>
          </w:tcPr>
          <w:p>
            <w:pPr>
              <w:spacing w:after="0"/>
              <w:rPr>
                <w:sz w:val="15"/>
                <w:szCs w:val="15"/>
                <w:color w:val="auto"/>
              </w:rPr>
            </w:pPr>
          </w:p>
        </w:tc>
      </w:tr>
      <w:tr>
        <w:trPr>
          <w:trHeight w:val="177"/>
        </w:trPr>
        <w:tc>
          <w:tcPr>
            <w:tcW w:w="7720" w:type="dxa"/>
            <w:vAlign w:val="bottom"/>
          </w:tcPr>
          <w:p>
            <w:pPr>
              <w:ind w:left="80"/>
              <w:spacing w:after="0" w:line="178" w:lineRule="exact"/>
              <w:rPr>
                <w:sz w:val="20"/>
                <w:szCs w:val="20"/>
                <w:color w:val="auto"/>
              </w:rPr>
            </w:pPr>
            <w:r>
              <w:rPr>
                <w:rFonts w:ascii="Arial" w:cs="Arial" w:eastAsia="Arial" w:hAnsi="Arial"/>
                <w:sz w:val="16"/>
                <w:szCs w:val="16"/>
                <w:color w:val="auto"/>
              </w:rPr>
              <w:t>Changes in operating assets and liabilities, excluding the impact of acquisitions:</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7"/>
        </w:trPr>
        <w:tc>
          <w:tcPr>
            <w:tcW w:w="7720" w:type="dxa"/>
            <w:vAlign w:val="bottom"/>
            <w:shd w:val="clear" w:color="auto" w:fill="CFF0FC"/>
          </w:tcPr>
          <w:p>
            <w:pPr>
              <w:ind w:left="540"/>
              <w:spacing w:after="0" w:line="178" w:lineRule="exact"/>
              <w:rPr>
                <w:sz w:val="20"/>
                <w:szCs w:val="20"/>
                <w:color w:val="auto"/>
              </w:rPr>
            </w:pPr>
            <w:r>
              <w:rPr>
                <w:rFonts w:ascii="Arial" w:cs="Arial" w:eastAsia="Arial" w:hAnsi="Arial"/>
                <w:sz w:val="16"/>
                <w:szCs w:val="16"/>
                <w:color w:val="auto"/>
              </w:rPr>
              <w:t>Accounts receivable</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1"/>
              <w:spacing w:after="0" w:line="178" w:lineRule="exact"/>
              <w:rPr>
                <w:sz w:val="20"/>
                <w:szCs w:val="20"/>
                <w:color w:val="auto"/>
              </w:rPr>
            </w:pPr>
            <w:r>
              <w:rPr>
                <w:rFonts w:ascii="Arial" w:cs="Arial" w:eastAsia="Arial" w:hAnsi="Arial"/>
                <w:sz w:val="16"/>
                <w:szCs w:val="16"/>
                <w:color w:val="auto"/>
              </w:rPr>
              <w:t>(640.9 )</w:t>
            </w:r>
          </w:p>
        </w:tc>
        <w:tc>
          <w:tcPr>
            <w:tcW w:w="4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586.9</w:t>
            </w:r>
          </w:p>
        </w:tc>
        <w:tc>
          <w:tcPr>
            <w:tcW w:w="80" w:type="dxa"/>
            <w:vAlign w:val="bottom"/>
            <w:shd w:val="clear" w:color="auto" w:fill="CFF0FC"/>
          </w:tcPr>
          <w:p>
            <w:pPr>
              <w:spacing w:after="0"/>
              <w:rPr>
                <w:sz w:val="15"/>
                <w:szCs w:val="15"/>
                <w:color w:val="auto"/>
              </w:rPr>
            </w:pPr>
          </w:p>
        </w:tc>
      </w:tr>
      <w:tr>
        <w:trPr>
          <w:trHeight w:val="177"/>
        </w:trPr>
        <w:tc>
          <w:tcPr>
            <w:tcW w:w="7720" w:type="dxa"/>
            <w:vAlign w:val="bottom"/>
          </w:tcPr>
          <w:p>
            <w:pPr>
              <w:ind w:left="560"/>
              <w:spacing w:after="0" w:line="178" w:lineRule="exact"/>
              <w:rPr>
                <w:sz w:val="20"/>
                <w:szCs w:val="20"/>
                <w:color w:val="auto"/>
              </w:rPr>
            </w:pPr>
            <w:r>
              <w:rPr>
                <w:rFonts w:ascii="Arial" w:cs="Arial" w:eastAsia="Arial" w:hAnsi="Arial"/>
                <w:sz w:val="16"/>
                <w:szCs w:val="16"/>
                <w:color w:val="auto"/>
              </w:rPr>
              <w:t>Other assets</w:t>
            </w:r>
          </w:p>
        </w:tc>
        <w:tc>
          <w:tcPr>
            <w:tcW w:w="1040" w:type="dxa"/>
            <w:vAlign w:val="bottom"/>
          </w:tcPr>
          <w:p>
            <w:pPr>
              <w:spacing w:after="0"/>
              <w:rPr>
                <w:sz w:val="15"/>
                <w:szCs w:val="15"/>
                <w:color w:val="auto"/>
              </w:rPr>
            </w:pPr>
          </w:p>
        </w:tc>
        <w:tc>
          <w:tcPr>
            <w:tcW w:w="560" w:type="dxa"/>
            <w:vAlign w:val="bottom"/>
          </w:tcPr>
          <w:p>
            <w:pPr>
              <w:jc w:val="right"/>
              <w:spacing w:after="0" w:line="178" w:lineRule="exact"/>
              <w:rPr>
                <w:sz w:val="20"/>
                <w:szCs w:val="20"/>
                <w:color w:val="auto"/>
              </w:rPr>
            </w:pPr>
            <w:r>
              <w:rPr>
                <w:rFonts w:ascii="Arial" w:cs="Arial" w:eastAsia="Arial" w:hAnsi="Arial"/>
                <w:sz w:val="16"/>
                <w:szCs w:val="16"/>
                <w:color w:val="auto"/>
              </w:rPr>
              <w:t>79.0</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spacing w:after="0" w:line="178" w:lineRule="exact"/>
              <w:rPr>
                <w:sz w:val="20"/>
                <w:szCs w:val="20"/>
                <w:color w:val="auto"/>
              </w:rPr>
            </w:pPr>
            <w:r>
              <w:rPr>
                <w:rFonts w:ascii="Arial" w:cs="Arial" w:eastAsia="Arial" w:hAnsi="Arial"/>
                <w:sz w:val="16"/>
                <w:szCs w:val="16"/>
                <w:color w:val="auto"/>
              </w:rPr>
              <w:t>29.9</w:t>
            </w:r>
          </w:p>
        </w:tc>
        <w:tc>
          <w:tcPr>
            <w:tcW w:w="80" w:type="dxa"/>
            <w:vAlign w:val="bottom"/>
          </w:tcPr>
          <w:p>
            <w:pPr>
              <w:spacing w:after="0"/>
              <w:rPr>
                <w:sz w:val="15"/>
                <w:szCs w:val="15"/>
                <w:color w:val="auto"/>
              </w:rPr>
            </w:pPr>
          </w:p>
        </w:tc>
      </w:tr>
      <w:tr>
        <w:trPr>
          <w:trHeight w:val="177"/>
        </w:trPr>
        <w:tc>
          <w:tcPr>
            <w:tcW w:w="7720" w:type="dxa"/>
            <w:vAlign w:val="bottom"/>
            <w:tcBorders>
              <w:bottom w:val="single" w:sz="8" w:color="CFF0FC"/>
            </w:tcBorders>
            <w:shd w:val="clear" w:color="auto" w:fill="CFF0FC"/>
          </w:tcPr>
          <w:p>
            <w:pPr>
              <w:ind w:left="560"/>
              <w:spacing w:after="0" w:line="178" w:lineRule="exact"/>
              <w:rPr>
                <w:sz w:val="20"/>
                <w:szCs w:val="20"/>
                <w:color w:val="auto"/>
              </w:rPr>
            </w:pPr>
            <w:r>
              <w:rPr>
                <w:rFonts w:ascii="Arial" w:cs="Arial" w:eastAsia="Arial" w:hAnsi="Arial"/>
                <w:sz w:val="16"/>
                <w:szCs w:val="16"/>
                <w:color w:val="auto"/>
              </w:rPr>
              <w:t>Other liabilities</w:t>
            </w:r>
          </w:p>
        </w:tc>
        <w:tc>
          <w:tcPr>
            <w:tcW w:w="10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697.5</w:t>
            </w:r>
          </w:p>
        </w:tc>
        <w:tc>
          <w:tcPr>
            <w:tcW w:w="26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86.8</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960"/>
              <w:spacing w:after="0" w:line="169" w:lineRule="exact"/>
              <w:rPr>
                <w:sz w:val="20"/>
                <w:szCs w:val="20"/>
                <w:color w:val="auto"/>
              </w:rPr>
            </w:pPr>
            <w:r>
              <w:rPr>
                <w:rFonts w:ascii="Arial" w:cs="Arial" w:eastAsia="Arial" w:hAnsi="Arial"/>
                <w:sz w:val="16"/>
                <w:szCs w:val="16"/>
                <w:color w:val="auto"/>
              </w:rPr>
              <w:t>Cash provided by operating activities</w:t>
            </w: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644.8</w:t>
            </w: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936.4</w:t>
            </w:r>
          </w:p>
        </w:tc>
        <w:tc>
          <w:tcPr>
            <w:tcW w:w="80" w:type="dxa"/>
            <w:vAlign w:val="bottom"/>
          </w:tcPr>
          <w:p>
            <w:pPr>
              <w:spacing w:after="0"/>
              <w:rPr>
                <w:sz w:val="14"/>
                <w:szCs w:val="14"/>
                <w:color w:val="auto"/>
              </w:rPr>
            </w:pPr>
          </w:p>
        </w:tc>
      </w:tr>
      <w:tr>
        <w:trPr>
          <w:trHeight w:val="169"/>
        </w:trPr>
        <w:tc>
          <w:tcPr>
            <w:tcW w:w="7720" w:type="dxa"/>
            <w:vAlign w:val="bottom"/>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Cash Flows from Investing Activities:</w:t>
            </w:r>
          </w:p>
        </w:tc>
        <w:tc>
          <w:tcPr>
            <w:tcW w:w="10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7"/>
        </w:trPr>
        <w:tc>
          <w:tcPr>
            <w:tcW w:w="7720" w:type="dxa"/>
            <w:vAlign w:val="bottom"/>
          </w:tcPr>
          <w:p>
            <w:pPr>
              <w:ind w:left="400"/>
              <w:spacing w:after="0" w:line="178" w:lineRule="exact"/>
              <w:rPr>
                <w:sz w:val="20"/>
                <w:szCs w:val="20"/>
                <w:color w:val="auto"/>
              </w:rPr>
            </w:pPr>
            <w:r>
              <w:rPr>
                <w:rFonts w:ascii="Arial" w:cs="Arial" w:eastAsia="Arial" w:hAnsi="Arial"/>
                <w:sz w:val="16"/>
                <w:szCs w:val="16"/>
                <w:color w:val="auto"/>
              </w:rPr>
              <w:t>Capital expenditures</w:t>
            </w:r>
          </w:p>
        </w:tc>
        <w:tc>
          <w:tcPr>
            <w:tcW w:w="1040" w:type="dxa"/>
            <w:vAlign w:val="bottom"/>
          </w:tcPr>
          <w:p>
            <w:pPr>
              <w:spacing w:after="0"/>
              <w:rPr>
                <w:sz w:val="15"/>
                <w:szCs w:val="15"/>
                <w:color w:val="auto"/>
              </w:rPr>
            </w:pPr>
          </w:p>
        </w:tc>
        <w:tc>
          <w:tcPr>
            <w:tcW w:w="820" w:type="dxa"/>
            <w:vAlign w:val="bottom"/>
            <w:gridSpan w:val="2"/>
          </w:tcPr>
          <w:p>
            <w:pPr>
              <w:jc w:val="right"/>
              <w:ind w:right="101"/>
              <w:spacing w:after="0" w:line="178" w:lineRule="exact"/>
              <w:rPr>
                <w:sz w:val="20"/>
                <w:szCs w:val="20"/>
                <w:color w:val="auto"/>
              </w:rPr>
            </w:pPr>
            <w:r>
              <w:rPr>
                <w:rFonts w:ascii="Arial" w:cs="Arial" w:eastAsia="Arial" w:hAnsi="Arial"/>
                <w:sz w:val="16"/>
                <w:szCs w:val="16"/>
                <w:color w:val="auto"/>
              </w:rPr>
              <w:t>(64.2 )</w:t>
            </w:r>
          </w:p>
        </w:tc>
        <w:tc>
          <w:tcPr>
            <w:tcW w:w="480" w:type="dxa"/>
            <w:vAlign w:val="bottom"/>
          </w:tcPr>
          <w:p>
            <w:pPr>
              <w:spacing w:after="0"/>
              <w:rPr>
                <w:sz w:val="15"/>
                <w:szCs w:val="15"/>
                <w:color w:val="auto"/>
              </w:rPr>
            </w:pPr>
          </w:p>
        </w:tc>
        <w:tc>
          <w:tcPr>
            <w:tcW w:w="120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(50.7 )</w:t>
            </w:r>
          </w:p>
        </w:tc>
      </w:tr>
      <w:tr>
        <w:trPr>
          <w:trHeight w:val="177"/>
        </w:trPr>
        <w:tc>
          <w:tcPr>
            <w:tcW w:w="7720" w:type="dxa"/>
            <w:vAlign w:val="bottom"/>
            <w:shd w:val="clear" w:color="auto" w:fill="CFF0FC"/>
          </w:tcPr>
          <w:p>
            <w:pPr>
              <w:ind w:left="400"/>
              <w:spacing w:after="0" w:line="178" w:lineRule="exact"/>
              <w:rPr>
                <w:sz w:val="20"/>
                <w:szCs w:val="20"/>
                <w:color w:val="auto"/>
              </w:rPr>
            </w:pPr>
            <w:r>
              <w:rPr>
                <w:rFonts w:ascii="Arial" w:cs="Arial" w:eastAsia="Arial" w:hAnsi="Arial"/>
                <w:sz w:val="16"/>
                <w:szCs w:val="16"/>
                <w:color w:val="auto"/>
              </w:rPr>
              <w:t>Acquisitions of businesses, net of cash acquired</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1"/>
              <w:spacing w:after="0" w:line="178" w:lineRule="exact"/>
              <w:rPr>
                <w:sz w:val="20"/>
                <w:szCs w:val="20"/>
                <w:color w:val="auto"/>
              </w:rPr>
            </w:pPr>
            <w:r>
              <w:rPr>
                <w:rFonts w:ascii="Arial" w:cs="Arial" w:eastAsia="Arial" w:hAnsi="Arial"/>
                <w:sz w:val="16"/>
                <w:szCs w:val="16"/>
                <w:color w:val="auto"/>
              </w:rPr>
              <w:t>(924.4 )</w:t>
            </w:r>
          </w:p>
        </w:tc>
        <w:tc>
          <w:tcPr>
            <w:tcW w:w="4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line="178" w:lineRule="exact"/>
              <w:rPr>
                <w:sz w:val="20"/>
                <w:szCs w:val="20"/>
                <w:color w:val="auto"/>
              </w:rPr>
            </w:pPr>
            <w:r>
              <w:rPr>
                <w:rFonts w:ascii="Arial" w:cs="Arial" w:eastAsia="Arial" w:hAnsi="Arial"/>
                <w:sz w:val="16"/>
                <w:szCs w:val="16"/>
                <w:color w:val="auto"/>
              </w:rPr>
              <w:t>(0.7 )</w:t>
            </w:r>
          </w:p>
        </w:tc>
      </w:tr>
      <w:tr>
        <w:trPr>
          <w:trHeight w:val="177"/>
        </w:trPr>
        <w:tc>
          <w:tcPr>
            <w:tcW w:w="7720" w:type="dxa"/>
            <w:vAlign w:val="bottom"/>
          </w:tcPr>
          <w:p>
            <w:pPr>
              <w:ind w:left="400"/>
              <w:spacing w:after="0" w:line="178" w:lineRule="exact"/>
              <w:rPr>
                <w:sz w:val="20"/>
                <w:szCs w:val="20"/>
                <w:color w:val="auto"/>
              </w:rPr>
            </w:pPr>
            <w:r>
              <w:rPr>
                <w:rFonts w:ascii="Arial" w:cs="Arial" w:eastAsia="Arial" w:hAnsi="Arial"/>
                <w:sz w:val="16"/>
                <w:szCs w:val="16"/>
                <w:color w:val="auto"/>
              </w:rPr>
              <w:t>Proceeds from the sale of subsidiaries and property and equipment</w:t>
            </w: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1.6</w:t>
            </w: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9.0</w:t>
            </w:r>
          </w:p>
        </w:tc>
        <w:tc>
          <w:tcPr>
            <w:tcW w:w="80" w:type="dxa"/>
            <w:vAlign w:val="bottom"/>
          </w:tcPr>
          <w:p>
            <w:pPr>
              <w:spacing w:after="0"/>
              <w:rPr>
                <w:sz w:val="15"/>
                <w:szCs w:val="15"/>
                <w:color w:val="auto"/>
              </w:rPr>
            </w:pPr>
          </w:p>
        </w:tc>
      </w:tr>
      <w:tr>
        <w:trPr>
          <w:trHeight w:val="169"/>
        </w:trPr>
        <w:tc>
          <w:tcPr>
            <w:tcW w:w="7720" w:type="dxa"/>
            <w:vAlign w:val="bottom"/>
            <w:tcBorders>
              <w:bottom w:val="single" w:sz="8" w:color="CFF0FC"/>
            </w:tcBorders>
            <w:shd w:val="clear" w:color="auto" w:fill="CFF0FC"/>
          </w:tcPr>
          <w:p>
            <w:pPr>
              <w:ind w:left="960"/>
              <w:spacing w:after="0" w:line="169" w:lineRule="exact"/>
              <w:rPr>
                <w:sz w:val="20"/>
                <w:szCs w:val="20"/>
                <w:color w:val="auto"/>
              </w:rPr>
            </w:pPr>
            <w:r>
              <w:rPr>
                <w:rFonts w:ascii="Arial" w:cs="Arial" w:eastAsia="Arial" w:hAnsi="Arial"/>
                <w:sz w:val="16"/>
                <w:szCs w:val="16"/>
                <w:color w:val="auto"/>
              </w:rPr>
              <w:t>Cash used in investing activities</w:t>
            </w:r>
          </w:p>
        </w:tc>
        <w:tc>
          <w:tcPr>
            <w:tcW w:w="104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(987.0</w:t>
            </w:r>
          </w:p>
        </w:tc>
        <w:tc>
          <w:tcPr>
            <w:tcW w:w="260" w:type="dxa"/>
            <w:vAlign w:val="bottom"/>
            <w:tcBorders>
              <w:bottom w:val="single" w:sz="8" w:color="CFF0FC"/>
            </w:tcBorders>
            <w:shd w:val="clear" w:color="auto" w:fill="CFF0FC"/>
          </w:tcPr>
          <w:p>
            <w:pPr>
              <w:jc w:val="right"/>
              <w:ind w:right="101"/>
              <w:spacing w:after="0" w:line="169"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(42.4</w:t>
            </w:r>
          </w:p>
        </w:tc>
        <w:tc>
          <w:tcPr>
            <w:tcW w:w="8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74"/>
              </w:rPr>
              <w:t>)</w:t>
            </w:r>
          </w:p>
        </w:tc>
      </w:tr>
      <w:tr>
        <w:trPr>
          <w:trHeight w:val="169"/>
        </w:trPr>
        <w:tc>
          <w:tcPr>
            <w:tcW w:w="7720" w:type="dxa"/>
            <w:vAlign w:val="bottom"/>
          </w:tcPr>
          <w:p>
            <w:pPr>
              <w:spacing w:after="0" w:line="169" w:lineRule="exact"/>
              <w:rPr>
                <w:sz w:val="20"/>
                <w:szCs w:val="20"/>
                <w:color w:val="auto"/>
              </w:rPr>
            </w:pPr>
            <w:r>
              <w:rPr>
                <w:rFonts w:ascii="Arial" w:cs="Arial" w:eastAsia="Arial" w:hAnsi="Arial"/>
                <w:sz w:val="16"/>
                <w:szCs w:val="16"/>
                <w:b w:val="1"/>
                <w:bCs w:val="1"/>
                <w:color w:val="auto"/>
              </w:rPr>
              <w:t>Cash Flows from Financing Activities:</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7"/>
        </w:trPr>
        <w:tc>
          <w:tcPr>
            <w:tcW w:w="7720" w:type="dxa"/>
            <w:vAlign w:val="bottom"/>
            <w:shd w:val="clear" w:color="auto" w:fill="CFF0FC"/>
          </w:tcPr>
          <w:p>
            <w:pPr>
              <w:ind w:left="400"/>
              <w:spacing w:after="0" w:line="178" w:lineRule="exact"/>
              <w:rPr>
                <w:sz w:val="20"/>
                <w:szCs w:val="20"/>
                <w:color w:val="auto"/>
              </w:rPr>
            </w:pPr>
            <w:r>
              <w:rPr>
                <w:rFonts w:ascii="Arial" w:cs="Arial" w:eastAsia="Arial" w:hAnsi="Arial"/>
                <w:sz w:val="16"/>
                <w:szCs w:val="16"/>
                <w:color w:val="auto"/>
              </w:rPr>
              <w:t>Net change in short-term borrowings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1"/>
              <w:spacing w:after="0" w:line="178" w:lineRule="exact"/>
              <w:rPr>
                <w:sz w:val="20"/>
                <w:szCs w:val="20"/>
                <w:color w:val="auto"/>
              </w:rPr>
            </w:pPr>
            <w:r>
              <w:rPr>
                <w:rFonts w:ascii="Arial" w:cs="Arial" w:eastAsia="Arial" w:hAnsi="Arial"/>
                <w:sz w:val="16"/>
                <w:szCs w:val="16"/>
                <w:color w:val="auto"/>
              </w:rPr>
              <w:t>(3.0 )</w:t>
            </w:r>
          </w:p>
        </w:tc>
        <w:tc>
          <w:tcPr>
            <w:tcW w:w="4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line="178" w:lineRule="exact"/>
              <w:rPr>
                <w:sz w:val="20"/>
                <w:szCs w:val="20"/>
                <w:color w:val="auto"/>
              </w:rPr>
            </w:pPr>
            <w:r>
              <w:rPr>
                <w:rFonts w:ascii="Arial" w:cs="Arial" w:eastAsia="Arial" w:hAnsi="Arial"/>
                <w:sz w:val="16"/>
                <w:szCs w:val="16"/>
                <w:color w:val="auto"/>
              </w:rPr>
              <w:t>(40.8 )</w:t>
            </w:r>
          </w:p>
        </w:tc>
      </w:tr>
      <w:tr>
        <w:trPr>
          <w:trHeight w:val="177"/>
        </w:trPr>
        <w:tc>
          <w:tcPr>
            <w:tcW w:w="7720" w:type="dxa"/>
            <w:vAlign w:val="bottom"/>
          </w:tcPr>
          <w:p>
            <w:pPr>
              <w:ind w:left="400"/>
              <w:spacing w:after="0" w:line="178" w:lineRule="exact"/>
              <w:rPr>
                <w:sz w:val="20"/>
                <w:szCs w:val="20"/>
                <w:color w:val="auto"/>
              </w:rPr>
            </w:pPr>
            <w:r>
              <w:rPr>
                <w:rFonts w:ascii="Arial" w:cs="Arial" w:eastAsia="Arial" w:hAnsi="Arial"/>
                <w:sz w:val="16"/>
                <w:szCs w:val="16"/>
                <w:color w:val="auto"/>
              </w:rPr>
              <w:t>Net proceeds of revolving debt facility</w:t>
            </w:r>
          </w:p>
        </w:tc>
        <w:tc>
          <w:tcPr>
            <w:tcW w:w="1040" w:type="dxa"/>
            <w:vAlign w:val="bottom"/>
          </w:tcPr>
          <w:p>
            <w:pPr>
              <w:spacing w:after="0"/>
              <w:rPr>
                <w:sz w:val="15"/>
                <w:szCs w:val="15"/>
                <w:color w:val="auto"/>
              </w:rPr>
            </w:pPr>
          </w:p>
        </w:tc>
        <w:tc>
          <w:tcPr>
            <w:tcW w:w="560" w:type="dxa"/>
            <w:vAlign w:val="bottom"/>
          </w:tcPr>
          <w:p>
            <w:pPr>
              <w:jc w:val="right"/>
              <w:spacing w:after="0" w:line="178" w:lineRule="exact"/>
              <w:rPr>
                <w:sz w:val="20"/>
                <w:szCs w:val="20"/>
                <w:color w:val="auto"/>
              </w:rPr>
            </w:pPr>
            <w:r>
              <w:rPr>
                <w:rFonts w:ascii="Arial" w:cs="Arial" w:eastAsia="Arial" w:hAnsi="Arial"/>
                <w:sz w:val="16"/>
                <w:szCs w:val="16"/>
                <w:color w:val="auto"/>
              </w:rPr>
              <w:t>75.0</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2"/>
          </w:tcPr>
          <w:p>
            <w:pPr>
              <w:jc w:val="right"/>
              <w:ind w:right="21"/>
              <w:spacing w:after="0" w:line="178" w:lineRule="exact"/>
              <w:rPr>
                <w:sz w:val="20"/>
                <w:szCs w:val="20"/>
                <w:color w:val="auto"/>
              </w:rPr>
            </w:pPr>
            <w:r>
              <w:rPr>
                <w:rFonts w:ascii="Arial" w:cs="Arial" w:eastAsia="Arial" w:hAnsi="Arial"/>
                <w:sz w:val="16"/>
                <w:szCs w:val="16"/>
                <w:color w:val="auto"/>
              </w:rPr>
              <w:t>—</w:t>
            </w:r>
          </w:p>
        </w:tc>
      </w:tr>
      <w:tr>
        <w:trPr>
          <w:trHeight w:val="177"/>
        </w:trPr>
        <w:tc>
          <w:tcPr>
            <w:tcW w:w="7720" w:type="dxa"/>
            <w:vAlign w:val="bottom"/>
            <w:shd w:val="clear" w:color="auto" w:fill="CFF0FC"/>
          </w:tcPr>
          <w:p>
            <w:pPr>
              <w:ind w:left="400"/>
              <w:spacing w:after="0" w:line="178" w:lineRule="exact"/>
              <w:rPr>
                <w:sz w:val="20"/>
                <w:szCs w:val="20"/>
                <w:color w:val="auto"/>
              </w:rPr>
            </w:pPr>
            <w:r>
              <w:rPr>
                <w:rFonts w:ascii="Arial" w:cs="Arial" w:eastAsia="Arial" w:hAnsi="Arial"/>
                <w:sz w:val="16"/>
                <w:szCs w:val="16"/>
                <w:color w:val="auto"/>
              </w:rPr>
              <w:t>Proceeds from long-term debt</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0.5</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2.7</w:t>
            </w:r>
          </w:p>
        </w:tc>
        <w:tc>
          <w:tcPr>
            <w:tcW w:w="80" w:type="dxa"/>
            <w:vAlign w:val="bottom"/>
            <w:shd w:val="clear" w:color="auto" w:fill="CFF0FC"/>
          </w:tcPr>
          <w:p>
            <w:pPr>
              <w:spacing w:after="0"/>
              <w:rPr>
                <w:sz w:val="15"/>
                <w:szCs w:val="15"/>
                <w:color w:val="auto"/>
              </w:rPr>
            </w:pPr>
          </w:p>
        </w:tc>
      </w:tr>
      <w:tr>
        <w:trPr>
          <w:trHeight w:val="177"/>
        </w:trPr>
        <w:tc>
          <w:tcPr>
            <w:tcW w:w="7720" w:type="dxa"/>
            <w:vAlign w:val="bottom"/>
          </w:tcPr>
          <w:p>
            <w:pPr>
              <w:ind w:left="400"/>
              <w:spacing w:after="0" w:line="178" w:lineRule="exact"/>
              <w:rPr>
                <w:sz w:val="20"/>
                <w:szCs w:val="20"/>
                <w:color w:val="auto"/>
              </w:rPr>
            </w:pPr>
            <w:r>
              <w:rPr>
                <w:rFonts w:ascii="Arial" w:cs="Arial" w:eastAsia="Arial" w:hAnsi="Arial"/>
                <w:sz w:val="16"/>
                <w:szCs w:val="16"/>
                <w:color w:val="auto"/>
              </w:rPr>
              <w:t>Repayments of long-term debt</w:t>
            </w:r>
          </w:p>
        </w:tc>
        <w:tc>
          <w:tcPr>
            <w:tcW w:w="1040" w:type="dxa"/>
            <w:vAlign w:val="bottom"/>
          </w:tcPr>
          <w:p>
            <w:pPr>
              <w:spacing w:after="0"/>
              <w:rPr>
                <w:sz w:val="15"/>
                <w:szCs w:val="15"/>
                <w:color w:val="auto"/>
              </w:rPr>
            </w:pPr>
          </w:p>
        </w:tc>
        <w:tc>
          <w:tcPr>
            <w:tcW w:w="820" w:type="dxa"/>
            <w:vAlign w:val="bottom"/>
            <w:gridSpan w:val="2"/>
          </w:tcPr>
          <w:p>
            <w:pPr>
              <w:jc w:val="right"/>
              <w:ind w:right="101"/>
              <w:spacing w:after="0" w:line="178" w:lineRule="exact"/>
              <w:rPr>
                <w:sz w:val="20"/>
                <w:szCs w:val="20"/>
                <w:color w:val="auto"/>
              </w:rPr>
            </w:pPr>
            <w:r>
              <w:rPr>
                <w:rFonts w:ascii="Arial" w:cs="Arial" w:eastAsia="Arial" w:hAnsi="Arial"/>
                <w:sz w:val="16"/>
                <w:szCs w:val="16"/>
                <w:color w:val="auto"/>
              </w:rPr>
              <w:t>(2.2 )</w:t>
            </w:r>
          </w:p>
        </w:tc>
        <w:tc>
          <w:tcPr>
            <w:tcW w:w="480" w:type="dxa"/>
            <w:vAlign w:val="bottom"/>
          </w:tcPr>
          <w:p>
            <w:pPr>
              <w:spacing w:after="0"/>
              <w:rPr>
                <w:sz w:val="15"/>
                <w:szCs w:val="15"/>
                <w:color w:val="auto"/>
              </w:rPr>
            </w:pPr>
          </w:p>
        </w:tc>
        <w:tc>
          <w:tcPr>
            <w:tcW w:w="120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(0.4 )</w:t>
            </w:r>
          </w:p>
        </w:tc>
      </w:tr>
      <w:tr>
        <w:trPr>
          <w:trHeight w:val="177"/>
        </w:trPr>
        <w:tc>
          <w:tcPr>
            <w:tcW w:w="7720" w:type="dxa"/>
            <w:vAlign w:val="bottom"/>
            <w:shd w:val="clear" w:color="auto" w:fill="CFF0FC"/>
          </w:tcPr>
          <w:p>
            <w:pPr>
              <w:ind w:left="400"/>
              <w:spacing w:after="0" w:line="178" w:lineRule="exact"/>
              <w:rPr>
                <w:sz w:val="20"/>
                <w:szCs w:val="20"/>
                <w:color w:val="auto"/>
              </w:rPr>
            </w:pPr>
            <w:r>
              <w:rPr>
                <w:rFonts w:ascii="Arial" w:cs="Arial" w:eastAsia="Arial" w:hAnsi="Arial"/>
                <w:sz w:val="16"/>
                <w:szCs w:val="16"/>
                <w:color w:val="auto"/>
              </w:rPr>
              <w:t>Payments of contingent consideration for acquisitions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1"/>
              <w:spacing w:after="0" w:line="178" w:lineRule="exact"/>
              <w:rPr>
                <w:sz w:val="20"/>
                <w:szCs w:val="20"/>
                <w:color w:val="auto"/>
              </w:rPr>
            </w:pPr>
            <w:r>
              <w:rPr>
                <w:rFonts w:ascii="Arial" w:cs="Arial" w:eastAsia="Arial" w:hAnsi="Arial"/>
                <w:sz w:val="16"/>
                <w:szCs w:val="16"/>
                <w:color w:val="auto"/>
              </w:rPr>
              <w:t>(6.3 )</w:t>
            </w:r>
          </w:p>
        </w:tc>
        <w:tc>
          <w:tcPr>
            <w:tcW w:w="4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line="178" w:lineRule="exact"/>
              <w:rPr>
                <w:sz w:val="20"/>
                <w:szCs w:val="20"/>
                <w:color w:val="auto"/>
              </w:rPr>
            </w:pPr>
            <w:r>
              <w:rPr>
                <w:rFonts w:ascii="Arial" w:cs="Arial" w:eastAsia="Arial" w:hAnsi="Arial"/>
                <w:sz w:val="16"/>
                <w:szCs w:val="16"/>
                <w:color w:val="auto"/>
              </w:rPr>
              <w:t>(1.9 )</w:t>
            </w:r>
          </w:p>
        </w:tc>
      </w:tr>
      <w:tr>
        <w:trPr>
          <w:trHeight w:val="177"/>
        </w:trPr>
        <w:tc>
          <w:tcPr>
            <w:tcW w:w="7720" w:type="dxa"/>
            <w:vAlign w:val="bottom"/>
          </w:tcPr>
          <w:p>
            <w:pPr>
              <w:ind w:left="400"/>
              <w:spacing w:after="0" w:line="178" w:lineRule="exact"/>
              <w:rPr>
                <w:sz w:val="20"/>
                <w:szCs w:val="20"/>
                <w:color w:val="auto"/>
              </w:rPr>
            </w:pPr>
            <w:r>
              <w:rPr>
                <w:rFonts w:ascii="Arial" w:cs="Arial" w:eastAsia="Arial" w:hAnsi="Arial"/>
                <w:sz w:val="16"/>
                <w:szCs w:val="16"/>
                <w:color w:val="auto"/>
              </w:rPr>
              <w:t>Proceeds from share-based awards</w:t>
            </w:r>
          </w:p>
        </w:tc>
        <w:tc>
          <w:tcPr>
            <w:tcW w:w="1040" w:type="dxa"/>
            <w:vAlign w:val="bottom"/>
          </w:tcPr>
          <w:p>
            <w:pPr>
              <w:spacing w:after="0"/>
              <w:rPr>
                <w:sz w:val="15"/>
                <w:szCs w:val="15"/>
                <w:color w:val="auto"/>
              </w:rPr>
            </w:pPr>
          </w:p>
        </w:tc>
        <w:tc>
          <w:tcPr>
            <w:tcW w:w="560" w:type="dxa"/>
            <w:vAlign w:val="bottom"/>
          </w:tcPr>
          <w:p>
            <w:pPr>
              <w:jc w:val="right"/>
              <w:spacing w:after="0" w:line="178" w:lineRule="exact"/>
              <w:rPr>
                <w:sz w:val="20"/>
                <w:szCs w:val="20"/>
                <w:color w:val="auto"/>
              </w:rPr>
            </w:pPr>
            <w:r>
              <w:rPr>
                <w:rFonts w:ascii="Arial" w:cs="Arial" w:eastAsia="Arial" w:hAnsi="Arial"/>
                <w:sz w:val="16"/>
                <w:szCs w:val="16"/>
                <w:color w:val="auto"/>
              </w:rPr>
              <w:t>5.1</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spacing w:after="0" w:line="178" w:lineRule="exact"/>
              <w:rPr>
                <w:sz w:val="20"/>
                <w:szCs w:val="20"/>
                <w:color w:val="auto"/>
              </w:rPr>
            </w:pPr>
            <w:r>
              <w:rPr>
                <w:rFonts w:ascii="Arial" w:cs="Arial" w:eastAsia="Arial" w:hAnsi="Arial"/>
                <w:sz w:val="16"/>
                <w:szCs w:val="16"/>
                <w:color w:val="auto"/>
              </w:rPr>
              <w:t>7.4</w:t>
            </w:r>
          </w:p>
        </w:tc>
        <w:tc>
          <w:tcPr>
            <w:tcW w:w="80" w:type="dxa"/>
            <w:vAlign w:val="bottom"/>
          </w:tcPr>
          <w:p>
            <w:pPr>
              <w:spacing w:after="0"/>
              <w:rPr>
                <w:sz w:val="15"/>
                <w:szCs w:val="15"/>
                <w:color w:val="auto"/>
              </w:rPr>
            </w:pPr>
          </w:p>
        </w:tc>
      </w:tr>
      <w:tr>
        <w:trPr>
          <w:trHeight w:val="177"/>
        </w:trPr>
        <w:tc>
          <w:tcPr>
            <w:tcW w:w="7720" w:type="dxa"/>
            <w:vAlign w:val="bottom"/>
            <w:shd w:val="clear" w:color="auto" w:fill="CFF0FC"/>
          </w:tcPr>
          <w:p>
            <w:pPr>
              <w:ind w:left="400"/>
              <w:spacing w:after="0" w:line="178" w:lineRule="exact"/>
              <w:rPr>
                <w:sz w:val="20"/>
                <w:szCs w:val="20"/>
                <w:color w:val="auto"/>
              </w:rPr>
            </w:pPr>
            <w:r>
              <w:rPr>
                <w:rFonts w:ascii="Arial" w:cs="Arial" w:eastAsia="Arial" w:hAnsi="Arial"/>
                <w:sz w:val="16"/>
                <w:szCs w:val="16"/>
                <w:color w:val="auto"/>
              </w:rPr>
              <w:t>Payments to noncontrolling interests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1"/>
              <w:spacing w:after="0" w:line="178" w:lineRule="exact"/>
              <w:rPr>
                <w:sz w:val="20"/>
                <w:szCs w:val="20"/>
                <w:color w:val="auto"/>
              </w:rPr>
            </w:pPr>
            <w:r>
              <w:rPr>
                <w:rFonts w:ascii="Arial" w:cs="Arial" w:eastAsia="Arial" w:hAnsi="Arial"/>
                <w:sz w:val="16"/>
                <w:szCs w:val="16"/>
                <w:color w:val="auto"/>
              </w:rPr>
              <w:t>(1.2 )</w:t>
            </w:r>
          </w:p>
        </w:tc>
        <w:tc>
          <w:tcPr>
            <w:tcW w:w="4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line="178" w:lineRule="exact"/>
              <w:rPr>
                <w:sz w:val="20"/>
                <w:szCs w:val="20"/>
                <w:color w:val="auto"/>
              </w:rPr>
            </w:pPr>
            <w:r>
              <w:rPr>
                <w:rFonts w:ascii="Arial" w:cs="Arial" w:eastAsia="Arial" w:hAnsi="Arial"/>
                <w:sz w:val="16"/>
                <w:szCs w:val="16"/>
                <w:color w:val="auto"/>
              </w:rPr>
              <w:t>(0.8 )</w:t>
            </w:r>
          </w:p>
        </w:tc>
      </w:tr>
      <w:tr>
        <w:trPr>
          <w:trHeight w:val="177"/>
        </w:trPr>
        <w:tc>
          <w:tcPr>
            <w:tcW w:w="7720" w:type="dxa"/>
            <w:vAlign w:val="bottom"/>
          </w:tcPr>
          <w:p>
            <w:pPr>
              <w:ind w:left="400"/>
              <w:spacing w:after="0" w:line="178" w:lineRule="exact"/>
              <w:rPr>
                <w:sz w:val="20"/>
                <w:szCs w:val="20"/>
                <w:color w:val="auto"/>
              </w:rPr>
            </w:pPr>
            <w:r>
              <w:rPr>
                <w:rFonts w:ascii="Arial" w:cs="Arial" w:eastAsia="Arial" w:hAnsi="Arial"/>
                <w:sz w:val="16"/>
                <w:szCs w:val="16"/>
                <w:color w:val="auto"/>
              </w:rPr>
              <w:t>Other share-based award transactions</w:t>
            </w:r>
          </w:p>
        </w:tc>
        <w:tc>
          <w:tcPr>
            <w:tcW w:w="1040" w:type="dxa"/>
            <w:vAlign w:val="bottom"/>
          </w:tcPr>
          <w:p>
            <w:pPr>
              <w:spacing w:after="0"/>
              <w:rPr>
                <w:sz w:val="15"/>
                <w:szCs w:val="15"/>
                <w:color w:val="auto"/>
              </w:rPr>
            </w:pPr>
          </w:p>
        </w:tc>
        <w:tc>
          <w:tcPr>
            <w:tcW w:w="820" w:type="dxa"/>
            <w:vAlign w:val="bottom"/>
            <w:gridSpan w:val="2"/>
          </w:tcPr>
          <w:p>
            <w:pPr>
              <w:jc w:val="right"/>
              <w:ind w:right="101"/>
              <w:spacing w:after="0" w:line="178" w:lineRule="exact"/>
              <w:rPr>
                <w:sz w:val="20"/>
                <w:szCs w:val="20"/>
                <w:color w:val="auto"/>
              </w:rPr>
            </w:pPr>
            <w:r>
              <w:rPr>
                <w:rFonts w:ascii="Arial" w:cs="Arial" w:eastAsia="Arial" w:hAnsi="Arial"/>
                <w:sz w:val="16"/>
                <w:szCs w:val="16"/>
                <w:color w:val="auto"/>
              </w:rPr>
              <w:t>(5.0 )</w:t>
            </w:r>
          </w:p>
        </w:tc>
        <w:tc>
          <w:tcPr>
            <w:tcW w:w="480" w:type="dxa"/>
            <w:vAlign w:val="bottom"/>
          </w:tcPr>
          <w:p>
            <w:pPr>
              <w:spacing w:after="0"/>
              <w:rPr>
                <w:sz w:val="15"/>
                <w:szCs w:val="15"/>
                <w:color w:val="auto"/>
              </w:rPr>
            </w:pPr>
          </w:p>
        </w:tc>
        <w:tc>
          <w:tcPr>
            <w:tcW w:w="120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(7.6 )</w:t>
            </w:r>
          </w:p>
        </w:tc>
      </w:tr>
      <w:tr>
        <w:trPr>
          <w:trHeight w:val="177"/>
        </w:trPr>
        <w:tc>
          <w:tcPr>
            <w:tcW w:w="7720" w:type="dxa"/>
            <w:vAlign w:val="bottom"/>
            <w:shd w:val="clear" w:color="auto" w:fill="CFF0FC"/>
          </w:tcPr>
          <w:p>
            <w:pPr>
              <w:ind w:left="400"/>
              <w:spacing w:after="0" w:line="178" w:lineRule="exact"/>
              <w:rPr>
                <w:sz w:val="20"/>
                <w:szCs w:val="20"/>
                <w:color w:val="auto"/>
              </w:rPr>
            </w:pPr>
            <w:r>
              <w:rPr>
                <w:rFonts w:ascii="Arial" w:cs="Arial" w:eastAsia="Arial" w:hAnsi="Arial"/>
                <w:sz w:val="16"/>
                <w:szCs w:val="16"/>
                <w:color w:val="auto"/>
              </w:rPr>
              <w:t>Repurchases of common stock</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1"/>
              <w:spacing w:after="0" w:line="178" w:lineRule="exact"/>
              <w:rPr>
                <w:sz w:val="20"/>
                <w:szCs w:val="20"/>
                <w:color w:val="auto"/>
              </w:rPr>
            </w:pPr>
            <w:r>
              <w:rPr>
                <w:rFonts w:ascii="Arial" w:cs="Arial" w:eastAsia="Arial" w:hAnsi="Arial"/>
                <w:sz w:val="16"/>
                <w:szCs w:val="16"/>
                <w:color w:val="auto"/>
              </w:rPr>
              <w:t>(210.0 )</w:t>
            </w:r>
          </w:p>
        </w:tc>
        <w:tc>
          <w:tcPr>
            <w:tcW w:w="4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line="178" w:lineRule="exact"/>
              <w:rPr>
                <w:sz w:val="20"/>
                <w:szCs w:val="20"/>
                <w:color w:val="auto"/>
              </w:rPr>
            </w:pPr>
            <w:r>
              <w:rPr>
                <w:rFonts w:ascii="Arial" w:cs="Arial" w:eastAsia="Arial" w:hAnsi="Arial"/>
                <w:sz w:val="16"/>
                <w:szCs w:val="16"/>
                <w:color w:val="auto"/>
              </w:rPr>
              <w:t>(264.7 )</w:t>
            </w:r>
          </w:p>
        </w:tc>
      </w:tr>
      <w:tr>
        <w:trPr>
          <w:trHeight w:val="177"/>
        </w:trPr>
        <w:tc>
          <w:tcPr>
            <w:tcW w:w="7720" w:type="dxa"/>
            <w:vAlign w:val="bottom"/>
          </w:tcPr>
          <w:p>
            <w:pPr>
              <w:ind w:left="400"/>
              <w:spacing w:after="0" w:line="178" w:lineRule="exact"/>
              <w:rPr>
                <w:sz w:val="20"/>
                <w:szCs w:val="20"/>
                <w:color w:val="auto"/>
              </w:rPr>
            </w:pPr>
            <w:r>
              <w:rPr>
                <w:rFonts w:ascii="Arial" w:cs="Arial" w:eastAsia="Arial" w:hAnsi="Arial"/>
                <w:sz w:val="16"/>
                <w:szCs w:val="16"/>
                <w:color w:val="auto"/>
              </w:rPr>
              <w:t>Dividends paid</w:t>
            </w:r>
          </w:p>
        </w:tc>
        <w:tc>
          <w:tcPr>
            <w:tcW w:w="1040" w:type="dxa"/>
            <w:vAlign w:val="bottom"/>
          </w:tcPr>
          <w:p>
            <w:pPr>
              <w:spacing w:after="0"/>
              <w:rPr>
                <w:sz w:val="15"/>
                <w:szCs w:val="15"/>
                <w:color w:val="auto"/>
              </w:rPr>
            </w:pPr>
          </w:p>
        </w:tc>
        <w:tc>
          <w:tcPr>
            <w:tcW w:w="820" w:type="dxa"/>
            <w:vAlign w:val="bottom"/>
            <w:gridSpan w:val="2"/>
          </w:tcPr>
          <w:p>
            <w:pPr>
              <w:jc w:val="right"/>
              <w:ind w:right="101"/>
              <w:spacing w:after="0" w:line="178" w:lineRule="exact"/>
              <w:rPr>
                <w:sz w:val="20"/>
                <w:szCs w:val="20"/>
                <w:color w:val="auto"/>
              </w:rPr>
            </w:pPr>
            <w:r>
              <w:rPr>
                <w:rFonts w:ascii="Arial" w:cs="Arial" w:eastAsia="Arial" w:hAnsi="Arial"/>
                <w:sz w:val="16"/>
                <w:szCs w:val="16"/>
                <w:color w:val="auto"/>
              </w:rPr>
              <w:t>(136.6 )</w:t>
            </w:r>
          </w:p>
        </w:tc>
        <w:tc>
          <w:tcPr>
            <w:tcW w:w="480" w:type="dxa"/>
            <w:vAlign w:val="bottom"/>
          </w:tcPr>
          <w:p>
            <w:pPr>
              <w:spacing w:after="0"/>
              <w:rPr>
                <w:sz w:val="15"/>
                <w:szCs w:val="15"/>
                <w:color w:val="auto"/>
              </w:rPr>
            </w:pPr>
          </w:p>
        </w:tc>
        <w:tc>
          <w:tcPr>
            <w:tcW w:w="120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(129.1 )</w:t>
            </w:r>
          </w:p>
        </w:tc>
      </w:tr>
      <w:tr>
        <w:trPr>
          <w:trHeight w:val="169"/>
        </w:trPr>
        <w:tc>
          <w:tcPr>
            <w:tcW w:w="7720" w:type="dxa"/>
            <w:vAlign w:val="bottom"/>
            <w:tcBorders>
              <w:bottom w:val="single" w:sz="8" w:color="CFF0FC"/>
            </w:tcBorders>
            <w:shd w:val="clear" w:color="auto" w:fill="CFF0FC"/>
          </w:tcPr>
          <w:p>
            <w:pPr>
              <w:ind w:left="960"/>
              <w:spacing w:after="0" w:line="169" w:lineRule="exact"/>
              <w:rPr>
                <w:sz w:val="20"/>
                <w:szCs w:val="20"/>
                <w:color w:val="auto"/>
              </w:rPr>
            </w:pPr>
            <w:r>
              <w:rPr>
                <w:rFonts w:ascii="Arial" w:cs="Arial" w:eastAsia="Arial" w:hAnsi="Arial"/>
                <w:sz w:val="16"/>
                <w:szCs w:val="16"/>
                <w:color w:val="auto"/>
              </w:rPr>
              <w:t>Cash used in financing activities</w:t>
            </w:r>
          </w:p>
        </w:tc>
        <w:tc>
          <w:tcPr>
            <w:tcW w:w="104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(283.7</w:t>
            </w:r>
          </w:p>
        </w:tc>
        <w:tc>
          <w:tcPr>
            <w:tcW w:w="260" w:type="dxa"/>
            <w:vAlign w:val="bottom"/>
            <w:tcBorders>
              <w:bottom w:val="single" w:sz="8" w:color="CFF0FC"/>
            </w:tcBorders>
            <w:shd w:val="clear" w:color="auto" w:fill="CFF0FC"/>
          </w:tcPr>
          <w:p>
            <w:pPr>
              <w:jc w:val="right"/>
              <w:ind w:right="101"/>
              <w:spacing w:after="0" w:line="169" w:lineRule="exact"/>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(435.2</w:t>
            </w:r>
          </w:p>
        </w:tc>
        <w:tc>
          <w:tcPr>
            <w:tcW w:w="8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74"/>
              </w:rPr>
              <w:t>)</w:t>
            </w:r>
          </w:p>
        </w:tc>
      </w:tr>
      <w:tr>
        <w:trPr>
          <w:trHeight w:val="169"/>
        </w:trPr>
        <w:tc>
          <w:tcPr>
            <w:tcW w:w="7720" w:type="dxa"/>
            <w:vAlign w:val="bottom"/>
          </w:tcPr>
          <w:p>
            <w:pPr>
              <w:spacing w:after="0" w:line="169" w:lineRule="exact"/>
              <w:rPr>
                <w:sz w:val="20"/>
                <w:szCs w:val="20"/>
                <w:color w:val="auto"/>
              </w:rPr>
            </w:pPr>
            <w:r>
              <w:rPr>
                <w:rFonts w:ascii="Arial" w:cs="Arial" w:eastAsia="Arial" w:hAnsi="Arial"/>
                <w:sz w:val="16"/>
                <w:szCs w:val="16"/>
                <w:color w:val="auto"/>
              </w:rPr>
              <w:t>Effect of exchange rate changes on cash</w:t>
            </w:r>
          </w:p>
        </w:tc>
        <w:tc>
          <w:tcPr>
            <w:tcW w:w="1040" w:type="dxa"/>
            <w:vAlign w:val="bottom"/>
          </w:tcPr>
          <w:p>
            <w:pPr>
              <w:spacing w:after="0"/>
              <w:rPr>
                <w:sz w:val="14"/>
                <w:szCs w:val="14"/>
                <w:color w:val="auto"/>
              </w:rPr>
            </w:pPr>
          </w:p>
        </w:tc>
        <w:tc>
          <w:tcPr>
            <w:tcW w:w="820" w:type="dxa"/>
            <w:vAlign w:val="bottom"/>
            <w:gridSpan w:val="2"/>
          </w:tcPr>
          <w:p>
            <w:pPr>
              <w:jc w:val="right"/>
              <w:ind w:right="101"/>
              <w:spacing w:after="0" w:line="169" w:lineRule="exact"/>
              <w:rPr>
                <w:sz w:val="20"/>
                <w:szCs w:val="20"/>
                <w:color w:val="auto"/>
              </w:rPr>
            </w:pPr>
            <w:r>
              <w:rPr>
                <w:rFonts w:ascii="Arial" w:cs="Arial" w:eastAsia="Arial" w:hAnsi="Arial"/>
                <w:sz w:val="16"/>
                <w:szCs w:val="16"/>
                <w:color w:val="auto"/>
              </w:rPr>
              <w:t>(93.4 )</w:t>
            </w:r>
          </w:p>
        </w:tc>
        <w:tc>
          <w:tcPr>
            <w:tcW w:w="4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6"/>
                <w:szCs w:val="16"/>
                <w:color w:val="auto"/>
              </w:rPr>
              <w:t>82.5</w:t>
            </w:r>
          </w:p>
        </w:tc>
        <w:tc>
          <w:tcPr>
            <w:tcW w:w="80" w:type="dxa"/>
            <w:vAlign w:val="bottom"/>
          </w:tcPr>
          <w:p>
            <w:pPr>
              <w:spacing w:after="0"/>
              <w:rPr>
                <w:sz w:val="14"/>
                <w:szCs w:val="14"/>
                <w:color w:val="auto"/>
              </w:rPr>
            </w:pPr>
          </w:p>
        </w:tc>
      </w:tr>
      <w:tr>
        <w:trPr>
          <w:trHeight w:val="169"/>
        </w:trPr>
        <w:tc>
          <w:tcPr>
            <w:tcW w:w="772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Change in cash and cash equivalents</w:t>
            </w:r>
          </w:p>
        </w:tc>
        <w:tc>
          <w:tcPr>
            <w:tcW w:w="10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(719.3</w:t>
            </w:r>
          </w:p>
        </w:tc>
        <w:tc>
          <w:tcPr>
            <w:tcW w:w="260" w:type="dxa"/>
            <w:vAlign w:val="bottom"/>
            <w:shd w:val="clear" w:color="auto" w:fill="CFF0FC"/>
          </w:tcPr>
          <w:p>
            <w:pPr>
              <w:jc w:val="right"/>
              <w:ind w:right="101"/>
              <w:spacing w:after="0" w:line="169" w:lineRule="exact"/>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541.3</w:t>
            </w:r>
          </w:p>
        </w:tc>
        <w:tc>
          <w:tcPr>
            <w:tcW w:w="80" w:type="dxa"/>
            <w:vAlign w:val="bottom"/>
            <w:shd w:val="clear" w:color="auto" w:fill="CFF0FC"/>
          </w:tcPr>
          <w:p>
            <w:pPr>
              <w:spacing w:after="0"/>
              <w:rPr>
                <w:sz w:val="14"/>
                <w:szCs w:val="14"/>
                <w:color w:val="auto"/>
              </w:rPr>
            </w:pPr>
          </w:p>
        </w:tc>
      </w:tr>
      <w:tr>
        <w:trPr>
          <w:trHeight w:val="177"/>
        </w:trPr>
        <w:tc>
          <w:tcPr>
            <w:tcW w:w="7720" w:type="dxa"/>
            <w:vAlign w:val="bottom"/>
          </w:tcPr>
          <w:p>
            <w:pPr>
              <w:spacing w:after="0" w:line="178" w:lineRule="exact"/>
              <w:rPr>
                <w:sz w:val="20"/>
                <w:szCs w:val="20"/>
                <w:color w:val="auto"/>
              </w:rPr>
            </w:pPr>
            <w:r>
              <w:rPr>
                <w:rFonts w:ascii="Arial" w:cs="Arial" w:eastAsia="Arial" w:hAnsi="Arial"/>
                <w:sz w:val="16"/>
                <w:szCs w:val="16"/>
                <w:color w:val="auto"/>
              </w:rPr>
              <w:t>Cash and cash equivalents, beginning of period</w:t>
            </w:r>
          </w:p>
        </w:tc>
        <w:tc>
          <w:tcPr>
            <w:tcW w:w="1040" w:type="dxa"/>
            <w:vAlign w:val="bottom"/>
            <w:tcBorders>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1,567.1</w:t>
            </w:r>
          </w:p>
        </w:tc>
        <w:tc>
          <w:tcPr>
            <w:tcW w:w="260" w:type="dxa"/>
            <w:vAlign w:val="bottom"/>
          </w:tcPr>
          <w:p>
            <w:pPr>
              <w:spacing w:after="0"/>
              <w:rPr>
                <w:sz w:val="15"/>
                <w:szCs w:val="15"/>
                <w:color w:val="auto"/>
              </w:rPr>
            </w:pPr>
          </w:p>
        </w:tc>
        <w:tc>
          <w:tcPr>
            <w:tcW w:w="480" w:type="dxa"/>
            <w:vAlign w:val="bottom"/>
            <w:tcBorders>
              <w:bottom w:val="single" w:sz="8" w:color="auto"/>
            </w:tcBorders>
          </w:tcPr>
          <w:p>
            <w:pPr>
              <w:jc w:val="right"/>
              <w:ind w:right="301"/>
              <w:spacing w:after="0" w:line="178"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1,025.8</w:t>
            </w:r>
          </w:p>
        </w:tc>
        <w:tc>
          <w:tcPr>
            <w:tcW w:w="80" w:type="dxa"/>
            <w:vAlign w:val="bottom"/>
          </w:tcPr>
          <w:p>
            <w:pPr>
              <w:spacing w:after="0"/>
              <w:rPr>
                <w:sz w:val="15"/>
                <w:szCs w:val="15"/>
                <w:color w:val="auto"/>
              </w:rPr>
            </w:pPr>
          </w:p>
        </w:tc>
      </w:tr>
      <w:tr>
        <w:trPr>
          <w:trHeight w:val="209"/>
        </w:trPr>
        <w:tc>
          <w:tcPr>
            <w:tcW w:w="772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Cash and cash equivalents, end of period</w:t>
            </w:r>
          </w:p>
        </w:tc>
        <w:tc>
          <w:tcPr>
            <w:tcW w:w="1040" w:type="dxa"/>
            <w:vAlign w:val="bottom"/>
            <w:tcBorders>
              <w:bottom w:val="single" w:sz="8" w:color="auto"/>
            </w:tcBorders>
            <w:shd w:val="clear" w:color="auto" w:fill="CFF0FC"/>
          </w:tcPr>
          <w:p>
            <w:pPr>
              <w:jc w:val="right"/>
              <w:ind w:right="885"/>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847.8</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01"/>
              <w:spacing w:after="0" w:line="169"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1,567.1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464"/>
        </w:trPr>
        <w:tc>
          <w:tcPr>
            <w:tcW w:w="77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5922010</wp:posOffset>
            </wp:positionH>
            <wp:positionV relativeFrom="paragraph">
              <wp:posOffset>-2880360</wp:posOffset>
            </wp:positionV>
            <wp:extent cx="52705" cy="50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-2880360</wp:posOffset>
            </wp:positionV>
            <wp:extent cx="52705" cy="50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5922010</wp:posOffset>
            </wp:positionH>
            <wp:positionV relativeFrom="paragraph">
              <wp:posOffset>-2181860</wp:posOffset>
            </wp:positionV>
            <wp:extent cx="52705" cy="50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-2181860</wp:posOffset>
            </wp:positionV>
            <wp:extent cx="52705" cy="50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5922010</wp:posOffset>
            </wp:positionH>
            <wp:positionV relativeFrom="paragraph">
              <wp:posOffset>-815340</wp:posOffset>
            </wp:positionV>
            <wp:extent cx="52705" cy="50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-815340</wp:posOffset>
            </wp:positionV>
            <wp:extent cx="52705" cy="50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5922010</wp:posOffset>
            </wp:positionH>
            <wp:positionV relativeFrom="paragraph">
              <wp:posOffset>-344805</wp:posOffset>
            </wp:positionV>
            <wp:extent cx="5270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5922010</wp:posOffset>
            </wp:positionH>
            <wp:positionV relativeFrom="paragraph">
              <wp:posOffset>-329565</wp:posOffset>
            </wp:positionV>
            <wp:extent cx="5270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-344805</wp:posOffset>
            </wp:positionV>
            <wp:extent cx="5270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-329565</wp:posOffset>
            </wp:positionV>
            <wp:extent cx="5270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40" w:right="3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2022-02-01T06:48:51Z</dcterms:created>
  <dcterms:modified xsi:type="dcterms:W3CDTF">2022-02-01T06:48:51Z</dcterms:modified>
</cp:coreProperties>
</file>