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Rules 424(b)(3) and 424(c)</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333-71040</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Prospectus Supplement No. 1 Dated December 14, 2001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(to Prospectus dated December 7, 2001)</w:t>
      </w:r>
    </w:p>
    <w:p>
      <w:pPr>
        <w:spacing w:after="0" w:line="277"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$435,367,000</w:t>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Manpower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Zero Coupon Convertible Debentures Due August 17, 2021</w:t>
      </w:r>
    </w:p>
    <w:p>
      <w:pPr>
        <w:jc w:val="center"/>
        <w:spacing w:after="0" w:line="237" w:lineRule="auto"/>
        <w:rPr>
          <w:sz w:val="20"/>
          <w:szCs w:val="20"/>
          <w:color w:val="auto"/>
        </w:rPr>
      </w:pPr>
      <w:r>
        <w:rPr>
          <w:rFonts w:ascii="Arial" w:cs="Arial" w:eastAsia="Arial" w:hAnsi="Arial"/>
          <w:sz w:val="32"/>
          <w:szCs w:val="32"/>
          <w:b w:val="1"/>
          <w:bCs w:val="1"/>
          <w:color w:val="auto"/>
        </w:rPr>
        <w:t>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Common Stock Issuable Upon Conversion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3114040</wp:posOffset>
            </wp:positionH>
            <wp:positionV relativeFrom="paragraph">
              <wp:posOffset>129540</wp:posOffset>
            </wp:positionV>
            <wp:extent cx="1029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80" w:firstLine="432"/>
        <w:spacing w:after="0" w:line="287" w:lineRule="auto"/>
        <w:rPr>
          <w:sz w:val="20"/>
          <w:szCs w:val="20"/>
          <w:color w:val="auto"/>
        </w:rPr>
      </w:pPr>
      <w:r>
        <w:rPr>
          <w:rFonts w:ascii="Arial" w:cs="Arial" w:eastAsia="Arial" w:hAnsi="Arial"/>
          <w:sz w:val="19"/>
          <w:szCs w:val="19"/>
          <w:color w:val="auto"/>
        </w:rPr>
        <w:t>Our prospectus dated December 7, 2001 relating to the offer for resale by certain of our securityholders of up to $435,367,000 aggregate principal amount due at maturity of zero coupon convertible debentures due August 17, 2021 of Manpower Inc., and the shares of our common stock issuable upon conversion of the debentures, is hereby supplemented to include the following information in the "Selling Securityholders" section on pages 38-44 of the prospectus.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ADDITIONAL SELLING SECURITYHOLDERS</w:t>
      </w:r>
    </w:p>
    <w:p>
      <w:pPr>
        <w:spacing w:after="0" w:line="212" w:lineRule="exact"/>
        <w:rPr>
          <w:sz w:val="24"/>
          <w:szCs w:val="24"/>
          <w:color w:val="auto"/>
        </w:rPr>
      </w:pPr>
    </w:p>
    <w:p>
      <w:pPr>
        <w:ind w:right="200" w:firstLine="428"/>
        <w:spacing w:after="0" w:line="251" w:lineRule="auto"/>
        <w:rPr>
          <w:sz w:val="20"/>
          <w:szCs w:val="20"/>
          <w:color w:val="auto"/>
        </w:rPr>
      </w:pPr>
      <w:r>
        <w:rPr>
          <w:rFonts w:ascii="Arial" w:cs="Arial" w:eastAsia="Arial" w:hAnsi="Arial"/>
          <w:sz w:val="22"/>
          <w:szCs w:val="22"/>
          <w:color w:val="auto"/>
        </w:rPr>
        <w:t>The following represents additional selling securityholders for the table appearing in the "Selling Securityholders" section of the prospectus.</w:t>
      </w:r>
    </w:p>
    <w:p>
      <w:pPr>
        <w:spacing w:after="0" w:line="264" w:lineRule="exact"/>
        <w:rPr>
          <w:sz w:val="24"/>
          <w:szCs w:val="24"/>
          <w:color w:val="auto"/>
        </w:rPr>
      </w:pPr>
    </w:p>
    <w:tbl>
      <w:tblPr>
        <w:tblLayout w:type="fixed"/>
        <w:tblInd w:w="10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at Maturity</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Debentures</w:t>
            </w:r>
          </w:p>
        </w:tc>
        <w:tc>
          <w:tcPr>
            <w:tcW w:w="1380" w:type="dxa"/>
            <w:vAlign w:val="bottom"/>
            <w:gridSpan w:val="3"/>
          </w:tcPr>
          <w:p>
            <w:pPr>
              <w:jc w:val="center"/>
              <w:ind w:left="162"/>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Common Stock That</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4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Debentures</w:t>
            </w:r>
          </w:p>
        </w:tc>
        <w:tc>
          <w:tcPr>
            <w:tcW w:w="3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May Be</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r>
      <w:tr>
        <w:trPr>
          <w:trHeight w:val="148"/>
        </w:trPr>
        <w:tc>
          <w:tcPr>
            <w:tcW w:w="86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Name and Address (7)</w:t>
            </w:r>
          </w:p>
        </w:tc>
        <w:tc>
          <w:tcPr>
            <w:tcW w:w="13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that May Be Sold</w:t>
            </w:r>
          </w:p>
        </w:tc>
        <w:tc>
          <w:tcPr>
            <w:tcW w:w="460" w:type="dxa"/>
            <w:vAlign w:val="bottom"/>
          </w:tcPr>
          <w:p>
            <w:pPr>
              <w:spacing w:after="0"/>
              <w:rPr>
                <w:sz w:val="12"/>
                <w:szCs w:val="12"/>
                <w:color w:val="auto"/>
              </w:rPr>
            </w:pPr>
          </w:p>
        </w:tc>
        <w:tc>
          <w:tcPr>
            <w:tcW w:w="9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2"/>
                <w:szCs w:val="12"/>
                <w:color w:val="auto"/>
              </w:rPr>
            </w:pPr>
          </w:p>
        </w:tc>
        <w:tc>
          <w:tcPr>
            <w:tcW w:w="11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5"/>
              </w:rPr>
              <w:t>Sold (1)</w:t>
            </w:r>
          </w:p>
        </w:tc>
        <w:tc>
          <w:tcPr>
            <w:tcW w:w="1060" w:type="dxa"/>
            <w:vAlign w:val="bottom"/>
            <w:gridSpan w:val="2"/>
          </w:tcPr>
          <w:p>
            <w:pPr>
              <w:jc w:val="center"/>
              <w:ind w:left="62"/>
              <w:spacing w:after="0" w:line="148" w:lineRule="exact"/>
              <w:rPr>
                <w:sz w:val="20"/>
                <w:szCs w:val="20"/>
                <w:color w:val="auto"/>
              </w:rPr>
            </w:pPr>
            <w:r>
              <w:rPr>
                <w:rFonts w:ascii="Arial" w:cs="Arial" w:eastAsia="Arial" w:hAnsi="Arial"/>
                <w:sz w:val="14"/>
                <w:szCs w:val="14"/>
                <w:b w:val="1"/>
                <w:bCs w:val="1"/>
                <w:color w:val="auto"/>
                <w:w w:val="88"/>
              </w:rPr>
              <w:t>Outstanding (2)</w:t>
            </w:r>
          </w:p>
        </w:tc>
      </w:tr>
      <w:tr>
        <w:trPr>
          <w:trHeight w:val="20"/>
        </w:trPr>
        <w:tc>
          <w:tcPr>
            <w:tcW w:w="8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390"/>
        </w:trPr>
        <w:tc>
          <w:tcPr>
            <w:tcW w:w="3300" w:type="dxa"/>
            <w:vAlign w:val="bottom"/>
            <w:gridSpan w:val="3"/>
          </w:tcPr>
          <w:p>
            <w:pPr>
              <w:spacing w:after="0"/>
              <w:rPr>
                <w:sz w:val="20"/>
                <w:szCs w:val="20"/>
                <w:color w:val="auto"/>
              </w:rPr>
            </w:pPr>
            <w:r>
              <w:rPr>
                <w:rFonts w:ascii="Arial" w:cs="Arial" w:eastAsia="Arial" w:hAnsi="Arial"/>
                <w:sz w:val="18"/>
                <w:szCs w:val="18"/>
                <w:color w:val="auto"/>
              </w:rPr>
              <w:t>DKR Fixed Income Holding Fund Ltd.</w:t>
            </w:r>
          </w:p>
        </w:tc>
        <w:tc>
          <w:tcPr>
            <w:tcW w:w="1360" w:type="dxa"/>
            <w:vAlign w:val="bottom"/>
          </w:tcPr>
          <w:p>
            <w:pPr>
              <w:jc w:val="right"/>
              <w:ind w:right="29"/>
              <w:spacing w:after="0"/>
              <w:rPr>
                <w:sz w:val="20"/>
                <w:szCs w:val="20"/>
                <w:color w:val="auto"/>
              </w:rPr>
            </w:pPr>
            <w:r>
              <w:rPr>
                <w:rFonts w:ascii="Arial" w:cs="Arial" w:eastAsia="Arial" w:hAnsi="Arial"/>
                <w:sz w:val="18"/>
                <w:szCs w:val="18"/>
                <w:color w:val="auto"/>
              </w:rPr>
              <w:t>$  5,000,000</w:t>
            </w:r>
          </w:p>
        </w:tc>
        <w:tc>
          <w:tcPr>
            <w:tcW w:w="1180" w:type="dxa"/>
            <w:vAlign w:val="bottom"/>
            <w:gridSpan w:val="2"/>
          </w:tcPr>
          <w:p>
            <w:pPr>
              <w:jc w:val="center"/>
              <w:ind w:left="382"/>
              <w:spacing w:after="0"/>
              <w:rPr>
                <w:sz w:val="20"/>
                <w:szCs w:val="20"/>
                <w:color w:val="auto"/>
              </w:rPr>
            </w:pPr>
            <w:r>
              <w:rPr>
                <w:rFonts w:ascii="Arial" w:cs="Arial" w:eastAsia="Arial" w:hAnsi="Arial"/>
                <w:sz w:val="18"/>
                <w:szCs w:val="18"/>
                <w:color w:val="auto"/>
                <w:w w:val="87"/>
              </w:rPr>
              <w:t>1.1%</w:t>
            </w:r>
          </w:p>
        </w:tc>
        <w:tc>
          <w:tcPr>
            <w:tcW w:w="200" w:type="dxa"/>
            <w:vAlign w:val="bottom"/>
          </w:tcPr>
          <w:p>
            <w:pPr>
              <w:spacing w:after="0"/>
              <w:rPr>
                <w:sz w:val="24"/>
                <w:szCs w:val="24"/>
                <w:color w:val="auto"/>
              </w:rPr>
            </w:pPr>
          </w:p>
        </w:tc>
        <w:tc>
          <w:tcPr>
            <w:tcW w:w="1220" w:type="dxa"/>
            <w:vAlign w:val="bottom"/>
            <w:gridSpan w:val="2"/>
          </w:tcPr>
          <w:p>
            <w:pPr>
              <w:jc w:val="center"/>
              <w:ind w:left="226"/>
              <w:spacing w:after="0"/>
              <w:rPr>
                <w:sz w:val="20"/>
                <w:szCs w:val="20"/>
                <w:color w:val="auto"/>
              </w:rPr>
            </w:pPr>
            <w:r>
              <w:rPr>
                <w:rFonts w:ascii="Arial" w:cs="Arial" w:eastAsia="Arial" w:hAnsi="Arial"/>
                <w:sz w:val="18"/>
                <w:szCs w:val="18"/>
                <w:color w:val="auto"/>
                <w:w w:val="87"/>
              </w:rPr>
              <w:t>69,779</w:t>
            </w:r>
          </w:p>
        </w:tc>
        <w:tc>
          <w:tcPr>
            <w:tcW w:w="260" w:type="dxa"/>
            <w:vAlign w:val="bottom"/>
          </w:tcPr>
          <w:p>
            <w:pPr>
              <w:spacing w:after="0"/>
              <w:rPr>
                <w:sz w:val="24"/>
                <w:szCs w:val="24"/>
                <w:color w:val="auto"/>
              </w:rPr>
            </w:pPr>
          </w:p>
        </w:tc>
        <w:tc>
          <w:tcPr>
            <w:tcW w:w="1060" w:type="dxa"/>
            <w:vAlign w:val="bottom"/>
            <w:gridSpan w:val="2"/>
          </w:tcPr>
          <w:p>
            <w:pPr>
              <w:jc w:val="center"/>
              <w:ind w:left="62"/>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3"/>
          </w:tcPr>
          <w:p>
            <w:pPr>
              <w:ind w:left="180"/>
              <w:spacing w:after="0"/>
              <w:rPr>
                <w:sz w:val="20"/>
                <w:szCs w:val="20"/>
                <w:color w:val="auto"/>
              </w:rPr>
            </w:pPr>
            <w:r>
              <w:rPr>
                <w:rFonts w:ascii="Arial" w:cs="Arial" w:eastAsia="Arial" w:hAnsi="Arial"/>
                <w:sz w:val="18"/>
                <w:szCs w:val="18"/>
                <w:color w:val="auto"/>
              </w:rPr>
              <w:t>c/o DKR Management Company, Inc.</w:t>
            </w: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300" w:type="dxa"/>
            <w:vAlign w:val="bottom"/>
            <w:gridSpan w:val="3"/>
          </w:tcPr>
          <w:p>
            <w:pPr>
              <w:ind w:left="180"/>
              <w:spacing w:after="0"/>
              <w:rPr>
                <w:sz w:val="20"/>
                <w:szCs w:val="20"/>
                <w:color w:val="auto"/>
              </w:rPr>
            </w:pPr>
            <w:r>
              <w:rPr>
                <w:rFonts w:ascii="Arial" w:cs="Arial" w:eastAsia="Arial" w:hAnsi="Arial"/>
                <w:sz w:val="18"/>
                <w:szCs w:val="18"/>
                <w:color w:val="auto"/>
              </w:rPr>
              <w:t>1281 East Main Street</w:t>
            </w: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300" w:type="dxa"/>
            <w:vAlign w:val="bottom"/>
            <w:gridSpan w:val="3"/>
          </w:tcPr>
          <w:p>
            <w:pPr>
              <w:ind w:left="180"/>
              <w:spacing w:after="0"/>
              <w:rPr>
                <w:sz w:val="20"/>
                <w:szCs w:val="20"/>
                <w:color w:val="auto"/>
              </w:rPr>
            </w:pPr>
            <w:r>
              <w:rPr>
                <w:rFonts w:ascii="Arial" w:cs="Arial" w:eastAsia="Arial" w:hAnsi="Arial"/>
                <w:sz w:val="18"/>
                <w:szCs w:val="18"/>
                <w:color w:val="auto"/>
              </w:rPr>
              <w:t>Stamford, CT 06901</w:t>
            </w: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SELLING SECURITYHOLDERS</w:t>
      </w:r>
    </w:p>
    <w:p>
      <w:pPr>
        <w:spacing w:after="0" w:line="212" w:lineRule="exact"/>
        <w:rPr>
          <w:sz w:val="24"/>
          <w:szCs w:val="24"/>
          <w:color w:val="auto"/>
        </w:rPr>
      </w:pPr>
    </w:p>
    <w:p>
      <w:pPr>
        <w:ind w:right="980" w:firstLine="428"/>
        <w:spacing w:after="0" w:line="251" w:lineRule="auto"/>
        <w:rPr>
          <w:sz w:val="20"/>
          <w:szCs w:val="20"/>
          <w:color w:val="auto"/>
        </w:rPr>
      </w:pPr>
      <w:r>
        <w:rPr>
          <w:rFonts w:ascii="Arial" w:cs="Arial" w:eastAsia="Arial" w:hAnsi="Arial"/>
          <w:sz w:val="22"/>
          <w:szCs w:val="22"/>
          <w:color w:val="auto"/>
        </w:rPr>
        <w:t>The following represents updated information regarding the selling securityholders listed in the table in the "Selling Securityholders" section of the prospectus.</w:t>
      </w:r>
    </w:p>
    <w:p>
      <w:pPr>
        <w:spacing w:after="0" w:line="264" w:lineRule="exact"/>
        <w:rPr>
          <w:sz w:val="24"/>
          <w:szCs w:val="24"/>
          <w:color w:val="auto"/>
        </w:rPr>
      </w:pPr>
    </w:p>
    <w:tbl>
      <w:tblPr>
        <w:tblLayout w:type="fixed"/>
        <w:tblInd w:w="10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3"/>
          </w:tcPr>
          <w:p>
            <w:pPr>
              <w:ind w:left="200"/>
              <w:spacing w:after="0"/>
              <w:rPr>
                <w:sz w:val="20"/>
                <w:szCs w:val="20"/>
                <w:color w:val="auto"/>
              </w:rPr>
            </w:pPr>
            <w:r>
              <w:rPr>
                <w:rFonts w:ascii="Arial" w:cs="Arial" w:eastAsia="Arial" w:hAnsi="Arial"/>
                <w:sz w:val="14"/>
                <w:szCs w:val="14"/>
                <w:b w:val="1"/>
                <w:bCs w:val="1"/>
                <w:color w:val="auto"/>
              </w:rPr>
              <w:t>Principal Amount at</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Maturity</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of Debentures</w:t>
            </w: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Common Stock That</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Beneficially Owned</w:t>
            </w:r>
          </w:p>
        </w:tc>
        <w:tc>
          <w:tcPr>
            <w:tcW w:w="2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Debentures</w:t>
            </w:r>
          </w:p>
        </w:tc>
        <w:tc>
          <w:tcPr>
            <w:tcW w:w="46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May Be</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r>
      <w:tr>
        <w:trPr>
          <w:trHeight w:val="148"/>
        </w:trPr>
        <w:tc>
          <w:tcPr>
            <w:tcW w:w="860" w:type="dxa"/>
            <w:vAlign w:val="bottom"/>
          </w:tcPr>
          <w:p>
            <w:pPr>
              <w:spacing w:after="0"/>
              <w:rPr>
                <w:sz w:val="12"/>
                <w:szCs w:val="12"/>
                <w:color w:val="auto"/>
              </w:rPr>
            </w:pPr>
          </w:p>
        </w:tc>
        <w:tc>
          <w:tcPr>
            <w:tcW w:w="23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Name and Address (7)</w:t>
            </w:r>
          </w:p>
        </w:tc>
        <w:tc>
          <w:tcPr>
            <w:tcW w:w="280" w:type="dxa"/>
            <w:vAlign w:val="bottom"/>
          </w:tcPr>
          <w:p>
            <w:pPr>
              <w:spacing w:after="0"/>
              <w:rPr>
                <w:sz w:val="12"/>
                <w:szCs w:val="12"/>
                <w:color w:val="auto"/>
              </w:rPr>
            </w:pPr>
          </w:p>
        </w:tc>
        <w:tc>
          <w:tcPr>
            <w:tcW w:w="13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8"/>
              </w:rPr>
              <w:t>that May Be Sold</w:t>
            </w:r>
          </w:p>
        </w:tc>
        <w:tc>
          <w:tcPr>
            <w:tcW w:w="280" w:type="dxa"/>
            <w:vAlign w:val="bottom"/>
          </w:tcPr>
          <w:p>
            <w:pPr>
              <w:spacing w:after="0"/>
              <w:rPr>
                <w:sz w:val="12"/>
                <w:szCs w:val="12"/>
                <w:color w:val="auto"/>
              </w:rPr>
            </w:pPr>
          </w:p>
        </w:tc>
        <w:tc>
          <w:tcPr>
            <w:tcW w:w="9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460" w:type="dxa"/>
            <w:vAlign w:val="bottom"/>
          </w:tcPr>
          <w:p>
            <w:pPr>
              <w:spacing w:after="0"/>
              <w:rPr>
                <w:sz w:val="12"/>
                <w:szCs w:val="12"/>
                <w:color w:val="auto"/>
              </w:rPr>
            </w:pPr>
          </w:p>
        </w:tc>
        <w:tc>
          <w:tcPr>
            <w:tcW w:w="10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5"/>
              </w:rPr>
              <w:t>Sold (1)</w:t>
            </w:r>
          </w:p>
        </w:tc>
        <w:tc>
          <w:tcPr>
            <w:tcW w:w="1060" w:type="dxa"/>
            <w:vAlign w:val="bottom"/>
            <w:gridSpan w:val="2"/>
          </w:tcPr>
          <w:p>
            <w:pPr>
              <w:jc w:val="center"/>
              <w:ind w:left="56"/>
              <w:spacing w:after="0" w:line="148" w:lineRule="exact"/>
              <w:rPr>
                <w:sz w:val="20"/>
                <w:szCs w:val="20"/>
                <w:color w:val="auto"/>
              </w:rPr>
            </w:pPr>
            <w:r>
              <w:rPr>
                <w:rFonts w:ascii="Arial" w:cs="Arial" w:eastAsia="Arial" w:hAnsi="Arial"/>
                <w:sz w:val="14"/>
                <w:szCs w:val="14"/>
                <w:b w:val="1"/>
                <w:bCs w:val="1"/>
                <w:color w:val="auto"/>
                <w:w w:val="88"/>
              </w:rPr>
              <w:t>Outstanding (2)</w:t>
            </w:r>
          </w:p>
        </w:tc>
      </w:tr>
      <w:tr>
        <w:trPr>
          <w:trHeight w:val="20"/>
        </w:trPr>
        <w:tc>
          <w:tcPr>
            <w:tcW w:w="8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390"/>
        </w:trPr>
        <w:tc>
          <w:tcPr>
            <w:tcW w:w="3180" w:type="dxa"/>
            <w:vAlign w:val="bottom"/>
            <w:gridSpan w:val="3"/>
          </w:tcPr>
          <w:p>
            <w:pPr>
              <w:spacing w:after="0"/>
              <w:rPr>
                <w:sz w:val="20"/>
                <w:szCs w:val="20"/>
                <w:color w:val="auto"/>
              </w:rPr>
            </w:pPr>
            <w:r>
              <w:rPr>
                <w:rFonts w:ascii="Arial" w:cs="Arial" w:eastAsia="Arial" w:hAnsi="Arial"/>
                <w:sz w:val="18"/>
                <w:szCs w:val="18"/>
                <w:color w:val="auto"/>
              </w:rPr>
              <w:t>ALPHA U.S. Sub Fund VIII, LLC</w:t>
            </w:r>
          </w:p>
        </w:tc>
        <w:tc>
          <w:tcPr>
            <w:tcW w:w="28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160"/>
              <w:spacing w:after="0"/>
              <w:rPr>
                <w:sz w:val="20"/>
                <w:szCs w:val="20"/>
                <w:color w:val="auto"/>
              </w:rPr>
            </w:pPr>
            <w:r>
              <w:rPr>
                <w:rFonts w:ascii="Arial" w:cs="Arial" w:eastAsia="Arial" w:hAnsi="Arial"/>
                <w:sz w:val="18"/>
                <w:szCs w:val="18"/>
                <w:color w:val="auto"/>
              </w:rPr>
              <w:t>1,900,000</w:t>
            </w:r>
          </w:p>
        </w:tc>
        <w:tc>
          <w:tcPr>
            <w:tcW w:w="300" w:type="dxa"/>
            <w:vAlign w:val="bottom"/>
          </w:tcPr>
          <w:p>
            <w:pPr>
              <w:spacing w:after="0"/>
              <w:rPr>
                <w:sz w:val="24"/>
                <w:szCs w:val="24"/>
                <w:color w:val="auto"/>
              </w:rPr>
            </w:pPr>
          </w:p>
        </w:tc>
        <w:tc>
          <w:tcPr>
            <w:tcW w:w="1000" w:type="dxa"/>
            <w:vAlign w:val="bottom"/>
            <w:gridSpan w:val="2"/>
          </w:tcPr>
          <w:p>
            <w:pPr>
              <w:jc w:val="center"/>
              <w:ind w:left="19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gridSpan w:val="2"/>
          </w:tcPr>
          <w:p>
            <w:pPr>
              <w:jc w:val="center"/>
              <w:ind w:left="399"/>
              <w:spacing w:after="0"/>
              <w:rPr>
                <w:sz w:val="20"/>
                <w:szCs w:val="20"/>
                <w:color w:val="auto"/>
              </w:rPr>
            </w:pPr>
            <w:r>
              <w:rPr>
                <w:rFonts w:ascii="Arial" w:cs="Arial" w:eastAsia="Arial" w:hAnsi="Arial"/>
                <w:sz w:val="18"/>
                <w:szCs w:val="18"/>
                <w:color w:val="auto"/>
                <w:w w:val="87"/>
              </w:rPr>
              <w:t>26,516</w:t>
            </w:r>
          </w:p>
        </w:tc>
        <w:tc>
          <w:tcPr>
            <w:tcW w:w="440" w:type="dxa"/>
            <w:vAlign w:val="bottom"/>
          </w:tcPr>
          <w:p>
            <w:pPr>
              <w:spacing w:after="0"/>
              <w:rPr>
                <w:sz w:val="24"/>
                <w:szCs w:val="24"/>
                <w:color w:val="auto"/>
              </w:rPr>
            </w:pPr>
          </w:p>
        </w:tc>
        <w:tc>
          <w:tcPr>
            <w:tcW w:w="1060" w:type="dxa"/>
            <w:vAlign w:val="bottom"/>
            <w:gridSpan w:val="2"/>
          </w:tcPr>
          <w:p>
            <w:pPr>
              <w:jc w:val="center"/>
              <w:ind w:left="56"/>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gridSpan w:val="3"/>
          </w:tcPr>
          <w:p>
            <w:pPr>
              <w:ind w:left="180"/>
              <w:spacing w:after="0"/>
              <w:rPr>
                <w:sz w:val="20"/>
                <w:szCs w:val="20"/>
                <w:color w:val="auto"/>
              </w:rPr>
            </w:pPr>
            <w:r>
              <w:rPr>
                <w:rFonts w:ascii="Arial" w:cs="Arial" w:eastAsia="Arial" w:hAnsi="Arial"/>
                <w:sz w:val="18"/>
                <w:szCs w:val="18"/>
                <w:color w:val="auto"/>
              </w:rPr>
              <w:t>130 Cheshire Lane, Suite 102</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180" w:type="dxa"/>
            <w:vAlign w:val="bottom"/>
            <w:gridSpan w:val="3"/>
          </w:tcPr>
          <w:p>
            <w:pPr>
              <w:ind w:left="180"/>
              <w:spacing w:after="0"/>
              <w:rPr>
                <w:sz w:val="20"/>
                <w:szCs w:val="20"/>
                <w:color w:val="auto"/>
              </w:rPr>
            </w:pPr>
            <w:r>
              <w:rPr>
                <w:rFonts w:ascii="Arial" w:cs="Arial" w:eastAsia="Arial" w:hAnsi="Arial"/>
                <w:sz w:val="18"/>
                <w:szCs w:val="18"/>
                <w:color w:val="auto"/>
              </w:rPr>
              <w:t>Minnetonka, MN 55305</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99"/>
        </w:trPr>
        <w:tc>
          <w:tcPr>
            <w:tcW w:w="3180" w:type="dxa"/>
            <w:vAlign w:val="bottom"/>
            <w:gridSpan w:val="3"/>
          </w:tcPr>
          <w:p>
            <w:pPr>
              <w:spacing w:after="0"/>
              <w:rPr>
                <w:sz w:val="20"/>
                <w:szCs w:val="20"/>
                <w:color w:val="auto"/>
              </w:rPr>
            </w:pPr>
            <w:r>
              <w:rPr>
                <w:rFonts w:ascii="Arial" w:cs="Arial" w:eastAsia="Arial" w:hAnsi="Arial"/>
                <w:sz w:val="18"/>
                <w:szCs w:val="18"/>
                <w:color w:val="auto"/>
                <w:w w:val="94"/>
              </w:rPr>
              <w:t>Deephaven Domestic Convertible Trading</w:t>
            </w:r>
          </w:p>
        </w:tc>
        <w:tc>
          <w:tcPr>
            <w:tcW w:w="28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160"/>
              <w:spacing w:after="0"/>
              <w:rPr>
                <w:sz w:val="20"/>
                <w:szCs w:val="20"/>
                <w:color w:val="auto"/>
              </w:rPr>
            </w:pPr>
            <w:r>
              <w:rPr>
                <w:rFonts w:ascii="Arial" w:cs="Arial" w:eastAsia="Arial" w:hAnsi="Arial"/>
                <w:sz w:val="18"/>
                <w:szCs w:val="18"/>
                <w:color w:val="auto"/>
                <w:w w:val="99"/>
              </w:rPr>
              <w:t>36,200,000</w:t>
            </w:r>
          </w:p>
        </w:tc>
        <w:tc>
          <w:tcPr>
            <w:tcW w:w="300" w:type="dxa"/>
            <w:vAlign w:val="bottom"/>
          </w:tcPr>
          <w:p>
            <w:pPr>
              <w:spacing w:after="0"/>
              <w:rPr>
                <w:sz w:val="24"/>
                <w:szCs w:val="24"/>
                <w:color w:val="auto"/>
              </w:rPr>
            </w:pPr>
          </w:p>
        </w:tc>
        <w:tc>
          <w:tcPr>
            <w:tcW w:w="1000" w:type="dxa"/>
            <w:vAlign w:val="bottom"/>
            <w:gridSpan w:val="2"/>
          </w:tcPr>
          <w:p>
            <w:pPr>
              <w:jc w:val="center"/>
              <w:ind w:left="196"/>
              <w:spacing w:after="0"/>
              <w:rPr>
                <w:sz w:val="20"/>
                <w:szCs w:val="20"/>
                <w:color w:val="auto"/>
              </w:rPr>
            </w:pPr>
            <w:r>
              <w:rPr>
                <w:rFonts w:ascii="Arial" w:cs="Arial" w:eastAsia="Arial" w:hAnsi="Arial"/>
                <w:sz w:val="18"/>
                <w:szCs w:val="18"/>
                <w:color w:val="auto"/>
                <w:w w:val="87"/>
              </w:rPr>
              <w:t>8.3%</w:t>
            </w:r>
          </w:p>
        </w:tc>
        <w:tc>
          <w:tcPr>
            <w:tcW w:w="200" w:type="dxa"/>
            <w:vAlign w:val="bottom"/>
          </w:tcPr>
          <w:p>
            <w:pPr>
              <w:spacing w:after="0"/>
              <w:rPr>
                <w:sz w:val="24"/>
                <w:szCs w:val="24"/>
                <w:color w:val="auto"/>
              </w:rPr>
            </w:pPr>
          </w:p>
        </w:tc>
        <w:tc>
          <w:tcPr>
            <w:tcW w:w="1040" w:type="dxa"/>
            <w:vAlign w:val="bottom"/>
            <w:gridSpan w:val="2"/>
          </w:tcPr>
          <w:p>
            <w:pPr>
              <w:jc w:val="center"/>
              <w:ind w:left="399"/>
              <w:spacing w:after="0"/>
              <w:rPr>
                <w:sz w:val="20"/>
                <w:szCs w:val="20"/>
                <w:color w:val="auto"/>
              </w:rPr>
            </w:pPr>
            <w:r>
              <w:rPr>
                <w:rFonts w:ascii="Arial" w:cs="Arial" w:eastAsia="Arial" w:hAnsi="Arial"/>
                <w:sz w:val="18"/>
                <w:szCs w:val="18"/>
                <w:color w:val="auto"/>
                <w:w w:val="86"/>
              </w:rPr>
              <w:t>505,203</w:t>
            </w:r>
          </w:p>
        </w:tc>
        <w:tc>
          <w:tcPr>
            <w:tcW w:w="440" w:type="dxa"/>
            <w:vAlign w:val="bottom"/>
          </w:tcPr>
          <w:p>
            <w:pPr>
              <w:spacing w:after="0"/>
              <w:rPr>
                <w:sz w:val="24"/>
                <w:szCs w:val="24"/>
                <w:color w:val="auto"/>
              </w:rPr>
            </w:pPr>
          </w:p>
        </w:tc>
        <w:tc>
          <w:tcPr>
            <w:tcW w:w="1060" w:type="dxa"/>
            <w:vAlign w:val="bottom"/>
            <w:gridSpan w:val="2"/>
          </w:tcPr>
          <w:p>
            <w:pPr>
              <w:jc w:val="center"/>
              <w:ind w:left="56"/>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gridSpan w:val="3"/>
          </w:tcPr>
          <w:p>
            <w:pPr>
              <w:spacing w:after="0"/>
              <w:rPr>
                <w:sz w:val="20"/>
                <w:szCs w:val="20"/>
                <w:color w:val="auto"/>
              </w:rPr>
            </w:pPr>
            <w:r>
              <w:rPr>
                <w:rFonts w:ascii="Arial" w:cs="Arial" w:eastAsia="Arial" w:hAnsi="Arial"/>
                <w:sz w:val="18"/>
                <w:szCs w:val="18"/>
                <w:color w:val="auto"/>
              </w:rPr>
              <w:t>Ltd.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180" w:type="dxa"/>
            <w:vAlign w:val="bottom"/>
            <w:gridSpan w:val="3"/>
          </w:tcPr>
          <w:p>
            <w:pPr>
              <w:ind w:left="180"/>
              <w:spacing w:after="0"/>
              <w:rPr>
                <w:sz w:val="20"/>
                <w:szCs w:val="20"/>
                <w:color w:val="auto"/>
              </w:rPr>
            </w:pPr>
            <w:r>
              <w:rPr>
                <w:rFonts w:ascii="Arial" w:cs="Arial" w:eastAsia="Arial" w:hAnsi="Arial"/>
                <w:sz w:val="18"/>
                <w:szCs w:val="18"/>
                <w:color w:val="auto"/>
              </w:rPr>
              <w:t>130 Cheshire Lane, Suite 102</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180" w:type="dxa"/>
            <w:vAlign w:val="bottom"/>
            <w:gridSpan w:val="3"/>
          </w:tcPr>
          <w:p>
            <w:pPr>
              <w:ind w:left="180"/>
              <w:spacing w:after="0"/>
              <w:rPr>
                <w:sz w:val="20"/>
                <w:szCs w:val="20"/>
                <w:color w:val="auto"/>
              </w:rPr>
            </w:pPr>
            <w:r>
              <w:rPr>
                <w:rFonts w:ascii="Arial" w:cs="Arial" w:eastAsia="Arial" w:hAnsi="Arial"/>
                <w:sz w:val="18"/>
                <w:szCs w:val="18"/>
                <w:color w:val="auto"/>
              </w:rPr>
              <w:t>Minnetonka, MN 55305</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99"/>
        </w:trPr>
        <w:tc>
          <w:tcPr>
            <w:tcW w:w="3180" w:type="dxa"/>
            <w:vAlign w:val="bottom"/>
            <w:gridSpan w:val="3"/>
          </w:tcPr>
          <w:p>
            <w:pPr>
              <w:spacing w:after="0"/>
              <w:rPr>
                <w:sz w:val="20"/>
                <w:szCs w:val="20"/>
                <w:color w:val="auto"/>
              </w:rPr>
            </w:pPr>
            <w:r>
              <w:rPr>
                <w:rFonts w:ascii="Arial" w:cs="Arial" w:eastAsia="Arial" w:hAnsi="Arial"/>
                <w:sz w:val="18"/>
                <w:szCs w:val="18"/>
                <w:color w:val="auto"/>
              </w:rPr>
              <w:t>Newport Investments, Inc.</w:t>
            </w:r>
          </w:p>
        </w:tc>
        <w:tc>
          <w:tcPr>
            <w:tcW w:w="28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160"/>
              <w:spacing w:after="0"/>
              <w:rPr>
                <w:sz w:val="20"/>
                <w:szCs w:val="20"/>
                <w:color w:val="auto"/>
              </w:rPr>
            </w:pPr>
            <w:r>
              <w:rPr>
                <w:rFonts w:ascii="Arial" w:cs="Arial" w:eastAsia="Arial" w:hAnsi="Arial"/>
                <w:sz w:val="18"/>
                <w:szCs w:val="18"/>
                <w:color w:val="auto"/>
              </w:rPr>
              <w:t>3,500,000</w:t>
            </w:r>
          </w:p>
        </w:tc>
        <w:tc>
          <w:tcPr>
            <w:tcW w:w="300" w:type="dxa"/>
            <w:vAlign w:val="bottom"/>
          </w:tcPr>
          <w:p>
            <w:pPr>
              <w:spacing w:after="0"/>
              <w:rPr>
                <w:sz w:val="24"/>
                <w:szCs w:val="24"/>
                <w:color w:val="auto"/>
              </w:rPr>
            </w:pPr>
          </w:p>
        </w:tc>
        <w:tc>
          <w:tcPr>
            <w:tcW w:w="1000" w:type="dxa"/>
            <w:vAlign w:val="bottom"/>
            <w:gridSpan w:val="2"/>
          </w:tcPr>
          <w:p>
            <w:pPr>
              <w:jc w:val="center"/>
              <w:ind w:left="19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gridSpan w:val="2"/>
          </w:tcPr>
          <w:p>
            <w:pPr>
              <w:jc w:val="center"/>
              <w:ind w:left="399"/>
              <w:spacing w:after="0"/>
              <w:rPr>
                <w:sz w:val="20"/>
                <w:szCs w:val="20"/>
                <w:color w:val="auto"/>
              </w:rPr>
            </w:pPr>
            <w:r>
              <w:rPr>
                <w:rFonts w:ascii="Arial" w:cs="Arial" w:eastAsia="Arial" w:hAnsi="Arial"/>
                <w:sz w:val="18"/>
                <w:szCs w:val="18"/>
                <w:color w:val="auto"/>
                <w:w w:val="87"/>
              </w:rPr>
              <w:t>48,845</w:t>
            </w:r>
          </w:p>
        </w:tc>
        <w:tc>
          <w:tcPr>
            <w:tcW w:w="440" w:type="dxa"/>
            <w:vAlign w:val="bottom"/>
          </w:tcPr>
          <w:p>
            <w:pPr>
              <w:spacing w:after="0"/>
              <w:rPr>
                <w:sz w:val="24"/>
                <w:szCs w:val="24"/>
                <w:color w:val="auto"/>
              </w:rPr>
            </w:pPr>
          </w:p>
        </w:tc>
        <w:tc>
          <w:tcPr>
            <w:tcW w:w="1060" w:type="dxa"/>
            <w:vAlign w:val="bottom"/>
            <w:gridSpan w:val="2"/>
          </w:tcPr>
          <w:p>
            <w:pPr>
              <w:jc w:val="center"/>
              <w:ind w:left="56"/>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gridSpan w:val="3"/>
          </w:tcPr>
          <w:p>
            <w:pPr>
              <w:ind w:left="180"/>
              <w:spacing w:after="0"/>
              <w:rPr>
                <w:sz w:val="20"/>
                <w:szCs w:val="20"/>
                <w:color w:val="auto"/>
              </w:rPr>
            </w:pPr>
            <w:r>
              <w:rPr>
                <w:rFonts w:ascii="Arial" w:cs="Arial" w:eastAsia="Arial" w:hAnsi="Arial"/>
                <w:sz w:val="18"/>
                <w:szCs w:val="18"/>
                <w:color w:val="auto"/>
              </w:rPr>
              <w:t>130 Cheshire Lane, Suite 102</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180" w:type="dxa"/>
            <w:vAlign w:val="bottom"/>
            <w:gridSpan w:val="3"/>
          </w:tcPr>
          <w:p>
            <w:pPr>
              <w:ind w:left="180"/>
              <w:spacing w:after="0"/>
              <w:rPr>
                <w:sz w:val="20"/>
                <w:szCs w:val="20"/>
                <w:color w:val="auto"/>
              </w:rPr>
            </w:pPr>
            <w:r>
              <w:rPr>
                <w:rFonts w:ascii="Arial" w:cs="Arial" w:eastAsia="Arial" w:hAnsi="Arial"/>
                <w:sz w:val="18"/>
                <w:szCs w:val="18"/>
                <w:color w:val="auto"/>
              </w:rPr>
              <w:t>Minnetonka, MN 55305</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99"/>
        </w:trPr>
        <w:tc>
          <w:tcPr>
            <w:tcW w:w="3180" w:type="dxa"/>
            <w:vAlign w:val="bottom"/>
            <w:gridSpan w:val="3"/>
          </w:tcPr>
          <w:p>
            <w:pPr>
              <w:spacing w:after="0"/>
              <w:rPr>
                <w:sz w:val="20"/>
                <w:szCs w:val="20"/>
                <w:color w:val="auto"/>
              </w:rPr>
            </w:pPr>
            <w:r>
              <w:rPr>
                <w:rFonts w:ascii="Arial" w:cs="Arial" w:eastAsia="Arial" w:hAnsi="Arial"/>
                <w:sz w:val="18"/>
                <w:szCs w:val="18"/>
                <w:color w:val="auto"/>
              </w:rPr>
              <w:t>Any other holder of notes or future</w:t>
            </w:r>
          </w:p>
        </w:tc>
        <w:tc>
          <w:tcPr>
            <w:tcW w:w="28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160"/>
              <w:spacing w:after="0"/>
              <w:rPr>
                <w:sz w:val="20"/>
                <w:szCs w:val="20"/>
                <w:color w:val="auto"/>
              </w:rPr>
            </w:pPr>
            <w:r>
              <w:rPr>
                <w:rFonts w:ascii="Arial" w:cs="Arial" w:eastAsia="Arial" w:hAnsi="Arial"/>
                <w:sz w:val="18"/>
                <w:szCs w:val="18"/>
                <w:color w:val="auto"/>
                <w:w w:val="99"/>
              </w:rPr>
              <w:t>75,800,000</w:t>
            </w:r>
          </w:p>
        </w:tc>
        <w:tc>
          <w:tcPr>
            <w:tcW w:w="300" w:type="dxa"/>
            <w:vAlign w:val="bottom"/>
          </w:tcPr>
          <w:p>
            <w:pPr>
              <w:spacing w:after="0"/>
              <w:rPr>
                <w:sz w:val="24"/>
                <w:szCs w:val="24"/>
                <w:color w:val="auto"/>
              </w:rPr>
            </w:pPr>
          </w:p>
        </w:tc>
        <w:tc>
          <w:tcPr>
            <w:tcW w:w="1000" w:type="dxa"/>
            <w:vAlign w:val="bottom"/>
            <w:gridSpan w:val="2"/>
          </w:tcPr>
          <w:p>
            <w:pPr>
              <w:jc w:val="center"/>
              <w:ind w:left="196"/>
              <w:spacing w:after="0"/>
              <w:rPr>
                <w:sz w:val="20"/>
                <w:szCs w:val="20"/>
                <w:color w:val="auto"/>
              </w:rPr>
            </w:pPr>
            <w:r>
              <w:rPr>
                <w:rFonts w:ascii="Arial" w:cs="Arial" w:eastAsia="Arial" w:hAnsi="Arial"/>
                <w:sz w:val="18"/>
                <w:szCs w:val="18"/>
                <w:color w:val="auto"/>
                <w:w w:val="86"/>
              </w:rPr>
              <w:t>17.4%</w:t>
            </w:r>
          </w:p>
        </w:tc>
        <w:tc>
          <w:tcPr>
            <w:tcW w:w="20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7"/>
              </w:rPr>
              <w:t>1,057,857</w:t>
            </w:r>
          </w:p>
        </w:tc>
        <w:tc>
          <w:tcPr>
            <w:tcW w:w="1060" w:type="dxa"/>
            <w:vAlign w:val="bottom"/>
            <w:gridSpan w:val="2"/>
          </w:tcPr>
          <w:p>
            <w:pPr>
              <w:jc w:val="center"/>
              <w:ind w:left="56"/>
              <w:spacing w:after="0"/>
              <w:rPr>
                <w:sz w:val="20"/>
                <w:szCs w:val="20"/>
                <w:color w:val="auto"/>
              </w:rPr>
            </w:pPr>
            <w:r>
              <w:rPr>
                <w:rFonts w:ascii="Arial" w:cs="Arial" w:eastAsia="Arial" w:hAnsi="Arial"/>
                <w:sz w:val="18"/>
                <w:szCs w:val="18"/>
                <w:color w:val="auto"/>
                <w:w w:val="87"/>
              </w:rPr>
              <w:t>1.4%</w:t>
            </w:r>
          </w:p>
        </w:tc>
      </w:tr>
      <w:tr>
        <w:trPr>
          <w:trHeight w:val="216"/>
        </w:trPr>
        <w:tc>
          <w:tcPr>
            <w:tcW w:w="3180" w:type="dxa"/>
            <w:vAlign w:val="bottom"/>
            <w:gridSpan w:val="3"/>
          </w:tcPr>
          <w:p>
            <w:pPr>
              <w:spacing w:after="0"/>
              <w:rPr>
                <w:sz w:val="20"/>
                <w:szCs w:val="20"/>
                <w:color w:val="auto"/>
              </w:rPr>
            </w:pPr>
            <w:r>
              <w:rPr>
                <w:rFonts w:ascii="Arial" w:cs="Arial" w:eastAsia="Arial" w:hAnsi="Arial"/>
                <w:sz w:val="18"/>
                <w:szCs w:val="18"/>
                <w:color w:val="auto"/>
                <w:w w:val="92"/>
              </w:rPr>
              <w:t>transferee, pledgee, donee or successor of</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180" w:type="dxa"/>
            <w:vAlign w:val="bottom"/>
            <w:gridSpan w:val="3"/>
          </w:tcPr>
          <w:p>
            <w:pPr>
              <w:spacing w:after="0"/>
              <w:rPr>
                <w:sz w:val="20"/>
                <w:szCs w:val="20"/>
                <w:color w:val="auto"/>
              </w:rPr>
            </w:pPr>
            <w:r>
              <w:rPr>
                <w:rFonts w:ascii="Arial" w:cs="Arial" w:eastAsia="Arial" w:hAnsi="Arial"/>
                <w:sz w:val="18"/>
                <w:szCs w:val="18"/>
                <w:color w:val="auto"/>
              </w:rPr>
              <w:t>any holder (3)(4)</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___________________</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*Less than 1%.</w:t>
      </w:r>
    </w:p>
    <w:sectPr>
      <w:pgSz w:w="11900" w:h="16838" w:orient="portrait"/>
      <w:cols w:equalWidth="0" w:num="1">
        <w:col w:w="11420"/>
      </w:cols>
      <w:pgMar w:left="240" w:top="233" w:right="239" w:bottom="60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2019-12-19T23:40:20Z</dcterms:created>
  <dcterms:modified xsi:type="dcterms:W3CDTF">2019-12-19T23:40:20Z</dcterms:modified>
</cp:coreProperties>
</file>