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200" w:lineRule="exact"/>
        <w:rPr>
          <w:sz w:val="24"/>
          <w:szCs w:val="24"/>
          <w:color w:val="auto"/>
        </w:rPr>
      </w:pPr>
    </w:p>
    <w:p>
      <w:pPr>
        <w:spacing w:after="0" w:line="284" w:lineRule="exact"/>
        <w:rPr>
          <w:sz w:val="24"/>
          <w:szCs w:val="24"/>
          <w:color w:val="auto"/>
        </w:rPr>
      </w:pPr>
    </w:p>
    <w:p>
      <w:pPr>
        <w:ind w:left="2980"/>
        <w:spacing w:after="0"/>
        <w:rPr>
          <w:sz w:val="20"/>
          <w:szCs w:val="20"/>
          <w:color w:val="auto"/>
        </w:rPr>
      </w:pPr>
      <w:r>
        <w:rPr>
          <w:rFonts w:ascii="Arial" w:cs="Arial" w:eastAsia="Arial" w:hAnsi="Arial"/>
          <w:sz w:val="19"/>
          <w:szCs w:val="19"/>
          <w:color w:val="auto"/>
        </w:rPr>
        <w:t>Date of Report (Date of earliest event reported): June 12, 2003</w:t>
      </w:r>
    </w:p>
    <w:p>
      <w:pPr>
        <w:spacing w:after="0" w:line="222"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MANPOWER INC.</w:t>
      </w: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420"/>
          </w:cols>
          <w:pgMar w:left="240" w:top="194" w:right="239" w:bottom="7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80"/>
        <w:spacing w:after="0"/>
        <w:rPr>
          <w:sz w:val="20"/>
          <w:szCs w:val="20"/>
          <w:color w:val="auto"/>
        </w:rPr>
      </w:pPr>
      <w:r>
        <w:rPr>
          <w:rFonts w:ascii="Arial" w:cs="Arial" w:eastAsia="Arial" w:hAnsi="Arial"/>
          <w:sz w:val="22"/>
          <w:szCs w:val="22"/>
          <w:b w:val="1"/>
          <w:bCs w:val="1"/>
          <w:color w:val="auto"/>
        </w:rPr>
        <w:t>Wisconsin</w:t>
      </w:r>
    </w:p>
    <w:p>
      <w:pPr>
        <w:spacing w:after="0" w:line="237" w:lineRule="auto"/>
        <w:rPr>
          <w:sz w:val="20"/>
          <w:szCs w:val="20"/>
          <w:color w:val="auto"/>
        </w:rPr>
      </w:pPr>
      <w:r>
        <w:rPr>
          <w:rFonts w:ascii="Arial" w:cs="Arial" w:eastAsia="Arial" w:hAnsi="Arial"/>
          <w:sz w:val="19"/>
          <w:szCs w:val="19"/>
          <w:color w:val="auto"/>
        </w:rPr>
        <w:t>(State or other jurisdiction</w:t>
      </w:r>
    </w:p>
    <w:p>
      <w:pPr>
        <w:ind w:left="340"/>
        <w:spacing w:after="0"/>
        <w:rPr>
          <w:sz w:val="20"/>
          <w:szCs w:val="20"/>
          <w:color w:val="auto"/>
        </w:rPr>
      </w:pPr>
      <w:r>
        <w:rPr>
          <w:rFonts w:ascii="Arial" w:cs="Arial" w:eastAsia="Arial" w:hAnsi="Arial"/>
          <w:sz w:val="22"/>
          <w:szCs w:val="22"/>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740"/>
        <w:spacing w:after="0"/>
        <w:rPr>
          <w:sz w:val="20"/>
          <w:szCs w:val="20"/>
          <w:color w:val="auto"/>
        </w:rPr>
      </w:pPr>
      <w:r>
        <w:rPr>
          <w:rFonts w:ascii="Arial" w:cs="Arial" w:eastAsia="Arial" w:hAnsi="Arial"/>
          <w:sz w:val="22"/>
          <w:szCs w:val="22"/>
          <w:b w:val="1"/>
          <w:bCs w:val="1"/>
          <w:color w:val="auto"/>
        </w:rPr>
        <w:t>1-10686</w:t>
      </w:r>
    </w:p>
    <w:p>
      <w:pPr>
        <w:jc w:val="center"/>
        <w:ind w:right="74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right"/>
        <w:ind w:right="2980"/>
        <w:spacing w:after="0"/>
        <w:rPr>
          <w:sz w:val="20"/>
          <w:szCs w:val="20"/>
          <w:color w:val="auto"/>
        </w:rPr>
      </w:pPr>
      <w:r>
        <w:rPr>
          <w:rFonts w:ascii="Arial" w:cs="Arial" w:eastAsia="Arial" w:hAnsi="Arial"/>
          <w:sz w:val="22"/>
          <w:szCs w:val="22"/>
          <w:b w:val="1"/>
          <w:bCs w:val="1"/>
          <w:color w:val="auto"/>
        </w:rPr>
        <w:t>39-1672779</w:t>
      </w:r>
    </w:p>
    <w:p>
      <w:pPr>
        <w:jc w:val="right"/>
        <w:ind w:right="2980"/>
        <w:spacing w:after="0" w:line="205" w:lineRule="auto"/>
        <w:rPr>
          <w:sz w:val="20"/>
          <w:szCs w:val="20"/>
          <w:color w:val="auto"/>
        </w:rPr>
      </w:pPr>
      <w:r>
        <w:rPr>
          <w:rFonts w:ascii="Arial" w:cs="Arial" w:eastAsia="Arial" w:hAnsi="Arial"/>
          <w:sz w:val="22"/>
          <w:szCs w:val="22"/>
          <w:color w:val="auto"/>
        </w:rPr>
        <w:t>(IRS Employer</w:t>
      </w:r>
    </w:p>
    <w:p>
      <w:pPr>
        <w:jc w:val="right"/>
        <w:ind w:right="2980"/>
        <w:spacing w:after="0"/>
        <w:rPr>
          <w:sz w:val="20"/>
          <w:szCs w:val="20"/>
          <w:color w:val="auto"/>
        </w:rPr>
      </w:pPr>
      <w:r>
        <w:rPr>
          <w:rFonts w:ascii="Arial" w:cs="Arial" w:eastAsia="Arial" w:hAnsi="Arial"/>
          <w:sz w:val="19"/>
          <w:szCs w:val="19"/>
          <w:color w:val="auto"/>
        </w:rPr>
        <w:t>Identification No.)</w:t>
      </w:r>
    </w:p>
    <w:p>
      <w:pPr>
        <w:spacing w:after="0" w:line="234" w:lineRule="exact"/>
        <w:rPr>
          <w:sz w:val="24"/>
          <w:szCs w:val="24"/>
          <w:color w:val="auto"/>
        </w:rPr>
      </w:pPr>
    </w:p>
    <w:p>
      <w:pPr>
        <w:sectPr>
          <w:pgSz w:w="11900" w:h="16838" w:orient="portrait"/>
          <w:cols w:equalWidth="0" w:num="3">
            <w:col w:w="2360" w:space="720"/>
            <w:col w:w="3020" w:space="720"/>
            <w:col w:w="4600"/>
          </w:cols>
          <w:pgMar w:left="240" w:top="194" w:right="239" w:bottom="70" w:gutter="0" w:footer="0" w:header="0"/>
          <w:type w:val="continuous"/>
        </w:sectPr>
      </w:pPr>
    </w:p>
    <w:p>
      <w:pPr>
        <w:spacing w:after="0" w:line="212" w:lineRule="exact"/>
        <w:rPr>
          <w:sz w:val="24"/>
          <w:szCs w:val="24"/>
          <w:color w:val="auto"/>
        </w:rPr>
      </w:pPr>
    </w:p>
    <w:p>
      <w:pPr>
        <w:jc w:val="center"/>
        <w:ind w:right="2960"/>
        <w:spacing w:after="0"/>
        <w:rPr>
          <w:sz w:val="20"/>
          <w:szCs w:val="20"/>
          <w:color w:val="auto"/>
        </w:rPr>
      </w:pPr>
      <w:r>
        <w:rPr>
          <w:rFonts w:ascii="Arial" w:cs="Arial" w:eastAsia="Arial" w:hAnsi="Arial"/>
          <w:sz w:val="22"/>
          <w:szCs w:val="22"/>
          <w:color w:val="auto"/>
        </w:rPr>
        <w:t>5301 North Ironwood Road</w:t>
      </w:r>
    </w:p>
    <w:p>
      <w:pPr>
        <w:jc w:val="center"/>
        <w:ind w:right="3000"/>
        <w:spacing w:after="0" w:line="205" w:lineRule="auto"/>
        <w:rPr>
          <w:sz w:val="20"/>
          <w:szCs w:val="20"/>
          <w:color w:val="auto"/>
        </w:rPr>
      </w:pPr>
      <w:r>
        <w:rPr>
          <w:rFonts w:ascii="Arial" w:cs="Arial" w:eastAsia="Arial" w:hAnsi="Arial"/>
          <w:sz w:val="22"/>
          <w:szCs w:val="22"/>
          <w:color w:val="auto"/>
        </w:rPr>
        <w:t>Milwaukee, Wisconsin 53217</w:t>
      </w:r>
    </w:p>
    <w:p>
      <w:pPr>
        <w:jc w:val="center"/>
        <w:ind w:right="2980"/>
        <w:spacing w:after="0"/>
        <w:rPr>
          <w:sz w:val="20"/>
          <w:szCs w:val="20"/>
          <w:color w:val="auto"/>
        </w:rPr>
      </w:pPr>
      <w:r>
        <w:rPr>
          <w:rFonts w:ascii="Arial" w:cs="Arial" w:eastAsia="Arial" w:hAnsi="Arial"/>
          <w:sz w:val="19"/>
          <w:szCs w:val="19"/>
          <w:color w:val="auto"/>
        </w:rPr>
        <w:t>(Address of principal executive offices)</w:t>
      </w:r>
    </w:p>
    <w:p>
      <w:pPr>
        <w:sectPr>
          <w:pgSz w:w="11900" w:h="16838" w:orient="portrait"/>
          <w:cols w:equalWidth="0" w:num="1">
            <w:col w:w="11420"/>
          </w:cols>
          <w:pgMar w:left="240" w:top="194" w:right="239" w:bottom="7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260"/>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5. Other Events.</w:t>
      </w:r>
    </w:p>
    <w:p>
      <w:pPr>
        <w:spacing w:after="0" w:line="200" w:lineRule="exact"/>
        <w:rPr>
          <w:sz w:val="24"/>
          <w:szCs w:val="24"/>
          <w:color w:val="auto"/>
        </w:rPr>
      </w:pPr>
    </w:p>
    <w:p>
      <w:pPr>
        <w:spacing w:after="0" w:line="228" w:lineRule="exact"/>
        <w:rPr>
          <w:sz w:val="24"/>
          <w:szCs w:val="24"/>
          <w:color w:val="auto"/>
        </w:rPr>
      </w:pPr>
    </w:p>
    <w:p>
      <w:pPr>
        <w:ind w:right="260" w:firstLine="648"/>
        <w:spacing w:after="0" w:line="216" w:lineRule="auto"/>
        <w:rPr>
          <w:sz w:val="20"/>
          <w:szCs w:val="20"/>
          <w:color w:val="auto"/>
        </w:rPr>
      </w:pPr>
      <w:r>
        <w:rPr>
          <w:rFonts w:ascii="Arial" w:cs="Arial" w:eastAsia="Arial" w:hAnsi="Arial"/>
          <w:sz w:val="22"/>
          <w:szCs w:val="22"/>
          <w:color w:val="auto"/>
        </w:rPr>
        <w:t>During 2002, the French government passed legislation related to various social programs, including the 35-hour workweek, minimum working wage and social contribution subsidies. At the time of filing our 2002 Annual Report to Shareholders it was difficult to estimate the impact of these changes on our future financial results. We estimated at the time that the maximum possible impact of the legislation would be a reduction of €10 million in gross profit in each of the second half of 2003 and the first half of 2004.</w:t>
      </w:r>
    </w:p>
    <w:p>
      <w:pPr>
        <w:spacing w:after="0" w:line="185" w:lineRule="exact"/>
        <w:rPr>
          <w:sz w:val="24"/>
          <w:szCs w:val="24"/>
          <w:color w:val="auto"/>
        </w:rPr>
      </w:pPr>
    </w:p>
    <w:p>
      <w:pPr>
        <w:ind w:right="180" w:firstLine="648"/>
        <w:spacing w:after="0" w:line="232" w:lineRule="auto"/>
        <w:rPr>
          <w:sz w:val="20"/>
          <w:szCs w:val="20"/>
          <w:color w:val="auto"/>
        </w:rPr>
      </w:pPr>
      <w:r>
        <w:rPr>
          <w:rFonts w:ascii="Arial" w:cs="Arial" w:eastAsia="Arial" w:hAnsi="Arial"/>
          <w:sz w:val="22"/>
          <w:szCs w:val="22"/>
          <w:color w:val="auto"/>
        </w:rPr>
        <w:t>The rules surrounding these social programs have now been finalized and we do not anticipate that there will be a material impact on our financial results in either 2003 or 2004.</w:t>
      </w:r>
    </w:p>
    <w:p>
      <w:pPr>
        <w:spacing w:after="0" w:line="18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4"/>
          <w:szCs w:val="24"/>
          <w:color w:val="auto"/>
        </w:rPr>
      </w:pPr>
    </w:p>
    <w:p>
      <w:pPr>
        <w:ind w:firstLine="648"/>
        <w:spacing w:after="0" w:line="245" w:lineRule="auto"/>
        <w:rPr>
          <w:sz w:val="20"/>
          <w:szCs w:val="20"/>
          <w:color w:val="auto"/>
        </w:rPr>
      </w:pPr>
      <w:r>
        <w:rPr>
          <w:rFonts w:ascii="Arial" w:cs="Arial" w:eastAsia="Arial" w:hAnsi="Arial"/>
          <w:sz w:val="19"/>
          <w:szCs w:val="19"/>
          <w:color w:val="auto"/>
        </w:rPr>
        <w:t>Statements made in this report that are not statements of historical fact are forward-looking statements. All forward-looking statements involve risks and uncertainties. The information under the heading “Forward-Looking Statements” in our Annual Report on Form 10-K for the year ended December 31, 2002,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“plan&amp; #148;, “may”, “will”,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4"/>
          <w:szCs w:val="24"/>
          <w:color w:val="auto"/>
        </w:rPr>
      </w:pPr>
    </w:p>
    <w:p>
      <w:pPr>
        <w:spacing w:after="0" w:line="224" w:lineRule="exact"/>
        <w:rPr>
          <w:sz w:val="24"/>
          <w:szCs w:val="24"/>
          <w:color w:val="auto"/>
        </w:rPr>
      </w:pPr>
    </w:p>
    <w:p>
      <w:pPr>
        <w:ind w:left="3620"/>
        <w:spacing w:after="0"/>
        <w:rPr>
          <w:sz w:val="20"/>
          <w:szCs w:val="20"/>
          <w:color w:val="auto"/>
        </w:rPr>
      </w:pPr>
      <w:r>
        <w:rPr>
          <w:rFonts w:ascii="Arial" w:cs="Arial" w:eastAsia="Arial" w:hAnsi="Arial"/>
          <w:sz w:val="22"/>
          <w:szCs w:val="22"/>
          <w:color w:val="auto"/>
        </w:rPr>
        <w:t>SIGNATURE</w:t>
      </w:r>
    </w:p>
    <w:p>
      <w:pPr>
        <w:spacing w:after="0" w:line="200" w:lineRule="exact"/>
        <w:rPr>
          <w:sz w:val="24"/>
          <w:szCs w:val="24"/>
          <w:color w:val="auto"/>
        </w:rPr>
      </w:pPr>
    </w:p>
    <w:p>
      <w:pPr>
        <w:spacing w:after="0" w:line="249" w:lineRule="exact"/>
        <w:rPr>
          <w:sz w:val="24"/>
          <w:szCs w:val="24"/>
          <w:color w:val="auto"/>
        </w:rPr>
      </w:pPr>
    </w:p>
    <w:p>
      <w:pPr>
        <w:ind w:right="140" w:firstLine="648"/>
        <w:spacing w:after="0" w:line="232"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4"/>
          <w:szCs w:val="24"/>
          <w:color w:val="auto"/>
        </w:rPr>
      </w:pPr>
    </w:p>
    <w:p>
      <w:pPr>
        <w:spacing w:after="0" w:line="229"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MANPOWER INC.</w:t>
      </w:r>
    </w:p>
    <w:p>
      <w:pPr>
        <w:spacing w:after="0" w:line="200" w:lineRule="exact"/>
        <w:rPr>
          <w:sz w:val="24"/>
          <w:szCs w:val="24"/>
          <w:color w:val="auto"/>
        </w:rPr>
      </w:pPr>
    </w:p>
    <w:p>
      <w:pPr>
        <w:spacing w:after="0" w:line="249" w:lineRule="exact"/>
        <w:rPr>
          <w:sz w:val="24"/>
          <w:szCs w:val="24"/>
          <w:color w:val="auto"/>
        </w:rPr>
      </w:pPr>
    </w:p>
    <w:p>
      <w:pPr>
        <w:spacing w:after="0"/>
        <w:tabs>
          <w:tab w:leader="none" w:pos="4520" w:val="left"/>
        </w:tabs>
        <w:rPr>
          <w:sz w:val="20"/>
          <w:szCs w:val="20"/>
          <w:color w:val="auto"/>
        </w:rPr>
      </w:pPr>
      <w:r>
        <w:rPr>
          <w:rFonts w:ascii="Arial" w:cs="Arial" w:eastAsia="Arial" w:hAnsi="Arial"/>
          <w:sz w:val="22"/>
          <w:szCs w:val="22"/>
          <w:color w:val="auto"/>
        </w:rPr>
        <w:t>Date: June 12, 2003</w:t>
      </w:r>
      <w:r>
        <w:rPr>
          <w:sz w:val="20"/>
          <w:szCs w:val="20"/>
          <w:color w:val="auto"/>
        </w:rPr>
        <w:tab/>
      </w:r>
      <w:r>
        <w:rPr>
          <w:rFonts w:ascii="Arial" w:cs="Arial" w:eastAsia="Arial" w:hAnsi="Arial"/>
          <w:sz w:val="19"/>
          <w:szCs w:val="19"/>
          <w:u w:val="single" w:color="auto"/>
          <w:color w:val="auto"/>
        </w:rPr>
        <w:t>/s/ Michael J. Van Handel</w:t>
      </w:r>
    </w:p>
    <w:p>
      <w:pPr>
        <w:ind w:left="4540"/>
        <w:spacing w:after="0" w:line="212" w:lineRule="auto"/>
        <w:rPr>
          <w:sz w:val="20"/>
          <w:szCs w:val="20"/>
          <w:color w:val="auto"/>
        </w:rPr>
      </w:pPr>
      <w:r>
        <w:rPr>
          <w:rFonts w:ascii="Arial" w:cs="Arial" w:eastAsia="Arial" w:hAnsi="Arial"/>
          <w:sz w:val="22"/>
          <w:szCs w:val="22"/>
          <w:color w:val="auto"/>
        </w:rPr>
        <w:t>Michael J. Van Handel</w:t>
      </w:r>
    </w:p>
    <w:p>
      <w:pPr>
        <w:spacing w:after="0" w:line="1" w:lineRule="exact"/>
        <w:rPr>
          <w:sz w:val="24"/>
          <w:szCs w:val="24"/>
          <w:color w:val="auto"/>
        </w:rPr>
      </w:pPr>
    </w:p>
    <w:p>
      <w:pPr>
        <w:ind w:left="4540"/>
        <w:spacing w:after="0"/>
        <w:rPr>
          <w:sz w:val="20"/>
          <w:szCs w:val="20"/>
          <w:color w:val="auto"/>
        </w:rPr>
      </w:pPr>
      <w:r>
        <w:rPr>
          <w:rFonts w:ascii="Arial" w:cs="Arial" w:eastAsia="Arial" w:hAnsi="Arial"/>
          <w:sz w:val="22"/>
          <w:szCs w:val="22"/>
          <w:color w:val="auto"/>
        </w:rPr>
        <w:t>Executive Vice President, Chief Financial Officer and Secretary</w:t>
      </w:r>
    </w:p>
    <w:p>
      <w:pPr>
        <w:sectPr>
          <w:pgSz w:w="11900" w:h="16838" w:orient="portrait"/>
          <w:cols w:equalWidth="0" w:num="1">
            <w:col w:w="11420"/>
          </w:cols>
          <w:pgMar w:left="240" w:top="194" w:right="239" w:bottom="7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2019-12-19T23:40:17Z</dcterms:created>
  <dcterms:modified xsi:type="dcterms:W3CDTF">2019-12-19T23:40:17Z</dcterms:modified>
</cp:coreProperties>
</file>