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SEC Form 4</w:t>
      </w:r>
    </w:p>
    <w:p>
      <w:pPr>
        <w:spacing w:after="0" w:line="4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640" w:type="dxa"/>
            <w:vAlign w:val="bottom"/>
          </w:tcPr>
          <w:p>
            <w:pPr>
              <w:jc w:val="center"/>
              <w:ind w:right="23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640" w:type="dxa"/>
            <w:vAlign w:val="bottom"/>
            <w:vMerge w:val="restart"/>
          </w:tcPr>
          <w:p>
            <w:pPr>
              <w:jc w:val="center"/>
              <w:ind w:right="232"/>
              <w:spacing w:after="0" w:line="143" w:lineRule="exact"/>
              <w:rPr>
                <w:sz w:val="20"/>
                <w:szCs w:val="20"/>
                <w:color w:val="auto"/>
              </w:rPr>
            </w:pPr>
            <w:r>
              <w:rPr>
                <w:rFonts w:ascii="Arial" w:cs="Arial" w:eastAsia="Arial" w:hAnsi="Arial"/>
                <w:sz w:val="14"/>
                <w:szCs w:val="14"/>
                <w:color w:val="auto"/>
                <w:w w:val="97"/>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6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640" w:type="dxa"/>
            <w:vAlign w:val="bottom"/>
            <w:vMerge w:val="restart"/>
          </w:tcPr>
          <w:p>
            <w:pPr>
              <w:jc w:val="center"/>
              <w:ind w:right="232"/>
              <w:spacing w:after="0" w:line="198" w:lineRule="exact"/>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66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2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6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640" w:type="dxa"/>
            <w:vAlign w:val="bottom"/>
            <w:vMerge w:val="restart"/>
          </w:tcPr>
          <w:p>
            <w:pPr>
              <w:jc w:val="center"/>
              <w:ind w:right="23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2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6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5562600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4199255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-1739265</wp:posOffset>
            </wp:positionH>
            <wp:positionV relativeFrom="paragraph">
              <wp:posOffset>13970</wp:posOffset>
            </wp:positionV>
            <wp:extent cx="7378700" cy="67830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78700" cy="678307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60" w:space="380"/>
            <w:col w:w="8880"/>
          </w:cols>
          <w:pgMar w:left="140" w:top="125"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80" w:type="dxa"/>
            <w:vAlign w:val="bottom"/>
            <w:gridSpan w:val="7"/>
          </w:tcPr>
          <w:p>
            <w:pPr>
              <w:ind w:left="6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500" w:type="dxa"/>
            <w:vAlign w:val="bottom"/>
            <w:gridSpan w:val="7"/>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58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MENDOZA ROBERTO G</w:t>
              </w:r>
            </w:hyperlink>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ManpowerGroup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40" w:type="dxa"/>
            <w:vAlign w:val="bottom"/>
            <w:gridSpan w:val="5"/>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9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580" w:type="dxa"/>
            <w:vAlign w:val="bottom"/>
            <w:gridSpan w:val="5"/>
            <w:vMerge w:val="continue"/>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580" w:type="dxa"/>
            <w:vAlign w:val="bottom"/>
            <w:gridSpan w:val="5"/>
            <w:vMerge w:val="continue"/>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gridSpan w:val="3"/>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760" w:type="dxa"/>
            <w:vAlign w:val="bottom"/>
            <w:gridSpan w:val="2"/>
            <w:vMerge w:val="restart"/>
          </w:tcPr>
          <w:p>
            <w:pPr>
              <w:ind w:left="5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580" w:type="dxa"/>
            <w:vAlign w:val="bottom"/>
            <w:gridSpan w:val="5"/>
            <w:vMerge w:val="continue"/>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17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920" w:type="dxa"/>
            <w:vAlign w:val="bottom"/>
            <w:tcBorders>
              <w:top w:val="single" w:sz="8" w:color="0000EE"/>
            </w:tcBorders>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80" w:type="dxa"/>
            <w:vAlign w:val="bottom"/>
            <w:gridSpan w:val="3"/>
            <w:vMerge w:val="continue"/>
          </w:tcPr>
          <w:p>
            <w:pPr>
              <w:spacing w:after="0"/>
              <w:rPr>
                <w:sz w:val="8"/>
                <w:szCs w:val="8"/>
                <w:color w:val="auto"/>
              </w:rPr>
            </w:pPr>
          </w:p>
        </w:tc>
        <w:tc>
          <w:tcPr>
            <w:tcW w:w="17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vMerge w:val="restart"/>
          </w:tcPr>
          <w:p>
            <w:pPr>
              <w:spacing w:after="0"/>
              <w:rPr>
                <w:sz w:val="7"/>
                <w:szCs w:val="7"/>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60" w:type="dxa"/>
            <w:vAlign w:val="bottom"/>
            <w:gridSpan w:val="2"/>
            <w:vMerge w:val="restart"/>
          </w:tcPr>
          <w:p>
            <w:pPr>
              <w:ind w:left="5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280" w:type="dxa"/>
            <w:vAlign w:val="bottom"/>
            <w:gridSpan w:val="2"/>
            <w:vMerge w:val="continue"/>
          </w:tcPr>
          <w:p>
            <w:pPr>
              <w:spacing w:after="0" w:line="20" w:lineRule="exact"/>
              <w:rPr>
                <w:sz w:val="1"/>
                <w:szCs w:val="1"/>
                <w:color w:val="auto"/>
              </w:rPr>
            </w:pPr>
          </w:p>
        </w:tc>
        <w:tc>
          <w:tcPr>
            <w:tcW w:w="17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tcPr>
          <w:p>
            <w:pPr>
              <w:ind w:left="20"/>
              <w:spacing w:after="0"/>
              <w:rPr>
                <w:sz w:val="20"/>
                <w:szCs w:val="20"/>
                <w:color w:val="auto"/>
              </w:rPr>
            </w:pPr>
            <w:r>
              <w:rPr>
                <w:rFonts w:ascii="Arial" w:cs="Arial" w:eastAsia="Arial" w:hAnsi="Arial"/>
                <w:sz w:val="14"/>
                <w:szCs w:val="14"/>
                <w:color w:val="auto"/>
              </w:rPr>
              <w:t>(Middle)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ind w:left="160"/>
              <w:spacing w:after="0"/>
              <w:rPr>
                <w:sz w:val="20"/>
                <w:szCs w:val="20"/>
                <w:color w:val="auto"/>
              </w:rPr>
            </w:pPr>
            <w:r>
              <w:rPr>
                <w:rFonts w:ascii="Arial" w:cs="Arial" w:eastAsia="Arial" w:hAnsi="Arial"/>
                <w:sz w:val="14"/>
                <w:szCs w:val="14"/>
                <w:color w:val="auto"/>
                <w:w w:val="96"/>
              </w:rPr>
              <w:t>below)</w:t>
            </w:r>
          </w:p>
        </w:tc>
        <w:tc>
          <w:tcPr>
            <w:tcW w:w="700" w:type="dxa"/>
            <w:vAlign w:val="bottom"/>
          </w:tcPr>
          <w:p>
            <w:pPr>
              <w:spacing w:after="0"/>
              <w:rPr>
                <w:sz w:val="14"/>
                <w:szCs w:val="14"/>
                <w:color w:val="auto"/>
              </w:rPr>
            </w:pPr>
          </w:p>
        </w:tc>
        <w:tc>
          <w:tcPr>
            <w:tcW w:w="980" w:type="dxa"/>
            <w:vAlign w:val="bottom"/>
          </w:tcPr>
          <w:p>
            <w:pPr>
              <w:ind w:left="560"/>
              <w:spacing w:after="0"/>
              <w:rPr>
                <w:sz w:val="20"/>
                <w:szCs w:val="20"/>
                <w:color w:val="auto"/>
              </w:rPr>
            </w:pPr>
            <w:r>
              <w:rPr>
                <w:rFonts w:ascii="Arial" w:cs="Arial" w:eastAsia="Arial" w:hAnsi="Arial"/>
                <w:sz w:val="14"/>
                <w:szCs w:val="14"/>
                <w:color w:val="auto"/>
                <w:w w:val="96"/>
              </w:rPr>
              <w:t>below)</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80" w:type="dxa"/>
            <w:vAlign w:val="bottom"/>
            <w:gridSpan w:val="5"/>
            <w:vMerge w:val="restart"/>
          </w:tcPr>
          <w:p>
            <w:pPr>
              <w:spacing w:after="0"/>
              <w:rPr>
                <w:sz w:val="20"/>
                <w:szCs w:val="20"/>
                <w:color w:val="auto"/>
              </w:rPr>
            </w:pPr>
            <w:r>
              <w:rPr>
                <w:rFonts w:ascii="Arial" w:cs="Arial" w:eastAsia="Arial" w:hAnsi="Arial"/>
                <w:sz w:val="18"/>
                <w:szCs w:val="18"/>
                <w:color w:val="0000FF"/>
              </w:rPr>
              <w:t>MANPOWERGROUP INC.</w:t>
            </w:r>
          </w:p>
        </w:tc>
        <w:tc>
          <w:tcPr>
            <w:tcW w:w="1120" w:type="dxa"/>
            <w:vAlign w:val="bottom"/>
          </w:tcPr>
          <w:p>
            <w:pPr>
              <w:spacing w:after="0"/>
              <w:rPr>
                <w:sz w:val="19"/>
                <w:szCs w:val="19"/>
                <w:color w:val="auto"/>
              </w:rPr>
            </w:pPr>
          </w:p>
        </w:tc>
        <w:tc>
          <w:tcPr>
            <w:tcW w:w="1360" w:type="dxa"/>
            <w:vAlign w:val="bottom"/>
            <w:gridSpan w:val="5"/>
          </w:tcPr>
          <w:p>
            <w:pPr>
              <w:ind w:left="320"/>
              <w:spacing w:after="0"/>
              <w:rPr>
                <w:sz w:val="20"/>
                <w:szCs w:val="20"/>
                <w:color w:val="auto"/>
              </w:rPr>
            </w:pPr>
            <w:r>
              <w:rPr>
                <w:rFonts w:ascii="Arial" w:cs="Arial" w:eastAsia="Arial" w:hAnsi="Arial"/>
                <w:sz w:val="18"/>
                <w:szCs w:val="18"/>
                <w:color w:val="0000FF"/>
              </w:rPr>
              <w:t>01/01/2014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580" w:type="dxa"/>
            <w:vAlign w:val="bottom"/>
            <w:gridSpan w:val="5"/>
            <w:vMerge w:val="continue"/>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580" w:type="dxa"/>
            <w:vAlign w:val="bottom"/>
            <w:gridSpan w:val="5"/>
            <w:vMerge w:val="restart"/>
          </w:tcPr>
          <w:p>
            <w:pPr>
              <w:spacing w:after="0"/>
              <w:rPr>
                <w:sz w:val="20"/>
                <w:szCs w:val="20"/>
                <w:color w:val="auto"/>
              </w:rPr>
            </w:pPr>
            <w:r>
              <w:rPr>
                <w:rFonts w:ascii="Arial" w:cs="Arial" w:eastAsia="Arial" w:hAnsi="Arial"/>
                <w:sz w:val="18"/>
                <w:szCs w:val="18"/>
                <w:color w:val="0000FF"/>
              </w:rPr>
              <w:t>100 MANPOWER PLACE</w:t>
            </w: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2580" w:type="dxa"/>
            <w:vAlign w:val="bottom"/>
            <w:gridSpan w:val="5"/>
            <w:vMerge w:val="continue"/>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20" w:type="dxa"/>
            <w:vAlign w:val="bottom"/>
          </w:tcPr>
          <w:p>
            <w:pPr>
              <w:spacing w:after="0"/>
              <w:rPr>
                <w:sz w:val="9"/>
                <w:szCs w:val="9"/>
                <w:color w:val="auto"/>
              </w:rPr>
            </w:pPr>
          </w:p>
        </w:tc>
        <w:tc>
          <w:tcPr>
            <w:tcW w:w="3500" w:type="dxa"/>
            <w:vAlign w:val="bottom"/>
            <w:gridSpan w:val="7"/>
            <w:vMerge w:val="restart"/>
          </w:tcPr>
          <w:p>
            <w:pPr>
              <w:ind w:left="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60" w:type="dxa"/>
            <w:vAlign w:val="bottom"/>
            <w:gridSpan w:val="9"/>
            <w:vMerge w:val="continue"/>
          </w:tcPr>
          <w:p>
            <w:pPr>
              <w:spacing w:after="0"/>
              <w:rPr>
                <w:sz w:val="8"/>
                <w:szCs w:val="8"/>
                <w:color w:val="auto"/>
              </w:rPr>
            </w:pPr>
          </w:p>
        </w:tc>
        <w:tc>
          <w:tcPr>
            <w:tcW w:w="320" w:type="dxa"/>
            <w:vAlign w:val="bottom"/>
          </w:tcPr>
          <w:p>
            <w:pPr>
              <w:spacing w:after="0"/>
              <w:rPr>
                <w:sz w:val="8"/>
                <w:szCs w:val="8"/>
                <w:color w:val="auto"/>
              </w:rPr>
            </w:pPr>
          </w:p>
        </w:tc>
        <w:tc>
          <w:tcPr>
            <w:tcW w:w="350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vMerge w:val="restart"/>
          </w:tcPr>
          <w:p>
            <w:pPr>
              <w:spacing w:after="0"/>
              <w:rPr>
                <w:sz w:val="5"/>
                <w:szCs w:val="5"/>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4"/>
                <w:szCs w:val="14"/>
                <w:color w:val="auto"/>
              </w:rPr>
              <w:t>Line)</w:t>
            </w:r>
          </w:p>
        </w:tc>
        <w:tc>
          <w:tcPr>
            <w:tcW w:w="700" w:type="dxa"/>
            <w:vAlign w:val="bottom"/>
          </w:tcPr>
          <w:p>
            <w:pPr>
              <w:spacing w:after="0"/>
              <w:rPr>
                <w:sz w:val="5"/>
                <w:szCs w:val="5"/>
                <w:color w:val="auto"/>
              </w:rPr>
            </w:pPr>
          </w:p>
        </w:tc>
        <w:tc>
          <w:tcPr>
            <w:tcW w:w="9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1040" w:type="dxa"/>
            <w:vAlign w:val="bottom"/>
            <w:gridSpan w:val="4"/>
            <w:vMerge w:val="continue"/>
          </w:tcPr>
          <w:p>
            <w:pPr>
              <w:spacing w:after="0"/>
              <w:rPr>
                <w:sz w:val="7"/>
                <w:szCs w:val="7"/>
                <w:color w:val="auto"/>
              </w:rPr>
            </w:pPr>
          </w:p>
        </w:tc>
        <w:tc>
          <w:tcPr>
            <w:tcW w:w="700" w:type="dxa"/>
            <w:vAlign w:val="bottom"/>
          </w:tcPr>
          <w:p>
            <w:pPr>
              <w:spacing w:after="0"/>
              <w:rPr>
                <w:sz w:val="7"/>
                <w:szCs w:val="7"/>
                <w:color w:val="auto"/>
              </w:rPr>
            </w:pPr>
          </w:p>
        </w:tc>
        <w:tc>
          <w:tcPr>
            <w:tcW w:w="98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5"/>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MILWAUKEE</w:t>
            </w:r>
          </w:p>
        </w:tc>
        <w:tc>
          <w:tcPr>
            <w:tcW w:w="1300" w:type="dxa"/>
            <w:vAlign w:val="bottom"/>
            <w:gridSpan w:val="3"/>
          </w:tcPr>
          <w:p>
            <w:pPr>
              <w:ind w:left="20"/>
              <w:spacing w:after="0"/>
              <w:rPr>
                <w:sz w:val="20"/>
                <w:szCs w:val="20"/>
                <w:color w:val="auto"/>
              </w:rPr>
            </w:pPr>
            <w:r>
              <w:rPr>
                <w:rFonts w:ascii="Arial" w:cs="Arial" w:eastAsia="Arial" w:hAnsi="Arial"/>
                <w:sz w:val="18"/>
                <w:szCs w:val="18"/>
                <w:color w:val="0000FF"/>
              </w:rPr>
              <w:t>WI</w:t>
            </w:r>
          </w:p>
        </w:tc>
        <w:tc>
          <w:tcPr>
            <w:tcW w:w="1120" w:type="dxa"/>
            <w:vAlign w:val="bottom"/>
          </w:tcPr>
          <w:p>
            <w:pPr>
              <w:ind w:left="20"/>
              <w:spacing w:after="0"/>
              <w:rPr>
                <w:sz w:val="20"/>
                <w:szCs w:val="20"/>
                <w:color w:val="auto"/>
              </w:rPr>
            </w:pPr>
            <w:r>
              <w:rPr>
                <w:rFonts w:ascii="Arial" w:cs="Arial" w:eastAsia="Arial" w:hAnsi="Arial"/>
                <w:sz w:val="18"/>
                <w:szCs w:val="18"/>
                <w:color w:val="0000FF"/>
              </w:rPr>
              <w:t>53212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40" w:type="dxa"/>
            <w:vAlign w:val="bottom"/>
            <w:gridSpan w:val="4"/>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120" w:type="dxa"/>
            <w:vAlign w:val="bottom"/>
          </w:tcPr>
          <w:p>
            <w:pPr>
              <w:ind w:left="20"/>
              <w:spacing w:after="0"/>
              <w:rPr>
                <w:sz w:val="20"/>
                <w:szCs w:val="20"/>
                <w:color w:val="auto"/>
              </w:rPr>
            </w:pPr>
            <w:r>
              <w:rPr>
                <w:rFonts w:ascii="Arial" w:cs="Arial" w:eastAsia="Arial" w:hAnsi="Arial"/>
                <w:sz w:val="14"/>
                <w:szCs w:val="14"/>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gridSpan w:val="5"/>
          </w:tcPr>
          <w:p>
            <w:pPr>
              <w:spacing w:after="0"/>
              <w:rPr>
                <w:sz w:val="11"/>
                <w:szCs w:val="11"/>
                <w:color w:val="auto"/>
              </w:rPr>
            </w:pPr>
          </w:p>
        </w:tc>
        <w:tc>
          <w:tcPr>
            <w:tcW w:w="2120" w:type="dxa"/>
            <w:vAlign w:val="bottom"/>
            <w:tcBorders>
              <w:bottom w:val="single" w:sz="8" w:color="2C2C2C"/>
            </w:tcBorders>
            <w:gridSpan w:val="5"/>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gridSpan w:val="2"/>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670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700" w:type="dxa"/>
            <w:vAlign w:val="bottom"/>
            <w:tcBorders>
              <w:top w:val="single" w:sz="8" w:color="2C2C2C"/>
            </w:tcBorders>
          </w:tcPr>
          <w:p>
            <w:pPr>
              <w:spacing w:after="0"/>
              <w:rPr>
                <w:sz w:val="22"/>
                <w:szCs w:val="22"/>
                <w:color w:val="auto"/>
              </w:rPr>
            </w:pPr>
          </w:p>
        </w:tc>
        <w:tc>
          <w:tcPr>
            <w:tcW w:w="98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34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8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4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5"/>
                <w:szCs w:val="15"/>
                <w:color w:val="auto"/>
              </w:rPr>
            </w:pPr>
          </w:p>
        </w:tc>
        <w:tc>
          <w:tcPr>
            <w:tcW w:w="2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ind w:left="840"/>
              <w:spacing w:after="0" w:line="133" w:lineRule="exact"/>
              <w:rPr>
                <w:sz w:val="20"/>
                <w:szCs w:val="20"/>
                <w:color w:val="auto"/>
              </w:rPr>
            </w:pPr>
            <w:r>
              <w:rPr>
                <w:rFonts w:ascii="Arial" w:cs="Arial" w:eastAsia="Arial" w:hAnsi="Arial"/>
                <w:sz w:val="12"/>
                <w:szCs w:val="12"/>
                <w:b w:val="1"/>
                <w:bCs w:val="1"/>
                <w:color w:val="auto"/>
                <w:w w:val="99"/>
              </w:rPr>
              <w:t>Date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20" w:type="dxa"/>
            <w:vAlign w:val="bottom"/>
            <w:gridSpan w:val="5"/>
          </w:tcPr>
          <w:p>
            <w:pPr>
              <w:jc w:val="center"/>
              <w:ind w:left="693"/>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jc w:val="center"/>
              <w:ind w:right="262"/>
              <w:spacing w:after="0" w:line="135" w:lineRule="exact"/>
              <w:rPr>
                <w:sz w:val="20"/>
                <w:szCs w:val="20"/>
                <w:color w:val="auto"/>
              </w:rPr>
            </w:pPr>
            <w:r>
              <w:rPr>
                <w:rFonts w:ascii="Arial" w:cs="Arial" w:eastAsia="Arial" w:hAnsi="Arial"/>
                <w:sz w:val="12"/>
                <w:szCs w:val="12"/>
                <w:b w:val="1"/>
                <w:bCs w:val="1"/>
                <w:color w:val="auto"/>
                <w:w w:val="93"/>
              </w:rPr>
              <w:t>5)</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2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8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780" w:type="dxa"/>
            <w:vAlign w:val="bottom"/>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9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80"/>
              <w:spacing w:after="0" w:line="135" w:lineRule="exact"/>
              <w:rPr>
                <w:sz w:val="20"/>
                <w:szCs w:val="20"/>
                <w:color w:val="auto"/>
              </w:rPr>
            </w:pPr>
            <w:r>
              <w:rPr>
                <w:rFonts w:ascii="Arial" w:cs="Arial" w:eastAsia="Arial" w:hAnsi="Arial"/>
                <w:sz w:val="12"/>
                <w:szCs w:val="12"/>
                <w:b w:val="1"/>
                <w:bCs w:val="1"/>
                <w:color w:val="auto"/>
                <w:w w:val="93"/>
              </w:rPr>
              <w:t>(A) or</w:t>
            </w:r>
          </w:p>
        </w:tc>
        <w:tc>
          <w:tcPr>
            <w:tcW w:w="580" w:type="dxa"/>
            <w:vAlign w:val="bottom"/>
            <w:gridSpan w:val="3"/>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700" w:type="dxa"/>
            <w:vAlign w:val="bottom"/>
            <w:vMerge w:val="restart"/>
          </w:tcPr>
          <w:p>
            <w:pPr>
              <w:ind w:left="3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gridSpan w:val="5"/>
          </w:tcPr>
          <w:p>
            <w:pPr>
              <w:spacing w:after="0"/>
              <w:rPr>
                <w:sz w:val="8"/>
                <w:szCs w:val="8"/>
                <w:color w:val="auto"/>
              </w:rPr>
            </w:pPr>
          </w:p>
        </w:tc>
        <w:tc>
          <w:tcPr>
            <w:tcW w:w="1860" w:type="dxa"/>
            <w:vAlign w:val="bottom"/>
            <w:tcBorders>
              <w:bottom w:val="single" w:sz="8" w:color="2C2C2C"/>
            </w:tcBorders>
            <w:gridSpan w:val="5"/>
          </w:tcPr>
          <w:p>
            <w:pPr>
              <w:spacing w:after="0"/>
              <w:rPr>
                <w:sz w:val="8"/>
                <w:szCs w:val="8"/>
                <w:color w:val="auto"/>
              </w:rPr>
            </w:pPr>
          </w:p>
        </w:tc>
        <w:tc>
          <w:tcPr>
            <w:tcW w:w="2360" w:type="dxa"/>
            <w:vAlign w:val="bottom"/>
            <w:tcBorders>
              <w:bottom w:val="single" w:sz="8" w:color="2C2C2C"/>
            </w:tcBorders>
            <w:gridSpan w:val="6"/>
          </w:tcPr>
          <w:p>
            <w:pPr>
              <w:spacing w:after="0"/>
              <w:rPr>
                <w:sz w:val="8"/>
                <w:szCs w:val="8"/>
                <w:color w:val="auto"/>
              </w:rPr>
            </w:pPr>
          </w:p>
        </w:tc>
        <w:tc>
          <w:tcPr>
            <w:tcW w:w="22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70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80" w:type="dxa"/>
            <w:vAlign w:val="bottom"/>
            <w:gridSpan w:val="16"/>
          </w:tcPr>
          <w:p>
            <w:pPr>
              <w:jc w:val="center"/>
              <w:ind w:left="49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5"/>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jc w:val="center"/>
              <w:ind w:right="57"/>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12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jc w:val="center"/>
              <w:ind w:right="57"/>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6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3, 4</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jc w:val="center"/>
              <w:ind w:left="102"/>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6"/>
                <w:szCs w:val="16"/>
                <w:color w:val="auto"/>
              </w:rPr>
            </w:pPr>
          </w:p>
        </w:tc>
        <w:tc>
          <w:tcPr>
            <w:tcW w:w="920" w:type="dxa"/>
            <w:vAlign w:val="bottom"/>
            <w:vMerge w:val="restart"/>
          </w:tcPr>
          <w:p>
            <w:pPr>
              <w:jc w:val="center"/>
              <w:ind w:left="174"/>
              <w:spacing w:after="0"/>
              <w:rPr>
                <w:sz w:val="20"/>
                <w:szCs w:val="20"/>
                <w:color w:val="auto"/>
              </w:rPr>
            </w:pPr>
            <w:r>
              <w:rPr>
                <w:rFonts w:ascii="Arial" w:cs="Arial" w:eastAsia="Arial" w:hAnsi="Arial"/>
                <w:sz w:val="14"/>
                <w:szCs w:val="14"/>
                <w:color w:val="0000FF"/>
                <w:w w:val="85"/>
              </w:rPr>
              <w:t>01/01/2014</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gridSpan w:val="4"/>
            <w:vMerge w:val="restart"/>
          </w:tcPr>
          <w:p>
            <w:pPr>
              <w:jc w:val="center"/>
              <w:ind w:right="275"/>
              <w:spacing w:after="0"/>
              <w:rPr>
                <w:sz w:val="20"/>
                <w:szCs w:val="20"/>
                <w:color w:val="auto"/>
              </w:rPr>
            </w:pPr>
            <w:r>
              <w:rPr>
                <w:rFonts w:ascii="Arial" w:cs="Arial" w:eastAsia="Arial" w:hAnsi="Arial"/>
                <w:sz w:val="27"/>
                <w:szCs w:val="27"/>
                <w:color w:val="0000FF"/>
                <w:w w:val="86"/>
                <w:vertAlign w:val="subscript"/>
              </w:rPr>
              <w:t>A</w:t>
            </w:r>
            <w:r>
              <w:rPr>
                <w:rFonts w:ascii="Arial" w:cs="Arial" w:eastAsia="Arial" w:hAnsi="Arial"/>
                <w:sz w:val="11"/>
                <w:szCs w:val="11"/>
                <w:color w:val="008000"/>
                <w:w w:val="86"/>
              </w:rPr>
              <w:t>(2)</w:t>
            </w:r>
          </w:p>
        </w:tc>
        <w:tc>
          <w:tcPr>
            <w:tcW w:w="560" w:type="dxa"/>
            <w:vAlign w:val="bottom"/>
            <w:vMerge w:val="restart"/>
          </w:tcPr>
          <w:p>
            <w:pPr>
              <w:jc w:val="center"/>
              <w:spacing w:after="0"/>
              <w:rPr>
                <w:sz w:val="20"/>
                <w:szCs w:val="20"/>
                <w:color w:val="auto"/>
              </w:rPr>
            </w:pPr>
            <w:r>
              <w:rPr>
                <w:rFonts w:ascii="Arial" w:cs="Arial" w:eastAsia="Arial" w:hAnsi="Arial"/>
                <w:sz w:val="14"/>
                <w:szCs w:val="14"/>
                <w:color w:val="0000FF"/>
                <w:w w:val="85"/>
              </w:rPr>
              <w:t>1,281</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vMerge w:val="restart"/>
          </w:tcPr>
          <w:p>
            <w:pPr>
              <w:jc w:val="center"/>
              <w:ind w:right="242"/>
              <w:spacing w:after="0"/>
              <w:rPr>
                <w:sz w:val="20"/>
                <w:szCs w:val="20"/>
                <w:color w:val="auto"/>
              </w:rPr>
            </w:pPr>
            <w:r>
              <w:rPr>
                <w:rFonts w:ascii="Arial" w:cs="Arial" w:eastAsia="Arial" w:hAnsi="Arial"/>
                <w:sz w:val="11"/>
                <w:szCs w:val="11"/>
                <w:color w:val="008000"/>
                <w:w w:val="88"/>
              </w:rPr>
              <w:t>(1)</w:t>
            </w:r>
          </w:p>
        </w:tc>
        <w:tc>
          <w:tcPr>
            <w:tcW w:w="700" w:type="dxa"/>
            <w:vAlign w:val="bottom"/>
          </w:tcPr>
          <w:p>
            <w:pPr>
              <w:jc w:val="center"/>
              <w:ind w:right="55"/>
              <w:spacing w:after="0"/>
              <w:rPr>
                <w:sz w:val="20"/>
                <w:szCs w:val="20"/>
                <w:color w:val="auto"/>
              </w:rPr>
            </w:pPr>
            <w:r>
              <w:rPr>
                <w:rFonts w:ascii="Arial" w:cs="Arial" w:eastAsia="Arial" w:hAnsi="Arial"/>
                <w:sz w:val="14"/>
                <w:szCs w:val="14"/>
                <w:color w:val="0000FF"/>
                <w:w w:val="87"/>
              </w:rPr>
              <w:t>Common</w:t>
            </w:r>
          </w:p>
        </w:tc>
        <w:tc>
          <w:tcPr>
            <w:tcW w:w="5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1,281</w:t>
            </w:r>
          </w:p>
        </w:tc>
        <w:tc>
          <w:tcPr>
            <w:tcW w:w="20" w:type="dxa"/>
            <w:vAlign w:val="bottom"/>
          </w:tcPr>
          <w:p>
            <w:pPr>
              <w:spacing w:after="0"/>
              <w:rPr>
                <w:sz w:val="16"/>
                <w:szCs w:val="16"/>
                <w:color w:val="auto"/>
              </w:rPr>
            </w:pPr>
          </w:p>
        </w:tc>
        <w:tc>
          <w:tcPr>
            <w:tcW w:w="780" w:type="dxa"/>
            <w:vAlign w:val="bottom"/>
            <w:gridSpan w:val="2"/>
            <w:vMerge w:val="restart"/>
          </w:tcPr>
          <w:p>
            <w:pPr>
              <w:jc w:val="center"/>
              <w:ind w:right="17"/>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85.86</w:t>
            </w:r>
            <w:r>
              <w:rPr>
                <w:rFonts w:ascii="Arial" w:cs="Arial" w:eastAsia="Arial" w:hAnsi="Arial"/>
                <w:sz w:val="22"/>
                <w:szCs w:val="22"/>
                <w:color w:val="008000"/>
                <w:w w:val="87"/>
                <w:vertAlign w:val="superscript"/>
              </w:rPr>
              <w:t>(3)</w:t>
            </w:r>
          </w:p>
        </w:tc>
        <w:tc>
          <w:tcPr>
            <w:tcW w:w="700" w:type="dxa"/>
            <w:vAlign w:val="bottom"/>
            <w:vMerge w:val="restart"/>
          </w:tcPr>
          <w:p>
            <w:pPr>
              <w:jc w:val="center"/>
              <w:ind w:left="56"/>
              <w:spacing w:after="0"/>
              <w:rPr>
                <w:sz w:val="20"/>
                <w:szCs w:val="20"/>
                <w:color w:val="auto"/>
              </w:rPr>
            </w:pPr>
            <w:r>
              <w:rPr>
                <w:rFonts w:ascii="Arial" w:cs="Arial" w:eastAsia="Arial" w:hAnsi="Arial"/>
                <w:sz w:val="14"/>
                <w:szCs w:val="14"/>
                <w:color w:val="0000FF"/>
                <w:w w:val="85"/>
              </w:rPr>
              <w:t>1,281</w:t>
            </w:r>
          </w:p>
        </w:tc>
        <w:tc>
          <w:tcPr>
            <w:tcW w:w="980" w:type="dxa"/>
            <w:vAlign w:val="bottom"/>
            <w:vMerge w:val="restart"/>
          </w:tcPr>
          <w:p>
            <w:pPr>
              <w:ind w:left="5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700" w:type="dxa"/>
            <w:vAlign w:val="bottom"/>
            <w:vMerge w:val="restart"/>
          </w:tcPr>
          <w:p>
            <w:pPr>
              <w:jc w:val="center"/>
              <w:ind w:right="55"/>
              <w:spacing w:after="0"/>
              <w:rPr>
                <w:sz w:val="20"/>
                <w:szCs w:val="20"/>
                <w:color w:val="auto"/>
              </w:rPr>
            </w:pPr>
            <w:r>
              <w:rPr>
                <w:rFonts w:ascii="Arial" w:cs="Arial" w:eastAsia="Arial" w:hAnsi="Arial"/>
                <w:sz w:val="14"/>
                <w:szCs w:val="14"/>
                <w:color w:val="0000FF"/>
                <w:w w:val="85"/>
              </w:rPr>
              <w:t>Stock</w:t>
            </w:r>
          </w:p>
        </w:tc>
        <w:tc>
          <w:tcPr>
            <w:tcW w:w="5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8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jc w:val="center"/>
              <w:ind w:left="102"/>
              <w:spacing w:after="0"/>
              <w:rPr>
                <w:sz w:val="20"/>
                <w:szCs w:val="20"/>
                <w:color w:val="auto"/>
              </w:rPr>
            </w:pPr>
            <w:r>
              <w:rPr>
                <w:rFonts w:ascii="Arial" w:cs="Arial" w:eastAsia="Arial" w:hAnsi="Arial"/>
                <w:sz w:val="11"/>
                <w:szCs w:val="11"/>
                <w:color w:val="008000"/>
              </w:rPr>
              <w:t>(4)</w:t>
            </w:r>
          </w:p>
        </w:tc>
        <w:tc>
          <w:tcPr>
            <w:tcW w:w="140" w:type="dxa"/>
            <w:vAlign w:val="bottom"/>
          </w:tcPr>
          <w:p>
            <w:pPr>
              <w:spacing w:after="0"/>
              <w:rPr>
                <w:sz w:val="16"/>
                <w:szCs w:val="16"/>
                <w:color w:val="auto"/>
              </w:rPr>
            </w:pPr>
          </w:p>
        </w:tc>
        <w:tc>
          <w:tcPr>
            <w:tcW w:w="920" w:type="dxa"/>
            <w:vAlign w:val="bottom"/>
            <w:vMerge w:val="restart"/>
          </w:tcPr>
          <w:p>
            <w:pPr>
              <w:jc w:val="center"/>
              <w:ind w:left="174"/>
              <w:spacing w:after="0"/>
              <w:rPr>
                <w:sz w:val="20"/>
                <w:szCs w:val="20"/>
                <w:color w:val="auto"/>
              </w:rPr>
            </w:pPr>
            <w:r>
              <w:rPr>
                <w:rFonts w:ascii="Arial" w:cs="Arial" w:eastAsia="Arial" w:hAnsi="Arial"/>
                <w:sz w:val="14"/>
                <w:szCs w:val="14"/>
                <w:color w:val="0000FF"/>
                <w:w w:val="85"/>
              </w:rPr>
              <w:t>01/01/2014</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gridSpan w:val="4"/>
            <w:vMerge w:val="restart"/>
          </w:tcPr>
          <w:p>
            <w:pPr>
              <w:jc w:val="center"/>
              <w:ind w:right="275"/>
              <w:spacing w:after="0"/>
              <w:rPr>
                <w:sz w:val="20"/>
                <w:szCs w:val="20"/>
                <w:color w:val="auto"/>
              </w:rPr>
            </w:pPr>
            <w:r>
              <w:rPr>
                <w:rFonts w:ascii="Arial" w:cs="Arial" w:eastAsia="Arial" w:hAnsi="Arial"/>
                <w:sz w:val="27"/>
                <w:szCs w:val="27"/>
                <w:color w:val="0000FF"/>
                <w:w w:val="86"/>
                <w:vertAlign w:val="subscript"/>
              </w:rPr>
              <w:t>A</w:t>
            </w:r>
            <w:r>
              <w:rPr>
                <w:rFonts w:ascii="Arial" w:cs="Arial" w:eastAsia="Arial" w:hAnsi="Arial"/>
                <w:sz w:val="11"/>
                <w:szCs w:val="11"/>
                <w:color w:val="008000"/>
                <w:w w:val="86"/>
              </w:rPr>
              <w:t>(5)</w:t>
            </w:r>
          </w:p>
        </w:tc>
        <w:tc>
          <w:tcPr>
            <w:tcW w:w="560" w:type="dxa"/>
            <w:vAlign w:val="bottom"/>
            <w:vMerge w:val="restart"/>
          </w:tcPr>
          <w:p>
            <w:pPr>
              <w:jc w:val="center"/>
              <w:spacing w:after="0"/>
              <w:rPr>
                <w:sz w:val="20"/>
                <w:szCs w:val="20"/>
                <w:color w:val="auto"/>
              </w:rPr>
            </w:pPr>
            <w:r>
              <w:rPr>
                <w:rFonts w:ascii="Arial" w:cs="Arial" w:eastAsia="Arial" w:hAnsi="Arial"/>
                <w:sz w:val="14"/>
                <w:szCs w:val="14"/>
                <w:color w:val="0000FF"/>
                <w:w w:val="89"/>
              </w:rPr>
              <w:t>24</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vMerge w:val="restart"/>
          </w:tcPr>
          <w:p>
            <w:pPr>
              <w:jc w:val="center"/>
              <w:ind w:right="242"/>
              <w:spacing w:after="0"/>
              <w:rPr>
                <w:sz w:val="20"/>
                <w:szCs w:val="20"/>
                <w:color w:val="auto"/>
              </w:rPr>
            </w:pPr>
            <w:r>
              <w:rPr>
                <w:rFonts w:ascii="Arial" w:cs="Arial" w:eastAsia="Arial" w:hAnsi="Arial"/>
                <w:sz w:val="11"/>
                <w:szCs w:val="11"/>
                <w:color w:val="008000"/>
                <w:w w:val="88"/>
              </w:rPr>
              <w:t>(4)</w:t>
            </w:r>
          </w:p>
        </w:tc>
        <w:tc>
          <w:tcPr>
            <w:tcW w:w="700" w:type="dxa"/>
            <w:vAlign w:val="bottom"/>
          </w:tcPr>
          <w:p>
            <w:pPr>
              <w:jc w:val="center"/>
              <w:ind w:right="55"/>
              <w:spacing w:after="0"/>
              <w:rPr>
                <w:sz w:val="20"/>
                <w:szCs w:val="20"/>
                <w:color w:val="auto"/>
              </w:rPr>
            </w:pPr>
            <w:r>
              <w:rPr>
                <w:rFonts w:ascii="Arial" w:cs="Arial" w:eastAsia="Arial" w:hAnsi="Arial"/>
                <w:sz w:val="14"/>
                <w:szCs w:val="14"/>
                <w:color w:val="0000FF"/>
                <w:w w:val="87"/>
              </w:rPr>
              <w:t>Common</w:t>
            </w:r>
          </w:p>
        </w:tc>
        <w:tc>
          <w:tcPr>
            <w:tcW w:w="5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24</w:t>
            </w:r>
          </w:p>
        </w:tc>
        <w:tc>
          <w:tcPr>
            <w:tcW w:w="20" w:type="dxa"/>
            <w:vAlign w:val="bottom"/>
          </w:tcPr>
          <w:p>
            <w:pPr>
              <w:spacing w:after="0"/>
              <w:rPr>
                <w:sz w:val="16"/>
                <w:szCs w:val="16"/>
                <w:color w:val="auto"/>
              </w:rPr>
            </w:pPr>
          </w:p>
        </w:tc>
        <w:tc>
          <w:tcPr>
            <w:tcW w:w="780" w:type="dxa"/>
            <w:vAlign w:val="bottom"/>
            <w:gridSpan w:val="2"/>
            <w:vMerge w:val="restart"/>
          </w:tcPr>
          <w:p>
            <w:pPr>
              <w:jc w:val="center"/>
              <w:ind w:right="17"/>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67.53</w:t>
            </w:r>
            <w:r>
              <w:rPr>
                <w:rFonts w:ascii="Arial" w:cs="Arial" w:eastAsia="Arial" w:hAnsi="Arial"/>
                <w:sz w:val="22"/>
                <w:szCs w:val="22"/>
                <w:color w:val="008000"/>
                <w:w w:val="87"/>
                <w:vertAlign w:val="superscript"/>
              </w:rPr>
              <w:t>(6)</w:t>
            </w:r>
          </w:p>
        </w:tc>
        <w:tc>
          <w:tcPr>
            <w:tcW w:w="700" w:type="dxa"/>
            <w:vAlign w:val="bottom"/>
            <w:vMerge w:val="restart"/>
          </w:tcPr>
          <w:p>
            <w:pPr>
              <w:jc w:val="center"/>
              <w:ind w:left="56"/>
              <w:spacing w:after="0"/>
              <w:rPr>
                <w:sz w:val="20"/>
                <w:szCs w:val="20"/>
                <w:color w:val="auto"/>
              </w:rPr>
            </w:pPr>
            <w:r>
              <w:rPr>
                <w:rFonts w:ascii="Arial" w:cs="Arial" w:eastAsia="Arial" w:hAnsi="Arial"/>
                <w:sz w:val="14"/>
                <w:szCs w:val="14"/>
                <w:color w:val="0000FF"/>
                <w:w w:val="85"/>
              </w:rPr>
              <w:t>1,752</w:t>
            </w:r>
          </w:p>
        </w:tc>
        <w:tc>
          <w:tcPr>
            <w:tcW w:w="980" w:type="dxa"/>
            <w:vAlign w:val="bottom"/>
            <w:vMerge w:val="restart"/>
          </w:tcPr>
          <w:p>
            <w:pPr>
              <w:ind w:left="5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700" w:type="dxa"/>
            <w:vAlign w:val="bottom"/>
            <w:vMerge w:val="restart"/>
          </w:tcPr>
          <w:p>
            <w:pPr>
              <w:jc w:val="center"/>
              <w:ind w:right="55"/>
              <w:spacing w:after="0"/>
              <w:rPr>
                <w:sz w:val="20"/>
                <w:szCs w:val="20"/>
                <w:color w:val="auto"/>
              </w:rPr>
            </w:pPr>
            <w:r>
              <w:rPr>
                <w:rFonts w:ascii="Arial" w:cs="Arial" w:eastAsia="Arial" w:hAnsi="Arial"/>
                <w:sz w:val="14"/>
                <w:szCs w:val="14"/>
                <w:color w:val="0000FF"/>
                <w:w w:val="85"/>
              </w:rPr>
              <w:t>Stock</w:t>
            </w:r>
          </w:p>
        </w:tc>
        <w:tc>
          <w:tcPr>
            <w:tcW w:w="5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8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jc w:val="center"/>
              <w:ind w:left="102"/>
              <w:spacing w:after="0"/>
              <w:rPr>
                <w:sz w:val="20"/>
                <w:szCs w:val="20"/>
                <w:color w:val="auto"/>
              </w:rPr>
            </w:pPr>
            <w:r>
              <w:rPr>
                <w:rFonts w:ascii="Arial" w:cs="Arial" w:eastAsia="Arial" w:hAnsi="Arial"/>
                <w:sz w:val="11"/>
                <w:szCs w:val="11"/>
                <w:color w:val="008000"/>
              </w:rPr>
              <w:t>(7)</w:t>
            </w:r>
          </w:p>
        </w:tc>
        <w:tc>
          <w:tcPr>
            <w:tcW w:w="140" w:type="dxa"/>
            <w:vAlign w:val="bottom"/>
          </w:tcPr>
          <w:p>
            <w:pPr>
              <w:spacing w:after="0"/>
              <w:rPr>
                <w:sz w:val="16"/>
                <w:szCs w:val="16"/>
                <w:color w:val="auto"/>
              </w:rPr>
            </w:pPr>
          </w:p>
        </w:tc>
        <w:tc>
          <w:tcPr>
            <w:tcW w:w="920" w:type="dxa"/>
            <w:vAlign w:val="bottom"/>
            <w:vMerge w:val="restart"/>
          </w:tcPr>
          <w:p>
            <w:pPr>
              <w:jc w:val="center"/>
              <w:ind w:left="174"/>
              <w:spacing w:after="0"/>
              <w:rPr>
                <w:sz w:val="20"/>
                <w:szCs w:val="20"/>
                <w:color w:val="auto"/>
              </w:rPr>
            </w:pPr>
            <w:r>
              <w:rPr>
                <w:rFonts w:ascii="Arial" w:cs="Arial" w:eastAsia="Arial" w:hAnsi="Arial"/>
                <w:sz w:val="14"/>
                <w:szCs w:val="14"/>
                <w:color w:val="0000FF"/>
                <w:w w:val="85"/>
              </w:rPr>
              <w:t>01/01/2014</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gridSpan w:val="4"/>
            <w:vMerge w:val="restart"/>
          </w:tcPr>
          <w:p>
            <w:pPr>
              <w:jc w:val="center"/>
              <w:ind w:right="275"/>
              <w:spacing w:after="0"/>
              <w:rPr>
                <w:sz w:val="20"/>
                <w:szCs w:val="20"/>
                <w:color w:val="auto"/>
              </w:rPr>
            </w:pPr>
            <w:r>
              <w:rPr>
                <w:rFonts w:ascii="Arial" w:cs="Arial" w:eastAsia="Arial" w:hAnsi="Arial"/>
                <w:sz w:val="27"/>
                <w:szCs w:val="27"/>
                <w:color w:val="0000FF"/>
                <w:w w:val="86"/>
                <w:vertAlign w:val="subscript"/>
              </w:rPr>
              <w:t>A</w:t>
            </w:r>
            <w:r>
              <w:rPr>
                <w:rFonts w:ascii="Arial" w:cs="Arial" w:eastAsia="Arial" w:hAnsi="Arial"/>
                <w:sz w:val="11"/>
                <w:szCs w:val="11"/>
                <w:color w:val="008000"/>
                <w:w w:val="86"/>
              </w:rPr>
              <w:t>(5)</w:t>
            </w:r>
          </w:p>
        </w:tc>
        <w:tc>
          <w:tcPr>
            <w:tcW w:w="560" w:type="dxa"/>
            <w:vAlign w:val="bottom"/>
            <w:vMerge w:val="restart"/>
          </w:tcPr>
          <w:p>
            <w:pPr>
              <w:jc w:val="center"/>
              <w:spacing w:after="0"/>
              <w:rPr>
                <w:sz w:val="20"/>
                <w:szCs w:val="20"/>
                <w:color w:val="auto"/>
              </w:rPr>
            </w:pPr>
            <w:r>
              <w:rPr>
                <w:rFonts w:ascii="Arial" w:cs="Arial" w:eastAsia="Arial" w:hAnsi="Arial"/>
                <w:sz w:val="14"/>
                <w:szCs w:val="14"/>
                <w:color w:val="0000FF"/>
                <w:w w:val="89"/>
              </w:rPr>
              <w:t>26</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vMerge w:val="restart"/>
          </w:tcPr>
          <w:p>
            <w:pPr>
              <w:jc w:val="center"/>
              <w:ind w:right="242"/>
              <w:spacing w:after="0"/>
              <w:rPr>
                <w:sz w:val="20"/>
                <w:szCs w:val="20"/>
                <w:color w:val="auto"/>
              </w:rPr>
            </w:pPr>
            <w:r>
              <w:rPr>
                <w:rFonts w:ascii="Arial" w:cs="Arial" w:eastAsia="Arial" w:hAnsi="Arial"/>
                <w:sz w:val="11"/>
                <w:szCs w:val="11"/>
                <w:color w:val="008000"/>
                <w:w w:val="88"/>
              </w:rPr>
              <w:t>(7)</w:t>
            </w:r>
          </w:p>
        </w:tc>
        <w:tc>
          <w:tcPr>
            <w:tcW w:w="700" w:type="dxa"/>
            <w:vAlign w:val="bottom"/>
          </w:tcPr>
          <w:p>
            <w:pPr>
              <w:jc w:val="center"/>
              <w:ind w:right="55"/>
              <w:spacing w:after="0"/>
              <w:rPr>
                <w:sz w:val="20"/>
                <w:szCs w:val="20"/>
                <w:color w:val="auto"/>
              </w:rPr>
            </w:pPr>
            <w:r>
              <w:rPr>
                <w:rFonts w:ascii="Arial" w:cs="Arial" w:eastAsia="Arial" w:hAnsi="Arial"/>
                <w:sz w:val="14"/>
                <w:szCs w:val="14"/>
                <w:color w:val="0000FF"/>
                <w:w w:val="87"/>
              </w:rPr>
              <w:t>Common</w:t>
            </w:r>
          </w:p>
        </w:tc>
        <w:tc>
          <w:tcPr>
            <w:tcW w:w="5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26</w:t>
            </w:r>
          </w:p>
        </w:tc>
        <w:tc>
          <w:tcPr>
            <w:tcW w:w="20" w:type="dxa"/>
            <w:vAlign w:val="bottom"/>
          </w:tcPr>
          <w:p>
            <w:pPr>
              <w:spacing w:after="0"/>
              <w:rPr>
                <w:sz w:val="16"/>
                <w:szCs w:val="16"/>
                <w:color w:val="auto"/>
              </w:rPr>
            </w:pPr>
          </w:p>
        </w:tc>
        <w:tc>
          <w:tcPr>
            <w:tcW w:w="780" w:type="dxa"/>
            <w:vAlign w:val="bottom"/>
            <w:gridSpan w:val="2"/>
            <w:vMerge w:val="restart"/>
          </w:tcPr>
          <w:p>
            <w:pPr>
              <w:jc w:val="center"/>
              <w:ind w:right="17"/>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67.53</w:t>
            </w:r>
            <w:r>
              <w:rPr>
                <w:rFonts w:ascii="Arial" w:cs="Arial" w:eastAsia="Arial" w:hAnsi="Arial"/>
                <w:sz w:val="22"/>
                <w:szCs w:val="22"/>
                <w:color w:val="008000"/>
                <w:w w:val="87"/>
                <w:vertAlign w:val="superscript"/>
              </w:rPr>
              <w:t>(6)</w:t>
            </w:r>
          </w:p>
        </w:tc>
        <w:tc>
          <w:tcPr>
            <w:tcW w:w="700" w:type="dxa"/>
            <w:vAlign w:val="bottom"/>
            <w:vMerge w:val="restart"/>
          </w:tcPr>
          <w:p>
            <w:pPr>
              <w:jc w:val="center"/>
              <w:ind w:left="56"/>
              <w:spacing w:after="0"/>
              <w:rPr>
                <w:sz w:val="20"/>
                <w:szCs w:val="20"/>
                <w:color w:val="auto"/>
              </w:rPr>
            </w:pPr>
            <w:r>
              <w:rPr>
                <w:rFonts w:ascii="Arial" w:cs="Arial" w:eastAsia="Arial" w:hAnsi="Arial"/>
                <w:sz w:val="14"/>
                <w:szCs w:val="14"/>
                <w:color w:val="0000FF"/>
                <w:w w:val="85"/>
              </w:rPr>
              <w:t>1,955</w:t>
            </w:r>
          </w:p>
        </w:tc>
        <w:tc>
          <w:tcPr>
            <w:tcW w:w="980" w:type="dxa"/>
            <w:vAlign w:val="bottom"/>
            <w:vMerge w:val="restart"/>
          </w:tcPr>
          <w:p>
            <w:pPr>
              <w:ind w:left="5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700" w:type="dxa"/>
            <w:vAlign w:val="bottom"/>
            <w:vMerge w:val="restart"/>
          </w:tcPr>
          <w:p>
            <w:pPr>
              <w:jc w:val="center"/>
              <w:ind w:right="55"/>
              <w:spacing w:after="0"/>
              <w:rPr>
                <w:sz w:val="20"/>
                <w:szCs w:val="20"/>
                <w:color w:val="auto"/>
              </w:rPr>
            </w:pPr>
            <w:r>
              <w:rPr>
                <w:rFonts w:ascii="Arial" w:cs="Arial" w:eastAsia="Arial" w:hAnsi="Arial"/>
                <w:sz w:val="14"/>
                <w:szCs w:val="14"/>
                <w:color w:val="0000FF"/>
                <w:w w:val="85"/>
              </w:rPr>
              <w:t>Stock</w:t>
            </w:r>
          </w:p>
        </w:tc>
        <w:tc>
          <w:tcPr>
            <w:tcW w:w="5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8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jc w:val="center"/>
              <w:ind w:left="102"/>
              <w:spacing w:after="0"/>
              <w:rPr>
                <w:sz w:val="20"/>
                <w:szCs w:val="20"/>
                <w:color w:val="auto"/>
              </w:rPr>
            </w:pPr>
            <w:r>
              <w:rPr>
                <w:rFonts w:ascii="Arial" w:cs="Arial" w:eastAsia="Arial" w:hAnsi="Arial"/>
                <w:sz w:val="11"/>
                <w:szCs w:val="11"/>
                <w:color w:val="008000"/>
              </w:rPr>
              <w:t>(8)</w:t>
            </w:r>
          </w:p>
        </w:tc>
        <w:tc>
          <w:tcPr>
            <w:tcW w:w="140" w:type="dxa"/>
            <w:vAlign w:val="bottom"/>
          </w:tcPr>
          <w:p>
            <w:pPr>
              <w:spacing w:after="0"/>
              <w:rPr>
                <w:sz w:val="16"/>
                <w:szCs w:val="16"/>
                <w:color w:val="auto"/>
              </w:rPr>
            </w:pPr>
          </w:p>
        </w:tc>
        <w:tc>
          <w:tcPr>
            <w:tcW w:w="920" w:type="dxa"/>
            <w:vAlign w:val="bottom"/>
            <w:vMerge w:val="restart"/>
          </w:tcPr>
          <w:p>
            <w:pPr>
              <w:jc w:val="center"/>
              <w:ind w:left="174"/>
              <w:spacing w:after="0"/>
              <w:rPr>
                <w:sz w:val="20"/>
                <w:szCs w:val="20"/>
                <w:color w:val="auto"/>
              </w:rPr>
            </w:pPr>
            <w:r>
              <w:rPr>
                <w:rFonts w:ascii="Arial" w:cs="Arial" w:eastAsia="Arial" w:hAnsi="Arial"/>
                <w:sz w:val="14"/>
                <w:szCs w:val="14"/>
                <w:color w:val="0000FF"/>
                <w:w w:val="85"/>
              </w:rPr>
              <w:t>01/01/2014</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gridSpan w:val="4"/>
            <w:vMerge w:val="restart"/>
          </w:tcPr>
          <w:p>
            <w:pPr>
              <w:jc w:val="center"/>
              <w:ind w:right="275"/>
              <w:spacing w:after="0"/>
              <w:rPr>
                <w:sz w:val="20"/>
                <w:szCs w:val="20"/>
                <w:color w:val="auto"/>
              </w:rPr>
            </w:pPr>
            <w:r>
              <w:rPr>
                <w:rFonts w:ascii="Arial" w:cs="Arial" w:eastAsia="Arial" w:hAnsi="Arial"/>
                <w:sz w:val="27"/>
                <w:szCs w:val="27"/>
                <w:color w:val="0000FF"/>
                <w:w w:val="86"/>
                <w:vertAlign w:val="subscript"/>
              </w:rPr>
              <w:t>A</w:t>
            </w:r>
            <w:r>
              <w:rPr>
                <w:rFonts w:ascii="Arial" w:cs="Arial" w:eastAsia="Arial" w:hAnsi="Arial"/>
                <w:sz w:val="11"/>
                <w:szCs w:val="11"/>
                <w:color w:val="008000"/>
                <w:w w:val="86"/>
              </w:rPr>
              <w:t>(5)</w:t>
            </w:r>
          </w:p>
        </w:tc>
        <w:tc>
          <w:tcPr>
            <w:tcW w:w="560" w:type="dxa"/>
            <w:vAlign w:val="bottom"/>
            <w:vMerge w:val="restart"/>
          </w:tcPr>
          <w:p>
            <w:pPr>
              <w:jc w:val="center"/>
              <w:spacing w:after="0"/>
              <w:rPr>
                <w:sz w:val="20"/>
                <w:szCs w:val="20"/>
                <w:color w:val="auto"/>
              </w:rPr>
            </w:pPr>
            <w:r>
              <w:rPr>
                <w:rFonts w:ascii="Arial" w:cs="Arial" w:eastAsia="Arial" w:hAnsi="Arial"/>
                <w:sz w:val="14"/>
                <w:szCs w:val="14"/>
                <w:color w:val="0000FF"/>
                <w:w w:val="89"/>
              </w:rPr>
              <w:t>23</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vMerge w:val="restart"/>
          </w:tcPr>
          <w:p>
            <w:pPr>
              <w:jc w:val="center"/>
              <w:spacing w:after="0"/>
              <w:rPr>
                <w:sz w:val="20"/>
                <w:szCs w:val="20"/>
                <w:color w:val="auto"/>
              </w:rPr>
            </w:pPr>
            <w:r>
              <w:rPr>
                <w:rFonts w:ascii="Arial" w:cs="Arial" w:eastAsia="Arial" w:hAnsi="Arial"/>
                <w:sz w:val="11"/>
                <w:szCs w:val="11"/>
                <w:color w:val="008000"/>
              </w:rPr>
              <w:t>(8)</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vMerge w:val="restart"/>
          </w:tcPr>
          <w:p>
            <w:pPr>
              <w:jc w:val="center"/>
              <w:ind w:right="242"/>
              <w:spacing w:after="0"/>
              <w:rPr>
                <w:sz w:val="20"/>
                <w:szCs w:val="20"/>
                <w:color w:val="auto"/>
              </w:rPr>
            </w:pPr>
            <w:r>
              <w:rPr>
                <w:rFonts w:ascii="Arial" w:cs="Arial" w:eastAsia="Arial" w:hAnsi="Arial"/>
                <w:sz w:val="11"/>
                <w:szCs w:val="11"/>
                <w:color w:val="008000"/>
                <w:w w:val="88"/>
              </w:rPr>
              <w:t>(8)</w:t>
            </w:r>
          </w:p>
        </w:tc>
        <w:tc>
          <w:tcPr>
            <w:tcW w:w="700" w:type="dxa"/>
            <w:vAlign w:val="bottom"/>
          </w:tcPr>
          <w:p>
            <w:pPr>
              <w:jc w:val="center"/>
              <w:ind w:right="55"/>
              <w:spacing w:after="0"/>
              <w:rPr>
                <w:sz w:val="20"/>
                <w:szCs w:val="20"/>
                <w:color w:val="auto"/>
              </w:rPr>
            </w:pPr>
            <w:r>
              <w:rPr>
                <w:rFonts w:ascii="Arial" w:cs="Arial" w:eastAsia="Arial" w:hAnsi="Arial"/>
                <w:sz w:val="14"/>
                <w:szCs w:val="14"/>
                <w:color w:val="0000FF"/>
                <w:w w:val="87"/>
              </w:rPr>
              <w:t>Common</w:t>
            </w:r>
          </w:p>
        </w:tc>
        <w:tc>
          <w:tcPr>
            <w:tcW w:w="5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23</w:t>
            </w:r>
          </w:p>
        </w:tc>
        <w:tc>
          <w:tcPr>
            <w:tcW w:w="20" w:type="dxa"/>
            <w:vAlign w:val="bottom"/>
          </w:tcPr>
          <w:p>
            <w:pPr>
              <w:spacing w:after="0"/>
              <w:rPr>
                <w:sz w:val="16"/>
                <w:szCs w:val="16"/>
                <w:color w:val="auto"/>
              </w:rPr>
            </w:pPr>
          </w:p>
        </w:tc>
        <w:tc>
          <w:tcPr>
            <w:tcW w:w="780" w:type="dxa"/>
            <w:vAlign w:val="bottom"/>
            <w:gridSpan w:val="2"/>
            <w:vMerge w:val="restart"/>
          </w:tcPr>
          <w:p>
            <w:pPr>
              <w:jc w:val="center"/>
              <w:ind w:right="17"/>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67.53</w:t>
            </w:r>
            <w:r>
              <w:rPr>
                <w:rFonts w:ascii="Arial" w:cs="Arial" w:eastAsia="Arial" w:hAnsi="Arial"/>
                <w:sz w:val="22"/>
                <w:szCs w:val="22"/>
                <w:color w:val="008000"/>
                <w:w w:val="87"/>
                <w:vertAlign w:val="superscript"/>
              </w:rPr>
              <w:t>(6)</w:t>
            </w:r>
          </w:p>
        </w:tc>
        <w:tc>
          <w:tcPr>
            <w:tcW w:w="700" w:type="dxa"/>
            <w:vAlign w:val="bottom"/>
            <w:vMerge w:val="restart"/>
          </w:tcPr>
          <w:p>
            <w:pPr>
              <w:jc w:val="center"/>
              <w:ind w:left="56"/>
              <w:spacing w:after="0"/>
              <w:rPr>
                <w:sz w:val="20"/>
                <w:szCs w:val="20"/>
                <w:color w:val="auto"/>
              </w:rPr>
            </w:pPr>
            <w:r>
              <w:rPr>
                <w:rFonts w:ascii="Arial" w:cs="Arial" w:eastAsia="Arial" w:hAnsi="Arial"/>
                <w:sz w:val="14"/>
                <w:szCs w:val="14"/>
                <w:color w:val="0000FF"/>
                <w:w w:val="85"/>
              </w:rPr>
              <w:t>1,746</w:t>
            </w:r>
          </w:p>
        </w:tc>
        <w:tc>
          <w:tcPr>
            <w:tcW w:w="980" w:type="dxa"/>
            <w:vAlign w:val="bottom"/>
            <w:vMerge w:val="restart"/>
          </w:tcPr>
          <w:p>
            <w:pPr>
              <w:ind w:left="5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700" w:type="dxa"/>
            <w:vAlign w:val="bottom"/>
            <w:vMerge w:val="restart"/>
          </w:tcPr>
          <w:p>
            <w:pPr>
              <w:jc w:val="center"/>
              <w:ind w:right="55"/>
              <w:spacing w:after="0"/>
              <w:rPr>
                <w:sz w:val="20"/>
                <w:szCs w:val="20"/>
                <w:color w:val="auto"/>
              </w:rPr>
            </w:pPr>
            <w:r>
              <w:rPr>
                <w:rFonts w:ascii="Arial" w:cs="Arial" w:eastAsia="Arial" w:hAnsi="Arial"/>
                <w:sz w:val="14"/>
                <w:szCs w:val="14"/>
                <w:color w:val="0000FF"/>
                <w:w w:val="85"/>
              </w:rPr>
              <w:t>Stock</w:t>
            </w:r>
          </w:p>
        </w:tc>
        <w:tc>
          <w:tcPr>
            <w:tcW w:w="5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8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jc w:val="center"/>
              <w:ind w:left="102"/>
              <w:spacing w:after="0"/>
              <w:rPr>
                <w:sz w:val="20"/>
                <w:szCs w:val="20"/>
                <w:color w:val="auto"/>
              </w:rPr>
            </w:pPr>
            <w:r>
              <w:rPr>
                <w:rFonts w:ascii="Arial" w:cs="Arial" w:eastAsia="Arial" w:hAnsi="Arial"/>
                <w:sz w:val="11"/>
                <w:szCs w:val="11"/>
                <w:color w:val="008000"/>
              </w:rPr>
              <w:t>(7)</w:t>
            </w:r>
          </w:p>
        </w:tc>
        <w:tc>
          <w:tcPr>
            <w:tcW w:w="140" w:type="dxa"/>
            <w:vAlign w:val="bottom"/>
          </w:tcPr>
          <w:p>
            <w:pPr>
              <w:spacing w:after="0"/>
              <w:rPr>
                <w:sz w:val="16"/>
                <w:szCs w:val="16"/>
                <w:color w:val="auto"/>
              </w:rPr>
            </w:pPr>
          </w:p>
        </w:tc>
        <w:tc>
          <w:tcPr>
            <w:tcW w:w="920" w:type="dxa"/>
            <w:vAlign w:val="bottom"/>
            <w:vMerge w:val="restart"/>
          </w:tcPr>
          <w:p>
            <w:pPr>
              <w:jc w:val="center"/>
              <w:ind w:left="174"/>
              <w:spacing w:after="0"/>
              <w:rPr>
                <w:sz w:val="20"/>
                <w:szCs w:val="20"/>
                <w:color w:val="auto"/>
              </w:rPr>
            </w:pPr>
            <w:r>
              <w:rPr>
                <w:rFonts w:ascii="Arial" w:cs="Arial" w:eastAsia="Arial" w:hAnsi="Arial"/>
                <w:sz w:val="14"/>
                <w:szCs w:val="14"/>
                <w:color w:val="0000FF"/>
                <w:w w:val="85"/>
              </w:rPr>
              <w:t>01/01/2014</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gridSpan w:val="4"/>
            <w:vMerge w:val="restart"/>
          </w:tcPr>
          <w:p>
            <w:pPr>
              <w:jc w:val="center"/>
              <w:ind w:right="275"/>
              <w:spacing w:after="0"/>
              <w:rPr>
                <w:sz w:val="20"/>
                <w:szCs w:val="20"/>
                <w:color w:val="auto"/>
              </w:rPr>
            </w:pPr>
            <w:r>
              <w:rPr>
                <w:rFonts w:ascii="Arial" w:cs="Arial" w:eastAsia="Arial" w:hAnsi="Arial"/>
                <w:sz w:val="27"/>
                <w:szCs w:val="27"/>
                <w:color w:val="0000FF"/>
                <w:w w:val="86"/>
                <w:vertAlign w:val="subscript"/>
              </w:rPr>
              <w:t>A</w:t>
            </w:r>
            <w:r>
              <w:rPr>
                <w:rFonts w:ascii="Arial" w:cs="Arial" w:eastAsia="Arial" w:hAnsi="Arial"/>
                <w:sz w:val="11"/>
                <w:szCs w:val="11"/>
                <w:color w:val="008000"/>
                <w:w w:val="86"/>
              </w:rPr>
              <w:t>(5)</w:t>
            </w:r>
          </w:p>
        </w:tc>
        <w:tc>
          <w:tcPr>
            <w:tcW w:w="560" w:type="dxa"/>
            <w:vAlign w:val="bottom"/>
            <w:vMerge w:val="restart"/>
          </w:tcPr>
          <w:p>
            <w:pPr>
              <w:jc w:val="center"/>
              <w:spacing w:after="0"/>
              <w:rPr>
                <w:sz w:val="20"/>
                <w:szCs w:val="20"/>
                <w:color w:val="auto"/>
              </w:rPr>
            </w:pPr>
            <w:r>
              <w:rPr>
                <w:rFonts w:ascii="Arial" w:cs="Arial" w:eastAsia="Arial" w:hAnsi="Arial"/>
                <w:sz w:val="14"/>
                <w:szCs w:val="14"/>
                <w:color w:val="0000FF"/>
                <w:w w:val="89"/>
              </w:rPr>
              <w:t>12</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vMerge w:val="restart"/>
          </w:tcPr>
          <w:p>
            <w:pPr>
              <w:jc w:val="center"/>
              <w:ind w:right="242"/>
              <w:spacing w:after="0"/>
              <w:rPr>
                <w:sz w:val="20"/>
                <w:szCs w:val="20"/>
                <w:color w:val="auto"/>
              </w:rPr>
            </w:pPr>
            <w:r>
              <w:rPr>
                <w:rFonts w:ascii="Arial" w:cs="Arial" w:eastAsia="Arial" w:hAnsi="Arial"/>
                <w:sz w:val="11"/>
                <w:szCs w:val="11"/>
                <w:color w:val="008000"/>
                <w:w w:val="88"/>
              </w:rPr>
              <w:t>(7)</w:t>
            </w:r>
          </w:p>
        </w:tc>
        <w:tc>
          <w:tcPr>
            <w:tcW w:w="700" w:type="dxa"/>
            <w:vAlign w:val="bottom"/>
          </w:tcPr>
          <w:p>
            <w:pPr>
              <w:jc w:val="center"/>
              <w:ind w:right="55"/>
              <w:spacing w:after="0"/>
              <w:rPr>
                <w:sz w:val="20"/>
                <w:szCs w:val="20"/>
                <w:color w:val="auto"/>
              </w:rPr>
            </w:pPr>
            <w:r>
              <w:rPr>
                <w:rFonts w:ascii="Arial" w:cs="Arial" w:eastAsia="Arial" w:hAnsi="Arial"/>
                <w:sz w:val="14"/>
                <w:szCs w:val="14"/>
                <w:color w:val="0000FF"/>
                <w:w w:val="87"/>
              </w:rPr>
              <w:t>Common</w:t>
            </w:r>
          </w:p>
        </w:tc>
        <w:tc>
          <w:tcPr>
            <w:tcW w:w="5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12</w:t>
            </w:r>
          </w:p>
        </w:tc>
        <w:tc>
          <w:tcPr>
            <w:tcW w:w="20" w:type="dxa"/>
            <w:vAlign w:val="bottom"/>
          </w:tcPr>
          <w:p>
            <w:pPr>
              <w:spacing w:after="0"/>
              <w:rPr>
                <w:sz w:val="16"/>
                <w:szCs w:val="16"/>
                <w:color w:val="auto"/>
              </w:rPr>
            </w:pPr>
          </w:p>
        </w:tc>
        <w:tc>
          <w:tcPr>
            <w:tcW w:w="780" w:type="dxa"/>
            <w:vAlign w:val="bottom"/>
            <w:gridSpan w:val="2"/>
            <w:vMerge w:val="restart"/>
          </w:tcPr>
          <w:p>
            <w:pPr>
              <w:jc w:val="center"/>
              <w:ind w:right="17"/>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67.53</w:t>
            </w:r>
            <w:r>
              <w:rPr>
                <w:rFonts w:ascii="Arial" w:cs="Arial" w:eastAsia="Arial" w:hAnsi="Arial"/>
                <w:sz w:val="22"/>
                <w:szCs w:val="22"/>
                <w:color w:val="008000"/>
                <w:w w:val="87"/>
                <w:vertAlign w:val="superscript"/>
              </w:rPr>
              <w:t>(6)</w:t>
            </w:r>
          </w:p>
        </w:tc>
        <w:tc>
          <w:tcPr>
            <w:tcW w:w="700" w:type="dxa"/>
            <w:vAlign w:val="bottom"/>
            <w:vMerge w:val="restart"/>
          </w:tcPr>
          <w:p>
            <w:pPr>
              <w:jc w:val="center"/>
              <w:ind w:left="76"/>
              <w:spacing w:after="0"/>
              <w:rPr>
                <w:sz w:val="20"/>
                <w:szCs w:val="20"/>
                <w:color w:val="auto"/>
              </w:rPr>
            </w:pPr>
            <w:r>
              <w:rPr>
                <w:rFonts w:ascii="Arial" w:cs="Arial" w:eastAsia="Arial" w:hAnsi="Arial"/>
                <w:sz w:val="14"/>
                <w:szCs w:val="14"/>
                <w:color w:val="0000FF"/>
                <w:w w:val="85"/>
              </w:rPr>
              <w:t>935</w:t>
            </w:r>
          </w:p>
        </w:tc>
        <w:tc>
          <w:tcPr>
            <w:tcW w:w="980" w:type="dxa"/>
            <w:vAlign w:val="bottom"/>
            <w:vMerge w:val="restart"/>
          </w:tcPr>
          <w:p>
            <w:pPr>
              <w:ind w:left="5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700" w:type="dxa"/>
            <w:vAlign w:val="bottom"/>
            <w:vMerge w:val="restart"/>
          </w:tcPr>
          <w:p>
            <w:pPr>
              <w:jc w:val="center"/>
              <w:ind w:right="55"/>
              <w:spacing w:after="0"/>
              <w:rPr>
                <w:sz w:val="20"/>
                <w:szCs w:val="20"/>
                <w:color w:val="auto"/>
              </w:rPr>
            </w:pPr>
            <w:r>
              <w:rPr>
                <w:rFonts w:ascii="Arial" w:cs="Arial" w:eastAsia="Arial" w:hAnsi="Arial"/>
                <w:sz w:val="14"/>
                <w:szCs w:val="14"/>
                <w:color w:val="0000FF"/>
                <w:w w:val="85"/>
              </w:rPr>
              <w:t>Stock</w:t>
            </w:r>
          </w:p>
        </w:tc>
        <w:tc>
          <w:tcPr>
            <w:tcW w:w="5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8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jc w:val="center"/>
              <w:ind w:left="102"/>
              <w:spacing w:after="0"/>
              <w:rPr>
                <w:sz w:val="20"/>
                <w:szCs w:val="20"/>
                <w:color w:val="auto"/>
              </w:rPr>
            </w:pPr>
            <w:r>
              <w:rPr>
                <w:rFonts w:ascii="Arial" w:cs="Arial" w:eastAsia="Arial" w:hAnsi="Arial"/>
                <w:sz w:val="11"/>
                <w:szCs w:val="11"/>
                <w:color w:val="008000"/>
              </w:rPr>
              <w:t>(9)</w:t>
            </w:r>
          </w:p>
        </w:tc>
        <w:tc>
          <w:tcPr>
            <w:tcW w:w="140" w:type="dxa"/>
            <w:vAlign w:val="bottom"/>
          </w:tcPr>
          <w:p>
            <w:pPr>
              <w:spacing w:after="0"/>
              <w:rPr>
                <w:sz w:val="16"/>
                <w:szCs w:val="16"/>
                <w:color w:val="auto"/>
              </w:rPr>
            </w:pPr>
          </w:p>
        </w:tc>
        <w:tc>
          <w:tcPr>
            <w:tcW w:w="920" w:type="dxa"/>
            <w:vAlign w:val="bottom"/>
            <w:vMerge w:val="restart"/>
          </w:tcPr>
          <w:p>
            <w:pPr>
              <w:jc w:val="center"/>
              <w:ind w:left="174"/>
              <w:spacing w:after="0"/>
              <w:rPr>
                <w:sz w:val="20"/>
                <w:szCs w:val="20"/>
                <w:color w:val="auto"/>
              </w:rPr>
            </w:pPr>
            <w:r>
              <w:rPr>
                <w:rFonts w:ascii="Arial" w:cs="Arial" w:eastAsia="Arial" w:hAnsi="Arial"/>
                <w:sz w:val="14"/>
                <w:szCs w:val="14"/>
                <w:color w:val="0000FF"/>
                <w:w w:val="85"/>
              </w:rPr>
              <w:t>01/01/2014</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gridSpan w:val="4"/>
            <w:vMerge w:val="restart"/>
          </w:tcPr>
          <w:p>
            <w:pPr>
              <w:jc w:val="center"/>
              <w:ind w:right="275"/>
              <w:spacing w:after="0"/>
              <w:rPr>
                <w:sz w:val="20"/>
                <w:szCs w:val="20"/>
                <w:color w:val="auto"/>
              </w:rPr>
            </w:pPr>
            <w:r>
              <w:rPr>
                <w:rFonts w:ascii="Arial" w:cs="Arial" w:eastAsia="Arial" w:hAnsi="Arial"/>
                <w:sz w:val="27"/>
                <w:szCs w:val="27"/>
                <w:color w:val="0000FF"/>
                <w:w w:val="86"/>
                <w:vertAlign w:val="subscript"/>
              </w:rPr>
              <w:t>A</w:t>
            </w:r>
            <w:r>
              <w:rPr>
                <w:rFonts w:ascii="Arial" w:cs="Arial" w:eastAsia="Arial" w:hAnsi="Arial"/>
                <w:sz w:val="11"/>
                <w:szCs w:val="11"/>
                <w:color w:val="008000"/>
                <w:w w:val="86"/>
              </w:rPr>
              <w:t>(5)</w:t>
            </w:r>
          </w:p>
        </w:tc>
        <w:tc>
          <w:tcPr>
            <w:tcW w:w="560" w:type="dxa"/>
            <w:vAlign w:val="bottom"/>
            <w:vMerge w:val="restart"/>
          </w:tcPr>
          <w:p>
            <w:pPr>
              <w:jc w:val="center"/>
              <w:spacing w:after="0"/>
              <w:rPr>
                <w:sz w:val="20"/>
                <w:szCs w:val="20"/>
                <w:color w:val="auto"/>
              </w:rPr>
            </w:pPr>
            <w:r>
              <w:rPr>
                <w:rFonts w:ascii="Arial" w:cs="Arial" w:eastAsia="Arial" w:hAnsi="Arial"/>
                <w:sz w:val="14"/>
                <w:szCs w:val="14"/>
                <w:color w:val="0000FF"/>
                <w:w w:val="89"/>
              </w:rPr>
              <w:t>22</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vMerge w:val="restart"/>
          </w:tcPr>
          <w:p>
            <w:pPr>
              <w:jc w:val="center"/>
              <w:spacing w:after="0"/>
              <w:rPr>
                <w:sz w:val="20"/>
                <w:szCs w:val="20"/>
                <w:color w:val="auto"/>
              </w:rPr>
            </w:pPr>
            <w:r>
              <w:rPr>
                <w:rFonts w:ascii="Arial" w:cs="Arial" w:eastAsia="Arial" w:hAnsi="Arial"/>
                <w:sz w:val="11"/>
                <w:szCs w:val="11"/>
                <w:color w:val="008000"/>
              </w:rPr>
              <w:t>(9)</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vMerge w:val="restart"/>
          </w:tcPr>
          <w:p>
            <w:pPr>
              <w:jc w:val="center"/>
              <w:ind w:right="242"/>
              <w:spacing w:after="0"/>
              <w:rPr>
                <w:sz w:val="20"/>
                <w:szCs w:val="20"/>
                <w:color w:val="auto"/>
              </w:rPr>
            </w:pPr>
            <w:r>
              <w:rPr>
                <w:rFonts w:ascii="Arial" w:cs="Arial" w:eastAsia="Arial" w:hAnsi="Arial"/>
                <w:sz w:val="11"/>
                <w:szCs w:val="11"/>
                <w:color w:val="008000"/>
                <w:w w:val="88"/>
              </w:rPr>
              <w:t>(9)</w:t>
            </w:r>
          </w:p>
        </w:tc>
        <w:tc>
          <w:tcPr>
            <w:tcW w:w="700" w:type="dxa"/>
            <w:vAlign w:val="bottom"/>
          </w:tcPr>
          <w:p>
            <w:pPr>
              <w:jc w:val="center"/>
              <w:ind w:right="55"/>
              <w:spacing w:after="0"/>
              <w:rPr>
                <w:sz w:val="20"/>
                <w:szCs w:val="20"/>
                <w:color w:val="auto"/>
              </w:rPr>
            </w:pPr>
            <w:r>
              <w:rPr>
                <w:rFonts w:ascii="Arial" w:cs="Arial" w:eastAsia="Arial" w:hAnsi="Arial"/>
                <w:sz w:val="14"/>
                <w:szCs w:val="14"/>
                <w:color w:val="0000FF"/>
                <w:w w:val="87"/>
              </w:rPr>
              <w:t>Common</w:t>
            </w:r>
          </w:p>
        </w:tc>
        <w:tc>
          <w:tcPr>
            <w:tcW w:w="5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22</w:t>
            </w:r>
          </w:p>
        </w:tc>
        <w:tc>
          <w:tcPr>
            <w:tcW w:w="20" w:type="dxa"/>
            <w:vAlign w:val="bottom"/>
          </w:tcPr>
          <w:p>
            <w:pPr>
              <w:spacing w:after="0"/>
              <w:rPr>
                <w:sz w:val="16"/>
                <w:szCs w:val="16"/>
                <w:color w:val="auto"/>
              </w:rPr>
            </w:pPr>
          </w:p>
        </w:tc>
        <w:tc>
          <w:tcPr>
            <w:tcW w:w="780" w:type="dxa"/>
            <w:vAlign w:val="bottom"/>
            <w:gridSpan w:val="2"/>
            <w:vMerge w:val="restart"/>
          </w:tcPr>
          <w:p>
            <w:pPr>
              <w:jc w:val="center"/>
              <w:ind w:right="17"/>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67.53</w:t>
            </w:r>
            <w:r>
              <w:rPr>
                <w:rFonts w:ascii="Arial" w:cs="Arial" w:eastAsia="Arial" w:hAnsi="Arial"/>
                <w:sz w:val="22"/>
                <w:szCs w:val="22"/>
                <w:color w:val="008000"/>
                <w:w w:val="87"/>
                <w:vertAlign w:val="superscript"/>
              </w:rPr>
              <w:t>(6)</w:t>
            </w:r>
          </w:p>
        </w:tc>
        <w:tc>
          <w:tcPr>
            <w:tcW w:w="700" w:type="dxa"/>
            <w:vAlign w:val="bottom"/>
            <w:vMerge w:val="restart"/>
          </w:tcPr>
          <w:p>
            <w:pPr>
              <w:jc w:val="center"/>
              <w:ind w:left="56"/>
              <w:spacing w:after="0"/>
              <w:rPr>
                <w:sz w:val="20"/>
                <w:szCs w:val="20"/>
                <w:color w:val="auto"/>
              </w:rPr>
            </w:pPr>
            <w:r>
              <w:rPr>
                <w:rFonts w:ascii="Arial" w:cs="Arial" w:eastAsia="Arial" w:hAnsi="Arial"/>
                <w:sz w:val="14"/>
                <w:szCs w:val="14"/>
                <w:color w:val="0000FF"/>
                <w:w w:val="85"/>
              </w:rPr>
              <w:t>1,629</w:t>
            </w:r>
          </w:p>
        </w:tc>
        <w:tc>
          <w:tcPr>
            <w:tcW w:w="980" w:type="dxa"/>
            <w:vAlign w:val="bottom"/>
            <w:vMerge w:val="restart"/>
          </w:tcPr>
          <w:p>
            <w:pPr>
              <w:ind w:left="5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700" w:type="dxa"/>
            <w:vAlign w:val="bottom"/>
            <w:vMerge w:val="restart"/>
          </w:tcPr>
          <w:p>
            <w:pPr>
              <w:jc w:val="center"/>
              <w:ind w:right="55"/>
              <w:spacing w:after="0"/>
              <w:rPr>
                <w:sz w:val="20"/>
                <w:szCs w:val="20"/>
                <w:color w:val="auto"/>
              </w:rPr>
            </w:pPr>
            <w:r>
              <w:rPr>
                <w:rFonts w:ascii="Arial" w:cs="Arial" w:eastAsia="Arial" w:hAnsi="Arial"/>
                <w:sz w:val="14"/>
                <w:szCs w:val="14"/>
                <w:color w:val="0000FF"/>
                <w:w w:val="85"/>
              </w:rPr>
              <w:t>Stock</w:t>
            </w:r>
          </w:p>
        </w:tc>
        <w:tc>
          <w:tcPr>
            <w:tcW w:w="5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8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jc w:val="center"/>
              <w:ind w:left="102"/>
              <w:spacing w:after="0"/>
              <w:rPr>
                <w:sz w:val="20"/>
                <w:szCs w:val="20"/>
                <w:color w:val="auto"/>
              </w:rPr>
            </w:pPr>
            <w:r>
              <w:rPr>
                <w:rFonts w:ascii="Arial" w:cs="Arial" w:eastAsia="Arial" w:hAnsi="Arial"/>
                <w:sz w:val="11"/>
                <w:szCs w:val="11"/>
                <w:color w:val="008000"/>
                <w:w w:val="91"/>
              </w:rPr>
              <w:t>(10)</w:t>
            </w:r>
          </w:p>
        </w:tc>
        <w:tc>
          <w:tcPr>
            <w:tcW w:w="140" w:type="dxa"/>
            <w:vAlign w:val="bottom"/>
          </w:tcPr>
          <w:p>
            <w:pPr>
              <w:spacing w:after="0"/>
              <w:rPr>
                <w:sz w:val="16"/>
                <w:szCs w:val="16"/>
                <w:color w:val="auto"/>
              </w:rPr>
            </w:pPr>
          </w:p>
        </w:tc>
        <w:tc>
          <w:tcPr>
            <w:tcW w:w="920" w:type="dxa"/>
            <w:vAlign w:val="bottom"/>
            <w:vMerge w:val="restart"/>
          </w:tcPr>
          <w:p>
            <w:pPr>
              <w:jc w:val="center"/>
              <w:ind w:left="174"/>
              <w:spacing w:after="0"/>
              <w:rPr>
                <w:sz w:val="20"/>
                <w:szCs w:val="20"/>
                <w:color w:val="auto"/>
              </w:rPr>
            </w:pPr>
            <w:r>
              <w:rPr>
                <w:rFonts w:ascii="Arial" w:cs="Arial" w:eastAsia="Arial" w:hAnsi="Arial"/>
                <w:sz w:val="14"/>
                <w:szCs w:val="14"/>
                <w:color w:val="0000FF"/>
                <w:w w:val="85"/>
              </w:rPr>
              <w:t>01/01/2014</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gridSpan w:val="4"/>
            <w:vMerge w:val="restart"/>
          </w:tcPr>
          <w:p>
            <w:pPr>
              <w:jc w:val="center"/>
              <w:ind w:right="275"/>
              <w:spacing w:after="0"/>
              <w:rPr>
                <w:sz w:val="20"/>
                <w:szCs w:val="20"/>
                <w:color w:val="auto"/>
              </w:rPr>
            </w:pPr>
            <w:r>
              <w:rPr>
                <w:rFonts w:ascii="Arial" w:cs="Arial" w:eastAsia="Arial" w:hAnsi="Arial"/>
                <w:sz w:val="27"/>
                <w:szCs w:val="27"/>
                <w:color w:val="0000FF"/>
                <w:w w:val="86"/>
                <w:vertAlign w:val="subscript"/>
              </w:rPr>
              <w:t>A</w:t>
            </w:r>
            <w:r>
              <w:rPr>
                <w:rFonts w:ascii="Arial" w:cs="Arial" w:eastAsia="Arial" w:hAnsi="Arial"/>
                <w:sz w:val="11"/>
                <w:szCs w:val="11"/>
                <w:color w:val="008000"/>
                <w:w w:val="86"/>
              </w:rPr>
              <w:t>(5)</w:t>
            </w:r>
          </w:p>
        </w:tc>
        <w:tc>
          <w:tcPr>
            <w:tcW w:w="560" w:type="dxa"/>
            <w:vAlign w:val="bottom"/>
            <w:vMerge w:val="restart"/>
          </w:tcPr>
          <w:p>
            <w:pPr>
              <w:jc w:val="center"/>
              <w:spacing w:after="0"/>
              <w:rPr>
                <w:sz w:val="20"/>
                <w:szCs w:val="20"/>
                <w:color w:val="auto"/>
              </w:rPr>
            </w:pPr>
            <w:r>
              <w:rPr>
                <w:rFonts w:ascii="Arial" w:cs="Arial" w:eastAsia="Arial" w:hAnsi="Arial"/>
                <w:sz w:val="14"/>
                <w:szCs w:val="14"/>
                <w:color w:val="0000FF"/>
                <w:w w:val="89"/>
              </w:rPr>
              <w:t>54</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vMerge w:val="restart"/>
          </w:tcPr>
          <w:p>
            <w:pPr>
              <w:jc w:val="center"/>
              <w:ind w:right="242"/>
              <w:spacing w:after="0"/>
              <w:rPr>
                <w:sz w:val="20"/>
                <w:szCs w:val="20"/>
                <w:color w:val="auto"/>
              </w:rPr>
            </w:pPr>
            <w:r>
              <w:rPr>
                <w:rFonts w:ascii="Arial" w:cs="Arial" w:eastAsia="Arial" w:hAnsi="Arial"/>
                <w:sz w:val="11"/>
                <w:szCs w:val="11"/>
                <w:color w:val="008000"/>
              </w:rPr>
              <w:t>(10)</w:t>
            </w:r>
          </w:p>
        </w:tc>
        <w:tc>
          <w:tcPr>
            <w:tcW w:w="700" w:type="dxa"/>
            <w:vAlign w:val="bottom"/>
          </w:tcPr>
          <w:p>
            <w:pPr>
              <w:jc w:val="center"/>
              <w:ind w:right="55"/>
              <w:spacing w:after="0"/>
              <w:rPr>
                <w:sz w:val="20"/>
                <w:szCs w:val="20"/>
                <w:color w:val="auto"/>
              </w:rPr>
            </w:pPr>
            <w:r>
              <w:rPr>
                <w:rFonts w:ascii="Arial" w:cs="Arial" w:eastAsia="Arial" w:hAnsi="Arial"/>
                <w:sz w:val="14"/>
                <w:szCs w:val="14"/>
                <w:color w:val="0000FF"/>
                <w:w w:val="87"/>
              </w:rPr>
              <w:t>Common</w:t>
            </w:r>
          </w:p>
        </w:tc>
        <w:tc>
          <w:tcPr>
            <w:tcW w:w="5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41</w:t>
            </w:r>
          </w:p>
        </w:tc>
        <w:tc>
          <w:tcPr>
            <w:tcW w:w="20" w:type="dxa"/>
            <w:vAlign w:val="bottom"/>
          </w:tcPr>
          <w:p>
            <w:pPr>
              <w:spacing w:after="0"/>
              <w:rPr>
                <w:sz w:val="16"/>
                <w:szCs w:val="16"/>
                <w:color w:val="auto"/>
              </w:rPr>
            </w:pPr>
          </w:p>
        </w:tc>
        <w:tc>
          <w:tcPr>
            <w:tcW w:w="780" w:type="dxa"/>
            <w:vAlign w:val="bottom"/>
            <w:gridSpan w:val="2"/>
            <w:vMerge w:val="restart"/>
          </w:tcPr>
          <w:p>
            <w:pPr>
              <w:jc w:val="center"/>
              <w:ind w:right="17"/>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67.53</w:t>
            </w:r>
            <w:r>
              <w:rPr>
                <w:rFonts w:ascii="Arial" w:cs="Arial" w:eastAsia="Arial" w:hAnsi="Arial"/>
                <w:sz w:val="22"/>
                <w:szCs w:val="22"/>
                <w:color w:val="008000"/>
                <w:w w:val="87"/>
                <w:vertAlign w:val="superscript"/>
              </w:rPr>
              <w:t>(6)</w:t>
            </w:r>
          </w:p>
        </w:tc>
        <w:tc>
          <w:tcPr>
            <w:tcW w:w="700" w:type="dxa"/>
            <w:vAlign w:val="bottom"/>
            <w:vMerge w:val="restart"/>
          </w:tcPr>
          <w:p>
            <w:pPr>
              <w:jc w:val="center"/>
              <w:ind w:left="56"/>
              <w:spacing w:after="0"/>
              <w:rPr>
                <w:sz w:val="20"/>
                <w:szCs w:val="20"/>
                <w:color w:val="auto"/>
              </w:rPr>
            </w:pPr>
            <w:r>
              <w:rPr>
                <w:rFonts w:ascii="Arial" w:cs="Arial" w:eastAsia="Arial" w:hAnsi="Arial"/>
                <w:sz w:val="14"/>
                <w:szCs w:val="14"/>
                <w:color w:val="0000FF"/>
                <w:w w:val="85"/>
              </w:rPr>
              <w:t>3,041</w:t>
            </w:r>
          </w:p>
        </w:tc>
        <w:tc>
          <w:tcPr>
            <w:tcW w:w="980" w:type="dxa"/>
            <w:vAlign w:val="bottom"/>
            <w:vMerge w:val="restart"/>
          </w:tcPr>
          <w:p>
            <w:pPr>
              <w:ind w:left="5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700" w:type="dxa"/>
            <w:vAlign w:val="bottom"/>
            <w:vMerge w:val="restart"/>
          </w:tcPr>
          <w:p>
            <w:pPr>
              <w:jc w:val="center"/>
              <w:ind w:right="55"/>
              <w:spacing w:after="0"/>
              <w:rPr>
                <w:sz w:val="20"/>
                <w:szCs w:val="20"/>
                <w:color w:val="auto"/>
              </w:rPr>
            </w:pPr>
            <w:r>
              <w:rPr>
                <w:rFonts w:ascii="Arial" w:cs="Arial" w:eastAsia="Arial" w:hAnsi="Arial"/>
                <w:sz w:val="14"/>
                <w:szCs w:val="14"/>
                <w:color w:val="0000FF"/>
                <w:w w:val="85"/>
              </w:rPr>
              <w:t>Stock</w:t>
            </w:r>
          </w:p>
        </w:tc>
        <w:tc>
          <w:tcPr>
            <w:tcW w:w="5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8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jc w:val="center"/>
              <w:ind w:left="102"/>
              <w:spacing w:after="0"/>
              <w:rPr>
                <w:sz w:val="20"/>
                <w:szCs w:val="20"/>
                <w:color w:val="auto"/>
              </w:rPr>
            </w:pPr>
            <w:r>
              <w:rPr>
                <w:rFonts w:ascii="Arial" w:cs="Arial" w:eastAsia="Arial" w:hAnsi="Arial"/>
                <w:sz w:val="11"/>
                <w:szCs w:val="11"/>
                <w:color w:val="008000"/>
                <w:w w:val="91"/>
              </w:rPr>
              <w:t>(11)</w:t>
            </w:r>
          </w:p>
        </w:tc>
        <w:tc>
          <w:tcPr>
            <w:tcW w:w="140" w:type="dxa"/>
            <w:vAlign w:val="bottom"/>
          </w:tcPr>
          <w:p>
            <w:pPr>
              <w:spacing w:after="0"/>
              <w:rPr>
                <w:sz w:val="16"/>
                <w:szCs w:val="16"/>
                <w:color w:val="auto"/>
              </w:rPr>
            </w:pPr>
          </w:p>
        </w:tc>
        <w:tc>
          <w:tcPr>
            <w:tcW w:w="920" w:type="dxa"/>
            <w:vAlign w:val="bottom"/>
            <w:vMerge w:val="restart"/>
          </w:tcPr>
          <w:p>
            <w:pPr>
              <w:jc w:val="center"/>
              <w:ind w:left="174"/>
              <w:spacing w:after="0"/>
              <w:rPr>
                <w:sz w:val="20"/>
                <w:szCs w:val="20"/>
                <w:color w:val="auto"/>
              </w:rPr>
            </w:pPr>
            <w:r>
              <w:rPr>
                <w:rFonts w:ascii="Arial" w:cs="Arial" w:eastAsia="Arial" w:hAnsi="Arial"/>
                <w:sz w:val="14"/>
                <w:szCs w:val="14"/>
                <w:color w:val="0000FF"/>
                <w:w w:val="85"/>
              </w:rPr>
              <w:t>01/01/2014</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gridSpan w:val="4"/>
            <w:vMerge w:val="restart"/>
          </w:tcPr>
          <w:p>
            <w:pPr>
              <w:jc w:val="center"/>
              <w:ind w:right="275"/>
              <w:spacing w:after="0"/>
              <w:rPr>
                <w:sz w:val="20"/>
                <w:szCs w:val="20"/>
                <w:color w:val="auto"/>
              </w:rPr>
            </w:pPr>
            <w:r>
              <w:rPr>
                <w:rFonts w:ascii="Arial" w:cs="Arial" w:eastAsia="Arial" w:hAnsi="Arial"/>
                <w:sz w:val="27"/>
                <w:szCs w:val="27"/>
                <w:color w:val="0000FF"/>
                <w:w w:val="86"/>
                <w:vertAlign w:val="subscript"/>
              </w:rPr>
              <w:t>A</w:t>
            </w:r>
            <w:r>
              <w:rPr>
                <w:rFonts w:ascii="Arial" w:cs="Arial" w:eastAsia="Arial" w:hAnsi="Arial"/>
                <w:sz w:val="11"/>
                <w:szCs w:val="11"/>
                <w:color w:val="008000"/>
                <w:w w:val="86"/>
              </w:rPr>
              <w:t>(5)</w:t>
            </w:r>
          </w:p>
        </w:tc>
        <w:tc>
          <w:tcPr>
            <w:tcW w:w="560" w:type="dxa"/>
            <w:vAlign w:val="bottom"/>
            <w:vMerge w:val="restart"/>
          </w:tcPr>
          <w:p>
            <w:pPr>
              <w:jc w:val="center"/>
              <w:spacing w:after="0"/>
              <w:rPr>
                <w:sz w:val="20"/>
                <w:szCs w:val="20"/>
                <w:color w:val="auto"/>
              </w:rPr>
            </w:pPr>
            <w:r>
              <w:rPr>
                <w:rFonts w:ascii="Arial" w:cs="Arial" w:eastAsia="Arial" w:hAnsi="Arial"/>
                <w:sz w:val="14"/>
                <w:szCs w:val="14"/>
                <w:color w:val="0000FF"/>
                <w:w w:val="89"/>
              </w:rPr>
              <w:t>34</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vMerge w:val="restart"/>
          </w:tcPr>
          <w:p>
            <w:pPr>
              <w:jc w:val="center"/>
              <w:spacing w:after="0"/>
              <w:rPr>
                <w:sz w:val="20"/>
                <w:szCs w:val="20"/>
                <w:color w:val="auto"/>
              </w:rPr>
            </w:pPr>
            <w:r>
              <w:rPr>
                <w:rFonts w:ascii="Arial" w:cs="Arial" w:eastAsia="Arial" w:hAnsi="Arial"/>
                <w:sz w:val="11"/>
                <w:szCs w:val="11"/>
                <w:color w:val="008000"/>
                <w:w w:val="91"/>
              </w:rPr>
              <w:t>(11)</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vMerge w:val="restart"/>
          </w:tcPr>
          <w:p>
            <w:pPr>
              <w:jc w:val="center"/>
              <w:ind w:right="242"/>
              <w:spacing w:after="0"/>
              <w:rPr>
                <w:sz w:val="20"/>
                <w:szCs w:val="20"/>
                <w:color w:val="auto"/>
              </w:rPr>
            </w:pPr>
            <w:r>
              <w:rPr>
                <w:rFonts w:ascii="Arial" w:cs="Arial" w:eastAsia="Arial" w:hAnsi="Arial"/>
                <w:sz w:val="11"/>
                <w:szCs w:val="11"/>
                <w:color w:val="008000"/>
              </w:rPr>
              <w:t>(11)</w:t>
            </w:r>
          </w:p>
        </w:tc>
        <w:tc>
          <w:tcPr>
            <w:tcW w:w="700" w:type="dxa"/>
            <w:vAlign w:val="bottom"/>
          </w:tcPr>
          <w:p>
            <w:pPr>
              <w:jc w:val="center"/>
              <w:ind w:right="55"/>
              <w:spacing w:after="0"/>
              <w:rPr>
                <w:sz w:val="20"/>
                <w:szCs w:val="20"/>
                <w:color w:val="auto"/>
              </w:rPr>
            </w:pPr>
            <w:r>
              <w:rPr>
                <w:rFonts w:ascii="Arial" w:cs="Arial" w:eastAsia="Arial" w:hAnsi="Arial"/>
                <w:sz w:val="14"/>
                <w:szCs w:val="14"/>
                <w:color w:val="0000FF"/>
                <w:w w:val="87"/>
              </w:rPr>
              <w:t>Common</w:t>
            </w:r>
          </w:p>
        </w:tc>
        <w:tc>
          <w:tcPr>
            <w:tcW w:w="5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34</w:t>
            </w:r>
          </w:p>
        </w:tc>
        <w:tc>
          <w:tcPr>
            <w:tcW w:w="20" w:type="dxa"/>
            <w:vAlign w:val="bottom"/>
          </w:tcPr>
          <w:p>
            <w:pPr>
              <w:spacing w:after="0"/>
              <w:rPr>
                <w:sz w:val="16"/>
                <w:szCs w:val="16"/>
                <w:color w:val="auto"/>
              </w:rPr>
            </w:pPr>
          </w:p>
        </w:tc>
        <w:tc>
          <w:tcPr>
            <w:tcW w:w="780" w:type="dxa"/>
            <w:vAlign w:val="bottom"/>
            <w:gridSpan w:val="2"/>
            <w:vMerge w:val="restart"/>
          </w:tcPr>
          <w:p>
            <w:pPr>
              <w:jc w:val="center"/>
              <w:ind w:right="17"/>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67.53</w:t>
            </w:r>
            <w:r>
              <w:rPr>
                <w:rFonts w:ascii="Arial" w:cs="Arial" w:eastAsia="Arial" w:hAnsi="Arial"/>
                <w:sz w:val="22"/>
                <w:szCs w:val="22"/>
                <w:color w:val="008000"/>
                <w:w w:val="87"/>
                <w:vertAlign w:val="superscript"/>
              </w:rPr>
              <w:t>(6)</w:t>
            </w:r>
          </w:p>
        </w:tc>
        <w:tc>
          <w:tcPr>
            <w:tcW w:w="700" w:type="dxa"/>
            <w:vAlign w:val="bottom"/>
            <w:vMerge w:val="restart"/>
          </w:tcPr>
          <w:p>
            <w:pPr>
              <w:jc w:val="center"/>
              <w:ind w:left="56"/>
              <w:spacing w:after="0"/>
              <w:rPr>
                <w:sz w:val="20"/>
                <w:szCs w:val="20"/>
                <w:color w:val="auto"/>
              </w:rPr>
            </w:pPr>
            <w:r>
              <w:rPr>
                <w:rFonts w:ascii="Arial" w:cs="Arial" w:eastAsia="Arial" w:hAnsi="Arial"/>
                <w:sz w:val="14"/>
                <w:szCs w:val="14"/>
                <w:color w:val="0000FF"/>
                <w:w w:val="85"/>
              </w:rPr>
              <w:t>2,508</w:t>
            </w:r>
          </w:p>
        </w:tc>
        <w:tc>
          <w:tcPr>
            <w:tcW w:w="980" w:type="dxa"/>
            <w:vAlign w:val="bottom"/>
            <w:vMerge w:val="restart"/>
          </w:tcPr>
          <w:p>
            <w:pPr>
              <w:ind w:left="5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700" w:type="dxa"/>
            <w:vAlign w:val="bottom"/>
            <w:vMerge w:val="restart"/>
          </w:tcPr>
          <w:p>
            <w:pPr>
              <w:jc w:val="center"/>
              <w:ind w:right="55"/>
              <w:spacing w:after="0"/>
              <w:rPr>
                <w:sz w:val="20"/>
                <w:szCs w:val="20"/>
                <w:color w:val="auto"/>
              </w:rPr>
            </w:pPr>
            <w:r>
              <w:rPr>
                <w:rFonts w:ascii="Arial" w:cs="Arial" w:eastAsia="Arial" w:hAnsi="Arial"/>
                <w:sz w:val="14"/>
                <w:szCs w:val="14"/>
                <w:color w:val="0000FF"/>
                <w:w w:val="85"/>
              </w:rPr>
              <w:t>Stock</w:t>
            </w:r>
          </w:p>
        </w:tc>
        <w:tc>
          <w:tcPr>
            <w:tcW w:w="5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8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1"/>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of deferred stock vest in quarterly installments on the last day of each calendar quarter during 2014 and will be settled in shares of ManpowerGroup common stock on a 1 for 1 basis on the earlier of January 1, 2017 or within 30 days after the reporting person's termination of service as a director, except as otherwise provided in the Terms and Conditions (as defined below).</w:t>
      </w:r>
    </w:p>
    <w:p>
      <w:pPr>
        <w:ind w:left="40" w:right="200" w:firstLine="1"/>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Annual grant of deferred stock under the 2011 Equity Incentive Plan of the Company (the "Plan") and the Terms and Conditions Regarding the Grant of Awards to Non-Employee Directors under the Plan (the "Terms and Conditions").</w:t>
      </w:r>
    </w:p>
    <w:p>
      <w:pPr>
        <w:spacing w:after="0" w:line="30" w:lineRule="exact"/>
        <w:rPr>
          <w:rFonts w:ascii="Arial" w:cs="Arial" w:eastAsia="Arial" w:hAnsi="Arial"/>
          <w:sz w:val="14"/>
          <w:szCs w:val="14"/>
          <w:color w:val="008000"/>
        </w:rPr>
      </w:pPr>
    </w:p>
    <w:p>
      <w:pPr>
        <w:ind w:left="180" w:hanging="139"/>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Market Price (as defined in the Plan) on the last trading day of 2013.</w:t>
      </w:r>
    </w:p>
    <w:p>
      <w:pPr>
        <w:spacing w:after="0" w:line="41" w:lineRule="exact"/>
        <w:rPr>
          <w:rFonts w:ascii="Arial" w:cs="Arial" w:eastAsia="Arial" w:hAnsi="Arial"/>
          <w:sz w:val="14"/>
          <w:szCs w:val="14"/>
          <w:color w:val="008000"/>
        </w:rPr>
      </w:pPr>
    </w:p>
    <w:p>
      <w:pPr>
        <w:ind w:left="40" w:right="300" w:firstLine="1"/>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of deferred stock are fully vested on the date of grant and will be settled in shares of ManpowerGroup common stock on a 1 for 1 basis on the earlier of January 1, 2019 or within 30 days after the reporting person's termination of service as a director, except as otherwise provided in the Terms and Conditions.</w:t>
      </w:r>
    </w:p>
    <w:p>
      <w:pPr>
        <w:spacing w:after="0" w:line="30" w:lineRule="exact"/>
        <w:rPr>
          <w:rFonts w:ascii="Arial" w:cs="Arial" w:eastAsia="Arial" w:hAnsi="Arial"/>
          <w:sz w:val="14"/>
          <w:szCs w:val="14"/>
          <w:color w:val="008000"/>
        </w:rPr>
      </w:pPr>
    </w:p>
    <w:p>
      <w:pPr>
        <w:ind w:left="180" w:hanging="139"/>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Receipt of deferred stock under the Plan and the Terms and Conditions in lieu of dividends.</w:t>
      </w:r>
    </w:p>
    <w:p>
      <w:pPr>
        <w:spacing w:after="0" w:line="41" w:lineRule="exact"/>
        <w:rPr>
          <w:rFonts w:ascii="Arial" w:cs="Arial" w:eastAsia="Arial" w:hAnsi="Arial"/>
          <w:sz w:val="14"/>
          <w:szCs w:val="14"/>
          <w:color w:val="008000"/>
        </w:rPr>
      </w:pPr>
    </w:p>
    <w:p>
      <w:pPr>
        <w:ind w:left="180" w:hanging="139"/>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Average Trading Price (as defined in the Terms and Conditions).</w:t>
      </w:r>
    </w:p>
    <w:p>
      <w:pPr>
        <w:spacing w:after="0" w:line="41" w:lineRule="exact"/>
        <w:rPr>
          <w:rFonts w:ascii="Arial" w:cs="Arial" w:eastAsia="Arial" w:hAnsi="Arial"/>
          <w:sz w:val="14"/>
          <w:szCs w:val="14"/>
          <w:color w:val="008000"/>
        </w:rPr>
      </w:pPr>
    </w:p>
    <w:p>
      <w:pPr>
        <w:ind w:left="40" w:right="300" w:firstLine="1"/>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of deferred stock are fully vested on the date of grant and will be settled in shares of ManpowerGroup common stock on a 1 for 1 basis on the earlier of January 1, 2018 or within 30 days after the reporting person's termination of service as a director, except as otherwise provided in the Terms and Conditions.</w:t>
      </w:r>
    </w:p>
    <w:p>
      <w:pPr>
        <w:spacing w:after="0" w:line="30" w:lineRule="exact"/>
        <w:rPr>
          <w:rFonts w:ascii="Arial" w:cs="Arial" w:eastAsia="Arial" w:hAnsi="Arial"/>
          <w:sz w:val="14"/>
          <w:szCs w:val="14"/>
          <w:color w:val="008000"/>
        </w:rPr>
      </w:pPr>
    </w:p>
    <w:p>
      <w:pPr>
        <w:ind w:left="40" w:right="360" w:firstLine="1"/>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of deferred stock are fully vested on the date of grant and will be settled in shares of ManpowerGroup common stock on a 1 for 1 basis on the earlier of April 28, 2017 or within 30 days after the reporting person's termination of service as a director, except as provided in the Terms and Conditions.</w:t>
      </w:r>
    </w:p>
    <w:p>
      <w:pPr>
        <w:spacing w:after="0" w:line="30" w:lineRule="exact"/>
        <w:rPr>
          <w:rFonts w:ascii="Arial" w:cs="Arial" w:eastAsia="Arial" w:hAnsi="Arial"/>
          <w:sz w:val="14"/>
          <w:szCs w:val="14"/>
          <w:color w:val="008000"/>
        </w:rPr>
      </w:pPr>
    </w:p>
    <w:p>
      <w:pPr>
        <w:ind w:left="40" w:right="300" w:firstLine="1"/>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of deferred stock are fully vested on the date of grant and will be settled in shares of ManpowerGroup common stock on a 1 for 1 basis on the earlier of January 1, 2019 or within 30 days after the reporting person's termination of service as a director, except as otherwise provided in the Terms and Conditions.</w:t>
      </w:r>
    </w:p>
    <w:p>
      <w:pPr>
        <w:spacing w:after="0" w:line="30" w:lineRule="exact"/>
        <w:rPr>
          <w:rFonts w:ascii="Arial" w:cs="Arial" w:eastAsia="Arial" w:hAnsi="Arial"/>
          <w:sz w:val="14"/>
          <w:szCs w:val="14"/>
          <w:color w:val="008000"/>
        </w:rPr>
      </w:pPr>
    </w:p>
    <w:p>
      <w:pPr>
        <w:ind w:left="40" w:right="220" w:firstLine="1"/>
        <w:spacing w:after="0" w:line="239" w:lineRule="auto"/>
        <w:tabs>
          <w:tab w:leader="none" w:pos="242"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of deferred stock are fully vested on the date of grant and will be settled in shares of ManpowerGroup common stock on a 1 for 1 basis on the earlier of January 1, 2020 or within 30 days after the reporting person's termination of service as a director, except as otherwise provided in the Terms and Conditions.</w:t>
      </w:r>
    </w:p>
    <w:p>
      <w:pPr>
        <w:spacing w:after="0" w:line="30" w:lineRule="exact"/>
        <w:rPr>
          <w:rFonts w:ascii="Arial" w:cs="Arial" w:eastAsia="Arial" w:hAnsi="Arial"/>
          <w:sz w:val="14"/>
          <w:szCs w:val="14"/>
          <w:color w:val="008000"/>
        </w:rPr>
      </w:pPr>
    </w:p>
    <w:p>
      <w:pPr>
        <w:ind w:left="40" w:right="240" w:firstLine="1"/>
        <w:spacing w:after="0" w:line="239" w:lineRule="auto"/>
        <w:tabs>
          <w:tab w:leader="none" w:pos="237"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of deferred stock are fully vested on the date of grant and will be settled in shares of ManpowerGroup common stock on a 1 for 1 basis on the earlier of January 1, 2016 or within 30 days after the reporting person's termination of service as a director, except as otherwise provided in the Terms and Conditions.</w:t>
      </w:r>
    </w:p>
    <w:p>
      <w:pPr>
        <w:sectPr>
          <w:pgSz w:w="11900" w:h="16838" w:orient="portrait"/>
          <w:cols w:equalWidth="0" w:num="1">
            <w:col w:w="11620"/>
          </w:cols>
          <w:pgMar w:left="140" w:top="125" w:right="139" w:bottom="0" w:gutter="0" w:footer="0" w:header="0"/>
          <w:type w:val="continuous"/>
        </w:sectPr>
      </w:pP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1620"/>
          </w:cols>
          <w:pgMar w:left="140" w:top="125" w:right="139" w:bottom="0" w:gutter="0" w:footer="0" w:header="0"/>
          <w:type w:val="continuous"/>
        </w:sectPr>
      </w:pPr>
    </w:p>
    <w:bookmarkStart w:id="1" w:name="page2"/>
    <w:bookmarkEnd w:id="1"/>
    <w:p>
      <w:pPr>
        <w:ind w:left="6940"/>
        <w:spacing w:after="0"/>
        <w:rPr>
          <w:sz w:val="20"/>
          <w:szCs w:val="20"/>
          <w:color w:val="auto"/>
        </w:rPr>
      </w:pPr>
      <w:r>
        <w:rPr>
          <w:rFonts w:ascii="Arial" w:cs="Arial" w:eastAsia="Arial" w:hAnsi="Arial"/>
          <w:sz w:val="16"/>
          <w:szCs w:val="16"/>
          <w:color w:val="0000FF"/>
        </w:rPr>
        <w:t>/s/ Richard Buchband (pursuant 01/03/2014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4408170</wp:posOffset>
            </wp:positionH>
            <wp:positionV relativeFrom="paragraph">
              <wp:posOffset>0</wp:posOffset>
            </wp:positionV>
            <wp:extent cx="1991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91360" cy="8890"/>
                    </a:xfrm>
                    <a:prstGeom prst="rect">
                      <a:avLst/>
                    </a:prstGeom>
                    <a:noFill/>
                  </pic:spPr>
                </pic:pic>
              </a:graphicData>
            </a:graphic>
          </wp:anchor>
        </w:drawing>
      </w:r>
    </w:p>
    <w:p>
      <w:pPr>
        <w:spacing w:after="0" w:line="18" w:lineRule="exact"/>
        <w:rPr>
          <w:sz w:val="20"/>
          <w:szCs w:val="20"/>
          <w:color w:val="auto"/>
        </w:rPr>
      </w:pPr>
    </w:p>
    <w:p>
      <w:pPr>
        <w:ind w:left="6940"/>
        <w:spacing w:after="0"/>
        <w:rPr>
          <w:sz w:val="20"/>
          <w:szCs w:val="20"/>
          <w:color w:val="auto"/>
        </w:rPr>
      </w:pPr>
      <w:r>
        <w:rPr>
          <w:rFonts w:ascii="Arial" w:cs="Arial" w:eastAsia="Arial" w:hAnsi="Arial"/>
          <w:sz w:val="18"/>
          <w:szCs w:val="18"/>
          <w:color w:val="0000FF"/>
        </w:rPr>
        <w:t>to Power of Attorney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4408170</wp:posOffset>
            </wp:positionH>
            <wp:positionV relativeFrom="paragraph">
              <wp:posOffset>-17780</wp:posOffset>
            </wp:positionV>
            <wp:extent cx="11766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76655" cy="8890"/>
                    </a:xfrm>
                    <a:prstGeom prst="rect">
                      <a:avLst/>
                    </a:prstGeom>
                    <a:noFill/>
                  </pic:spPr>
                </pic:pic>
              </a:graphicData>
            </a:graphic>
          </wp:anchor>
        </w:drawing>
      </w:r>
    </w:p>
    <w:p>
      <w:pPr>
        <w:ind w:left="6940"/>
        <w:spacing w:after="0"/>
        <w:rPr>
          <w:sz w:val="20"/>
          <w:szCs w:val="20"/>
          <w:color w:val="auto"/>
        </w:rPr>
      </w:pPr>
      <w:r>
        <w:rPr>
          <w:rFonts w:ascii="Arial" w:cs="Arial" w:eastAsia="Arial" w:hAnsi="Arial"/>
          <w:sz w:val="18"/>
          <w:szCs w:val="18"/>
          <w:color w:val="0000FF"/>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4408170</wp:posOffset>
            </wp:positionH>
            <wp:positionV relativeFrom="paragraph">
              <wp:posOffset>-17780</wp:posOffset>
            </wp:positionV>
            <wp:extent cx="42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7355" cy="8890"/>
                    </a:xfrm>
                    <a:prstGeom prst="rect">
                      <a:avLst/>
                    </a:prstGeom>
                    <a:noFill/>
                  </pic:spPr>
                </pic:pic>
              </a:graphicData>
            </a:graphic>
          </wp:anchor>
        </w:drawing>
      </w:r>
    </w:p>
    <w:p>
      <w:pPr>
        <w:spacing w:after="0" w:line="44" w:lineRule="exact"/>
        <w:rPr>
          <w:sz w:val="20"/>
          <w:szCs w:val="20"/>
          <w:color w:val="auto"/>
        </w:rPr>
      </w:pPr>
    </w:p>
    <w:p>
      <w:pPr>
        <w:ind w:left="6940"/>
        <w:spacing w:after="0"/>
        <w:tabs>
          <w:tab w:leader="none" w:pos="926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00" w:firstLine="1"/>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00"/>
          </w:cols>
          <w:pgMar w:left="180" w:top="131" w:right="141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Executing Forms 3, 4 and 5 and 144</w:t>
      </w:r>
    </w:p>
    <w:p>
      <w:pPr>
        <w:spacing w:after="0" w:line="19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Know all by these present, that the undersigned constitutes and appoints each of Jeffrey A. Joerres, Michael J. Van Handel and Richard Buchband, signing singly, his true and lawful attorney-in-fact to:</w:t>
      </w:r>
    </w:p>
    <w:p>
      <w:pPr>
        <w:spacing w:after="0" w:line="170" w:lineRule="exact"/>
        <w:rPr>
          <w:sz w:val="20"/>
          <w:szCs w:val="20"/>
          <w:color w:val="auto"/>
        </w:rPr>
      </w:pPr>
    </w:p>
    <w:p>
      <w:pPr>
        <w:ind w:left="1640" w:right="220" w:hanging="749"/>
        <w:spacing w:after="0" w:line="277" w:lineRule="auto"/>
        <w:tabs>
          <w:tab w:leader="none" w:pos="1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 for and on behalf of the undersigned Forms 3, 4 and 5 in accordance with Section 16(a) of the Securities Exchange Act of 1934 and the rules thereunder;</w:t>
      </w:r>
    </w:p>
    <w:p>
      <w:pPr>
        <w:spacing w:after="0" w:line="170" w:lineRule="exact"/>
        <w:rPr>
          <w:rFonts w:ascii="Arial" w:cs="Arial" w:eastAsia="Arial" w:hAnsi="Arial"/>
          <w:sz w:val="18"/>
          <w:szCs w:val="18"/>
          <w:color w:val="auto"/>
        </w:rPr>
      </w:pPr>
    </w:p>
    <w:p>
      <w:pPr>
        <w:ind w:left="1640" w:hanging="749"/>
        <w:spacing w:after="0"/>
        <w:tabs>
          <w:tab w:leader="none" w:pos="1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execute for and on behalf of the undersigned notices on Form 144 in accordance with Rule 144 under the Securities Act of 1933;</w:t>
      </w:r>
    </w:p>
    <w:p>
      <w:pPr>
        <w:spacing w:after="0" w:line="236" w:lineRule="exact"/>
        <w:rPr>
          <w:rFonts w:ascii="Arial" w:cs="Arial" w:eastAsia="Arial" w:hAnsi="Arial"/>
          <w:sz w:val="17"/>
          <w:szCs w:val="17"/>
          <w:color w:val="auto"/>
        </w:rPr>
      </w:pPr>
    </w:p>
    <w:p>
      <w:pPr>
        <w:jc w:val="both"/>
        <w:ind w:left="1640" w:right="260" w:hanging="749"/>
        <w:spacing w:after="0" w:line="264" w:lineRule="auto"/>
        <w:tabs>
          <w:tab w:leader="none" w:pos="1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any stock exchange or other authority; and</w:t>
      </w:r>
    </w:p>
    <w:p>
      <w:pPr>
        <w:spacing w:after="0" w:line="181" w:lineRule="exact"/>
        <w:rPr>
          <w:rFonts w:ascii="Arial" w:cs="Arial" w:eastAsia="Arial" w:hAnsi="Arial"/>
          <w:sz w:val="18"/>
          <w:szCs w:val="18"/>
          <w:color w:val="auto"/>
        </w:rPr>
      </w:pPr>
    </w:p>
    <w:p>
      <w:pPr>
        <w:ind w:left="1640" w:right="240" w:hanging="749"/>
        <w:spacing w:after="0" w:line="259" w:lineRule="auto"/>
        <w:tabs>
          <w:tab w:leader="none" w:pos="1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discretion.</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power of attorney and shall not be affected by subsequent disability or incapacity of the undersigned.</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13</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February, 2013.</w:t>
      </w:r>
    </w:p>
    <w:p>
      <w:pPr>
        <w:spacing w:after="0" w:line="36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 Roberto G. Mendoza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-10160</wp:posOffset>
            </wp:positionV>
            <wp:extent cx="11271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27125" cy="8890"/>
                    </a:xfrm>
                    <a:prstGeom prst="rect">
                      <a:avLst/>
                    </a:prstGeom>
                    <a:noFill/>
                  </pic:spPr>
                </pic:pic>
              </a:graphicData>
            </a:graphic>
          </wp:anchor>
        </w:drawing>
      </w:r>
    </w:p>
    <w:p>
      <w:pPr>
        <w:spacing w:after="0" w:line="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Roberto G. Mendoza</w:t>
      </w:r>
    </w:p>
    <w:sectPr>
      <w:pgSz w:w="11900" w:h="16838" w:orient="portrait"/>
      <w:cols w:equalWidth="0" w:num="1">
        <w:col w:w="11620"/>
      </w:cols>
      <w:pgMar w:left="140" w:top="111"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02771"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2019-12-18T04:13:14Z</dcterms:created>
  <dcterms:modified xsi:type="dcterms:W3CDTF">2019-12-18T04:13:14Z</dcterms:modified>
</cp:coreProperties>
</file>