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April 20, 2018</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ind w:right="20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April 20, 2018, we issued a press release announcing our results of operations for the three months ended March 31, 2018. A copy of the press release is attached hereto as Exhibit 99.1 and is incorporated herein by reference.</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Effective January 1, 2018, we adopted new accounting guidance on the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Attached hereto as Exhibit 99.3 is our Operating Profit and Interest and Other Expenses since January 1, 2016, revised to conform to the current year presentation.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80" w:type="dxa"/>
            <w:vAlign w:val="bottom"/>
            <w:gridSpan w:val="4"/>
          </w:tcPr>
          <w:p>
            <w:pPr>
              <w:spacing w:after="0"/>
              <w:rPr>
                <w:sz w:val="20"/>
                <w:szCs w:val="20"/>
                <w:color w:val="auto"/>
              </w:rPr>
            </w:pPr>
            <w:r>
              <w:rPr>
                <w:rFonts w:ascii="Arial" w:cs="Arial" w:eastAsia="Arial" w:hAnsi="Arial"/>
                <w:sz w:val="16"/>
                <w:szCs w:val="16"/>
                <w:b w:val="1"/>
                <w:bCs w:val="1"/>
                <w:color w:val="auto"/>
              </w:rPr>
              <w:t>Item 9.01.</w:t>
            </w:r>
          </w:p>
        </w:tc>
        <w:tc>
          <w:tcPr>
            <w:tcW w:w="9960" w:type="dxa"/>
            <w:vAlign w:val="bottom"/>
            <w:gridSpan w:val="5"/>
          </w:tcPr>
          <w:p>
            <w:pPr>
              <w:ind w:left="2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82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73"/>
        </w:trPr>
        <w:tc>
          <w:tcPr>
            <w:tcW w:w="500" w:type="dxa"/>
            <w:vAlign w:val="bottom"/>
            <w:gridSpan w:val="3"/>
          </w:tcPr>
          <w:p>
            <w:pPr>
              <w:ind w:left="220"/>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140" w:type="dxa"/>
            <w:vAlign w:val="bottom"/>
            <w:gridSpan w:val="4"/>
          </w:tcPr>
          <w:p>
            <w:pPr>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April 20, 2018</w:t>
              </w:r>
            </w:hyperlink>
          </w:p>
        </w:tc>
      </w:tr>
      <w:tr>
        <w:trPr>
          <w:trHeight w:val="20"/>
        </w:trPr>
        <w:tc>
          <w:tcPr>
            <w:tcW w:w="2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500" w:type="dxa"/>
            <w:vAlign w:val="bottom"/>
            <w:gridSpan w:val="3"/>
          </w:tcPr>
          <w:p>
            <w:pPr>
              <w:ind w:left="220"/>
              <w:spacing w:after="0"/>
              <w:rPr>
                <w:rFonts w:ascii="Arial" w:cs="Arial" w:eastAsia="Arial" w:hAnsi="Arial"/>
                <w:sz w:val="16"/>
                <w:szCs w:val="16"/>
                <w:color w:val="0000FF"/>
                <w:w w:val="83"/>
              </w:rPr>
            </w:pPr>
            <w:hyperlink w:anchor="page11">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gridSpan w:val="4"/>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Presentation materials for April 20, 2018 conference call</w:t>
              </w:r>
            </w:hyperlink>
          </w:p>
        </w:tc>
      </w:tr>
      <w:tr>
        <w:trPr>
          <w:trHeight w:val="20"/>
        </w:trPr>
        <w:tc>
          <w:tcPr>
            <w:tcW w:w="2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500" w:type="dxa"/>
            <w:vAlign w:val="bottom"/>
            <w:gridSpan w:val="3"/>
          </w:tcPr>
          <w:p>
            <w:pPr>
              <w:ind w:left="220"/>
              <w:spacing w:after="0"/>
              <w:rPr>
                <w:rFonts w:ascii="Arial" w:cs="Arial" w:eastAsia="Arial" w:hAnsi="Arial"/>
                <w:sz w:val="16"/>
                <w:szCs w:val="16"/>
                <w:color w:val="0000FF"/>
                <w:w w:val="83"/>
              </w:rPr>
            </w:pPr>
            <w:hyperlink w:anchor="page3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3</w:t>
              </w:r>
            </w:hyperlink>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gridSpan w:val="4"/>
          </w:tcPr>
          <w:p>
            <w:pPr>
              <w:spacing w:after="0"/>
              <w:rPr>
                <w:rFonts w:ascii="Arial" w:cs="Arial" w:eastAsia="Arial" w:hAnsi="Arial"/>
                <w:sz w:val="16"/>
                <w:szCs w:val="16"/>
                <w:color w:val="0000FF"/>
                <w:w w:val="91"/>
              </w:rPr>
            </w:pPr>
            <w:hyperlink w:anchor="page33">
              <w:r>
                <w:rPr>
                  <w:rFonts w:ascii="Arial" w:cs="Arial" w:eastAsia="Arial" w:hAnsi="Arial"/>
                  <w:sz w:val="16"/>
                  <w:szCs w:val="16"/>
                  <w:color w:val="0000FF"/>
                  <w:w w:val="91"/>
                </w:rPr>
                <w:t>Operating Profit and Interest and Other Expenses reflecting the restated presentation of net periodic pension and postretirement benefit cost</w:t>
              </w:r>
            </w:hyperlink>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240"/>
          </w:cols>
          <w:pgMar w:left="240" w:top="726" w:right="4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April 20,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960" w:type="dxa"/>
            <w:vAlign w:val="bottom"/>
            <w:gridSpan w:val="3"/>
          </w:tcPr>
          <w:p>
            <w:pPr>
              <w:ind w:left="10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20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73"/>
        </w:trPr>
        <w:tc>
          <w:tcPr>
            <w:tcW w:w="300" w:type="dxa"/>
            <w:vAlign w:val="bottom"/>
            <w:gridSpan w:val="2"/>
          </w:tcPr>
          <w:p>
            <w:pPr>
              <w:ind w:left="20"/>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1100" w:type="dxa"/>
            <w:vAlign w:val="bottom"/>
          </w:tcPr>
          <w:p>
            <w:pPr>
              <w:spacing w:after="0"/>
              <w:rPr>
                <w:sz w:val="15"/>
                <w:szCs w:val="15"/>
                <w:color w:val="auto"/>
              </w:rPr>
            </w:pPr>
          </w:p>
        </w:tc>
        <w:tc>
          <w:tcPr>
            <w:tcW w:w="9200" w:type="dxa"/>
            <w:vAlign w:val="bottom"/>
            <w:gridSpan w:val="4"/>
          </w:tcPr>
          <w:p>
            <w:pPr>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April 20, 2018</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00" w:type="dxa"/>
            <w:vAlign w:val="bottom"/>
            <w:gridSpan w:val="2"/>
          </w:tcPr>
          <w:p>
            <w:pPr>
              <w:ind w:left="20"/>
              <w:spacing w:after="0"/>
              <w:rPr>
                <w:rFonts w:ascii="Arial" w:cs="Arial" w:eastAsia="Arial" w:hAnsi="Arial"/>
                <w:sz w:val="16"/>
                <w:szCs w:val="16"/>
                <w:color w:val="0000FF"/>
                <w:w w:val="83"/>
              </w:rPr>
            </w:pPr>
            <w:hyperlink w:anchor="page11">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1100" w:type="dxa"/>
            <w:vAlign w:val="bottom"/>
          </w:tcPr>
          <w:p>
            <w:pPr>
              <w:spacing w:after="0"/>
              <w:rPr>
                <w:sz w:val="19"/>
                <w:szCs w:val="19"/>
                <w:color w:val="auto"/>
              </w:rPr>
            </w:pPr>
          </w:p>
        </w:tc>
        <w:tc>
          <w:tcPr>
            <w:tcW w:w="9200" w:type="dxa"/>
            <w:vAlign w:val="bottom"/>
            <w:gridSpan w:val="4"/>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Presentation materials for April 20, 2018 conference call</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00" w:type="dxa"/>
            <w:vAlign w:val="bottom"/>
            <w:gridSpan w:val="2"/>
          </w:tcPr>
          <w:p>
            <w:pPr>
              <w:ind w:left="20"/>
              <w:spacing w:after="0"/>
              <w:rPr>
                <w:rFonts w:ascii="Arial" w:cs="Arial" w:eastAsia="Arial" w:hAnsi="Arial"/>
                <w:sz w:val="16"/>
                <w:szCs w:val="16"/>
                <w:color w:val="0000FF"/>
                <w:w w:val="83"/>
              </w:rPr>
            </w:pPr>
            <w:hyperlink w:anchor="page3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3</w:t>
              </w:r>
            </w:hyperlink>
          </w:p>
        </w:tc>
        <w:tc>
          <w:tcPr>
            <w:tcW w:w="1100" w:type="dxa"/>
            <w:vAlign w:val="bottom"/>
          </w:tcPr>
          <w:p>
            <w:pPr>
              <w:spacing w:after="0"/>
              <w:rPr>
                <w:sz w:val="19"/>
                <w:szCs w:val="19"/>
                <w:color w:val="auto"/>
              </w:rPr>
            </w:pPr>
          </w:p>
        </w:tc>
        <w:tc>
          <w:tcPr>
            <w:tcW w:w="9200" w:type="dxa"/>
            <w:vAlign w:val="bottom"/>
            <w:gridSpan w:val="4"/>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Operating Profit and Interest and Other Expenses reflecting the restated presentation of net periodic pension and postretirement benefit cost</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0600"/>
          </w:cols>
          <w:pgMar w:left="660" w:top="919"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2018 Results</w:t>
      </w:r>
    </w:p>
    <w:p>
      <w:pPr>
        <w:spacing w:after="0" w:line="368" w:lineRule="exact"/>
        <w:rPr>
          <w:sz w:val="20"/>
          <w:szCs w:val="20"/>
          <w:color w:val="auto"/>
        </w:rPr>
      </w:pPr>
    </w:p>
    <w:p>
      <w:pPr>
        <w:jc w:val="both"/>
        <w:spacing w:after="0" w:line="358" w:lineRule="auto"/>
        <w:rPr>
          <w:sz w:val="20"/>
          <w:szCs w:val="20"/>
          <w:color w:val="auto"/>
        </w:rPr>
      </w:pPr>
      <w:r>
        <w:rPr>
          <w:rFonts w:ascii="Arial" w:cs="Arial" w:eastAsia="Arial" w:hAnsi="Arial"/>
          <w:sz w:val="18"/>
          <w:szCs w:val="18"/>
          <w:b w:val="1"/>
          <w:bCs w:val="1"/>
          <w:color w:val="auto"/>
        </w:rPr>
        <w:t xml:space="preserve">MILWAUKEE, April 20, 2018 -- </w:t>
      </w:r>
      <w:r>
        <w:rPr>
          <w:rFonts w:ascii="Arial" w:cs="Arial" w:eastAsia="Arial" w:hAnsi="Arial"/>
          <w:sz w:val="18"/>
          <w:szCs w:val="18"/>
          <w:color w:val="auto"/>
        </w:rPr>
        <w:t>ManpowerGroup (NYSE: MAN) today reported that net earnings for the three months ended March 31, 2018 were</w:t>
      </w:r>
      <w:r>
        <w:rPr>
          <w:rFonts w:ascii="Arial" w:cs="Arial" w:eastAsia="Arial" w:hAnsi="Arial"/>
          <w:sz w:val="18"/>
          <w:szCs w:val="18"/>
          <w:b w:val="1"/>
          <w:bCs w:val="1"/>
          <w:color w:val="auto"/>
        </w:rPr>
        <w:t xml:space="preserve"> </w:t>
      </w:r>
      <w:r>
        <w:rPr>
          <w:rFonts w:ascii="Arial" w:cs="Arial" w:eastAsia="Arial" w:hAnsi="Arial"/>
          <w:sz w:val="18"/>
          <w:szCs w:val="18"/>
          <w:color w:val="auto"/>
        </w:rPr>
        <w:t>$97.0 million, or $1.45 per diluted share, compared to net earnings of $74.4 million, or $1.09 cents per diluted share, a year earlier. Revenues for the first quarter were $5.5 billion, an increase of 16% from the prior year period.</w:t>
      </w:r>
    </w:p>
    <w:p>
      <w:pPr>
        <w:ind w:left="580"/>
        <w:spacing w:after="0"/>
        <w:rPr>
          <w:sz w:val="20"/>
          <w:szCs w:val="20"/>
          <w:color w:val="auto"/>
        </w:rPr>
      </w:pPr>
      <w:r>
        <w:rPr>
          <w:rFonts w:ascii="Arial" w:cs="Arial" w:eastAsia="Arial" w:hAnsi="Arial"/>
          <w:sz w:val="18"/>
          <w:szCs w:val="18"/>
          <w:color w:val="auto"/>
        </w:rPr>
        <w:t>The current year quarter included restructuring costs which reduced earnings per share by 27 cents.</w:t>
      </w:r>
    </w:p>
    <w:p>
      <w:pPr>
        <w:spacing w:after="0" w:line="95" w:lineRule="exact"/>
        <w:rPr>
          <w:sz w:val="20"/>
          <w:szCs w:val="20"/>
          <w:color w:val="auto"/>
        </w:rPr>
      </w:pPr>
    </w:p>
    <w:p>
      <w:pPr>
        <w:jc w:val="both"/>
        <w:ind w:firstLine="555"/>
        <w:spacing w:after="0" w:line="349" w:lineRule="auto"/>
        <w:rPr>
          <w:sz w:val="20"/>
          <w:szCs w:val="20"/>
          <w:color w:val="auto"/>
        </w:rPr>
      </w:pPr>
      <w:r>
        <w:rPr>
          <w:rFonts w:ascii="Arial" w:cs="Arial" w:eastAsia="Arial" w:hAnsi="Arial"/>
          <w:sz w:val="18"/>
          <w:szCs w:val="18"/>
          <w:color w:val="auto"/>
        </w:rPr>
        <w:t>Financial results in the quarter were also significantly impacted by stronger foreign currencies relative to the U.S. dollar compared to the prior year period. On a constant currency basis, revenues increased 5% and net earnings per diluted share increased 20%. Earnings per share in the quarter were positively impacted 14 cents by changes in foreign currencies compared to the prior year, or 17 cents excluding the restructuring costs.</w:t>
      </w:r>
    </w:p>
    <w:p>
      <w:pPr>
        <w:spacing w:after="0" w:line="2"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Jonas Prising, ManpowerGroup Chairman &amp; CEO, said, “We are pleased with the solid start to the year, with strong revenue growth, improved productivity and increased earnings. We are seeing good broad-based demand globally for our services and workforce solutions. We are very well placed to seize future growth opportunities thanks to our industry leading global footprint and extensive portfolio of innovative workforce solutions.</w:t>
      </w:r>
    </w:p>
    <w:p>
      <w:pPr>
        <w:spacing w:after="0" w:line="2" w:lineRule="exact"/>
        <w:rPr>
          <w:sz w:val="20"/>
          <w:szCs w:val="20"/>
          <w:color w:val="auto"/>
        </w:rPr>
      </w:pPr>
    </w:p>
    <w:p>
      <w:pPr>
        <w:jc w:val="both"/>
        <w:ind w:right="20" w:firstLine="555"/>
        <w:spacing w:after="0" w:line="349" w:lineRule="auto"/>
        <w:rPr>
          <w:sz w:val="20"/>
          <w:szCs w:val="20"/>
          <w:color w:val="auto"/>
        </w:rPr>
      </w:pPr>
      <w:r>
        <w:rPr>
          <w:rFonts w:ascii="Arial" w:cs="Arial" w:eastAsia="Arial" w:hAnsi="Arial"/>
          <w:sz w:val="18"/>
          <w:szCs w:val="18"/>
          <w:color w:val="auto"/>
        </w:rPr>
        <w:t>“We anticipate second quarter earnings per share will be between $2.33 and $2.41, which includes an estimated favorable currency impact of 18 cents and excludes restructuring costs.”</w:t>
      </w:r>
    </w:p>
    <w:p>
      <w:pPr>
        <w:spacing w:after="0" w:line="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 xml:space="preserve">In conjunction with its first quarter earnings release, ManpowerGroup will broadcast its conference call live over the Internet on April 20, 2018 at 7:30 a.m. CDT (8:30 a.m. EDT).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2" w:lineRule="exact"/>
        <w:rPr>
          <w:sz w:val="20"/>
          <w:szCs w:val="20"/>
          <w:color w:val="auto"/>
        </w:rPr>
      </w:pPr>
    </w:p>
    <w:p>
      <w:pPr>
        <w:jc w:val="both"/>
        <w:ind w:right="20" w:firstLine="579"/>
        <w:spacing w:after="0" w:line="355" w:lineRule="auto"/>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in the section titled “Investor Relations.”</w:t>
      </w:r>
    </w:p>
    <w:p>
      <w:pPr>
        <w:sectPr>
          <w:pgSz w:w="11900" w:h="16838" w:orient="portrait"/>
          <w:cols w:equalWidth="0" w:num="1">
            <w:col w:w="11440"/>
          </w:cols>
          <w:pgMar w:left="240" w:top="533"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t>
      </w:r>
      <w:r>
        <w:rPr>
          <w:rFonts w:ascii="Arial" w:cs="Arial" w:eastAsia="Arial" w:hAnsi="Arial"/>
          <w:sz w:val="16"/>
          <w:szCs w:val="16"/>
          <w:u w:val="single" w:color="auto"/>
          <w:color w:val="0000FF"/>
        </w:rPr>
        <w:t>www.manpowergroup.com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2017, which information is incorporated herein by reference.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40"/>
          </w:cols>
          <w:pgMar w:left="240" w:top="915"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w w:val="98"/>
              </w:rPr>
              <w:t>Three Months Ended March 31</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4,757.2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4,637.0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3,969.4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16.8 %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5.9%</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787.8</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659.9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10.9 %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127.9</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1.5 %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37.7</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8.0 %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32.7 %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67.7</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12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$5.2 million and $5.3 million for the three months ended March 31, 2018 and 2017, respectively. These fees are primarily based on revenues generated by the franchise offices, which were $236.8 million and $239.1 million for the three months ended March 31, 2018 and 2017,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w w:val="99"/>
              </w:rPr>
              <w:t>Three Months Ended March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364.7</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11.4 %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1,026.2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1,137.5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294.4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40.5 %</w:t>
            </w:r>
          </w:p>
        </w:tc>
        <w:tc>
          <w:tcPr>
            <w:tcW w:w="1060" w:type="dxa"/>
            <w:vAlign w:val="bottom"/>
          </w:tcPr>
          <w:p>
            <w:pPr>
              <w:jc w:val="right"/>
              <w:spacing w:after="0"/>
              <w:rPr>
                <w:sz w:val="20"/>
                <w:szCs w:val="20"/>
                <w:color w:val="auto"/>
              </w:rPr>
            </w:pPr>
            <w:r>
              <w:rPr>
                <w:rFonts w:ascii="Arial" w:cs="Arial" w:eastAsia="Arial" w:hAnsi="Arial"/>
                <w:sz w:val="16"/>
                <w:szCs w:val="16"/>
                <w:color w:val="auto"/>
              </w:rPr>
              <w:t>21.8 %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372.0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2,312.0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1,803.9</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28.2 %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11.5 %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1,238.7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720.2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632.4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13.9 %</w:t>
            </w:r>
          </w:p>
        </w:tc>
        <w:tc>
          <w:tcPr>
            <w:tcW w:w="106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5,522.4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4,757.2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16.1 %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31.3 %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38.1 %</w:t>
            </w:r>
          </w:p>
        </w:tc>
        <w:tc>
          <w:tcPr>
            <w:tcW w:w="1060" w:type="dxa"/>
            <w:vAlign w:val="bottom"/>
          </w:tcPr>
          <w:p>
            <w:pPr>
              <w:jc w:val="right"/>
              <w:spacing w:after="0"/>
              <w:rPr>
                <w:sz w:val="20"/>
                <w:szCs w:val="20"/>
                <w:color w:val="auto"/>
              </w:rPr>
            </w:pPr>
            <w:r>
              <w:rPr>
                <w:rFonts w:ascii="Arial" w:cs="Arial" w:eastAsia="Arial" w:hAnsi="Arial"/>
                <w:sz w:val="16"/>
                <w:szCs w:val="16"/>
                <w:color w:val="auto"/>
              </w:rPr>
              <w:t>19.7 %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19.9 %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28.4 %</w:t>
            </w:r>
          </w:p>
        </w:tc>
        <w:tc>
          <w:tcPr>
            <w:tcW w:w="1060" w:type="dxa"/>
            <w:vAlign w:val="bottom"/>
          </w:tcPr>
          <w:p>
            <w:pPr>
              <w:jc w:val="right"/>
              <w:spacing w:after="0"/>
              <w:rPr>
                <w:sz w:val="20"/>
                <w:szCs w:val="20"/>
                <w:color w:val="auto"/>
              </w:rPr>
            </w:pPr>
            <w:r>
              <w:rPr>
                <w:rFonts w:ascii="Arial" w:cs="Arial" w:eastAsia="Arial" w:hAnsi="Arial"/>
                <w:sz w:val="16"/>
                <w:szCs w:val="16"/>
                <w:color w:val="auto"/>
              </w:rPr>
              <w:t>22.1 %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14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$3.2 million and $3.5 million for the three months ended March 31, 2018 and 2017, respectively. These fees are primarily based on revenues generated by the franchise offices, which were $149.0 million and $167.7 million for the three months ended March 31, 2018 and 2017,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2017</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689.0</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5,408.3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5,370.5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111.7</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6,327.0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6,171.2</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1,343.0</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284.0</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774.4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927.7</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2,554.7</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653.2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633.4</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475.7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157.7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8,896.1</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2,311.2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2,279.4</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230.6</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490.9</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794.7</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545.4</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469.4</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4,810.4</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478.1</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737.5</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1,215.6</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3,302.6</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2,825.3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2,713.0</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(2,953.7)</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2,774.9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82.7</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2,857.6</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8,896.1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8,883.6</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Three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500"/>
              <w:spacing w:after="0"/>
              <w:rPr>
                <w:sz w:val="20"/>
                <w:szCs w:val="20"/>
                <w:color w:val="auto"/>
              </w:rPr>
            </w:pPr>
            <w:r>
              <w:rPr>
                <w:rFonts w:ascii="Arial" w:cs="Arial" w:eastAsia="Arial" w:hAnsi="Arial"/>
                <w:sz w:val="16"/>
                <w:szCs w:val="16"/>
                <w:b w:val="1"/>
                <w:bCs w:val="1"/>
                <w:color w:val="auto"/>
                <w:w w:val="95"/>
              </w:rPr>
              <w:t>March 31</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2017</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00"/>
              <w:spacing w:after="0"/>
              <w:rPr>
                <w:sz w:val="20"/>
                <w:szCs w:val="20"/>
                <w:color w:val="auto"/>
              </w:rPr>
            </w:pPr>
            <w:r>
              <w:rPr>
                <w:rFonts w:ascii="Arial" w:cs="Arial" w:eastAsia="Arial" w:hAnsi="Arial"/>
                <w:sz w:val="16"/>
                <w:szCs w:val="16"/>
                <w:color w:val="auto"/>
                <w:w w:val="93"/>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(used in)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provided by operating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191.0</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45"/>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Proceeds from the sale of investments, property and equipment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33.8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to noncontrolling interests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125.9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552.2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724.4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0420"/>
        <w:spacing w:after="0"/>
        <w:rPr>
          <w:sz w:val="20"/>
          <w:szCs w:val="20"/>
          <w:color w:val="auto"/>
        </w:rPr>
      </w:pPr>
      <w:r>
        <w:rPr>
          <w:rFonts w:ascii="Arial" w:cs="Arial" w:eastAsia="Arial" w:hAnsi="Arial"/>
          <w:sz w:val="15"/>
          <w:szCs w:val="15"/>
          <w:b w:val="1"/>
          <w:bCs w:val="1"/>
          <w:color w:val="auto"/>
        </w:rPr>
        <w:t>Exhibit 99.3</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26"/>
          <w:szCs w:val="26"/>
          <w:color w:val="auto"/>
        </w:rPr>
        <w:t>ManpowerGroup</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Restated Operating Profit and Interest and Other Expenses</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 millions)</w:t>
      </w:r>
    </w:p>
    <w:p>
      <w:pPr>
        <w:spacing w:after="0" w:line="20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Effective January 1, 2018, we adopted new accounting guidance on the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w:t>
      </w: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Three Months Ended June 30</w:t>
            </w:r>
          </w:p>
        </w:tc>
        <w:tc>
          <w:tcPr>
            <w:tcW w:w="96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gridSpan w:val="3"/>
          </w:tcPr>
          <w:p>
            <w:pPr>
              <w:ind w:left="740"/>
              <w:spacing w:after="0"/>
              <w:rPr>
                <w:sz w:val="20"/>
                <w:szCs w:val="20"/>
                <w:color w:val="auto"/>
              </w:rPr>
            </w:pPr>
            <w:r>
              <w:rPr>
                <w:rFonts w:ascii="Arial" w:cs="Arial" w:eastAsia="Arial" w:hAnsi="Arial"/>
                <w:sz w:val="16"/>
                <w:szCs w:val="16"/>
                <w:b w:val="1"/>
                <w:bCs w:val="1"/>
                <w:color w:val="auto"/>
              </w:rPr>
              <w:t>% Variance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 Variance</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Constant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b w:val="1"/>
                <w:bCs w:val="1"/>
                <w:color w:val="auto"/>
              </w:rPr>
              <w:t>Amount</w:t>
            </w:r>
          </w:p>
        </w:tc>
        <w:tc>
          <w:tcPr>
            <w:tcW w:w="960" w:type="dxa"/>
            <w:vAlign w:val="bottom"/>
          </w:tcPr>
          <w:p>
            <w:pPr>
              <w:jc w:val="right"/>
              <w:ind w:right="200"/>
              <w:spacing w:after="0"/>
              <w:rPr>
                <w:sz w:val="20"/>
                <w:szCs w:val="20"/>
                <w:color w:val="auto"/>
              </w:rPr>
            </w:pPr>
            <w:r>
              <w:rPr>
                <w:rFonts w:ascii="Arial" w:cs="Arial" w:eastAsia="Arial" w:hAnsi="Arial"/>
                <w:sz w:val="16"/>
                <w:szCs w:val="16"/>
                <w:b w:val="1"/>
                <w:bCs w:val="1"/>
                <w:color w:val="auto"/>
                <w:w w:val="95"/>
              </w:rPr>
              <w:t>Constant</w:t>
            </w:r>
          </w:p>
        </w:tc>
      </w:tr>
      <w:tr>
        <w:trPr>
          <w:trHeight w:val="24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Reported</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Currency</w:t>
            </w:r>
          </w:p>
        </w:tc>
        <w:tc>
          <w:tcPr>
            <w:tcW w:w="180" w:type="dxa"/>
            <w:vAlign w:val="bottom"/>
          </w:tcPr>
          <w:p>
            <w:pPr>
              <w:spacing w:after="0"/>
              <w:rPr>
                <w:sz w:val="20"/>
                <w:szCs w:val="20"/>
                <w:color w:val="auto"/>
              </w:rPr>
            </w:pPr>
          </w:p>
        </w:tc>
        <w:tc>
          <w:tcPr>
            <w:tcW w:w="6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0"/>
                <w:szCs w:val="20"/>
                <w:color w:val="auto"/>
              </w:rPr>
            </w:pPr>
          </w:p>
        </w:tc>
        <w:tc>
          <w:tcPr>
            <w:tcW w:w="7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right"/>
              <w:ind w:right="380"/>
              <w:spacing w:after="0"/>
              <w:rPr>
                <w:sz w:val="20"/>
                <w:szCs w:val="20"/>
                <w:color w:val="auto"/>
              </w:rPr>
            </w:pPr>
            <w:r>
              <w:rPr>
                <w:rFonts w:ascii="Arial" w:cs="Arial" w:eastAsia="Arial" w:hAnsi="Arial"/>
                <w:sz w:val="16"/>
                <w:szCs w:val="16"/>
                <w:b w:val="1"/>
                <w:bCs w:val="1"/>
                <w:color w:val="auto"/>
              </w:rPr>
              <w:t>Reported</w:t>
            </w:r>
          </w:p>
        </w:tc>
        <w:tc>
          <w:tcPr>
            <w:tcW w:w="960" w:type="dxa"/>
            <w:vAlign w:val="bottom"/>
          </w:tcPr>
          <w:p>
            <w:pPr>
              <w:jc w:val="right"/>
              <w:ind w:right="180"/>
              <w:spacing w:after="0"/>
              <w:rPr>
                <w:sz w:val="20"/>
                <w:szCs w:val="20"/>
                <w:color w:val="auto"/>
              </w:rPr>
            </w:pPr>
            <w:r>
              <w:rPr>
                <w:rFonts w:ascii="Arial" w:cs="Arial" w:eastAsia="Arial" w:hAnsi="Arial"/>
                <w:sz w:val="16"/>
                <w:szCs w:val="16"/>
                <w:b w:val="1"/>
                <w:bCs w:val="1"/>
                <w:color w:val="auto"/>
                <w:w w:val="96"/>
              </w:rPr>
              <w:t>Currency</w:t>
            </w: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6"/>
                <w:szCs w:val="16"/>
                <w:color w:val="auto"/>
              </w:rPr>
              <w:t>(Unaudited)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6"/>
                <w:szCs w:val="16"/>
                <w:color w:val="auto"/>
              </w:rPr>
              <w:t>(Unaudited)</w:t>
            </w:r>
          </w:p>
        </w:tc>
        <w:tc>
          <w:tcPr>
            <w:tcW w:w="96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7"/>
        </w:trPr>
        <w:tc>
          <w:tcPr>
            <w:tcW w:w="3000" w:type="dxa"/>
            <w:vAlign w:val="bottom"/>
          </w:tcPr>
          <w:p>
            <w:pPr>
              <w:ind w:left="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11.6 %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17"/>
        </w:trPr>
        <w:tc>
          <w:tcPr>
            <w:tcW w:w="3000" w:type="dxa"/>
            <w:vAlign w:val="bottom"/>
          </w:tcPr>
          <w:p>
            <w:pPr>
              <w:ind w:left="26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6.3 %</w:t>
            </w:r>
          </w:p>
        </w:tc>
        <w:tc>
          <w:tcPr>
            <w:tcW w:w="1080" w:type="dxa"/>
            <w:vAlign w:val="bottom"/>
          </w:tcPr>
          <w:p>
            <w:pPr>
              <w:jc w:val="right"/>
              <w:spacing w:after="0"/>
              <w:rPr>
                <w:sz w:val="20"/>
                <w:szCs w:val="20"/>
                <w:color w:val="auto"/>
              </w:rPr>
            </w:pPr>
            <w:r>
              <w:rPr>
                <w:rFonts w:ascii="Arial" w:cs="Arial" w:eastAsia="Arial" w:hAnsi="Arial"/>
                <w:sz w:val="16"/>
                <w:szCs w:val="16"/>
                <w:color w:val="auto"/>
              </w:rPr>
              <w:t>10.7 %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-6.0 %</w:t>
            </w:r>
          </w:p>
        </w:tc>
        <w:tc>
          <w:tcPr>
            <w:tcW w:w="9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33"/>
        </w:trPr>
        <w:tc>
          <w:tcPr>
            <w:tcW w:w="3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53.7</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7.1 %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09"/>
        </w:trPr>
        <w:tc>
          <w:tcPr>
            <w:tcW w:w="30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47.7</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68.0</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3.9 %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3000" w:type="dxa"/>
            <w:vAlign w:val="bottom"/>
          </w:tcPr>
          <w:p>
            <w:pPr>
              <w:ind w:left="26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13.0 %</w:t>
            </w:r>
          </w:p>
        </w:tc>
        <w:tc>
          <w:tcPr>
            <w:tcW w:w="1080" w:type="dxa"/>
            <w:vAlign w:val="bottom"/>
          </w:tcPr>
          <w:p>
            <w:pPr>
              <w:jc w:val="right"/>
              <w:spacing w:after="0"/>
              <w:rPr>
                <w:sz w:val="20"/>
                <w:szCs w:val="20"/>
                <w:color w:val="auto"/>
              </w:rPr>
            </w:pPr>
            <w:r>
              <w:rPr>
                <w:rFonts w:ascii="Arial" w:cs="Arial" w:eastAsia="Arial" w:hAnsi="Arial"/>
                <w:sz w:val="16"/>
                <w:szCs w:val="16"/>
                <w:color w:val="auto"/>
              </w:rPr>
              <w:t>17.3 %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21.0 %</w:t>
            </w:r>
          </w:p>
        </w:tc>
        <w:tc>
          <w:tcPr>
            <w:tcW w:w="960" w:type="dxa"/>
            <w:vAlign w:val="bottom"/>
          </w:tcPr>
          <w:p>
            <w:pPr>
              <w:jc w:val="right"/>
              <w:spacing w:after="0"/>
              <w:rPr>
                <w:sz w:val="20"/>
                <w:szCs w:val="20"/>
                <w:color w:val="auto"/>
              </w:rPr>
            </w:pPr>
            <w:r>
              <w:rPr>
                <w:rFonts w:ascii="Arial" w:cs="Arial" w:eastAsia="Arial" w:hAnsi="Arial"/>
                <w:sz w:val="16"/>
                <w:szCs w:val="16"/>
                <w:color w:val="auto"/>
              </w:rPr>
              <w:t>24.0 %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5.2 %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09"/>
        </w:trPr>
        <w:tc>
          <w:tcPr>
            <w:tcW w:w="3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12.9 %</w:t>
            </w:r>
          </w:p>
        </w:tc>
        <w:tc>
          <w:tcPr>
            <w:tcW w:w="1080" w:type="dxa"/>
            <w:vAlign w:val="bottom"/>
          </w:tcPr>
          <w:p>
            <w:pPr>
              <w:jc w:val="right"/>
              <w:spacing w:after="0"/>
              <w:rPr>
                <w:sz w:val="20"/>
                <w:szCs w:val="20"/>
                <w:color w:val="auto"/>
              </w:rPr>
            </w:pPr>
            <w:r>
              <w:rPr>
                <w:rFonts w:ascii="Arial" w:cs="Arial" w:eastAsia="Arial" w:hAnsi="Arial"/>
                <w:sz w:val="16"/>
                <w:szCs w:val="16"/>
                <w:color w:val="auto"/>
              </w:rPr>
              <w:t>16.9 %</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110.8</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102.8</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7.9 %</w:t>
            </w:r>
          </w:p>
        </w:tc>
        <w:tc>
          <w:tcPr>
            <w:tcW w:w="96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82"/>
        </w:trPr>
        <w:tc>
          <w:tcPr>
            <w:tcW w:w="3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7"/>
        </w:trPr>
        <w:tc>
          <w:tcPr>
            <w:tcW w:w="3000" w:type="dxa"/>
            <w:vAlign w:val="bottom"/>
          </w:tcPr>
          <w:p>
            <w:pPr>
              <w:ind w:left="100"/>
              <w:spacing w:after="0"/>
              <w:rPr>
                <w:sz w:val="20"/>
                <w:szCs w:val="20"/>
                <w:color w:val="auto"/>
              </w:rPr>
            </w:pPr>
            <w:r>
              <w:rPr>
                <w:rFonts w:ascii="Arial" w:cs="Arial" w:eastAsia="Arial" w:hAnsi="Arial"/>
                <w:sz w:val="16"/>
                <w:szCs w:val="16"/>
                <w:color w:val="auto"/>
              </w:rPr>
              <w:t>Northern Europe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-63.7 %</w:t>
            </w:r>
          </w:p>
        </w:tc>
        <w:tc>
          <w:tcPr>
            <w:tcW w:w="1080" w:type="dxa"/>
            <w:vAlign w:val="bottom"/>
          </w:tcPr>
          <w:p>
            <w:pPr>
              <w:jc w:val="right"/>
              <w:spacing w:after="0"/>
              <w:rPr>
                <w:sz w:val="20"/>
                <w:szCs w:val="20"/>
                <w:color w:val="auto"/>
              </w:rPr>
            </w:pPr>
            <w:r>
              <w:rPr>
                <w:rFonts w:ascii="Arial" w:cs="Arial" w:eastAsia="Arial" w:hAnsi="Arial"/>
                <w:sz w:val="16"/>
                <w:szCs w:val="16"/>
                <w:color w:val="auto"/>
              </w:rPr>
              <w:t>-62.7 %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33.1</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37.5</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-11.8 %</w:t>
            </w:r>
          </w:p>
        </w:tc>
        <w:tc>
          <w:tcPr>
            <w:tcW w:w="96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APME</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4.7 %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7"/>
        </w:trPr>
        <w:tc>
          <w:tcPr>
            <w:tcW w:w="3000" w:type="dxa"/>
            <w:vAlign w:val="bottom"/>
          </w:tcPr>
          <w:p>
            <w:pPr>
              <w:ind w:left="100"/>
              <w:spacing w:after="0"/>
              <w:rPr>
                <w:sz w:val="20"/>
                <w:szCs w:val="20"/>
                <w:color w:val="auto"/>
              </w:rPr>
            </w:pPr>
            <w:r>
              <w:rPr>
                <w:rFonts w:ascii="Arial" w:cs="Arial" w:eastAsia="Arial" w:hAnsi="Arial"/>
                <w:sz w:val="16"/>
                <w:szCs w:val="16"/>
                <w:color w:val="auto"/>
              </w:rPr>
              <w:t>Right Management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-7.4 %</w:t>
            </w:r>
          </w:p>
        </w:tc>
        <w:tc>
          <w:tcPr>
            <w:tcW w:w="1080" w:type="dxa"/>
            <w:vAlign w:val="bottom"/>
          </w:tcPr>
          <w:p>
            <w:pPr>
              <w:jc w:val="right"/>
              <w:spacing w:after="0"/>
              <w:rPr>
                <w:sz w:val="20"/>
                <w:szCs w:val="20"/>
                <w:color w:val="auto"/>
              </w:rPr>
            </w:pPr>
            <w:r>
              <w:rPr>
                <w:rFonts w:ascii="Arial" w:cs="Arial" w:eastAsia="Arial" w:hAnsi="Arial"/>
                <w:sz w:val="16"/>
                <w:szCs w:val="16"/>
                <w:color w:val="auto"/>
              </w:rPr>
              <w:t>-6.2 %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-41.4 %</w:t>
            </w:r>
          </w:p>
        </w:tc>
        <w:tc>
          <w:tcPr>
            <w:tcW w:w="960" w:type="dxa"/>
            <w:vAlign w:val="bottom"/>
          </w:tcPr>
          <w:p>
            <w:pPr>
              <w:jc w:val="right"/>
              <w:spacing w:after="0"/>
              <w:rPr>
                <w:sz w:val="20"/>
                <w:szCs w:val="20"/>
                <w:color w:val="auto"/>
              </w:rPr>
            </w:pPr>
            <w:r>
              <w:rPr>
                <w:rFonts w:ascii="Arial" w:cs="Arial" w:eastAsia="Arial" w:hAnsi="Arial"/>
                <w:sz w:val="16"/>
                <w:szCs w:val="16"/>
                <w:color w:val="auto"/>
              </w:rPr>
              <w:t>-40.9 %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13"/>
        </w:trPr>
        <w:tc>
          <w:tcPr>
            <w:tcW w:w="3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w:t>
            </w:r>
          </w:p>
        </w:tc>
        <w:tc>
          <w:tcPr>
            <w:tcW w:w="1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233.2</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230.7</w:t>
            </w:r>
          </w:p>
        </w:tc>
        <w:tc>
          <w:tcPr>
            <w:tcW w:w="1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(26.7)</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 expense</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132.1</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-3.2 %</w:t>
            </w:r>
          </w:p>
        </w:tc>
        <w:tc>
          <w:tcPr>
            <w:tcW w:w="1080" w:type="dxa"/>
            <w:vAlign w:val="bottom"/>
          </w:tcPr>
          <w:p>
            <w:pPr>
              <w:jc w:val="right"/>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195.2</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196.1</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-0.4 %</w:t>
            </w:r>
          </w:p>
        </w:tc>
        <w:tc>
          <w:tcPr>
            <w:tcW w:w="9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expenses (a)</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7"/>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Earnings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119.0</w:t>
            </w:r>
          </w:p>
        </w:tc>
        <w:tc>
          <w:tcPr>
            <w:tcW w:w="12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185.7</w:t>
            </w:r>
          </w:p>
        </w:tc>
        <w:tc>
          <w:tcPr>
            <w:tcW w:w="132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r>
      <w:tr>
        <w:trPr>
          <w:trHeight w:val="272"/>
        </w:trPr>
        <w:tc>
          <w:tcPr>
            <w:tcW w:w="3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bl>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The components of interest and other expenses were:</w:t>
      </w:r>
    </w:p>
    <w:p>
      <w:pPr>
        <w:spacing w:after="0" w:line="46"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30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25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2280" w:type="dxa"/>
            <w:vAlign w:val="bottom"/>
            <w:shd w:val="clear" w:color="auto" w:fill="CCEEFF"/>
          </w:tcPr>
          <w:p>
            <w:pPr>
              <w:spacing w:after="0"/>
              <w:rPr>
                <w:sz w:val="20"/>
                <w:szCs w:val="20"/>
                <w:color w:val="auto"/>
              </w:rPr>
            </w:pPr>
          </w:p>
        </w:tc>
      </w:tr>
      <w:tr>
        <w:trPr>
          <w:trHeight w:val="215"/>
        </w:trPr>
        <w:tc>
          <w:tcPr>
            <w:tcW w:w="30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25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228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80" w:type="dxa"/>
            <w:vAlign w:val="bottom"/>
            <w:tcBorders>
              <w:bottom w:val="single" w:sz="8" w:color="CCEEFF"/>
            </w:tcBorders>
            <w:shd w:val="clear" w:color="auto" w:fill="CCEEFF"/>
          </w:tcPr>
          <w:p>
            <w:pPr>
              <w:spacing w:after="0"/>
              <w:rPr>
                <w:sz w:val="19"/>
                <w:szCs w:val="19"/>
                <w:color w:val="auto"/>
              </w:rPr>
            </w:pPr>
          </w:p>
        </w:tc>
      </w:tr>
      <w:tr>
        <w:trPr>
          <w:trHeight w:val="217"/>
        </w:trPr>
        <w:tc>
          <w:tcPr>
            <w:tcW w:w="3000" w:type="dxa"/>
            <w:vAlign w:val="bottom"/>
          </w:tcPr>
          <w:p>
            <w:pPr>
              <w:ind w:left="340"/>
              <w:spacing w:after="0"/>
              <w:rPr>
                <w:sz w:val="20"/>
                <w:szCs w:val="20"/>
                <w:color w:val="auto"/>
              </w:rPr>
            </w:pPr>
            <w:r>
              <w:rPr>
                <w:rFonts w:ascii="Arial" w:cs="Arial" w:eastAsia="Arial" w:hAnsi="Arial"/>
                <w:sz w:val="16"/>
                <w:szCs w:val="16"/>
                <w:color w:val="auto"/>
              </w:rPr>
              <w:t>Foreign exchange losses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228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Miscellaneous expense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2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80" w:type="dxa"/>
            <w:vAlign w:val="bottom"/>
            <w:tcBorders>
              <w:bottom w:val="single" w:sz="8" w:color="CCEEFF"/>
            </w:tcBorders>
            <w:shd w:val="clear" w:color="auto" w:fill="CCEEFF"/>
          </w:tcPr>
          <w:p>
            <w:pPr>
              <w:spacing w:after="0"/>
              <w:rPr>
                <w:sz w:val="20"/>
                <w:szCs w:val="20"/>
                <w:color w:val="auto"/>
              </w:rPr>
            </w:pPr>
          </w:p>
        </w:tc>
      </w:tr>
      <w:tr>
        <w:trPr>
          <w:trHeight w:val="209"/>
        </w:trPr>
        <w:tc>
          <w:tcPr>
            <w:tcW w:w="30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13.1</w:t>
            </w:r>
          </w:p>
        </w:tc>
        <w:tc>
          <w:tcPr>
            <w:tcW w:w="25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w:t>
            </w:r>
          </w:p>
        </w:tc>
        <w:tc>
          <w:tcPr>
            <w:tcW w:w="228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ectPr>
          <w:pgSz w:w="11900" w:h="16838" w:orient="portrait"/>
          <w:cols w:equalWidth="0" w:num="1">
            <w:col w:w="11340"/>
          </w:cols>
          <w:pgMar w:left="240" w:top="674" w:right="31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 Variance</w:t>
            </w: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020" w:type="dxa"/>
            <w:vAlign w:val="bottom"/>
          </w:tcPr>
          <w:p>
            <w:pPr>
              <w:jc w:val="right"/>
              <w:ind w:right="20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80" w:type="dxa"/>
            <w:vAlign w:val="bottom"/>
          </w:tcPr>
          <w:p>
            <w:pPr>
              <w:jc w:val="right"/>
              <w:ind w:right="340"/>
              <w:spacing w:after="0"/>
              <w:rPr>
                <w:sz w:val="20"/>
                <w:szCs w:val="20"/>
                <w:color w:val="auto"/>
              </w:rPr>
            </w:pPr>
            <w:r>
              <w:rPr>
                <w:rFonts w:ascii="Arial" w:cs="Arial" w:eastAsia="Arial" w:hAnsi="Arial"/>
                <w:sz w:val="16"/>
                <w:szCs w:val="16"/>
                <w:b w:val="1"/>
                <w:bCs w:val="1"/>
                <w:color w:val="auto"/>
              </w:rPr>
              <w:t>Reported</w:t>
            </w:r>
          </w:p>
        </w:tc>
        <w:tc>
          <w:tcPr>
            <w:tcW w:w="1020" w:type="dxa"/>
            <w:vAlign w:val="bottom"/>
          </w:tcPr>
          <w:p>
            <w:pPr>
              <w:jc w:val="right"/>
              <w:ind w:right="200"/>
              <w:spacing w:after="0"/>
              <w:rPr>
                <w:sz w:val="20"/>
                <w:szCs w:val="20"/>
                <w:color w:val="auto"/>
              </w:rPr>
            </w:pPr>
            <w:r>
              <w:rPr>
                <w:rFonts w:ascii="Arial" w:cs="Arial" w:eastAsia="Arial" w:hAnsi="Arial"/>
                <w:sz w:val="16"/>
                <w:szCs w:val="16"/>
                <w:b w:val="1"/>
                <w:bCs w:val="1"/>
                <w:color w:val="auto"/>
              </w:rPr>
              <w:t>Currency</w:t>
            </w:r>
          </w:p>
        </w:tc>
      </w:tr>
      <w:tr>
        <w:trPr>
          <w:trHeight w:val="24"/>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6"/>
                <w:szCs w:val="16"/>
                <w:color w:val="auto"/>
              </w:rPr>
              <w:t>(Unaudited)</w:t>
            </w: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7"/>
        </w:trPr>
        <w:tc>
          <w:tcPr>
            <w:tcW w:w="7180" w:type="dxa"/>
            <w:vAlign w:val="bottom"/>
          </w:tcPr>
          <w:p>
            <w:pPr>
              <w:ind w:left="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13.3 %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17"/>
        </w:trPr>
        <w:tc>
          <w:tcPr>
            <w:tcW w:w="7180" w:type="dxa"/>
            <w:vAlign w:val="bottom"/>
          </w:tcPr>
          <w:p>
            <w:pPr>
              <w:ind w:left="26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25.4</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-0.4 %</w:t>
            </w:r>
          </w:p>
        </w:tc>
        <w:tc>
          <w:tcPr>
            <w:tcW w:w="102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4"/>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3"/>
        </w:trPr>
        <w:tc>
          <w:tcPr>
            <w:tcW w:w="7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96.2</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9.3 %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09"/>
        </w:trPr>
        <w:tc>
          <w:tcPr>
            <w:tcW w:w="718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121.3</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7"/>
        </w:trPr>
        <w:tc>
          <w:tcPr>
            <w:tcW w:w="7180" w:type="dxa"/>
            <w:vAlign w:val="bottom"/>
          </w:tcPr>
          <w:p>
            <w:pPr>
              <w:ind w:left="26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45.8</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17.7 %</w:t>
            </w:r>
          </w:p>
        </w:tc>
        <w:tc>
          <w:tcPr>
            <w:tcW w:w="1020" w:type="dxa"/>
            <w:vAlign w:val="bottom"/>
          </w:tcPr>
          <w:p>
            <w:pPr>
              <w:jc w:val="right"/>
              <w:spacing w:after="0"/>
              <w:rPr>
                <w:sz w:val="20"/>
                <w:szCs w:val="20"/>
                <w:color w:val="auto"/>
              </w:rPr>
            </w:pPr>
            <w:r>
              <w:rPr>
                <w:rFonts w:ascii="Arial" w:cs="Arial" w:eastAsia="Arial" w:hAnsi="Arial"/>
                <w:sz w:val="16"/>
                <w:szCs w:val="16"/>
                <w:color w:val="auto"/>
              </w:rPr>
              <w:t>21.2 %</w:t>
            </w: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25.7 %</w:t>
            </w:r>
          </w:p>
        </w:tc>
      </w:tr>
      <w:tr>
        <w:trPr>
          <w:trHeight w:val="209"/>
        </w:trPr>
        <w:tc>
          <w:tcPr>
            <w:tcW w:w="7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192.3</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175.0</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10.0 %</w:t>
            </w:r>
          </w:p>
        </w:tc>
        <w:tc>
          <w:tcPr>
            <w:tcW w:w="102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4"/>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82"/>
        </w:trPr>
        <w:tc>
          <w:tcPr>
            <w:tcW w:w="7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17"/>
        </w:trPr>
        <w:tc>
          <w:tcPr>
            <w:tcW w:w="7180" w:type="dxa"/>
            <w:vAlign w:val="bottom"/>
          </w:tcPr>
          <w:p>
            <w:pPr>
              <w:ind w:left="100"/>
              <w:spacing w:after="0"/>
              <w:rPr>
                <w:sz w:val="20"/>
                <w:szCs w:val="20"/>
                <w:color w:val="auto"/>
              </w:rPr>
            </w:pPr>
            <w:r>
              <w:rPr>
                <w:rFonts w:ascii="Arial" w:cs="Arial" w:eastAsia="Arial" w:hAnsi="Arial"/>
                <w:sz w:val="16"/>
                <w:szCs w:val="16"/>
                <w:color w:val="auto"/>
              </w:rPr>
              <w:t>Northern Europe</w:t>
            </w:r>
          </w:p>
        </w:tc>
        <w:tc>
          <w:tcPr>
            <w:tcW w:w="1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44.9</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70.1</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-35.9 %</w:t>
            </w:r>
          </w:p>
        </w:tc>
        <w:tc>
          <w:tcPr>
            <w:tcW w:w="1020" w:type="dxa"/>
            <w:vAlign w:val="bottom"/>
          </w:tcPr>
          <w:p>
            <w:pPr>
              <w:jc w:val="right"/>
              <w:spacing w:after="0"/>
              <w:rPr>
                <w:sz w:val="20"/>
                <w:szCs w:val="20"/>
                <w:color w:val="auto"/>
              </w:rPr>
            </w:pPr>
            <w:r>
              <w:rPr>
                <w:rFonts w:ascii="Arial" w:cs="Arial" w:eastAsia="Arial" w:hAnsi="Arial"/>
                <w:sz w:val="16"/>
                <w:szCs w:val="16"/>
                <w:color w:val="auto"/>
              </w:rPr>
              <w:t>-33.3 %</w:t>
            </w: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APME</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7"/>
        </w:trPr>
        <w:tc>
          <w:tcPr>
            <w:tcW w:w="7180" w:type="dxa"/>
            <w:vAlign w:val="bottom"/>
          </w:tcPr>
          <w:p>
            <w:pPr>
              <w:ind w:left="100"/>
              <w:spacing w:after="0"/>
              <w:rPr>
                <w:sz w:val="20"/>
                <w:szCs w:val="20"/>
                <w:color w:val="auto"/>
              </w:rPr>
            </w:pPr>
            <w:r>
              <w:rPr>
                <w:rFonts w:ascii="Arial" w:cs="Arial" w:eastAsia="Arial" w:hAnsi="Arial"/>
                <w:sz w:val="16"/>
                <w:szCs w:val="16"/>
                <w:color w:val="auto"/>
              </w:rPr>
              <w:t>Right Management</w:t>
            </w:r>
          </w:p>
        </w:tc>
        <w:tc>
          <w:tcPr>
            <w:tcW w:w="1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-27.9 %</w:t>
            </w:r>
          </w:p>
        </w:tc>
        <w:tc>
          <w:tcPr>
            <w:tcW w:w="1020" w:type="dxa"/>
            <w:vAlign w:val="bottom"/>
          </w:tcPr>
          <w:p>
            <w:pPr>
              <w:jc w:val="right"/>
              <w:spacing w:after="0"/>
              <w:rPr>
                <w:sz w:val="20"/>
                <w:szCs w:val="20"/>
                <w:color w:val="auto"/>
              </w:rPr>
            </w:pPr>
            <w:r>
              <w:rPr>
                <w:rFonts w:ascii="Arial" w:cs="Arial" w:eastAsia="Arial" w:hAnsi="Arial"/>
                <w:sz w:val="16"/>
                <w:szCs w:val="16"/>
                <w:color w:val="auto"/>
              </w:rPr>
              <w:t>-27.1 %</w:t>
            </w:r>
          </w:p>
        </w:tc>
      </w:tr>
      <w:tr>
        <w:trPr>
          <w:trHeight w:val="24"/>
        </w:trPr>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13"/>
        </w:trPr>
        <w:tc>
          <w:tcPr>
            <w:tcW w:w="7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394.1</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398.5</w:t>
            </w:r>
          </w:p>
        </w:tc>
        <w:tc>
          <w:tcPr>
            <w:tcW w:w="1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 expense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7180" w:type="dxa"/>
            <w:vAlign w:val="bottom"/>
          </w:tcPr>
          <w:p>
            <w:pPr>
              <w:ind w:left="18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323.1</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328.2</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-1.5 %</w:t>
            </w:r>
          </w:p>
        </w:tc>
        <w:tc>
          <w:tcPr>
            <w:tcW w:w="10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expenses (a)</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7"/>
        </w:trPr>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Earnings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296.3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304.7</w:t>
            </w:r>
          </w:p>
        </w:tc>
        <w:tc>
          <w:tcPr>
            <w:tcW w:w="128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r>
      <w:tr>
        <w:trPr>
          <w:trHeight w:val="272"/>
        </w:trPr>
        <w:tc>
          <w:tcPr>
            <w:tcW w:w="7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(a) The components of interest and other expenses were: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71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7"/>
        </w:trPr>
        <w:tc>
          <w:tcPr>
            <w:tcW w:w="7180" w:type="dxa"/>
            <w:vAlign w:val="bottom"/>
          </w:tcPr>
          <w:p>
            <w:pPr>
              <w:ind w:left="340"/>
              <w:spacing w:after="0"/>
              <w:rPr>
                <w:sz w:val="20"/>
                <w:szCs w:val="20"/>
                <w:color w:val="auto"/>
              </w:rPr>
            </w:pPr>
            <w:r>
              <w:rPr>
                <w:rFonts w:ascii="Arial" w:cs="Arial" w:eastAsia="Arial" w:hAnsi="Arial"/>
                <w:sz w:val="16"/>
                <w:szCs w:val="16"/>
                <w:color w:val="auto"/>
              </w:rPr>
              <w:t>Foreign exchange losses</w:t>
            </w:r>
          </w:p>
        </w:tc>
        <w:tc>
          <w:tcPr>
            <w:tcW w:w="18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Miscellaneous expenses, net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7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23.5</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240"/>
          </w:cols>
          <w:pgMar w:left="340" w:top="678" w:right="31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w w:val="91"/>
              </w:rPr>
              <w:t>Three Months Ended December 31</w:t>
            </w:r>
          </w:p>
        </w:tc>
      </w:tr>
      <w:tr>
        <w:trPr>
          <w:trHeight w:val="24"/>
        </w:trPr>
        <w:tc>
          <w:tcPr>
            <w:tcW w:w="3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209"/>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gridSpan w:val="3"/>
          </w:tcPr>
          <w:p>
            <w:pPr>
              <w:ind w:left="76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 Variance</w:t>
            </w: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1080" w:type="dxa"/>
            <w:vAlign w:val="bottom"/>
          </w:tcPr>
          <w:p>
            <w:pPr>
              <w:jc w:val="right"/>
              <w:ind w:right="20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20"/>
                <w:szCs w:val="20"/>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280"/>
              <w:spacing w:after="0"/>
              <w:rPr>
                <w:sz w:val="20"/>
                <w:szCs w:val="20"/>
                <w:color w:val="auto"/>
              </w:rPr>
            </w:pPr>
            <w:r>
              <w:rPr>
                <w:rFonts w:ascii="Arial" w:cs="Arial" w:eastAsia="Arial" w:hAnsi="Arial"/>
                <w:sz w:val="16"/>
                <w:szCs w:val="16"/>
                <w:b w:val="1"/>
                <w:bCs w:val="1"/>
                <w:color w:val="auto"/>
              </w:rPr>
              <w:t>Reported</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20"/>
                <w:szCs w:val="20"/>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260"/>
              <w:spacing w:after="0"/>
              <w:rPr>
                <w:sz w:val="20"/>
                <w:szCs w:val="20"/>
                <w:color w:val="auto"/>
              </w:rPr>
            </w:pPr>
            <w:r>
              <w:rPr>
                <w:rFonts w:ascii="Arial" w:cs="Arial" w:eastAsia="Arial" w:hAnsi="Arial"/>
                <w:sz w:val="16"/>
                <w:szCs w:val="16"/>
                <w:b w:val="1"/>
                <w:bCs w:val="1"/>
                <w:color w:val="auto"/>
              </w:rPr>
              <w:t>Reported</w:t>
            </w:r>
          </w:p>
        </w:tc>
        <w:tc>
          <w:tcPr>
            <w:tcW w:w="1080" w:type="dxa"/>
            <w:vAlign w:val="bottom"/>
          </w:tcPr>
          <w:p>
            <w:pPr>
              <w:jc w:val="right"/>
              <w:ind w:right="180"/>
              <w:spacing w:after="0"/>
              <w:rPr>
                <w:sz w:val="20"/>
                <w:szCs w:val="20"/>
                <w:color w:val="auto"/>
              </w:rPr>
            </w:pPr>
            <w:r>
              <w:rPr>
                <w:rFonts w:ascii="Arial" w:cs="Arial" w:eastAsia="Arial" w:hAnsi="Arial"/>
                <w:sz w:val="16"/>
                <w:szCs w:val="16"/>
                <w:b w:val="1"/>
                <w:bCs w:val="1"/>
                <w:color w:val="auto"/>
              </w:rPr>
              <w:t>Currency</w:t>
            </w:r>
          </w:p>
        </w:tc>
      </w:tr>
      <w:tr>
        <w:trPr>
          <w:trHeight w:val="24"/>
        </w:trPr>
        <w:tc>
          <w:tcPr>
            <w:tcW w:w="3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w w:val="90"/>
              </w:rPr>
              <w:t>(Unaudited)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w w:val="90"/>
              </w:rPr>
              <w:t>(Unaudited)</w:t>
            </w:r>
          </w:p>
        </w:tc>
        <w:tc>
          <w:tcPr>
            <w:tcW w:w="108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17"/>
        </w:trPr>
        <w:tc>
          <w:tcPr>
            <w:tcW w:w="3480" w:type="dxa"/>
            <w:vAlign w:val="bottom"/>
          </w:tcPr>
          <w:p>
            <w:pPr>
              <w:ind w:left="100"/>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7"/>
        </w:trPr>
        <w:tc>
          <w:tcPr>
            <w:tcW w:w="3480" w:type="dxa"/>
            <w:vAlign w:val="bottom"/>
          </w:tcPr>
          <w:p>
            <w:pPr>
              <w:ind w:left="260"/>
              <w:spacing w:after="0"/>
              <w:rPr>
                <w:sz w:val="20"/>
                <w:szCs w:val="20"/>
                <w:color w:val="auto"/>
              </w:rPr>
            </w:pPr>
            <w:r>
              <w:rPr>
                <w:rFonts w:ascii="Arial" w:cs="Arial" w:eastAsia="Arial" w:hAnsi="Arial"/>
                <w:sz w:val="16"/>
                <w:szCs w:val="16"/>
                <w:color w:val="auto"/>
              </w:rPr>
              <w:t>Other Americas</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14.9 %</w:t>
            </w:r>
          </w:p>
        </w:tc>
        <w:tc>
          <w:tcPr>
            <w:tcW w:w="1080" w:type="dxa"/>
            <w:vAlign w:val="bottom"/>
          </w:tcPr>
          <w:p>
            <w:pPr>
              <w:jc w:val="right"/>
              <w:spacing w:after="0"/>
              <w:rPr>
                <w:sz w:val="20"/>
                <w:szCs w:val="20"/>
                <w:color w:val="auto"/>
              </w:rPr>
            </w:pPr>
            <w:r>
              <w:rPr>
                <w:rFonts w:ascii="Arial" w:cs="Arial" w:eastAsia="Arial" w:hAnsi="Arial"/>
                <w:sz w:val="16"/>
                <w:szCs w:val="16"/>
                <w:color w:val="auto"/>
              </w:rPr>
              <w:t>13.2 %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14.2</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39.3 %</w:t>
            </w:r>
          </w:p>
        </w:tc>
        <w:tc>
          <w:tcPr>
            <w:tcW w:w="1080" w:type="dxa"/>
            <w:vAlign w:val="bottom"/>
          </w:tcPr>
          <w:p>
            <w:pPr>
              <w:jc w:val="right"/>
              <w:spacing w:after="0"/>
              <w:rPr>
                <w:sz w:val="20"/>
                <w:szCs w:val="20"/>
                <w:color w:val="auto"/>
              </w:rPr>
            </w:pPr>
            <w:r>
              <w:rPr>
                <w:rFonts w:ascii="Arial" w:cs="Arial" w:eastAsia="Arial" w:hAnsi="Arial"/>
                <w:sz w:val="16"/>
                <w:szCs w:val="16"/>
                <w:color w:val="auto"/>
              </w:rPr>
              <w:t>38.3 %</w:t>
            </w:r>
          </w:p>
        </w:tc>
      </w:tr>
      <w:tr>
        <w:trPr>
          <w:trHeight w:val="24"/>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33"/>
        </w:trPr>
        <w:tc>
          <w:tcPr>
            <w:tcW w:w="3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09"/>
        </w:trPr>
        <w:tc>
          <w:tcPr>
            <w:tcW w:w="348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67.4</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17"/>
        </w:trPr>
        <w:tc>
          <w:tcPr>
            <w:tcW w:w="3480" w:type="dxa"/>
            <w:vAlign w:val="bottom"/>
          </w:tcPr>
          <w:p>
            <w:pPr>
              <w:ind w:left="260"/>
              <w:spacing w:after="0"/>
              <w:rPr>
                <w:sz w:val="20"/>
                <w:szCs w:val="20"/>
                <w:color w:val="auto"/>
              </w:rPr>
            </w:pPr>
            <w:r>
              <w:rPr>
                <w:rFonts w:ascii="Arial" w:cs="Arial" w:eastAsia="Arial" w:hAnsi="Arial"/>
                <w:sz w:val="16"/>
                <w:szCs w:val="16"/>
                <w:color w:val="auto"/>
              </w:rPr>
              <w:t>Italy</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31.5 %</w:t>
            </w:r>
          </w:p>
        </w:tc>
        <w:tc>
          <w:tcPr>
            <w:tcW w:w="1080" w:type="dxa"/>
            <w:vAlign w:val="bottom"/>
          </w:tcPr>
          <w:p>
            <w:pPr>
              <w:jc w:val="right"/>
              <w:spacing w:after="0"/>
              <w:rPr>
                <w:sz w:val="20"/>
                <w:szCs w:val="20"/>
                <w:color w:val="auto"/>
              </w:rPr>
            </w:pPr>
            <w:r>
              <w:rPr>
                <w:rFonts w:ascii="Arial" w:cs="Arial" w:eastAsia="Arial" w:hAnsi="Arial"/>
                <w:sz w:val="16"/>
                <w:szCs w:val="16"/>
                <w:color w:val="auto"/>
              </w:rPr>
              <w:t>25.0 %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58.3 %</w:t>
            </w:r>
          </w:p>
        </w:tc>
        <w:tc>
          <w:tcPr>
            <w:tcW w:w="1080" w:type="dxa"/>
            <w:vAlign w:val="bottom"/>
          </w:tcPr>
          <w:p>
            <w:pPr>
              <w:jc w:val="right"/>
              <w:spacing w:after="0"/>
              <w:rPr>
                <w:sz w:val="20"/>
                <w:szCs w:val="20"/>
                <w:color w:val="auto"/>
              </w:rPr>
            </w:pPr>
            <w:r>
              <w:rPr>
                <w:rFonts w:ascii="Arial" w:cs="Arial" w:eastAsia="Arial" w:hAnsi="Arial"/>
                <w:sz w:val="16"/>
                <w:szCs w:val="16"/>
                <w:color w:val="auto"/>
              </w:rPr>
              <w:t>44.8 %</w:t>
            </w: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3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18.0 %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28.5 %</w:t>
            </w:r>
          </w:p>
        </w:tc>
      </w:tr>
      <w:tr>
        <w:trPr>
          <w:trHeight w:val="209"/>
        </w:trPr>
        <w:tc>
          <w:tcPr>
            <w:tcW w:w="3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118.0</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101.5</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16.2 %</w:t>
            </w:r>
          </w:p>
        </w:tc>
        <w:tc>
          <w:tcPr>
            <w:tcW w:w="1080" w:type="dxa"/>
            <w:vAlign w:val="bottom"/>
          </w:tcPr>
          <w:p>
            <w:pPr>
              <w:jc w:val="right"/>
              <w:spacing w:after="0"/>
              <w:rPr>
                <w:sz w:val="20"/>
                <w:szCs w:val="20"/>
                <w:color w:val="auto"/>
              </w:rPr>
            </w:pPr>
            <w:r>
              <w:rPr>
                <w:rFonts w:ascii="Arial" w:cs="Arial" w:eastAsia="Arial" w:hAnsi="Arial"/>
                <w:sz w:val="16"/>
                <w:szCs w:val="16"/>
                <w:color w:val="auto"/>
              </w:rPr>
              <w:t>10.6 %</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102.3</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30.5 %</w:t>
            </w:r>
          </w:p>
        </w:tc>
        <w:tc>
          <w:tcPr>
            <w:tcW w:w="1080" w:type="dxa"/>
            <w:vAlign w:val="bottom"/>
          </w:tcPr>
          <w:p>
            <w:pPr>
              <w:jc w:val="right"/>
              <w:spacing w:after="0"/>
              <w:rPr>
                <w:sz w:val="20"/>
                <w:szCs w:val="20"/>
                <w:color w:val="auto"/>
              </w:rPr>
            </w:pPr>
            <w:r>
              <w:rPr>
                <w:rFonts w:ascii="Arial" w:cs="Arial" w:eastAsia="Arial" w:hAnsi="Arial"/>
                <w:sz w:val="16"/>
                <w:szCs w:val="16"/>
                <w:color w:val="auto"/>
              </w:rPr>
              <w:t>19.9 %</w:t>
            </w:r>
          </w:p>
        </w:tc>
      </w:tr>
      <w:tr>
        <w:trPr>
          <w:trHeight w:val="24"/>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2"/>
        </w:trPr>
        <w:tc>
          <w:tcPr>
            <w:tcW w:w="3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17"/>
        </w:trPr>
        <w:tc>
          <w:tcPr>
            <w:tcW w:w="3480" w:type="dxa"/>
            <w:vAlign w:val="bottom"/>
          </w:tcPr>
          <w:p>
            <w:pPr>
              <w:ind w:left="100"/>
              <w:spacing w:after="0"/>
              <w:rPr>
                <w:sz w:val="20"/>
                <w:szCs w:val="20"/>
                <w:color w:val="auto"/>
              </w:rPr>
            </w:pPr>
            <w:r>
              <w:rPr>
                <w:rFonts w:ascii="Arial" w:cs="Arial" w:eastAsia="Arial" w:hAnsi="Arial"/>
                <w:sz w:val="16"/>
                <w:szCs w:val="16"/>
                <w:color w:val="auto"/>
              </w:rPr>
              <w:t>Northern Europe</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47.4</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5.1 %</w:t>
            </w:r>
          </w:p>
        </w:tc>
        <w:tc>
          <w:tcPr>
            <w:tcW w:w="1080" w:type="dxa"/>
            <w:vAlign w:val="bottom"/>
          </w:tcPr>
          <w:p>
            <w:pPr>
              <w:jc w:val="right"/>
              <w:spacing w:after="0"/>
              <w:rPr>
                <w:sz w:val="20"/>
                <w:szCs w:val="20"/>
                <w:color w:val="auto"/>
              </w:rPr>
            </w:pPr>
            <w:r>
              <w:rPr>
                <w:rFonts w:ascii="Arial" w:cs="Arial" w:eastAsia="Arial" w:hAnsi="Arial"/>
                <w:sz w:val="16"/>
                <w:szCs w:val="16"/>
                <w:color w:val="auto"/>
              </w:rPr>
              <w:t>0.8 %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45.4</w:t>
            </w:r>
          </w:p>
        </w:tc>
        <w:tc>
          <w:tcPr>
            <w:tcW w:w="22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48.9</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-7.1 %</w:t>
            </w:r>
          </w:p>
        </w:tc>
        <w:tc>
          <w:tcPr>
            <w:tcW w:w="1080" w:type="dxa"/>
            <w:vAlign w:val="bottom"/>
          </w:tcPr>
          <w:p>
            <w:pPr>
              <w:jc w:val="right"/>
              <w:spacing w:after="0"/>
              <w:rPr>
                <w:sz w:val="20"/>
                <w:szCs w:val="20"/>
                <w:color w:val="auto"/>
              </w:rPr>
            </w:pPr>
            <w:r>
              <w:rPr>
                <w:rFonts w:ascii="Arial" w:cs="Arial" w:eastAsia="Arial" w:hAnsi="Arial"/>
                <w:sz w:val="16"/>
                <w:szCs w:val="16"/>
                <w:color w:val="auto"/>
              </w:rPr>
              <w:t>-13.2 %</w:t>
            </w: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APME</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29.6 %</w:t>
            </w:r>
          </w:p>
        </w:tc>
      </w:tr>
      <w:tr>
        <w:trPr>
          <w:trHeight w:val="217"/>
        </w:trPr>
        <w:tc>
          <w:tcPr>
            <w:tcW w:w="3480" w:type="dxa"/>
            <w:vAlign w:val="bottom"/>
          </w:tcPr>
          <w:p>
            <w:pPr>
              <w:ind w:left="100"/>
              <w:spacing w:after="0"/>
              <w:rPr>
                <w:sz w:val="20"/>
                <w:szCs w:val="20"/>
                <w:color w:val="auto"/>
              </w:rPr>
            </w:pPr>
            <w:r>
              <w:rPr>
                <w:rFonts w:ascii="Arial" w:cs="Arial" w:eastAsia="Arial" w:hAnsi="Arial"/>
                <w:sz w:val="16"/>
                <w:szCs w:val="16"/>
                <w:color w:val="auto"/>
              </w:rPr>
              <w:t>Right Management</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-7.8 %</w:t>
            </w:r>
          </w:p>
        </w:tc>
        <w:tc>
          <w:tcPr>
            <w:tcW w:w="1080" w:type="dxa"/>
            <w:vAlign w:val="bottom"/>
          </w:tcPr>
          <w:p>
            <w:pPr>
              <w:jc w:val="right"/>
              <w:spacing w:after="0"/>
              <w:rPr>
                <w:sz w:val="20"/>
                <w:szCs w:val="20"/>
                <w:color w:val="auto"/>
              </w:rPr>
            </w:pPr>
            <w:r>
              <w:rPr>
                <w:rFonts w:ascii="Arial" w:cs="Arial" w:eastAsia="Arial" w:hAnsi="Arial"/>
                <w:sz w:val="16"/>
                <w:szCs w:val="16"/>
                <w:color w:val="auto"/>
              </w:rPr>
              <w:t>-8.3 %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-11.0 %</w:t>
            </w:r>
          </w:p>
        </w:tc>
        <w:tc>
          <w:tcPr>
            <w:tcW w:w="1080" w:type="dxa"/>
            <w:vAlign w:val="bottom"/>
          </w:tcPr>
          <w:p>
            <w:pPr>
              <w:jc w:val="right"/>
              <w:spacing w:after="0"/>
              <w:rPr>
                <w:sz w:val="20"/>
                <w:szCs w:val="20"/>
                <w:color w:val="auto"/>
              </w:rPr>
            </w:pPr>
            <w:r>
              <w:rPr>
                <w:rFonts w:ascii="Arial" w:cs="Arial" w:eastAsia="Arial" w:hAnsi="Arial"/>
                <w:sz w:val="16"/>
                <w:szCs w:val="16"/>
                <w:color w:val="auto"/>
              </w:rPr>
              <w:t>-13.3 %</w:t>
            </w:r>
          </w:p>
        </w:tc>
      </w:tr>
      <w:tr>
        <w:trPr>
          <w:trHeight w:val="24"/>
        </w:trPr>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13"/>
        </w:trPr>
        <w:tc>
          <w:tcPr>
            <w:tcW w:w="3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237.8</w:t>
            </w:r>
          </w:p>
        </w:tc>
        <w:tc>
          <w:tcPr>
            <w:tcW w:w="1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238.0</w:t>
            </w:r>
          </w:p>
        </w:tc>
        <w:tc>
          <w:tcPr>
            <w:tcW w:w="1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17"/>
        </w:trPr>
        <w:tc>
          <w:tcPr>
            <w:tcW w:w="3480" w:type="dxa"/>
            <w:vAlign w:val="bottom"/>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 expense</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9"/>
        </w:trPr>
        <w:tc>
          <w:tcPr>
            <w:tcW w:w="3480" w:type="dxa"/>
            <w:vAlign w:val="bottom"/>
          </w:tcPr>
          <w:p>
            <w:pPr>
              <w:ind w:left="18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228.7</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204.9</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11.5 %</w:t>
            </w:r>
          </w:p>
        </w:tc>
        <w:tc>
          <w:tcPr>
            <w:tcW w:w="1080" w:type="dxa"/>
            <w:vAlign w:val="bottom"/>
          </w:tcPr>
          <w:p>
            <w:pPr>
              <w:jc w:val="right"/>
              <w:spacing w:after="0"/>
              <w:rPr>
                <w:sz w:val="20"/>
                <w:szCs w:val="20"/>
                <w:color w:val="auto"/>
              </w:rPr>
            </w:pPr>
            <w:r>
              <w:rPr>
                <w:rFonts w:ascii="Arial" w:cs="Arial" w:eastAsia="Arial" w:hAnsi="Arial"/>
                <w:sz w:val="16"/>
                <w:szCs w:val="16"/>
                <w:color w:val="auto"/>
              </w:rPr>
              <w:t>7.9 %</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212.4</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11.8 %</w:t>
            </w:r>
          </w:p>
        </w:tc>
        <w:tc>
          <w:tcPr>
            <w:tcW w:w="108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expenses (a)</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7"/>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Earnings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217.0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199.7</w:t>
            </w:r>
          </w:p>
        </w:tc>
        <w:tc>
          <w:tcPr>
            <w:tcW w:w="12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196.9</w:t>
            </w:r>
          </w:p>
        </w:tc>
        <w:tc>
          <w:tcPr>
            <w:tcW w:w="12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72"/>
        </w:trPr>
        <w:tc>
          <w:tcPr>
            <w:tcW w:w="3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The components of interest and other expenses were: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2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2300" w:type="dxa"/>
            <w:vAlign w:val="bottom"/>
            <w:shd w:val="clear" w:color="auto" w:fill="CCEEFF"/>
          </w:tcPr>
          <w:p>
            <w:pPr>
              <w:spacing w:after="0"/>
              <w:rPr>
                <w:sz w:val="20"/>
                <w:szCs w:val="20"/>
                <w:color w:val="auto"/>
              </w:rPr>
            </w:pPr>
          </w:p>
        </w:tc>
      </w:tr>
      <w:tr>
        <w:trPr>
          <w:trHeight w:val="215"/>
        </w:trPr>
        <w:tc>
          <w:tcPr>
            <w:tcW w:w="34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25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230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21"/>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300" w:type="dxa"/>
            <w:vAlign w:val="bottom"/>
            <w:tcBorders>
              <w:bottom w:val="single" w:sz="8" w:color="CCEEFF"/>
            </w:tcBorders>
            <w:shd w:val="clear" w:color="auto" w:fill="CCEEFF"/>
          </w:tcPr>
          <w:p>
            <w:pPr>
              <w:spacing w:after="0"/>
              <w:rPr>
                <w:sz w:val="19"/>
                <w:szCs w:val="19"/>
                <w:color w:val="auto"/>
              </w:rPr>
            </w:pPr>
          </w:p>
        </w:tc>
      </w:tr>
      <w:tr>
        <w:trPr>
          <w:trHeight w:val="217"/>
        </w:trPr>
        <w:tc>
          <w:tcPr>
            <w:tcW w:w="3480" w:type="dxa"/>
            <w:vAlign w:val="bottom"/>
          </w:tcPr>
          <w:p>
            <w:pPr>
              <w:ind w:left="340"/>
              <w:spacing w:after="0"/>
              <w:rPr>
                <w:sz w:val="20"/>
                <w:szCs w:val="20"/>
                <w:color w:val="auto"/>
              </w:rPr>
            </w:pPr>
            <w:r>
              <w:rPr>
                <w:rFonts w:ascii="Arial" w:cs="Arial" w:eastAsia="Arial" w:hAnsi="Arial"/>
                <w:sz w:val="16"/>
                <w:szCs w:val="16"/>
                <w:color w:val="auto"/>
              </w:rPr>
              <w:t>Foreign exchange losses</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3120" w:type="dxa"/>
            <w:vAlign w:val="bottom"/>
            <w:gridSpan w:val="2"/>
          </w:tcPr>
          <w:p>
            <w:pPr>
              <w:jc w:val="right"/>
              <w:ind w:right="26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30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1"/>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Miscellaneous expense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9"/>
        </w:trPr>
        <w:tc>
          <w:tcPr>
            <w:tcW w:w="34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2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15.5</w:t>
            </w:r>
          </w:p>
        </w:tc>
        <w:tc>
          <w:tcPr>
            <w:tcW w:w="2300" w:type="dxa"/>
            <w:vAlign w:val="bottom"/>
          </w:tcPr>
          <w:p>
            <w:pPr>
              <w:spacing w:after="0"/>
              <w:rPr>
                <w:sz w:val="18"/>
                <w:szCs w:val="18"/>
                <w:color w:val="auto"/>
              </w:rPr>
            </w:pPr>
          </w:p>
        </w:tc>
      </w:tr>
      <w:tr>
        <w:trPr>
          <w:trHeight w:val="24"/>
        </w:trPr>
        <w:tc>
          <w:tcPr>
            <w:tcW w:w="3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ectPr>
          <w:pgSz w:w="11900" w:h="16838" w:orient="portrait"/>
          <w:cols w:equalWidth="0" w:num="1">
            <w:col w:w="11380"/>
          </w:cols>
          <w:pgMar w:left="260" w:top="678" w:right="25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6"/>
                <w:szCs w:val="16"/>
                <w:b w:val="1"/>
                <w:bCs w:val="1"/>
                <w:color w:val="auto"/>
                <w:w w:val="94"/>
              </w:rPr>
              <w:t>Year Ended December 31</w:t>
            </w: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gridSpan w:val="3"/>
          </w:tcPr>
          <w:p>
            <w:pPr>
              <w:ind w:left="740"/>
              <w:spacing w:after="0"/>
              <w:rPr>
                <w:sz w:val="20"/>
                <w:szCs w:val="20"/>
                <w:color w:val="auto"/>
              </w:rPr>
            </w:pPr>
            <w:r>
              <w:rPr>
                <w:rFonts w:ascii="Arial" w:cs="Arial" w:eastAsia="Arial" w:hAnsi="Arial"/>
                <w:sz w:val="16"/>
                <w:szCs w:val="16"/>
                <w:b w:val="1"/>
                <w:bCs w:val="1"/>
                <w:color w:val="auto"/>
              </w:rPr>
              <w:t>% Variance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 Variance</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Constant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360"/>
              <w:spacing w:after="0"/>
              <w:rPr>
                <w:sz w:val="20"/>
                <w:szCs w:val="20"/>
                <w:color w:val="auto"/>
              </w:rPr>
            </w:pPr>
            <w:r>
              <w:rPr>
                <w:rFonts w:ascii="Arial" w:cs="Arial" w:eastAsia="Arial" w:hAnsi="Arial"/>
                <w:sz w:val="16"/>
                <w:szCs w:val="16"/>
                <w:b w:val="1"/>
                <w:bCs w:val="1"/>
                <w:color w:val="auto"/>
              </w:rPr>
              <w:t>Amount</w:t>
            </w:r>
          </w:p>
        </w:tc>
        <w:tc>
          <w:tcPr>
            <w:tcW w:w="1020" w:type="dxa"/>
            <w:vAlign w:val="bottom"/>
          </w:tcPr>
          <w:p>
            <w:pPr>
              <w:jc w:val="right"/>
              <w:ind w:right="20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Pr>
          <w:p>
            <w:pPr>
              <w:jc w:val="right"/>
              <w:ind w:right="260"/>
              <w:spacing w:after="0"/>
              <w:rPr>
                <w:sz w:val="20"/>
                <w:szCs w:val="20"/>
                <w:color w:val="auto"/>
              </w:rPr>
            </w:pPr>
            <w:r>
              <w:rPr>
                <w:rFonts w:ascii="Arial" w:cs="Arial" w:eastAsia="Arial" w:hAnsi="Arial"/>
                <w:sz w:val="16"/>
                <w:szCs w:val="16"/>
                <w:b w:val="1"/>
                <w:bCs w:val="1"/>
                <w:color w:val="auto"/>
              </w:rPr>
              <w:t>Reported</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Currency</w:t>
            </w:r>
          </w:p>
        </w:tc>
        <w:tc>
          <w:tcPr>
            <w:tcW w:w="180" w:type="dxa"/>
            <w:vAlign w:val="bottom"/>
          </w:tcPr>
          <w:p>
            <w:pPr>
              <w:spacing w:after="0"/>
              <w:rPr>
                <w:sz w:val="20"/>
                <w:szCs w:val="20"/>
                <w:color w:val="auto"/>
              </w:rPr>
            </w:pPr>
          </w:p>
        </w:tc>
        <w:tc>
          <w:tcPr>
            <w:tcW w:w="660" w:type="dxa"/>
            <w:vAlign w:val="bottom"/>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6"/>
                <w:szCs w:val="16"/>
                <w:b w:val="1"/>
                <w:bCs w:val="1"/>
                <w:color w:val="auto"/>
              </w:rPr>
              <w:t>2016</w:t>
            </w:r>
          </w:p>
        </w:tc>
        <w:tc>
          <w:tcPr>
            <w:tcW w:w="1260" w:type="dxa"/>
            <w:vAlign w:val="bottom"/>
          </w:tcPr>
          <w:p>
            <w:pPr>
              <w:jc w:val="right"/>
              <w:ind w:right="320"/>
              <w:spacing w:after="0"/>
              <w:rPr>
                <w:sz w:val="20"/>
                <w:szCs w:val="20"/>
                <w:color w:val="auto"/>
              </w:rPr>
            </w:pPr>
            <w:r>
              <w:rPr>
                <w:rFonts w:ascii="Arial" w:cs="Arial" w:eastAsia="Arial" w:hAnsi="Arial"/>
                <w:sz w:val="16"/>
                <w:szCs w:val="16"/>
                <w:b w:val="1"/>
                <w:bCs w:val="1"/>
                <w:color w:val="auto"/>
              </w:rPr>
              <w:t>Reported</w:t>
            </w:r>
          </w:p>
        </w:tc>
        <w:tc>
          <w:tcPr>
            <w:tcW w:w="1020" w:type="dxa"/>
            <w:vAlign w:val="bottom"/>
          </w:tcPr>
          <w:p>
            <w:pPr>
              <w:jc w:val="right"/>
              <w:ind w:right="180"/>
              <w:spacing w:after="0"/>
              <w:rPr>
                <w:sz w:val="20"/>
                <w:szCs w:val="20"/>
                <w:color w:val="auto"/>
              </w:rPr>
            </w:pPr>
            <w:r>
              <w:rPr>
                <w:rFonts w:ascii="Arial" w:cs="Arial" w:eastAsia="Arial" w:hAnsi="Arial"/>
                <w:sz w:val="16"/>
                <w:szCs w:val="16"/>
                <w:b w:val="1"/>
                <w:bCs w:val="1"/>
                <w:color w:val="auto"/>
              </w:rPr>
              <w:t>Currency</w:t>
            </w: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6"/>
                <w:szCs w:val="16"/>
                <w:color w:val="auto"/>
              </w:rPr>
              <w:t>(Unaudited)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6"/>
                <w:szCs w:val="16"/>
                <w:color w:val="auto"/>
              </w:rPr>
              <w:t>(Unaudited)</w:t>
            </w: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7"/>
        </w:trPr>
        <w:tc>
          <w:tcPr>
            <w:tcW w:w="3000" w:type="dxa"/>
            <w:vAlign w:val="bottom"/>
          </w:tcPr>
          <w:p>
            <w:pPr>
              <w:ind w:left="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103.3</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142.3</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17"/>
        </w:trPr>
        <w:tc>
          <w:tcPr>
            <w:tcW w:w="3000" w:type="dxa"/>
            <w:vAlign w:val="bottom"/>
          </w:tcPr>
          <w:p>
            <w:pPr>
              <w:ind w:left="26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39.4</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5.1 %</w:t>
            </w:r>
          </w:p>
        </w:tc>
        <w:tc>
          <w:tcPr>
            <w:tcW w:w="1080" w:type="dxa"/>
            <w:vAlign w:val="bottom"/>
          </w:tcPr>
          <w:p>
            <w:pPr>
              <w:jc w:val="right"/>
              <w:spacing w:after="0"/>
              <w:rPr>
                <w:sz w:val="20"/>
                <w:szCs w:val="20"/>
                <w:color w:val="auto"/>
              </w:rPr>
            </w:pPr>
            <w:r>
              <w:rPr>
                <w:rFonts w:ascii="Arial" w:cs="Arial" w:eastAsia="Arial" w:hAnsi="Arial"/>
                <w:sz w:val="16"/>
                <w:szCs w:val="16"/>
                <w:color w:val="auto"/>
              </w:rPr>
              <w:t>6.2 %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53.6</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14.1 %</w:t>
            </w:r>
          </w:p>
        </w:tc>
        <w:tc>
          <w:tcPr>
            <w:tcW w:w="1020" w:type="dxa"/>
            <w:vAlign w:val="bottom"/>
          </w:tcPr>
          <w:p>
            <w:pPr>
              <w:jc w:val="right"/>
              <w:spacing w:after="0"/>
              <w:rPr>
                <w:sz w:val="20"/>
                <w:szCs w:val="20"/>
                <w:color w:val="auto"/>
              </w:rPr>
            </w:pPr>
            <w:r>
              <w:rPr>
                <w:rFonts w:ascii="Arial" w:cs="Arial" w:eastAsia="Arial" w:hAnsi="Arial"/>
                <w:sz w:val="16"/>
                <w:szCs w:val="16"/>
                <w:color w:val="auto"/>
              </w:rPr>
              <w:t>14.7 %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3"/>
        </w:trPr>
        <w:tc>
          <w:tcPr>
            <w:tcW w:w="3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142.7</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213.3</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195.9</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09"/>
        </w:trPr>
        <w:tc>
          <w:tcPr>
            <w:tcW w:w="30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185.1</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280.0</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252.5</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7"/>
        </w:trPr>
        <w:tc>
          <w:tcPr>
            <w:tcW w:w="3000" w:type="dxa"/>
            <w:vAlign w:val="bottom"/>
          </w:tcPr>
          <w:p>
            <w:pPr>
              <w:ind w:left="26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w:t>
            </w: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22.1 %</w:t>
            </w:r>
          </w:p>
        </w:tc>
        <w:tc>
          <w:tcPr>
            <w:tcW w:w="1080" w:type="dxa"/>
            <w:vAlign w:val="bottom"/>
          </w:tcPr>
          <w:p>
            <w:pPr>
              <w:jc w:val="right"/>
              <w:spacing w:after="0"/>
              <w:rPr>
                <w:sz w:val="20"/>
                <w:szCs w:val="20"/>
                <w:color w:val="auto"/>
              </w:rPr>
            </w:pPr>
            <w:r>
              <w:rPr>
                <w:rFonts w:ascii="Arial" w:cs="Arial" w:eastAsia="Arial" w:hAnsi="Arial"/>
                <w:sz w:val="16"/>
                <w:szCs w:val="16"/>
                <w:color w:val="auto"/>
              </w:rPr>
              <w:t>22.4 %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104.5</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79.1</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32.1 %</w:t>
            </w:r>
          </w:p>
        </w:tc>
        <w:tc>
          <w:tcPr>
            <w:tcW w:w="102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22.9 %</w:t>
            </w:r>
          </w:p>
        </w:tc>
      </w:tr>
      <w:tr>
        <w:trPr>
          <w:trHeight w:val="209"/>
        </w:trPr>
        <w:tc>
          <w:tcPr>
            <w:tcW w:w="3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310.3</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12.3 %</w:t>
            </w:r>
          </w:p>
        </w:tc>
        <w:tc>
          <w:tcPr>
            <w:tcW w:w="1080" w:type="dxa"/>
            <w:vAlign w:val="bottom"/>
          </w:tcPr>
          <w:p>
            <w:pPr>
              <w:jc w:val="right"/>
              <w:spacing w:after="0"/>
              <w:rPr>
                <w:sz w:val="20"/>
                <w:szCs w:val="20"/>
                <w:color w:val="auto"/>
              </w:rPr>
            </w:pPr>
            <w:r>
              <w:rPr>
                <w:rFonts w:ascii="Arial" w:cs="Arial" w:eastAsia="Arial" w:hAnsi="Arial"/>
                <w:sz w:val="16"/>
                <w:szCs w:val="16"/>
                <w:color w:val="auto"/>
              </w:rPr>
              <w:t>12.0 %</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443.9</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378.8</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17.2 %</w:t>
            </w:r>
          </w:p>
        </w:tc>
        <w:tc>
          <w:tcPr>
            <w:tcW w:w="1020" w:type="dxa"/>
            <w:vAlign w:val="bottom"/>
          </w:tcPr>
          <w:p>
            <w:pPr>
              <w:jc w:val="right"/>
              <w:spacing w:after="0"/>
              <w:rPr>
                <w:sz w:val="20"/>
                <w:szCs w:val="20"/>
                <w:color w:val="auto"/>
              </w:rPr>
            </w:pPr>
            <w:r>
              <w:rPr>
                <w:rFonts w:ascii="Arial" w:cs="Arial" w:eastAsia="Arial" w:hAnsi="Arial"/>
                <w:sz w:val="16"/>
                <w:szCs w:val="16"/>
                <w:color w:val="auto"/>
              </w:rPr>
              <w:t>14.2 %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82"/>
        </w:trPr>
        <w:tc>
          <w:tcPr>
            <w:tcW w:w="3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17"/>
        </w:trPr>
        <w:tc>
          <w:tcPr>
            <w:tcW w:w="3000" w:type="dxa"/>
            <w:vAlign w:val="bottom"/>
          </w:tcPr>
          <w:p>
            <w:pPr>
              <w:ind w:left="100"/>
              <w:spacing w:after="0"/>
              <w:rPr>
                <w:sz w:val="20"/>
                <w:szCs w:val="20"/>
                <w:color w:val="auto"/>
              </w:rPr>
            </w:pPr>
            <w:r>
              <w:rPr>
                <w:rFonts w:ascii="Arial" w:cs="Arial" w:eastAsia="Arial" w:hAnsi="Arial"/>
                <w:sz w:val="16"/>
                <w:szCs w:val="16"/>
                <w:color w:val="auto"/>
              </w:rPr>
              <w:t>Northern Europe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117.5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-19.4 %</w:t>
            </w:r>
          </w:p>
        </w:tc>
        <w:tc>
          <w:tcPr>
            <w:tcW w:w="1080" w:type="dxa"/>
            <w:vAlign w:val="bottom"/>
          </w:tcPr>
          <w:p>
            <w:pPr>
              <w:jc w:val="right"/>
              <w:spacing w:after="0"/>
              <w:rPr>
                <w:sz w:val="20"/>
                <w:szCs w:val="20"/>
                <w:color w:val="auto"/>
              </w:rPr>
            </w:pPr>
            <w:r>
              <w:rPr>
                <w:rFonts w:ascii="Arial" w:cs="Arial" w:eastAsia="Arial" w:hAnsi="Arial"/>
                <w:sz w:val="16"/>
                <w:szCs w:val="16"/>
                <w:color w:val="auto"/>
              </w:rPr>
              <w:t>-19.6 %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140.1</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166.4</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-15.8 %</w:t>
            </w:r>
          </w:p>
        </w:tc>
        <w:tc>
          <w:tcPr>
            <w:tcW w:w="1020" w:type="dxa"/>
            <w:vAlign w:val="bottom"/>
          </w:tcPr>
          <w:p>
            <w:pPr>
              <w:jc w:val="right"/>
              <w:spacing w:after="0"/>
              <w:rPr>
                <w:sz w:val="20"/>
                <w:szCs w:val="20"/>
                <w:color w:val="auto"/>
              </w:rPr>
            </w:pPr>
            <w:r>
              <w:rPr>
                <w:rFonts w:ascii="Arial" w:cs="Arial" w:eastAsia="Arial" w:hAnsi="Arial"/>
                <w:sz w:val="16"/>
                <w:szCs w:val="16"/>
                <w:color w:val="auto"/>
              </w:rPr>
              <w:t>-17.7 %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APME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11.8 %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7"/>
        </w:trPr>
        <w:tc>
          <w:tcPr>
            <w:tcW w:w="3000" w:type="dxa"/>
            <w:vAlign w:val="bottom"/>
          </w:tcPr>
          <w:p>
            <w:pPr>
              <w:ind w:left="100"/>
              <w:spacing w:after="0"/>
              <w:rPr>
                <w:sz w:val="20"/>
                <w:szCs w:val="20"/>
                <w:color w:val="auto"/>
              </w:rPr>
            </w:pPr>
            <w:r>
              <w:rPr>
                <w:rFonts w:ascii="Arial" w:cs="Arial" w:eastAsia="Arial" w:hAnsi="Arial"/>
                <w:sz w:val="16"/>
                <w:szCs w:val="16"/>
                <w:color w:val="auto"/>
              </w:rPr>
              <w:t>Right Management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-22.5 %</w:t>
            </w:r>
          </w:p>
        </w:tc>
        <w:tc>
          <w:tcPr>
            <w:tcW w:w="1080" w:type="dxa"/>
            <w:vAlign w:val="bottom"/>
          </w:tcPr>
          <w:p>
            <w:pPr>
              <w:jc w:val="right"/>
              <w:spacing w:after="0"/>
              <w:rPr>
                <w:sz w:val="20"/>
                <w:szCs w:val="20"/>
                <w:color w:val="auto"/>
              </w:rPr>
            </w:pPr>
            <w:r>
              <w:rPr>
                <w:rFonts w:ascii="Arial" w:cs="Arial" w:eastAsia="Arial" w:hAnsi="Arial"/>
                <w:sz w:val="16"/>
                <w:szCs w:val="16"/>
                <w:color w:val="auto"/>
              </w:rPr>
              <w:t>-22.1 %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36.0</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44.7</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-19.4 %</w:t>
            </w:r>
          </w:p>
        </w:tc>
        <w:tc>
          <w:tcPr>
            <w:tcW w:w="1020" w:type="dxa"/>
            <w:vAlign w:val="bottom"/>
          </w:tcPr>
          <w:p>
            <w:pPr>
              <w:jc w:val="right"/>
              <w:spacing w:after="0"/>
              <w:rPr>
                <w:sz w:val="20"/>
                <w:szCs w:val="20"/>
                <w:color w:val="auto"/>
              </w:rPr>
            </w:pPr>
            <w:r>
              <w:rPr>
                <w:rFonts w:ascii="Arial" w:cs="Arial" w:eastAsia="Arial" w:hAnsi="Arial"/>
                <w:sz w:val="16"/>
                <w:szCs w:val="16"/>
                <w:color w:val="auto"/>
              </w:rPr>
              <w:t>-19.7 %</w:t>
            </w:r>
          </w:p>
        </w:tc>
      </w:tr>
      <w:tr>
        <w:trPr>
          <w:trHeight w:val="24"/>
        </w:trPr>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13"/>
        </w:trPr>
        <w:tc>
          <w:tcPr>
            <w:tcW w:w="3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636.3</w:t>
            </w:r>
          </w:p>
        </w:tc>
        <w:tc>
          <w:tcPr>
            <w:tcW w:w="1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932.2</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874.3</w:t>
            </w:r>
          </w:p>
        </w:tc>
        <w:tc>
          <w:tcPr>
            <w:tcW w:w="1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(76.2)</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(92.8)</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 amortization expense</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551.8</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533.1</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3.5 %</w:t>
            </w:r>
          </w:p>
        </w:tc>
        <w:tc>
          <w:tcPr>
            <w:tcW w:w="1080" w:type="dxa"/>
            <w:vAlign w:val="bottom"/>
          </w:tcPr>
          <w:p>
            <w:pPr>
              <w:jc w:val="right"/>
              <w:spacing w:after="0"/>
              <w:rPr>
                <w:sz w:val="20"/>
                <w:szCs w:val="20"/>
                <w:color w:val="auto"/>
              </w:rPr>
            </w:pPr>
            <w:r>
              <w:rPr>
                <w:rFonts w:ascii="Arial" w:cs="Arial" w:eastAsia="Arial" w:hAnsi="Arial"/>
                <w:sz w:val="16"/>
                <w:szCs w:val="16"/>
                <w:color w:val="auto"/>
              </w:rPr>
              <w:t>3.5 %</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789.2</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745.5</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5.9 %</w:t>
            </w: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expenses (a)</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7"/>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Earnings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504.4</w:t>
            </w:r>
          </w:p>
        </w:tc>
        <w:tc>
          <w:tcPr>
            <w:tcW w:w="12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737.3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701.3</w:t>
            </w:r>
          </w:p>
        </w:tc>
        <w:tc>
          <w:tcPr>
            <w:tcW w:w="12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r>
      <w:tr>
        <w:trPr>
          <w:trHeight w:val="272"/>
        </w:trPr>
        <w:tc>
          <w:tcPr>
            <w:tcW w:w="3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7"/>
        </w:trPr>
        <w:tc>
          <w:tcPr>
            <w:tcW w:w="3820" w:type="dxa"/>
            <w:vAlign w:val="bottom"/>
            <w:gridSpan w:val="3"/>
          </w:tcPr>
          <w:p>
            <w:pPr>
              <w:ind w:left="20"/>
              <w:spacing w:after="0"/>
              <w:rPr>
                <w:sz w:val="20"/>
                <w:szCs w:val="20"/>
                <w:color w:val="auto"/>
              </w:rPr>
            </w:pPr>
            <w:r>
              <w:rPr>
                <w:rFonts w:ascii="Arial" w:cs="Arial" w:eastAsia="Arial" w:hAnsi="Arial"/>
                <w:sz w:val="16"/>
                <w:szCs w:val="16"/>
                <w:color w:val="auto"/>
                <w:w w:val="92"/>
              </w:rPr>
              <w:t>(a) The components of interest and other expenses were: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2016</w:t>
            </w:r>
          </w:p>
        </w:tc>
        <w:tc>
          <w:tcPr>
            <w:tcW w:w="1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30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35.8</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49.5</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7"/>
        </w:trPr>
        <w:tc>
          <w:tcPr>
            <w:tcW w:w="3000" w:type="dxa"/>
            <w:vAlign w:val="bottom"/>
          </w:tcPr>
          <w:p>
            <w:pPr>
              <w:ind w:left="340"/>
              <w:spacing w:after="0"/>
              <w:rPr>
                <w:sz w:val="20"/>
                <w:szCs w:val="20"/>
                <w:color w:val="auto"/>
              </w:rPr>
            </w:pPr>
            <w:r>
              <w:rPr>
                <w:rFonts w:ascii="Arial" w:cs="Arial" w:eastAsia="Arial" w:hAnsi="Arial"/>
                <w:sz w:val="16"/>
                <w:szCs w:val="16"/>
                <w:color w:val="auto"/>
              </w:rPr>
              <w:t>Foreign exchange losses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Miscellaneous expense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9"/>
        </w:trPr>
        <w:tc>
          <w:tcPr>
            <w:tcW w:w="30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28.7</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44.2</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40" w:top="67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2019-12-28T23:23:27Z</dcterms:created>
  <dcterms:modified xsi:type="dcterms:W3CDTF">2019-12-28T23:23:27Z</dcterms:modified>
</cp:coreProperties>
</file>