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19, 2012</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(d/b/a ManpowerGroup)</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28" w:lineRule="exact"/>
        <w:rPr>
          <w:sz w:val="20"/>
          <w:szCs w:val="20"/>
          <w:color w:val="auto"/>
        </w:rPr>
      </w:pPr>
    </w:p>
    <w:p>
      <w:pPr>
        <w:ind w:right="280" w:firstLine="577"/>
        <w:spacing w:after="0" w:line="277" w:lineRule="auto"/>
        <w:rPr>
          <w:sz w:val="20"/>
          <w:szCs w:val="20"/>
          <w:color w:val="auto"/>
        </w:rPr>
      </w:pPr>
      <w:r>
        <w:rPr>
          <w:rFonts w:ascii="Arial" w:cs="Arial" w:eastAsia="Arial" w:hAnsi="Arial"/>
          <w:sz w:val="16"/>
          <w:szCs w:val="16"/>
          <w:color w:val="auto"/>
        </w:rPr>
        <w:t>On October 19, 2012, we issued a press release announcing our results of operations for the three- and nine- month periods ended September 30, 2012. A copy of the press release is attached hereto as Exhibit 99.1 and is incorporated herein by reference.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October 19, 2012</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October 19, 2012 conference call</w:t>
            </w:r>
          </w:p>
        </w:tc>
      </w:tr>
      <w:tr>
        <w:trPr>
          <w:trHeight w:val="537"/>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(d/b/a ManpowerGroup)</w:t>
      </w:r>
    </w:p>
    <w:p>
      <w:pPr>
        <w:spacing w:after="0" w:line="188"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October 19, 2012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339"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40" w:type="dxa"/>
            <w:vAlign w:val="bottom"/>
          </w:tcPr>
          <w:p>
            <w:pPr>
              <w:spacing w:after="0"/>
              <w:rPr>
                <w:sz w:val="18"/>
                <w:szCs w:val="18"/>
                <w:color w:val="auto"/>
              </w:rPr>
            </w:pPr>
          </w:p>
        </w:tc>
        <w:tc>
          <w:tcPr>
            <w:tcW w:w="9900" w:type="dxa"/>
            <w:vAlign w:val="bottom"/>
          </w:tcPr>
          <w:p>
            <w:pPr>
              <w:ind w:left="356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0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4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00" w:type="dxa"/>
            <w:vAlign w:val="bottom"/>
          </w:tcPr>
          <w:p>
            <w:pPr>
              <w:ind w:left="780"/>
              <w:spacing w:after="0" w:line="180" w:lineRule="exact"/>
              <w:rPr>
                <w:sz w:val="20"/>
                <w:szCs w:val="20"/>
                <w:color w:val="auto"/>
              </w:rPr>
            </w:pPr>
            <w:r>
              <w:rPr>
                <w:rFonts w:ascii="Arial" w:cs="Arial" w:eastAsia="Arial" w:hAnsi="Arial"/>
                <w:sz w:val="16"/>
                <w:szCs w:val="16"/>
                <w:color w:val="auto"/>
              </w:rPr>
              <w:t>Press Release dated October 19, 2012</w:t>
            </w:r>
          </w:p>
        </w:tc>
      </w:tr>
      <w:tr>
        <w:trPr>
          <w:trHeight w:val="205"/>
        </w:trPr>
        <w:tc>
          <w:tcPr>
            <w:tcW w:w="1540" w:type="dxa"/>
            <w:vAlign w:val="bottom"/>
          </w:tcPr>
          <w:p>
            <w:pPr>
              <w:spacing w:after="0"/>
              <w:rPr>
                <w:sz w:val="20"/>
                <w:szCs w:val="20"/>
                <w:color w:val="auto"/>
              </w:rPr>
            </w:pPr>
            <w:r>
              <w:rPr>
                <w:rFonts w:ascii="Arial" w:cs="Arial" w:eastAsia="Arial" w:hAnsi="Arial"/>
                <w:sz w:val="16"/>
                <w:szCs w:val="16"/>
                <w:color w:val="auto"/>
              </w:rPr>
              <w:t>99.2</w:t>
            </w:r>
          </w:p>
        </w:tc>
        <w:tc>
          <w:tcPr>
            <w:tcW w:w="9900" w:type="dxa"/>
            <w:vAlign w:val="bottom"/>
          </w:tcPr>
          <w:p>
            <w:pPr>
              <w:ind w:left="780"/>
              <w:spacing w:after="0"/>
              <w:rPr>
                <w:sz w:val="20"/>
                <w:szCs w:val="20"/>
                <w:color w:val="auto"/>
              </w:rPr>
            </w:pPr>
            <w:r>
              <w:rPr>
                <w:rFonts w:ascii="Arial" w:cs="Arial" w:eastAsia="Arial" w:hAnsi="Arial"/>
                <w:sz w:val="16"/>
                <w:szCs w:val="16"/>
                <w:color w:val="auto"/>
              </w:rPr>
              <w:t>Presentation materials for October 19, 2012 conference call</w:t>
            </w:r>
          </w:p>
        </w:tc>
      </w:tr>
    </w:tbl>
    <w:p>
      <w:pPr>
        <w:sectPr>
          <w:pgSz w:w="11900" w:h="16838" w:orient="portrait"/>
          <w:cols w:equalWidth="0" w:num="1">
            <w:col w:w="11440"/>
          </w:cols>
          <w:pgMar w:left="240" w:top="33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4500"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4"/>
          <w:szCs w:val="14"/>
          <w:b w:val="1"/>
          <w:bCs w:val="1"/>
          <w:color w:val="auto"/>
        </w:rPr>
        <w:t>Contact:</w:t>
      </w:r>
    </w:p>
    <w:p>
      <w:pPr>
        <w:spacing w:after="0" w:line="22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Mike Van Handel</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michael.vanhandel@manpowergroup.com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ManpowerGroup Reports 3</w:t>
      </w:r>
      <w:r>
        <w:rPr>
          <w:rFonts w:ascii="Arial" w:cs="Arial" w:eastAsia="Arial" w:hAnsi="Arial"/>
          <w:sz w:val="22"/>
          <w:szCs w:val="22"/>
          <w:b w:val="1"/>
          <w:bCs w:val="1"/>
          <w:color w:val="auto"/>
          <w:vertAlign w:val="superscript"/>
        </w:rPr>
        <w:t>rd</w:t>
      </w:r>
      <w:r>
        <w:rPr>
          <w:rFonts w:ascii="Arial" w:cs="Arial" w:eastAsia="Arial" w:hAnsi="Arial"/>
          <w:sz w:val="16"/>
          <w:szCs w:val="16"/>
          <w:b w:val="1"/>
          <w:bCs w:val="1"/>
          <w:color w:val="auto"/>
        </w:rPr>
        <w:t xml:space="preserve"> Quarter 2012 Results</w:t>
      </w:r>
    </w:p>
    <w:p>
      <w:pPr>
        <w:spacing w:after="0" w:line="372" w:lineRule="exact"/>
        <w:rPr>
          <w:sz w:val="20"/>
          <w:szCs w:val="20"/>
          <w:color w:val="auto"/>
        </w:rPr>
      </w:pPr>
    </w:p>
    <w:p>
      <w:pPr>
        <w:ind w:right="480" w:firstLine="593"/>
        <w:spacing w:after="0" w:line="292" w:lineRule="auto"/>
        <w:rPr>
          <w:sz w:val="20"/>
          <w:szCs w:val="20"/>
          <w:color w:val="auto"/>
        </w:rPr>
      </w:pPr>
      <w:r>
        <w:rPr>
          <w:rFonts w:ascii="Arial" w:cs="Arial" w:eastAsia="Arial" w:hAnsi="Arial"/>
          <w:sz w:val="15"/>
          <w:szCs w:val="15"/>
          <w:b w:val="1"/>
          <w:bCs w:val="1"/>
          <w:color w:val="auto"/>
        </w:rPr>
        <w:t xml:space="preserve">MILWAUKEE, October 19, 2012 -- </w:t>
      </w:r>
      <w:r>
        <w:rPr>
          <w:rFonts w:ascii="Arial" w:cs="Arial" w:eastAsia="Arial" w:hAnsi="Arial"/>
          <w:sz w:val="15"/>
          <w:szCs w:val="15"/>
          <w:color w:val="auto"/>
        </w:rPr>
        <w:t>ManpowerGroup (NYSE: MAN) today reported that earnings per diluted share for the three months ended September 30,</w:t>
      </w:r>
      <w:r>
        <w:rPr>
          <w:rFonts w:ascii="Arial" w:cs="Arial" w:eastAsia="Arial" w:hAnsi="Arial"/>
          <w:sz w:val="15"/>
          <w:szCs w:val="15"/>
          <w:b w:val="1"/>
          <w:bCs w:val="1"/>
          <w:color w:val="auto"/>
        </w:rPr>
        <w:t xml:space="preserve"> </w:t>
      </w:r>
      <w:r>
        <w:rPr>
          <w:rFonts w:ascii="Arial" w:cs="Arial" w:eastAsia="Arial" w:hAnsi="Arial"/>
          <w:sz w:val="15"/>
          <w:szCs w:val="15"/>
          <w:color w:val="auto"/>
        </w:rPr>
        <w:t>2012 were 79 cents compared to 97 cents in the prior year period. Net earnings in the quarter were $63.1 million compared to $79.6 million a year earlier. Revenues for the third quarter were $5.2 billion, a decrease of 11 percent from the prior year period, or a decrease of 4 percent in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Third quarter results were unfavorably impacted by 6 cents per diluted share, as foreign currencies were relatively weaker compared to the third quarter of 2011.</w:t>
      </w:r>
    </w:p>
    <w:p>
      <w:pPr>
        <w:spacing w:after="0" w:line="224" w:lineRule="exact"/>
        <w:rPr>
          <w:sz w:val="20"/>
          <w:szCs w:val="20"/>
          <w:color w:val="auto"/>
        </w:rPr>
      </w:pPr>
    </w:p>
    <w:p>
      <w:pPr>
        <w:ind w:right="540"/>
        <w:spacing w:after="0" w:line="259" w:lineRule="auto"/>
        <w:rPr>
          <w:sz w:val="20"/>
          <w:szCs w:val="20"/>
          <w:color w:val="auto"/>
        </w:rPr>
      </w:pPr>
      <w:r>
        <w:rPr>
          <w:rFonts w:ascii="Arial" w:cs="Arial" w:eastAsia="Arial" w:hAnsi="Arial"/>
          <w:sz w:val="16"/>
          <w:szCs w:val="16"/>
          <w:color w:val="auto"/>
        </w:rPr>
        <w:t>Jeffrey A. Joerres, ManpowerGroup Chairman and CEO, said, “Clearly, the economic environment continues to be challenging as we experienced a revenue decline of 4 percent in constant currency. However, the ManpowerGroup team did an extraordinary job of aggressively selling our value to our clients which resulted in stabilizing our gross margin. Additionally, we were extremely vigilant regarding cost and efficiency. Both contributed nicely to the third quarter performance. We will continue to pursue efficient models to deliver our service while creating more agility throughout the entire organization.</w:t>
      </w:r>
    </w:p>
    <w:p>
      <w:pPr>
        <w:spacing w:after="0" w:line="191" w:lineRule="exact"/>
        <w:rPr>
          <w:sz w:val="20"/>
          <w:szCs w:val="20"/>
          <w:color w:val="auto"/>
        </w:rPr>
      </w:pPr>
    </w:p>
    <w:p>
      <w:pPr>
        <w:ind w:right="820"/>
        <w:spacing w:after="0" w:line="277" w:lineRule="auto"/>
        <w:rPr>
          <w:sz w:val="20"/>
          <w:szCs w:val="20"/>
          <w:color w:val="auto"/>
        </w:rPr>
      </w:pPr>
      <w:r>
        <w:rPr>
          <w:rFonts w:ascii="Arial" w:cs="Arial" w:eastAsia="Arial" w:hAnsi="Arial"/>
          <w:sz w:val="16"/>
          <w:szCs w:val="16"/>
          <w:color w:val="auto"/>
        </w:rPr>
        <w:t>“We are anticipating the fourth quarter of 2012 diluted earnings per share to be in the range of 72 cents to 80 cents, which includes an estimated unfavorable currency impact of 1 cent. This is before considering anticipated reorganization charges,” Joerres stated.</w:t>
      </w:r>
    </w:p>
    <w:p>
      <w:pPr>
        <w:spacing w:after="0" w:line="176" w:lineRule="exact"/>
        <w:rPr>
          <w:sz w:val="20"/>
          <w:szCs w:val="20"/>
          <w:color w:val="auto"/>
        </w:rPr>
      </w:pPr>
    </w:p>
    <w:p>
      <w:pPr>
        <w:ind w:right="500"/>
        <w:spacing w:after="0" w:line="264" w:lineRule="auto"/>
        <w:rPr>
          <w:sz w:val="20"/>
          <w:szCs w:val="20"/>
          <w:color w:val="auto"/>
        </w:rPr>
      </w:pPr>
      <w:r>
        <w:rPr>
          <w:rFonts w:ascii="Arial" w:cs="Arial" w:eastAsia="Arial" w:hAnsi="Arial"/>
          <w:sz w:val="16"/>
          <w:szCs w:val="16"/>
          <w:color w:val="auto"/>
        </w:rPr>
        <w:t>Earnings per diluted share for the nine months ended September 30, 2012 were $1.79 compared to $2.26 per diluted share in 2011. Net earnings were $144.3 million compared to $188.0 million in the prior year. Revenues for the nine-month period were $15.5 billion, a decrease of 6 percent from the prior year, or a decrease of 1 percent in constant currency. Foreign currency exchange rates had an unfavorable impact of 14 cents for the nine-month period.</w:t>
      </w:r>
    </w:p>
    <w:p>
      <w:pPr>
        <w:spacing w:after="0" w:line="186" w:lineRule="exact"/>
        <w:rPr>
          <w:sz w:val="20"/>
          <w:szCs w:val="20"/>
          <w:color w:val="auto"/>
        </w:rPr>
      </w:pPr>
    </w:p>
    <w:p>
      <w:pPr>
        <w:ind w:right="500"/>
        <w:spacing w:after="0" w:line="312" w:lineRule="auto"/>
        <w:rPr>
          <w:sz w:val="20"/>
          <w:szCs w:val="20"/>
          <w:color w:val="auto"/>
        </w:rPr>
      </w:pPr>
      <w:r>
        <w:rPr>
          <w:rFonts w:ascii="Arial" w:cs="Arial" w:eastAsia="Arial" w:hAnsi="Arial"/>
          <w:sz w:val="15"/>
          <w:szCs w:val="15"/>
          <w:color w:val="auto"/>
        </w:rPr>
        <w:t xml:space="preserve">In conjunction with its third quarter earnings release, ManpowerGroup will broadcast its conference call live over the Internet on October 19, 2012 at 7:30 a.m. CDT (8:30 a.m. EDT). 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420"/>
        <w:spacing w:after="0" w:line="291" w:lineRule="auto"/>
        <w:rPr>
          <w:sz w:val="20"/>
          <w:szCs w:val="20"/>
          <w:color w:val="auto"/>
        </w:rPr>
      </w:pPr>
      <w:r>
        <w:rPr>
          <w:rFonts w:ascii="Arial" w:cs="Arial" w:eastAsia="Arial" w:hAnsi="Arial"/>
          <w:sz w:val="14"/>
          <w:szCs w:val="14"/>
          <w:color w:val="auto"/>
        </w:rPr>
        <w:t>ManpowerGroup™ (NYSE: MAN), the world leader in innovative workforce solutions, creates and delivers high-impact solutions that enable our clients to achieve their business goals and enhance their competitiveness. With over 60 years of experience, our $22 billion company creates unique time to value through a comprehensive suite of innovative solutions that help clients win in the Human Age. These solutions cover an entire range of talent-driven needs from recruitment and assessment, training and development, and career management, to outsourcing and workforce consulting. ManpowerGroup maintains the world's largest and industry-leading network of nearly 3,900 offices in 80 countries and territories, generating a dynamic mix of an unmatched global footprint with valuable insight and local expertise to meet the needs of its 400,000 clients per year, across all industry sectors, small and medium-sized enterprises, local, multinational and global companies. By connecting our deep understanding of human potential to the ambitions of clients, ManpowerGroup helps the organizations and individuals we serve achieve more than they imagined — because their success leads to our success. And by creating these powerful connections, we create power that drives organizations forward, accelerates personal success and builds more sustainable communities. We help power the world of work. The ManpowerGroup suite of solutions is offered through ManpowerGroup™ Solutions, Manpower®, Experis™ and Right Management®. Learn more about how the ManpowerGroup can help you win in the Human Age at www.manpowergroup.com.</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news release contains statements, including earnings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2011, which information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346075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5,172.3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5,782.3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4,316.1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4,831.0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951.3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793.3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67.4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-32.6%</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0.79</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0.97</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-18.6%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0.79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0.97</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-18.6%</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81.7</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-2.7%</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82.4</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-2.9%</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76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$6.4 million and $7.2 million for the three months ended September 30, 2012 and 2011, respectively. These fees are primarily based on revenues generated by the franchise offices, which were $270.5 million and $293.9 million for the three months ended September 30,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6"/>
                <w:szCs w:val="16"/>
                <w:b w:val="1"/>
                <w:bCs w:val="1"/>
                <w:color w:val="auto"/>
                <w:w w:val="92"/>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760.8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381.1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1,210.0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1,392.0</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246.8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206.9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1,828.0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2,198.2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-16.8%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1,595.6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688.2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701.0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5,172.3</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5,782.3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-10.5%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24.5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42.7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-28.5%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62.8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-32.3%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20.8</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1380" w:type="dxa"/>
            <w:vAlign w:val="bottom"/>
            <w:gridSpan w:val="2"/>
          </w:tcPr>
          <w:p>
            <w:pPr>
              <w:ind w:left="860"/>
              <w:spacing w:after="0"/>
              <w:rPr>
                <w:sz w:val="20"/>
                <w:szCs w:val="20"/>
                <w:color w:val="auto"/>
              </w:rPr>
            </w:pPr>
            <w:r>
              <w:rPr>
                <w:rFonts w:ascii="Arial" w:cs="Arial" w:eastAsia="Arial" w:hAnsi="Arial"/>
                <w:sz w:val="16"/>
                <w:szCs w:val="16"/>
                <w:color w:val="auto"/>
              </w:rPr>
              <w:t>N/A</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175.3</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(24.5)</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(29.9)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22.5</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(10.1)</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(11.0)</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147.0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the United States, revenues from services include fees received from our franchise offices of $3.9 million for the three months ended September 30, 2012 and 2011.</w:t>
      </w:r>
    </w:p>
    <w:p>
      <w:pPr>
        <w:spacing w:after="0" w:line="32" w:lineRule="exact"/>
        <w:rPr>
          <w:rFonts w:ascii="Arial" w:cs="Arial" w:eastAsia="Arial" w:hAnsi="Arial"/>
          <w:sz w:val="15"/>
          <w:szCs w:val="15"/>
          <w:color w:val="auto"/>
        </w:rPr>
      </w:pPr>
    </w:p>
    <w:p>
      <w:pPr>
        <w:ind w:left="4" w:right="340"/>
        <w:spacing w:after="0" w:line="261" w:lineRule="auto"/>
        <w:rPr>
          <w:rFonts w:ascii="Arial" w:cs="Arial" w:eastAsia="Arial" w:hAnsi="Arial"/>
          <w:sz w:val="15"/>
          <w:szCs w:val="15"/>
          <w:color w:val="auto"/>
        </w:rPr>
      </w:pPr>
      <w:r>
        <w:rPr>
          <w:rFonts w:ascii="Arial" w:cs="Arial" w:eastAsia="Arial" w:hAnsi="Arial"/>
          <w:sz w:val="16"/>
          <w:szCs w:val="16"/>
          <w:color w:val="auto"/>
        </w:rPr>
        <w:t>These fees are primarily based on revenues generated by the franchise offices, which were $175.8 million and $166.9 million for the three months ended September 30, 2012 and 2011, respectively.</w:t>
      </w:r>
    </w:p>
    <w:p>
      <w:pPr>
        <w:spacing w:after="0" w:line="163" w:lineRule="exact"/>
        <w:rPr>
          <w:rFonts w:ascii="Arial" w:cs="Arial" w:eastAsia="Arial" w:hAnsi="Arial"/>
          <w:sz w:val="15"/>
          <w:szCs w:val="15"/>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11.2</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(2.0)</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0.3</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1.7</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0.1</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11.0</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15,475.4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16,522.0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12,910.1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13,750.9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2,771.1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2,258.5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2,376.7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33.9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172.5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-25.1%</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1.81</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2.30</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-21.3%</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1.79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2.26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-20.8%</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81.9</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83.3</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-3.2%</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64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$17.9 million and $18.8 million for the nine months ended September 30, 2012 and 2011, respectively. These fees are primarily based on revenues generated by the franchise offices, which were $794.4 million and $818.0 million for the nine months ended September 30, 2012 and 2011,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321945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553"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2,259.8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2,371.4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1,122.3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3,493.7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top w:val="single" w:sz="8" w:color="CCEEFF"/>
            </w:tcBorders>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4,111.4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4,668.1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788.3</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950.5</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580.6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5,474.2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6,199.2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4,618.5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4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2,031.1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1,966.7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15,475.4</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16,522.0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Operating Unit Profit: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39.1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68.0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Americas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103.7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-26.9%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France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38.7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64.7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36.5</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220"/>
              <w:spacing w:after="0"/>
              <w:rPr>
                <w:sz w:val="20"/>
                <w:szCs w:val="20"/>
                <w:color w:val="auto"/>
              </w:rPr>
            </w:pPr>
            <w:r>
              <w:rPr>
                <w:rFonts w:ascii="Arial" w:cs="Arial" w:eastAsia="Arial" w:hAnsi="Arial"/>
                <w:sz w:val="16"/>
                <w:szCs w:val="16"/>
                <w:color w:val="auto"/>
              </w:rPr>
              <w:t>Other Southern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160.8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-21.9%</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ind w:left="60"/>
              <w:spacing w:after="0"/>
              <w:rPr>
                <w:sz w:val="20"/>
                <w:szCs w:val="20"/>
                <w:color w:val="auto"/>
              </w:rPr>
            </w:pPr>
            <w:r>
              <w:rPr>
                <w:rFonts w:ascii="Arial" w:cs="Arial" w:eastAsia="Arial" w:hAnsi="Arial"/>
                <w:sz w:val="16"/>
                <w:szCs w:val="16"/>
                <w:color w:val="auto"/>
              </w:rPr>
              <w:t>Right Management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452.8</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Corporate expenses</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(73.7)</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(92.4)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(27.4)</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Reclassification of French business tax</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62.9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(33.2)</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(33.9)</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360.5</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460" w:hanging="4"/>
        <w:spacing w:after="0" w:line="264" w:lineRule="auto"/>
        <w:tabs>
          <w:tab w:leader="none" w:pos="2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$10.9 million and $9.8 million for the nine months ended September 30, 2012 and 2011. These fees are primarily based on revenues generated by the franchise offices, which were $520.8 million and $478.6 million for the nine months ended September 30, 2012 and 2011, respectively.</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2011</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32.5</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(4.7)</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(5.0)</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losses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0.6</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2.0</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expenses,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color w:val="auto"/>
              </w:rPr>
              <w:t>4.4</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33.9</w:t>
            </w:r>
          </w:p>
        </w:tc>
      </w:tr>
      <w:tr>
        <w:trPr>
          <w:trHeight w:val="525"/>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337"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r>
      <w:tr>
        <w:trPr>
          <w:trHeight w:val="213"/>
        </w:trPr>
        <w:tc>
          <w:tcPr>
            <w:tcW w:w="8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r>
      <w:tr>
        <w:trPr>
          <w:trHeight w:val="192"/>
        </w:trPr>
        <w:tc>
          <w:tcPr>
            <w:tcW w:w="8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444.6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580.5</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4,395.0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4,181.3</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52.4</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5,082.3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4,990.5</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1,339.6</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379.6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395.1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1,734.7</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685.6</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511.1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176.9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174.5</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7,005.1</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6,899.7</w:t>
            </w:r>
          </w:p>
        </w:tc>
      </w:tr>
      <w:tr>
        <w:trPr>
          <w:trHeight w:val="20"/>
        </w:trPr>
        <w:tc>
          <w:tcPr>
            <w:tcW w:w="8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0"/>
        </w:trPr>
        <w:tc>
          <w:tcPr>
            <w:tcW w:w="88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1,467.2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1,370.6</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Employee compensation payable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215.9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221.9</w:t>
            </w:r>
          </w:p>
        </w:tc>
      </w:tr>
      <w:tr>
        <w:trPr>
          <w:trHeight w:val="192"/>
        </w:trPr>
        <w:tc>
          <w:tcPr>
            <w:tcW w:w="88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474.9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520.8</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653.9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712.4</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Value added taxes payable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502.3</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434.2</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3,613.9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3,762.2</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266.0</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371.4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388.1</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2"/>
        </w:trPr>
        <w:tc>
          <w:tcPr>
            <w:tcW w:w="8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liabilities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654.1</w:t>
            </w:r>
          </w:p>
        </w:tc>
      </w:tr>
      <w:tr>
        <w:trPr>
          <w:trHeight w:val="192"/>
        </w:trPr>
        <w:tc>
          <w:tcPr>
            <w:tcW w:w="882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8820" w:type="dxa"/>
            <w:vAlign w:val="bottom"/>
          </w:tcPr>
          <w:p>
            <w:pPr>
              <w:ind w:left="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2,865.5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2,839.9</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971.7</w:t>
            </w:r>
          </w:p>
        </w:tc>
      </w:tr>
      <w:tr>
        <w:trPr>
          <w:trHeight w:val="192"/>
        </w:trPr>
        <w:tc>
          <w:tcPr>
            <w:tcW w:w="8820" w:type="dxa"/>
            <w:vAlign w:val="bottom"/>
          </w:tcPr>
          <w:p>
            <w:pPr>
              <w:ind w:left="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35.3</w:t>
            </w:r>
          </w:p>
        </w:tc>
      </w:tr>
      <w:tr>
        <w:trPr>
          <w:trHeight w:val="192"/>
        </w:trPr>
        <w:tc>
          <w:tcPr>
            <w:tcW w:w="8820" w:type="dxa"/>
            <w:vAlign w:val="bottom"/>
            <w:shd w:val="clear" w:color="auto" w:fill="CCEEFF"/>
          </w:tcPr>
          <w:p>
            <w:pPr>
              <w:ind w:left="80"/>
              <w:spacing w:after="0"/>
              <w:rPr>
                <w:sz w:val="20"/>
                <w:szCs w:val="20"/>
                <w:color w:val="auto"/>
              </w:rPr>
            </w:pPr>
            <w:r>
              <w:rPr>
                <w:rFonts w:ascii="Arial" w:cs="Arial" w:eastAsia="Arial" w:hAnsi="Arial"/>
                <w:sz w:val="16"/>
                <w:szCs w:val="16"/>
                <w:color w:val="auto"/>
              </w:rPr>
              <w:t>Treasury stock, at cost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(1,413.6)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(1,364.6)</w:t>
            </w:r>
          </w:p>
        </w:tc>
      </w:tr>
      <w:tr>
        <w:trPr>
          <w:trHeight w:val="24"/>
        </w:trPr>
        <w:tc>
          <w:tcPr>
            <w:tcW w:w="8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2"/>
        </w:trPr>
        <w:tc>
          <w:tcPr>
            <w:tcW w:w="8820" w:type="dxa"/>
            <w:vAlign w:val="bottom"/>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2,568.4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2,483.4</w:t>
            </w:r>
          </w:p>
        </w:tc>
      </w:tr>
      <w:tr>
        <w:trPr>
          <w:trHeight w:val="24"/>
        </w:trPr>
        <w:tc>
          <w:tcPr>
            <w:tcW w:w="8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2"/>
        </w:trPr>
        <w:tc>
          <w:tcPr>
            <w:tcW w:w="8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7,005.1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6,899.7</w:t>
            </w:r>
          </w:p>
        </w:tc>
      </w:tr>
      <w:tr>
        <w:trPr>
          <w:trHeight w:val="525"/>
        </w:trPr>
        <w:tc>
          <w:tcPr>
            <w:tcW w:w="882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40" w:type="dxa"/>
            <w:vAlign w:val="bottom"/>
            <w:tcBorders>
              <w:top w:val="single" w:sz="8" w:color="auto"/>
              <w:bottom w:val="single" w:sz="8" w:color="808080"/>
            </w:tcBorders>
          </w:tcPr>
          <w:p>
            <w:pPr>
              <w:spacing w:after="0"/>
              <w:rPr>
                <w:sz w:val="24"/>
                <w:szCs w:val="24"/>
                <w:color w:val="auto"/>
              </w:rPr>
            </w:pPr>
          </w:p>
        </w:tc>
        <w:tc>
          <w:tcPr>
            <w:tcW w:w="12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144.3</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stock options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(197.7)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(521.7)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(92.2)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751.6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(702.2)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(135.9)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580.5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772.6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444.6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553" w:right="219" w:bottom="1440" w:gutter="0" w:footer="0" w:header="0"/>
        </w:sectPr>
      </w:pPr>
    </w:p>
    <w:bookmarkStart w:id="11" w:name="page12"/>
    <w:bookmarkEnd w:id="1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151130</wp:posOffset>
            </wp:positionV>
            <wp:extent cx="7317740" cy="5492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45"/>
          <w:szCs w:val="45"/>
          <w:color w:val="466EA5"/>
        </w:rPr>
        <w:t>ManpowerGroup</w:t>
      </w:r>
    </w:p>
    <w:p>
      <w:pPr>
        <w:spacing w:after="0" w:line="94" w:lineRule="exact"/>
        <w:rPr>
          <w:sz w:val="20"/>
          <w:szCs w:val="20"/>
          <w:color w:val="auto"/>
        </w:rPr>
      </w:pPr>
    </w:p>
    <w:p>
      <w:pPr>
        <w:spacing w:after="0"/>
        <w:rPr>
          <w:sz w:val="20"/>
          <w:szCs w:val="20"/>
          <w:color w:val="auto"/>
        </w:rPr>
      </w:pPr>
      <w:r>
        <w:rPr>
          <w:rFonts w:ascii="Arial" w:cs="Arial" w:eastAsia="Arial" w:hAnsi="Arial"/>
          <w:sz w:val="29"/>
          <w:szCs w:val="29"/>
          <w:color w:val="466EA5"/>
        </w:rPr>
        <w:t>3</w:t>
      </w:r>
      <w:r>
        <w:rPr>
          <w:rFonts w:ascii="Arial" w:cs="Arial" w:eastAsia="Arial" w:hAnsi="Arial"/>
          <w:sz w:val="40"/>
          <w:szCs w:val="40"/>
          <w:color w:val="466EA5"/>
          <w:vertAlign w:val="superscript"/>
        </w:rPr>
        <w:t>rd</w:t>
      </w:r>
      <w:r>
        <w:rPr>
          <w:rFonts w:ascii="Arial" w:cs="Arial" w:eastAsia="Arial" w:hAnsi="Arial"/>
          <w:sz w:val="29"/>
          <w:szCs w:val="29"/>
          <w:color w:val="466EA5"/>
        </w:rPr>
        <w:t xml:space="preserve"> Quarter</w:t>
      </w:r>
    </w:p>
    <w:p>
      <w:pPr>
        <w:spacing w:after="0"/>
        <w:rPr>
          <w:sz w:val="20"/>
          <w:szCs w:val="20"/>
          <w:color w:val="auto"/>
        </w:rPr>
      </w:pPr>
      <w:r>
        <w:rPr>
          <w:rFonts w:ascii="Arial" w:cs="Arial" w:eastAsia="Arial" w:hAnsi="Arial"/>
          <w:sz w:val="29"/>
          <w:szCs w:val="29"/>
          <w:color w:val="466EA5"/>
        </w:rPr>
        <w:t>October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1034415</wp:posOffset>
            </wp:positionV>
            <wp:extent cx="726694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60"/>
          </w:cols>
          <w:pgMar w:left="1120" w:top="116" w:right="219" w:bottom="1440" w:gutter="0" w:footer="0" w:header="0"/>
        </w:sectPr>
      </w:pPr>
    </w:p>
    <w:bookmarkStart w:id="12" w:name="page13"/>
    <w:bookmarkEnd w:id="12"/>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48"/>
          <w:szCs w:val="48"/>
          <w:color w:val="5F81AA"/>
        </w:rPr>
        <w:t>Forward-Looking Statement</w:t>
      </w:r>
    </w:p>
    <w:p>
      <w:pPr>
        <w:spacing w:after="0" w:line="146" w:lineRule="exact"/>
        <w:rPr>
          <w:sz w:val="20"/>
          <w:szCs w:val="20"/>
          <w:color w:val="auto"/>
        </w:rPr>
      </w:pPr>
    </w:p>
    <w:p>
      <w:pPr>
        <w:ind w:left="100" w:right="3220"/>
        <w:spacing w:after="0" w:line="241" w:lineRule="auto"/>
        <w:rPr>
          <w:sz w:val="20"/>
          <w:szCs w:val="20"/>
          <w:color w:val="auto"/>
        </w:rPr>
      </w:pPr>
      <w:r>
        <w:rPr>
          <w:rFonts w:ascii="Arial" w:cs="Arial" w:eastAsia="Arial" w:hAnsi="Arial"/>
          <w:sz w:val="26"/>
          <w:szCs w:val="26"/>
          <w:color w:val="282A32"/>
        </w:rPr>
        <w:t>This presentation includes forward-looking statements, including earnings projections which are subject to risks and uncertainties. Actual results might differ materially from those projected in the forward-looking statements. Additional information concerning factors that could cause actual results to materially differ from those in the forward-looking statements is contained in the Manpower Inc. Annual Report on Form 10-K dated December 31, 2011, which information is incorporated herein by reference, and such other factors as may be described from time to time in the Company’s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2311400</wp:posOffset>
            </wp:positionV>
            <wp:extent cx="726694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820" w:top="520" w:right="839" w:bottom="1440" w:gutter="0" w:footer="0" w:header="0"/>
        </w:sectPr>
      </w:pPr>
    </w:p>
    <w:bookmarkStart w:id="13" w:name="page14"/>
    <w:bookmarkEnd w:id="13"/>
    <w:p>
      <w:pPr>
        <w:ind w:left="580"/>
        <w:spacing w:after="0"/>
        <w:tabs>
          <w:tab w:leader="none" w:pos="924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392" w:lineRule="exact"/>
        <w:rPr>
          <w:sz w:val="20"/>
          <w:szCs w:val="20"/>
          <w:color w:val="auto"/>
        </w:rPr>
      </w:pPr>
    </w:p>
    <w:p>
      <w:pPr>
        <w:ind w:left="460"/>
        <w:spacing w:after="0"/>
        <w:rPr>
          <w:sz w:val="20"/>
          <w:szCs w:val="20"/>
          <w:color w:val="auto"/>
        </w:rPr>
      </w:pPr>
      <w:r>
        <w:rPr>
          <w:rFonts w:ascii="Arial" w:cs="Arial" w:eastAsia="Arial" w:hAnsi="Arial"/>
          <w:sz w:val="51"/>
          <w:szCs w:val="51"/>
          <w:color w:val="5F81AA"/>
        </w:rPr>
        <w:t>Consolidated Financial Highlights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36"/>
        </w:trPr>
        <w:tc>
          <w:tcPr>
            <w:tcW w:w="1300" w:type="dxa"/>
            <w:vAlign w:val="bottom"/>
          </w:tcPr>
          <w:p>
            <w:pPr>
              <w:spacing w:after="0"/>
              <w:rPr>
                <w:sz w:val="3"/>
                <w:szCs w:val="3"/>
                <w:color w:val="auto"/>
              </w:rPr>
            </w:pPr>
          </w:p>
        </w:tc>
        <w:tc>
          <w:tcPr>
            <w:tcW w:w="2380" w:type="dxa"/>
            <w:vAlign w:val="bottom"/>
            <w:vMerge w:val="restart"/>
          </w:tcPr>
          <w:p>
            <w:pPr>
              <w:jc w:val="center"/>
              <w:spacing w:after="0"/>
              <w:rPr>
                <w:sz w:val="20"/>
                <w:szCs w:val="20"/>
                <w:color w:val="auto"/>
              </w:rPr>
            </w:pPr>
            <w:r>
              <w:rPr>
                <w:rFonts w:ascii="Arial" w:cs="Arial" w:eastAsia="Arial" w:hAnsi="Arial"/>
                <w:sz w:val="26"/>
                <w:szCs w:val="26"/>
                <w:b w:val="1"/>
                <w:bCs w:val="1"/>
                <w:color w:val="282A32"/>
                <w:w w:val="96"/>
              </w:rPr>
              <w:t>As</w:t>
            </w:r>
          </w:p>
        </w:tc>
        <w:tc>
          <w:tcPr>
            <w:tcW w:w="20" w:type="dxa"/>
            <w:vAlign w:val="bottom"/>
          </w:tcPr>
          <w:p>
            <w:pPr>
              <w:spacing w:after="0"/>
              <w:rPr>
                <w:sz w:val="3"/>
                <w:szCs w:val="3"/>
                <w:color w:val="auto"/>
              </w:rPr>
            </w:pPr>
          </w:p>
        </w:tc>
        <w:tc>
          <w:tcPr>
            <w:tcW w:w="6940" w:type="dxa"/>
            <w:vAlign w:val="bottom"/>
            <w:gridSpan w:val="2"/>
            <w:vMerge w:val="restart"/>
          </w:tcPr>
          <w:p>
            <w:pPr>
              <w:ind w:left="340"/>
              <w:spacing w:after="0"/>
              <w:rPr>
                <w:sz w:val="20"/>
                <w:szCs w:val="20"/>
                <w:color w:val="auto"/>
              </w:rPr>
            </w:pPr>
            <w:r>
              <w:rPr>
                <w:rFonts w:ascii="Arial" w:cs="Arial" w:eastAsia="Arial" w:hAnsi="Arial"/>
                <w:sz w:val="42"/>
                <w:szCs w:val="42"/>
                <w:b w:val="1"/>
                <w:bCs w:val="1"/>
                <w:color w:val="auto"/>
              </w:rPr>
              <w:t>Q3 Financial Highlights</w:t>
            </w: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5"/>
        </w:trPr>
        <w:tc>
          <w:tcPr>
            <w:tcW w:w="1300" w:type="dxa"/>
            <w:vAlign w:val="bottom"/>
          </w:tcPr>
          <w:p>
            <w:pPr>
              <w:spacing w:after="0"/>
              <w:rPr>
                <w:sz w:val="23"/>
                <w:szCs w:val="23"/>
                <w:color w:val="auto"/>
              </w:rPr>
            </w:pPr>
          </w:p>
        </w:tc>
        <w:tc>
          <w:tcPr>
            <w:tcW w:w="2380" w:type="dxa"/>
            <w:vAlign w:val="bottom"/>
            <w:vMerge w:val="continue"/>
          </w:tcPr>
          <w:p>
            <w:pPr>
              <w:spacing w:after="0"/>
              <w:rPr>
                <w:sz w:val="23"/>
                <w:szCs w:val="23"/>
                <w:color w:val="auto"/>
              </w:rPr>
            </w:pPr>
          </w:p>
        </w:tc>
        <w:tc>
          <w:tcPr>
            <w:tcW w:w="20" w:type="dxa"/>
            <w:vAlign w:val="bottom"/>
            <w:shd w:val="clear" w:color="auto" w:fill="D47C18"/>
          </w:tcPr>
          <w:p>
            <w:pPr>
              <w:spacing w:after="0"/>
              <w:rPr>
                <w:sz w:val="23"/>
                <w:szCs w:val="23"/>
                <w:color w:val="auto"/>
              </w:rPr>
            </w:pPr>
          </w:p>
        </w:tc>
        <w:tc>
          <w:tcPr>
            <w:tcW w:w="6940" w:type="dxa"/>
            <w:vAlign w:val="bottom"/>
            <w:gridSpan w:val="2"/>
            <w:vMerge w:val="continue"/>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130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26"/>
                <w:szCs w:val="26"/>
                <w:b w:val="1"/>
                <w:bCs w:val="1"/>
                <w:color w:val="282A32"/>
                <w:w w:val="98"/>
              </w:rPr>
              <w:t>Reported</w:t>
            </w:r>
          </w:p>
        </w:tc>
        <w:tc>
          <w:tcPr>
            <w:tcW w:w="20" w:type="dxa"/>
            <w:vAlign w:val="bottom"/>
            <w:shd w:val="clear" w:color="auto" w:fill="D47C18"/>
          </w:tcPr>
          <w:p>
            <w:pPr>
              <w:spacing w:after="0"/>
              <w:rPr>
                <w:sz w:val="24"/>
                <w:szCs w:val="24"/>
                <w:color w:val="auto"/>
              </w:rPr>
            </w:pPr>
          </w:p>
        </w:tc>
        <w:tc>
          <w:tcPr>
            <w:tcW w:w="69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380" w:type="dxa"/>
            <w:vAlign w:val="bottom"/>
            <w:tcBorders>
              <w:bottom w:val="single" w:sz="8" w:color="D47C18"/>
            </w:tcBorders>
          </w:tcPr>
          <w:p>
            <w:pPr>
              <w:spacing w:after="0"/>
              <w:rPr>
                <w:sz w:val="12"/>
                <w:szCs w:val="12"/>
                <w:color w:val="auto"/>
              </w:rPr>
            </w:pPr>
          </w:p>
        </w:tc>
        <w:tc>
          <w:tcPr>
            <w:tcW w:w="20" w:type="dxa"/>
            <w:vAlign w:val="bottom"/>
            <w:tcBorders>
              <w:bottom w:val="single" w:sz="8" w:color="D47C18"/>
            </w:tcBorders>
            <w:shd w:val="clear" w:color="auto" w:fill="D47C18"/>
          </w:tcPr>
          <w:p>
            <w:pPr>
              <w:spacing w:after="0"/>
              <w:rPr>
                <w:sz w:val="12"/>
                <w:szCs w:val="12"/>
                <w:color w:val="auto"/>
              </w:rPr>
            </w:pPr>
          </w:p>
        </w:tc>
        <w:tc>
          <w:tcPr>
            <w:tcW w:w="6480" w:type="dxa"/>
            <w:vAlign w:val="bottom"/>
            <w:tcBorders>
              <w:bottom w:val="single" w:sz="8" w:color="D47C18"/>
            </w:tcBorders>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1"/>
        </w:trPr>
        <w:tc>
          <w:tcPr>
            <w:tcW w:w="3680" w:type="dxa"/>
            <w:vAlign w:val="bottom"/>
            <w:gridSpan w:val="2"/>
          </w:tcPr>
          <w:p>
            <w:pPr>
              <w:jc w:val="center"/>
              <w:ind w:left="1519"/>
              <w:spacing w:after="0"/>
              <w:rPr>
                <w:sz w:val="20"/>
                <w:szCs w:val="20"/>
                <w:color w:val="auto"/>
              </w:rPr>
            </w:pPr>
            <w:r>
              <w:rPr>
                <w:rFonts w:ascii="Arial" w:cs="Arial" w:eastAsia="Arial" w:hAnsi="Arial"/>
                <w:sz w:val="35"/>
                <w:szCs w:val="35"/>
                <w:color w:val="282A32"/>
                <w:w w:val="99"/>
              </w:rPr>
              <w:t>11%</w:t>
            </w:r>
          </w:p>
        </w:tc>
        <w:tc>
          <w:tcPr>
            <w:tcW w:w="20" w:type="dxa"/>
            <w:vAlign w:val="bottom"/>
            <w:shd w:val="clear" w:color="auto" w:fill="D47C18"/>
          </w:tcPr>
          <w:p>
            <w:pPr>
              <w:spacing w:after="0"/>
              <w:rPr>
                <w:sz w:val="24"/>
                <w:szCs w:val="24"/>
                <w:color w:val="auto"/>
              </w:rPr>
            </w:pPr>
          </w:p>
        </w:tc>
        <w:tc>
          <w:tcPr>
            <w:tcW w:w="6940" w:type="dxa"/>
            <w:vAlign w:val="bottom"/>
            <w:tcBorders>
              <w:left w:val="single" w:sz="8" w:color="D47C18"/>
            </w:tcBorders>
            <w:gridSpan w:val="2"/>
            <w:vMerge w:val="restart"/>
          </w:tcPr>
          <w:p>
            <w:pPr>
              <w:ind w:left="380"/>
              <w:spacing w:after="0"/>
              <w:rPr>
                <w:sz w:val="20"/>
                <w:szCs w:val="20"/>
                <w:color w:val="auto"/>
              </w:rPr>
            </w:pPr>
            <w:r>
              <w:rPr>
                <w:rFonts w:ascii="Arial" w:cs="Arial" w:eastAsia="Arial" w:hAnsi="Arial"/>
                <w:sz w:val="42"/>
                <w:szCs w:val="42"/>
                <w:b w:val="1"/>
                <w:bCs w:val="1"/>
                <w:color w:val="282A32"/>
              </w:rPr>
              <w:t xml:space="preserve">Revenue </w:t>
            </w:r>
            <w:r>
              <w:rPr>
                <w:rFonts w:ascii="Arial" w:cs="Arial" w:eastAsia="Arial" w:hAnsi="Arial"/>
                <w:sz w:val="44"/>
                <w:szCs w:val="44"/>
                <w:b w:val="1"/>
                <w:bCs w:val="1"/>
                <w:color w:val="5F81AA"/>
              </w:rPr>
              <w:t>$5.2B</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380" w:type="dxa"/>
            <w:vAlign w:val="bottom"/>
            <w:vMerge w:val="restart"/>
          </w:tcPr>
          <w:p>
            <w:pPr>
              <w:jc w:val="center"/>
              <w:ind w:left="198"/>
              <w:spacing w:after="0"/>
              <w:rPr>
                <w:sz w:val="20"/>
                <w:szCs w:val="20"/>
                <w:color w:val="auto"/>
              </w:rPr>
            </w:pPr>
            <w:r>
              <w:rPr>
                <w:rFonts w:ascii="Arial" w:cs="Arial" w:eastAsia="Arial" w:hAnsi="Arial"/>
                <w:sz w:val="35"/>
                <w:szCs w:val="35"/>
                <w:color w:val="282A32"/>
                <w:w w:val="99"/>
              </w:rPr>
              <w:t>4% CC</w:t>
            </w:r>
          </w:p>
        </w:tc>
        <w:tc>
          <w:tcPr>
            <w:tcW w:w="20" w:type="dxa"/>
            <w:vAlign w:val="bottom"/>
          </w:tcPr>
          <w:p>
            <w:pPr>
              <w:spacing w:after="0"/>
              <w:rPr>
                <w:sz w:val="23"/>
                <w:szCs w:val="23"/>
                <w:color w:val="auto"/>
              </w:rPr>
            </w:pPr>
          </w:p>
        </w:tc>
        <w:tc>
          <w:tcPr>
            <w:tcW w:w="6940" w:type="dxa"/>
            <w:vAlign w:val="bottom"/>
            <w:tcBorders>
              <w:left w:val="single" w:sz="8" w:color="D47C18"/>
            </w:tcBorders>
            <w:gridSpan w:val="2"/>
            <w:vMerge w:val="continue"/>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23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480" w:type="dxa"/>
            <w:vAlign w:val="bottom"/>
            <w:tcBorders>
              <w:left w:val="single" w:sz="8" w:color="D47C18"/>
            </w:tcBorders>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1300" w:type="dxa"/>
            <w:vAlign w:val="bottom"/>
          </w:tcPr>
          <w:p>
            <w:pPr>
              <w:spacing w:after="0"/>
              <w:rPr>
                <w:sz w:val="6"/>
                <w:szCs w:val="6"/>
                <w:color w:val="auto"/>
              </w:rPr>
            </w:pPr>
          </w:p>
        </w:tc>
        <w:tc>
          <w:tcPr>
            <w:tcW w:w="2380" w:type="dxa"/>
            <w:vAlign w:val="bottom"/>
            <w:tcBorders>
              <w:bottom w:val="single" w:sz="8" w:color="D47C18"/>
            </w:tcBorders>
          </w:tcPr>
          <w:p>
            <w:pPr>
              <w:spacing w:after="0"/>
              <w:rPr>
                <w:sz w:val="6"/>
                <w:szCs w:val="6"/>
                <w:color w:val="auto"/>
              </w:rPr>
            </w:pPr>
          </w:p>
        </w:tc>
        <w:tc>
          <w:tcPr>
            <w:tcW w:w="20" w:type="dxa"/>
            <w:vAlign w:val="bottom"/>
            <w:tcBorders>
              <w:bottom w:val="single" w:sz="8" w:color="D47C18"/>
            </w:tcBorders>
          </w:tcPr>
          <w:p>
            <w:pPr>
              <w:spacing w:after="0"/>
              <w:rPr>
                <w:sz w:val="6"/>
                <w:szCs w:val="6"/>
                <w:color w:val="auto"/>
              </w:rPr>
            </w:pPr>
          </w:p>
        </w:tc>
        <w:tc>
          <w:tcPr>
            <w:tcW w:w="6480" w:type="dxa"/>
            <w:vAlign w:val="bottom"/>
            <w:tcBorders>
              <w:left w:val="single" w:sz="8" w:color="D47C18"/>
              <w:bottom w:val="single" w:sz="8" w:color="D47C18"/>
            </w:tcBorders>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380" w:type="dxa"/>
            <w:vAlign w:val="bottom"/>
          </w:tcPr>
          <w:p>
            <w:pPr>
              <w:jc w:val="center"/>
              <w:ind w:left="198"/>
              <w:spacing w:after="0"/>
              <w:rPr>
                <w:sz w:val="20"/>
                <w:szCs w:val="20"/>
                <w:color w:val="auto"/>
              </w:rPr>
            </w:pPr>
            <w:r>
              <w:rPr>
                <w:rFonts w:ascii="Arial" w:cs="Arial" w:eastAsia="Arial" w:hAnsi="Arial"/>
                <w:sz w:val="35"/>
                <w:szCs w:val="35"/>
                <w:color w:val="282A32"/>
              </w:rPr>
              <w:t>10 bps</w:t>
            </w:r>
          </w:p>
        </w:tc>
        <w:tc>
          <w:tcPr>
            <w:tcW w:w="20" w:type="dxa"/>
            <w:vAlign w:val="bottom"/>
            <w:shd w:val="clear" w:color="auto" w:fill="D47C18"/>
          </w:tcPr>
          <w:p>
            <w:pPr>
              <w:spacing w:after="0"/>
              <w:rPr>
                <w:sz w:val="24"/>
                <w:szCs w:val="24"/>
                <w:color w:val="auto"/>
              </w:rPr>
            </w:pPr>
          </w:p>
        </w:tc>
        <w:tc>
          <w:tcPr>
            <w:tcW w:w="6940" w:type="dxa"/>
            <w:vAlign w:val="bottom"/>
            <w:gridSpan w:val="2"/>
          </w:tcPr>
          <w:p>
            <w:pPr>
              <w:ind w:left="340"/>
              <w:spacing w:after="0"/>
              <w:rPr>
                <w:sz w:val="20"/>
                <w:szCs w:val="20"/>
                <w:color w:val="auto"/>
              </w:rPr>
            </w:pPr>
            <w:r>
              <w:rPr>
                <w:rFonts w:ascii="Arial" w:cs="Arial" w:eastAsia="Arial" w:hAnsi="Arial"/>
                <w:sz w:val="42"/>
                <w:szCs w:val="42"/>
                <w:b w:val="1"/>
                <w:bCs w:val="1"/>
                <w:color w:val="282A32"/>
              </w:rPr>
              <w:t xml:space="preserve">Gross Margin </w:t>
            </w:r>
            <w:r>
              <w:rPr>
                <w:rFonts w:ascii="Arial" w:cs="Arial" w:eastAsia="Arial" w:hAnsi="Arial"/>
                <w:sz w:val="44"/>
                <w:szCs w:val="44"/>
                <w:b w:val="1"/>
                <w:bCs w:val="1"/>
                <w:color w:val="5F81AA"/>
              </w:rPr>
              <w:t>16.6%</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380" w:type="dxa"/>
            <w:vAlign w:val="bottom"/>
            <w:tcBorders>
              <w:bottom w:val="single" w:sz="8" w:color="D47C18"/>
            </w:tcBorders>
          </w:tcPr>
          <w:p>
            <w:pPr>
              <w:spacing w:after="0"/>
              <w:rPr>
                <w:sz w:val="9"/>
                <w:szCs w:val="9"/>
                <w:color w:val="auto"/>
              </w:rPr>
            </w:pPr>
          </w:p>
        </w:tc>
        <w:tc>
          <w:tcPr>
            <w:tcW w:w="20" w:type="dxa"/>
            <w:vAlign w:val="bottom"/>
            <w:tcBorders>
              <w:bottom w:val="single" w:sz="8" w:color="D47C18"/>
            </w:tcBorders>
            <w:shd w:val="clear" w:color="auto" w:fill="D47C18"/>
          </w:tcPr>
          <w:p>
            <w:pPr>
              <w:spacing w:after="0"/>
              <w:rPr>
                <w:sz w:val="9"/>
                <w:szCs w:val="9"/>
                <w:color w:val="auto"/>
              </w:rPr>
            </w:pPr>
          </w:p>
        </w:tc>
        <w:tc>
          <w:tcPr>
            <w:tcW w:w="6480" w:type="dxa"/>
            <w:vAlign w:val="bottom"/>
            <w:tcBorders>
              <w:bottom w:val="single" w:sz="8" w:color="D47C18"/>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1"/>
        </w:trPr>
        <w:tc>
          <w:tcPr>
            <w:tcW w:w="3680" w:type="dxa"/>
            <w:vAlign w:val="bottom"/>
            <w:gridSpan w:val="2"/>
          </w:tcPr>
          <w:p>
            <w:pPr>
              <w:jc w:val="center"/>
              <w:ind w:left="1519"/>
              <w:spacing w:after="0"/>
              <w:rPr>
                <w:sz w:val="20"/>
                <w:szCs w:val="20"/>
                <w:color w:val="auto"/>
              </w:rPr>
            </w:pPr>
            <w:r>
              <w:rPr>
                <w:rFonts w:ascii="Arial" w:cs="Arial" w:eastAsia="Arial" w:hAnsi="Arial"/>
                <w:sz w:val="35"/>
                <w:szCs w:val="35"/>
                <w:color w:val="282A32"/>
                <w:w w:val="99"/>
              </w:rPr>
              <w:t>25%</w:t>
            </w:r>
          </w:p>
        </w:tc>
        <w:tc>
          <w:tcPr>
            <w:tcW w:w="20" w:type="dxa"/>
            <w:vAlign w:val="bottom"/>
            <w:tcBorders>
              <w:bottom w:val="single" w:sz="8" w:color="D47C18"/>
            </w:tcBorders>
            <w:shd w:val="clear" w:color="auto" w:fill="D47C18"/>
          </w:tcPr>
          <w:p>
            <w:pPr>
              <w:spacing w:after="0"/>
              <w:rPr>
                <w:sz w:val="24"/>
                <w:szCs w:val="24"/>
                <w:color w:val="auto"/>
              </w:rPr>
            </w:pPr>
          </w:p>
        </w:tc>
        <w:tc>
          <w:tcPr>
            <w:tcW w:w="6940" w:type="dxa"/>
            <w:vAlign w:val="bottom"/>
            <w:tcBorders>
              <w:left w:val="single" w:sz="8" w:color="D47C18"/>
            </w:tcBorders>
            <w:gridSpan w:val="2"/>
            <w:vMerge w:val="restart"/>
          </w:tcPr>
          <w:p>
            <w:pPr>
              <w:ind w:left="380"/>
              <w:spacing w:after="0"/>
              <w:rPr>
                <w:sz w:val="20"/>
                <w:szCs w:val="20"/>
                <w:color w:val="auto"/>
              </w:rPr>
            </w:pPr>
            <w:r>
              <w:rPr>
                <w:rFonts w:ascii="Arial" w:cs="Arial" w:eastAsia="Arial" w:hAnsi="Arial"/>
                <w:sz w:val="42"/>
                <w:szCs w:val="42"/>
                <w:b w:val="1"/>
                <w:bCs w:val="1"/>
                <w:color w:val="282A32"/>
              </w:rPr>
              <w:t xml:space="preserve">Operating Profit </w:t>
            </w:r>
            <w:r>
              <w:rPr>
                <w:rFonts w:ascii="Arial" w:cs="Arial" w:eastAsia="Arial" w:hAnsi="Arial"/>
                <w:sz w:val="44"/>
                <w:szCs w:val="44"/>
                <w:b w:val="1"/>
                <w:bCs w:val="1"/>
                <w:color w:val="5F81AA"/>
              </w:rPr>
              <w:t>$119M</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300" w:type="dxa"/>
            <w:vAlign w:val="bottom"/>
          </w:tcPr>
          <w:p>
            <w:pPr>
              <w:spacing w:after="0"/>
              <w:rPr>
                <w:sz w:val="23"/>
                <w:szCs w:val="23"/>
                <w:color w:val="auto"/>
              </w:rPr>
            </w:pPr>
          </w:p>
        </w:tc>
        <w:tc>
          <w:tcPr>
            <w:tcW w:w="2380" w:type="dxa"/>
            <w:vAlign w:val="bottom"/>
            <w:vMerge w:val="restart"/>
          </w:tcPr>
          <w:p>
            <w:pPr>
              <w:jc w:val="center"/>
              <w:ind w:left="198"/>
              <w:spacing w:after="0"/>
              <w:rPr>
                <w:sz w:val="20"/>
                <w:szCs w:val="20"/>
                <w:color w:val="auto"/>
              </w:rPr>
            </w:pPr>
            <w:r>
              <w:rPr>
                <w:rFonts w:ascii="Arial" w:cs="Arial" w:eastAsia="Arial" w:hAnsi="Arial"/>
                <w:sz w:val="35"/>
                <w:szCs w:val="35"/>
                <w:color w:val="282A32"/>
                <w:w w:val="99"/>
              </w:rPr>
              <w:t>19% CC</w:t>
            </w:r>
          </w:p>
        </w:tc>
        <w:tc>
          <w:tcPr>
            <w:tcW w:w="20" w:type="dxa"/>
            <w:vAlign w:val="bottom"/>
          </w:tcPr>
          <w:p>
            <w:pPr>
              <w:spacing w:after="0"/>
              <w:rPr>
                <w:sz w:val="23"/>
                <w:szCs w:val="23"/>
                <w:color w:val="auto"/>
              </w:rPr>
            </w:pPr>
          </w:p>
        </w:tc>
        <w:tc>
          <w:tcPr>
            <w:tcW w:w="6940" w:type="dxa"/>
            <w:vAlign w:val="bottom"/>
            <w:tcBorders>
              <w:left w:val="single" w:sz="8" w:color="D47C18"/>
            </w:tcBorders>
            <w:gridSpan w:val="2"/>
            <w:vMerge w:val="continue"/>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130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480" w:type="dxa"/>
            <w:vAlign w:val="bottom"/>
            <w:tcBorders>
              <w:left w:val="single" w:sz="8" w:color="D47C18"/>
            </w:tcBorders>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300" w:type="dxa"/>
            <w:vAlign w:val="bottom"/>
          </w:tcPr>
          <w:p>
            <w:pPr>
              <w:spacing w:after="0"/>
              <w:rPr>
                <w:sz w:val="3"/>
                <w:szCs w:val="3"/>
                <w:color w:val="auto"/>
              </w:rPr>
            </w:pPr>
          </w:p>
        </w:tc>
        <w:tc>
          <w:tcPr>
            <w:tcW w:w="2380" w:type="dxa"/>
            <w:vAlign w:val="bottom"/>
            <w:tcBorders>
              <w:bottom w:val="single" w:sz="8" w:color="D47C18"/>
            </w:tcBorders>
          </w:tcPr>
          <w:p>
            <w:pPr>
              <w:spacing w:after="0"/>
              <w:rPr>
                <w:sz w:val="3"/>
                <w:szCs w:val="3"/>
                <w:color w:val="auto"/>
              </w:rPr>
            </w:pPr>
          </w:p>
        </w:tc>
        <w:tc>
          <w:tcPr>
            <w:tcW w:w="20" w:type="dxa"/>
            <w:vAlign w:val="bottom"/>
            <w:tcBorders>
              <w:bottom w:val="single" w:sz="8" w:color="D47C18"/>
            </w:tcBorders>
          </w:tcPr>
          <w:p>
            <w:pPr>
              <w:spacing w:after="0"/>
              <w:rPr>
                <w:sz w:val="3"/>
                <w:szCs w:val="3"/>
                <w:color w:val="auto"/>
              </w:rPr>
            </w:pPr>
          </w:p>
        </w:tc>
        <w:tc>
          <w:tcPr>
            <w:tcW w:w="6480" w:type="dxa"/>
            <w:vAlign w:val="bottom"/>
            <w:tcBorders>
              <w:left w:val="single" w:sz="8" w:color="D47C18"/>
              <w:bottom w:val="single" w:sz="8" w:color="D47C18"/>
            </w:tcBorders>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75"/>
        </w:trPr>
        <w:tc>
          <w:tcPr>
            <w:tcW w:w="1300" w:type="dxa"/>
            <w:vAlign w:val="bottom"/>
          </w:tcPr>
          <w:p>
            <w:pPr>
              <w:spacing w:after="0"/>
              <w:rPr>
                <w:sz w:val="24"/>
                <w:szCs w:val="24"/>
                <w:color w:val="auto"/>
              </w:rPr>
            </w:pPr>
          </w:p>
        </w:tc>
        <w:tc>
          <w:tcPr>
            <w:tcW w:w="2380" w:type="dxa"/>
            <w:vAlign w:val="bottom"/>
          </w:tcPr>
          <w:p>
            <w:pPr>
              <w:jc w:val="center"/>
              <w:ind w:left="198"/>
              <w:spacing w:after="0"/>
              <w:rPr>
                <w:sz w:val="20"/>
                <w:szCs w:val="20"/>
                <w:color w:val="auto"/>
              </w:rPr>
            </w:pPr>
            <w:r>
              <w:rPr>
                <w:rFonts w:ascii="Arial" w:cs="Arial" w:eastAsia="Arial" w:hAnsi="Arial"/>
                <w:sz w:val="35"/>
                <w:szCs w:val="35"/>
                <w:color w:val="282A32"/>
              </w:rPr>
              <w:t>40 bps</w:t>
            </w:r>
          </w:p>
        </w:tc>
        <w:tc>
          <w:tcPr>
            <w:tcW w:w="20" w:type="dxa"/>
            <w:vAlign w:val="bottom"/>
            <w:shd w:val="clear" w:color="auto" w:fill="D47C18"/>
          </w:tcPr>
          <w:p>
            <w:pPr>
              <w:spacing w:after="0"/>
              <w:rPr>
                <w:sz w:val="24"/>
                <w:szCs w:val="24"/>
                <w:color w:val="auto"/>
              </w:rPr>
            </w:pPr>
          </w:p>
        </w:tc>
        <w:tc>
          <w:tcPr>
            <w:tcW w:w="6940" w:type="dxa"/>
            <w:vAlign w:val="bottom"/>
            <w:gridSpan w:val="2"/>
          </w:tcPr>
          <w:p>
            <w:pPr>
              <w:ind w:left="340"/>
              <w:spacing w:after="0"/>
              <w:rPr>
                <w:sz w:val="20"/>
                <w:szCs w:val="20"/>
                <w:color w:val="auto"/>
              </w:rPr>
            </w:pPr>
            <w:r>
              <w:rPr>
                <w:rFonts w:ascii="Arial" w:cs="Arial" w:eastAsia="Arial" w:hAnsi="Arial"/>
                <w:sz w:val="42"/>
                <w:szCs w:val="42"/>
                <w:b w:val="1"/>
                <w:bCs w:val="1"/>
                <w:color w:val="282A32"/>
              </w:rPr>
              <w:t xml:space="preserve">OP Margin </w:t>
            </w:r>
            <w:r>
              <w:rPr>
                <w:rFonts w:ascii="Arial" w:cs="Arial" w:eastAsia="Arial" w:hAnsi="Arial"/>
                <w:sz w:val="44"/>
                <w:szCs w:val="44"/>
                <w:b w:val="1"/>
                <w:bCs w:val="1"/>
                <w:color w:val="5F81AA"/>
              </w:rPr>
              <w:t>2.3%</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2380" w:type="dxa"/>
            <w:vAlign w:val="bottom"/>
            <w:tcBorders>
              <w:bottom w:val="single" w:sz="8" w:color="D47C18"/>
            </w:tcBorders>
          </w:tcPr>
          <w:p>
            <w:pPr>
              <w:spacing w:after="0"/>
              <w:rPr>
                <w:sz w:val="9"/>
                <w:szCs w:val="9"/>
                <w:color w:val="auto"/>
              </w:rPr>
            </w:pPr>
          </w:p>
        </w:tc>
        <w:tc>
          <w:tcPr>
            <w:tcW w:w="20" w:type="dxa"/>
            <w:vAlign w:val="bottom"/>
            <w:tcBorders>
              <w:bottom w:val="single" w:sz="8" w:color="D47C18"/>
            </w:tcBorders>
            <w:shd w:val="clear" w:color="auto" w:fill="D47C18"/>
          </w:tcPr>
          <w:p>
            <w:pPr>
              <w:spacing w:after="0"/>
              <w:rPr>
                <w:sz w:val="9"/>
                <w:szCs w:val="9"/>
                <w:color w:val="auto"/>
              </w:rPr>
            </w:pPr>
          </w:p>
        </w:tc>
        <w:tc>
          <w:tcPr>
            <w:tcW w:w="6480" w:type="dxa"/>
            <w:vAlign w:val="bottom"/>
            <w:tcBorders>
              <w:bottom w:val="single" w:sz="8" w:color="D47C18"/>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1"/>
        </w:trPr>
        <w:tc>
          <w:tcPr>
            <w:tcW w:w="3680" w:type="dxa"/>
            <w:vAlign w:val="bottom"/>
            <w:gridSpan w:val="2"/>
          </w:tcPr>
          <w:p>
            <w:pPr>
              <w:jc w:val="center"/>
              <w:ind w:left="1519"/>
              <w:spacing w:after="0"/>
              <w:rPr>
                <w:sz w:val="20"/>
                <w:szCs w:val="20"/>
                <w:color w:val="auto"/>
              </w:rPr>
            </w:pPr>
            <w:r>
              <w:rPr>
                <w:rFonts w:ascii="Arial" w:cs="Arial" w:eastAsia="Arial" w:hAnsi="Arial"/>
                <w:sz w:val="35"/>
                <w:szCs w:val="35"/>
                <w:color w:val="282A32"/>
                <w:w w:val="99"/>
              </w:rPr>
              <w:t>19%</w:t>
            </w:r>
          </w:p>
        </w:tc>
        <w:tc>
          <w:tcPr>
            <w:tcW w:w="20" w:type="dxa"/>
            <w:vAlign w:val="bottom"/>
            <w:tcBorders>
              <w:bottom w:val="single" w:sz="8" w:color="D47C18"/>
            </w:tcBorders>
            <w:shd w:val="clear" w:color="auto" w:fill="D47C18"/>
          </w:tcPr>
          <w:p>
            <w:pPr>
              <w:spacing w:after="0"/>
              <w:rPr>
                <w:sz w:val="24"/>
                <w:szCs w:val="24"/>
                <w:color w:val="auto"/>
              </w:rPr>
            </w:pPr>
          </w:p>
        </w:tc>
        <w:tc>
          <w:tcPr>
            <w:tcW w:w="6940" w:type="dxa"/>
            <w:vAlign w:val="bottom"/>
            <w:tcBorders>
              <w:left w:val="single" w:sz="8" w:color="C46D24"/>
            </w:tcBorders>
            <w:gridSpan w:val="2"/>
            <w:vMerge w:val="restart"/>
          </w:tcPr>
          <w:p>
            <w:pPr>
              <w:ind w:left="380"/>
              <w:spacing w:after="0"/>
              <w:rPr>
                <w:sz w:val="20"/>
                <w:szCs w:val="20"/>
                <w:color w:val="auto"/>
              </w:rPr>
            </w:pPr>
            <w:r>
              <w:rPr>
                <w:rFonts w:ascii="Arial" w:cs="Arial" w:eastAsia="Arial" w:hAnsi="Arial"/>
                <w:sz w:val="42"/>
                <w:szCs w:val="42"/>
                <w:b w:val="1"/>
                <w:bCs w:val="1"/>
                <w:color w:val="282A32"/>
              </w:rPr>
              <w:t xml:space="preserve">EPS </w:t>
            </w:r>
            <w:r>
              <w:rPr>
                <w:rFonts w:ascii="Arial" w:cs="Arial" w:eastAsia="Arial" w:hAnsi="Arial"/>
                <w:sz w:val="44"/>
                <w:szCs w:val="44"/>
                <w:b w:val="1"/>
                <w:bCs w:val="1"/>
                <w:color w:val="5F81AA"/>
              </w:rPr>
              <w:t>$.79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2380" w:type="dxa"/>
            <w:vAlign w:val="bottom"/>
            <w:vMerge w:val="restart"/>
          </w:tcPr>
          <w:p>
            <w:pPr>
              <w:jc w:val="center"/>
              <w:ind w:left="198"/>
              <w:spacing w:after="0"/>
              <w:rPr>
                <w:sz w:val="20"/>
                <w:szCs w:val="20"/>
                <w:color w:val="auto"/>
              </w:rPr>
            </w:pPr>
            <w:r>
              <w:rPr>
                <w:rFonts w:ascii="Arial" w:cs="Arial" w:eastAsia="Arial" w:hAnsi="Arial"/>
                <w:sz w:val="35"/>
                <w:szCs w:val="35"/>
                <w:color w:val="282A32"/>
                <w:w w:val="99"/>
              </w:rPr>
              <w:t>12% CC</w:t>
            </w:r>
          </w:p>
        </w:tc>
        <w:tc>
          <w:tcPr>
            <w:tcW w:w="20" w:type="dxa"/>
            <w:vAlign w:val="bottom"/>
          </w:tcPr>
          <w:p>
            <w:pPr>
              <w:spacing w:after="0"/>
              <w:rPr>
                <w:sz w:val="24"/>
                <w:szCs w:val="24"/>
                <w:color w:val="auto"/>
              </w:rPr>
            </w:pPr>
          </w:p>
        </w:tc>
        <w:tc>
          <w:tcPr>
            <w:tcW w:w="6940" w:type="dxa"/>
            <w:vAlign w:val="bottom"/>
            <w:tcBorders>
              <w:left w:val="single" w:sz="8" w:color="C46D24"/>
            </w:tcBorders>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3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480" w:type="dxa"/>
            <w:vAlign w:val="bottom"/>
            <w:tcBorders>
              <w:left w:val="single" w:sz="8" w:color="C46D24"/>
            </w:tcBorders>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7"/>
        </w:trPr>
        <w:tc>
          <w:tcPr>
            <w:tcW w:w="10640" w:type="dxa"/>
            <w:vAlign w:val="bottom"/>
            <w:gridSpan w:val="5"/>
          </w:tcPr>
          <w:p>
            <w:pPr>
              <w:ind w:left="720"/>
              <w:spacing w:after="0"/>
              <w:rPr>
                <w:sz w:val="20"/>
                <w:szCs w:val="20"/>
                <w:color w:val="auto"/>
              </w:rPr>
            </w:pPr>
            <w:r>
              <w:rPr>
                <w:rFonts w:ascii="Arial" w:cs="Arial" w:eastAsia="Arial" w:hAnsi="Arial"/>
                <w:sz w:val="18"/>
                <w:szCs w:val="18"/>
                <w:b w:val="1"/>
                <w:bCs w:val="1"/>
                <w:color w:val="343537"/>
              </w:rPr>
              <w:t>Throughout this presentation, the difference between reported variances and Constant Currency (CC) variances</w:t>
            </w:r>
          </w:p>
        </w:tc>
        <w:tc>
          <w:tcPr>
            <w:tcW w:w="800" w:type="dxa"/>
            <w:vAlign w:val="bottom"/>
            <w:vMerge w:val="restart"/>
          </w:tcPr>
          <w:p>
            <w:pPr>
              <w:jc w:val="right"/>
              <w:ind w:right="292"/>
              <w:spacing w:after="0"/>
              <w:rPr>
                <w:sz w:val="20"/>
                <w:szCs w:val="20"/>
                <w:color w:val="auto"/>
              </w:rPr>
            </w:pPr>
            <w:r>
              <w:rPr>
                <w:rFonts w:ascii="Arial" w:cs="Arial" w:eastAsia="Arial" w:hAnsi="Arial"/>
                <w:sz w:val="18"/>
                <w:szCs w:val="18"/>
                <w:color w:val="7F7F7F"/>
              </w:rPr>
              <w:t>3</w:t>
            </w:r>
          </w:p>
        </w:tc>
        <w:tc>
          <w:tcPr>
            <w:tcW w:w="0" w:type="dxa"/>
            <w:vAlign w:val="bottom"/>
          </w:tcPr>
          <w:p>
            <w:pPr>
              <w:spacing w:after="0"/>
              <w:rPr>
                <w:sz w:val="1"/>
                <w:szCs w:val="1"/>
                <w:color w:val="auto"/>
              </w:rPr>
            </w:pPr>
          </w:p>
        </w:tc>
      </w:tr>
      <w:tr>
        <w:trPr>
          <w:trHeight w:val="101"/>
        </w:trPr>
        <w:tc>
          <w:tcPr>
            <w:tcW w:w="10640" w:type="dxa"/>
            <w:vAlign w:val="bottom"/>
            <w:gridSpan w:val="5"/>
            <w:vMerge w:val="restart"/>
          </w:tcPr>
          <w:p>
            <w:pPr>
              <w:ind w:left="720"/>
              <w:spacing w:after="0"/>
              <w:rPr>
                <w:sz w:val="20"/>
                <w:szCs w:val="20"/>
                <w:color w:val="auto"/>
              </w:rPr>
            </w:pPr>
            <w:r>
              <w:rPr>
                <w:rFonts w:ascii="Arial" w:cs="Arial" w:eastAsia="Arial" w:hAnsi="Arial"/>
                <w:sz w:val="18"/>
                <w:szCs w:val="18"/>
                <w:b w:val="1"/>
                <w:bCs w:val="1"/>
                <w:color w:val="343537"/>
              </w:rPr>
              <w:t>represents the impact of currency on our financial results. Constant Currency is further explained on our Web site.</w:t>
            </w: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0640" w:type="dxa"/>
            <w:vAlign w:val="bottom"/>
            <w:gridSpan w:val="5"/>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5"/>
        </w:trPr>
        <w:tc>
          <w:tcPr>
            <w:tcW w:w="13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20" w:right="219" w:bottom="1440" w:gutter="0" w:footer="0" w:header="0"/>
        </w:sectPr>
      </w:pPr>
    </w:p>
    <w:bookmarkStart w:id="14" w:name="page15"/>
    <w:bookmarkEnd w:id="14"/>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460"/>
          </w:cols>
          <w:pgMar w:left="820" w:top="520" w:right="619" w:bottom="1440" w:gutter="0" w:footer="0" w:header="0"/>
        </w:sectPr>
      </w:pPr>
    </w:p>
    <w:bookmarkStart w:id="15" w:name="page16"/>
    <w:bookmarkEnd w:id="15"/>
    <w:p>
      <w:pPr>
        <w:ind w:left="580"/>
        <w:spacing w:after="0"/>
        <w:tabs>
          <w:tab w:leader="none" w:pos="924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51"/>
          <w:szCs w:val="51"/>
          <w:color w:val="5F81AA"/>
        </w:rPr>
        <w:t>Business Line Gross Profit - Q3 2012</w:t>
      </w:r>
    </w:p>
    <w:p>
      <w:pPr>
        <w:spacing w:after="0" w:line="200" w:lineRule="exact"/>
        <w:rPr>
          <w:sz w:val="20"/>
          <w:szCs w:val="20"/>
          <w:color w:val="auto"/>
        </w:rPr>
      </w:pPr>
    </w:p>
    <w:p>
      <w:pPr>
        <w:spacing w:after="0" w:line="316" w:lineRule="exact"/>
        <w:rPr>
          <w:sz w:val="20"/>
          <w:szCs w:val="20"/>
          <w:color w:val="auto"/>
        </w:rPr>
      </w:pPr>
    </w:p>
    <w:p>
      <w:pPr>
        <w:ind w:left="7860"/>
        <w:spacing w:after="0"/>
        <w:rPr>
          <w:sz w:val="20"/>
          <w:szCs w:val="20"/>
          <w:color w:val="auto"/>
        </w:rPr>
      </w:pPr>
      <w:r>
        <w:rPr>
          <w:rFonts w:ascii="Arial" w:cs="Arial" w:eastAsia="Arial" w:hAnsi="Arial"/>
          <w:sz w:val="26"/>
          <w:szCs w:val="26"/>
          <w:b w:val="1"/>
          <w:bCs w:val="1"/>
          <w:color w:val="343537"/>
        </w:rPr>
        <w:t>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ind w:left="1500"/>
              <w:spacing w:after="0"/>
              <w:rPr>
                <w:sz w:val="20"/>
                <w:szCs w:val="20"/>
                <w:color w:val="auto"/>
              </w:rPr>
            </w:pPr>
            <w:r>
              <w:rPr>
                <w:rFonts w:ascii="Arial" w:cs="Arial" w:eastAsia="Arial" w:hAnsi="Arial"/>
                <w:sz w:val="16"/>
                <w:szCs w:val="16"/>
                <w:b w:val="1"/>
                <w:bCs w:val="1"/>
                <w:color w:val="7EA190"/>
              </w:rPr>
              <w:t xml:space="preserve">█ </w:t>
            </w:r>
            <w:r>
              <w:rPr>
                <w:rFonts w:ascii="Arial" w:cs="Arial" w:eastAsia="Arial" w:hAnsi="Arial"/>
                <w:sz w:val="16"/>
                <w:szCs w:val="16"/>
                <w:b w:val="1"/>
                <w:bCs w:val="1"/>
                <w:color w:val="343537"/>
              </w:rPr>
              <w:t>ManpowerGroup Solutions</w:t>
            </w:r>
          </w:p>
        </w:tc>
        <w:tc>
          <w:tcPr>
            <w:tcW w:w="4460" w:type="dxa"/>
            <w:vAlign w:val="bottom"/>
          </w:tcPr>
          <w:p>
            <w:pPr>
              <w:ind w:left="340"/>
              <w:spacing w:after="0"/>
              <w:rPr>
                <w:sz w:val="20"/>
                <w:szCs w:val="20"/>
                <w:color w:val="auto"/>
              </w:rPr>
            </w:pPr>
            <w:r>
              <w:rPr>
                <w:rFonts w:ascii="Arial" w:cs="Arial" w:eastAsia="Arial" w:hAnsi="Arial"/>
                <w:sz w:val="16"/>
                <w:szCs w:val="16"/>
                <w:b w:val="1"/>
                <w:bCs w:val="1"/>
                <w:color w:val="C8504F"/>
              </w:rPr>
              <w:t xml:space="preserve">█ </w:t>
            </w:r>
            <w:r>
              <w:rPr>
                <w:rFonts w:ascii="Arial" w:cs="Arial" w:eastAsia="Arial" w:hAnsi="Arial"/>
                <w:sz w:val="16"/>
                <w:szCs w:val="16"/>
                <w:b w:val="1"/>
                <w:bCs w:val="1"/>
                <w:color w:val="343537"/>
              </w:rPr>
              <w:t>Right Management</w:t>
            </w:r>
          </w:p>
        </w:tc>
        <w:tc>
          <w:tcPr>
            <w:tcW w:w="2860" w:type="dxa"/>
            <w:vAlign w:val="bottom"/>
            <w:vMerge w:val="restart"/>
          </w:tcPr>
          <w:p>
            <w:pPr>
              <w:jc w:val="right"/>
              <w:ind w:right="212"/>
              <w:spacing w:after="0"/>
              <w:rPr>
                <w:sz w:val="20"/>
                <w:szCs w:val="20"/>
                <w:color w:val="auto"/>
              </w:rPr>
            </w:pPr>
            <w:r>
              <w:rPr>
                <w:rFonts w:ascii="Arial" w:cs="Arial" w:eastAsia="Arial" w:hAnsi="Arial"/>
                <w:sz w:val="18"/>
                <w:szCs w:val="18"/>
                <w:color w:val="7F7F7F"/>
              </w:rPr>
              <w:t>5</w:t>
            </w:r>
          </w:p>
        </w:tc>
        <w:tc>
          <w:tcPr>
            <w:tcW w:w="0" w:type="dxa"/>
            <w:vAlign w:val="bottom"/>
          </w:tcPr>
          <w:p>
            <w:pPr>
              <w:spacing w:after="0"/>
              <w:rPr>
                <w:sz w:val="1"/>
                <w:szCs w:val="1"/>
                <w:color w:val="auto"/>
              </w:rPr>
            </w:pPr>
          </w:p>
        </w:tc>
      </w:tr>
      <w:tr>
        <w:trPr>
          <w:trHeight w:val="124"/>
        </w:trPr>
        <w:tc>
          <w:tcPr>
            <w:tcW w:w="41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7"/>
        </w:trPr>
        <w:tc>
          <w:tcPr>
            <w:tcW w:w="4120" w:type="dxa"/>
            <w:vAlign w:val="bottom"/>
            <w:tcBorders>
              <w:bottom w:val="single" w:sz="8" w:color="808080"/>
            </w:tcBorders>
          </w:tcPr>
          <w:p>
            <w:pPr>
              <w:spacing w:after="0"/>
              <w:rPr>
                <w:sz w:val="24"/>
                <w:szCs w:val="24"/>
                <w:color w:val="auto"/>
              </w:rPr>
            </w:pPr>
          </w:p>
        </w:tc>
        <w:tc>
          <w:tcPr>
            <w:tcW w:w="446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20" w:right="219" w:bottom="1440" w:gutter="0" w:footer="0" w:header="0"/>
        </w:sectPr>
      </w:pPr>
    </w:p>
    <w:bookmarkStart w:id="16" w:name="page17"/>
    <w:bookmarkEnd w:id="16"/>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17" w:name="page18"/>
    <w:bookmarkEnd w:id="17"/>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Americas Segment</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(22% of Revenue)</w:t>
      </w:r>
    </w:p>
    <w:p>
      <w:pPr>
        <w:spacing w:after="0" w:line="200" w:lineRule="exact"/>
        <w:rPr>
          <w:sz w:val="20"/>
          <w:szCs w:val="20"/>
          <w:color w:val="auto"/>
        </w:rPr>
      </w:pPr>
    </w:p>
    <w:p>
      <w:pPr>
        <w:spacing w:after="0" w:line="299" w:lineRule="exact"/>
        <w:rPr>
          <w:sz w:val="20"/>
          <w:szCs w:val="20"/>
          <w:color w:val="auto"/>
        </w:rPr>
      </w:pPr>
    </w:p>
    <w:tbl>
      <w:tblPr>
        <w:tblLayout w:type="fixed"/>
        <w:tblInd w:w="660" w:type="dxa"/>
        <w:tblCellMar>
          <w:top w:w="0" w:type="dxa"/>
          <w:left w:w="0" w:type="dxa"/>
          <w:bottom w:w="0" w:type="dxa"/>
          <w:right w:w="0" w:type="dxa"/>
        </w:tblCellMar>
      </w:tblPr>
      <w:tr>
        <w:trPr>
          <w:trHeight w:val="36"/>
        </w:trPr>
        <w:tc>
          <w:tcPr>
            <w:tcW w:w="2500" w:type="dxa"/>
            <w:vAlign w:val="bottom"/>
            <w:vMerge w:val="restart"/>
          </w:tcPr>
          <w:p>
            <w:pPr>
              <w:jc w:val="center"/>
              <w:spacing w:after="0"/>
              <w:rPr>
                <w:sz w:val="20"/>
                <w:szCs w:val="20"/>
                <w:color w:val="auto"/>
              </w:rPr>
            </w:pPr>
            <w:r>
              <w:rPr>
                <w:rFonts w:ascii="Arial" w:cs="Arial" w:eastAsia="Arial" w:hAnsi="Arial"/>
                <w:sz w:val="26"/>
                <w:szCs w:val="26"/>
                <w:b w:val="1"/>
                <w:bCs w:val="1"/>
                <w:color w:val="282A32"/>
                <w:w w:val="96"/>
              </w:rPr>
              <w:t>As</w:t>
            </w:r>
          </w:p>
        </w:tc>
        <w:tc>
          <w:tcPr>
            <w:tcW w:w="40" w:type="dxa"/>
            <w:vAlign w:val="bottom"/>
          </w:tcPr>
          <w:p>
            <w:pPr>
              <w:spacing w:after="0"/>
              <w:rPr>
                <w:sz w:val="3"/>
                <w:szCs w:val="3"/>
                <w:color w:val="auto"/>
              </w:rPr>
            </w:pPr>
          </w:p>
        </w:tc>
        <w:tc>
          <w:tcPr>
            <w:tcW w:w="6000" w:type="dxa"/>
            <w:vAlign w:val="bottom"/>
            <w:vMerge w:val="restart"/>
          </w:tcPr>
          <w:p>
            <w:pPr>
              <w:ind w:left="340"/>
              <w:spacing w:after="0"/>
              <w:rPr>
                <w:sz w:val="20"/>
                <w:szCs w:val="20"/>
                <w:color w:val="auto"/>
              </w:rPr>
            </w:pPr>
            <w:r>
              <w:rPr>
                <w:rFonts w:ascii="Arial" w:cs="Arial" w:eastAsia="Arial" w:hAnsi="Arial"/>
                <w:sz w:val="42"/>
                <w:szCs w:val="42"/>
                <w:b w:val="1"/>
                <w:bCs w:val="1"/>
                <w:color w:val="auto"/>
              </w:rPr>
              <w:t>Q3 Financial Highlights</w:t>
            </w:r>
            <w:r>
              <w:rPr>
                <w:rFonts w:ascii="Arial" w:cs="Arial" w:eastAsia="Arial" w:hAnsi="Arial"/>
                <w:sz w:val="35"/>
                <w:szCs w:val="35"/>
                <w:b w:val="1"/>
                <w:bCs w:val="1"/>
                <w:color w:val="282A32"/>
                <w:vertAlign w:val="superscript"/>
              </w:rPr>
              <w:t>(1)</w:t>
            </w:r>
          </w:p>
        </w:tc>
        <w:tc>
          <w:tcPr>
            <w:tcW w:w="0" w:type="dxa"/>
            <w:vAlign w:val="bottom"/>
          </w:tcPr>
          <w:p>
            <w:pPr>
              <w:spacing w:after="0" w:line="20" w:lineRule="exact"/>
              <w:rPr>
                <w:sz w:val="1"/>
                <w:szCs w:val="1"/>
                <w:color w:val="auto"/>
              </w:rPr>
            </w:pPr>
          </w:p>
        </w:tc>
      </w:tr>
      <w:tr>
        <w:trPr>
          <w:trHeight w:val="265"/>
        </w:trPr>
        <w:tc>
          <w:tcPr>
            <w:tcW w:w="2500" w:type="dxa"/>
            <w:vAlign w:val="bottom"/>
            <w:vMerge w:val="continue"/>
          </w:tcPr>
          <w:p>
            <w:pPr>
              <w:spacing w:after="0"/>
              <w:rPr>
                <w:sz w:val="23"/>
                <w:szCs w:val="23"/>
                <w:color w:val="auto"/>
              </w:rPr>
            </w:pPr>
          </w:p>
        </w:tc>
        <w:tc>
          <w:tcPr>
            <w:tcW w:w="40" w:type="dxa"/>
            <w:vAlign w:val="bottom"/>
            <w:shd w:val="clear" w:color="auto" w:fill="D47C18"/>
          </w:tcPr>
          <w:p>
            <w:pPr>
              <w:spacing w:after="0"/>
              <w:rPr>
                <w:sz w:val="23"/>
                <w:szCs w:val="23"/>
                <w:color w:val="auto"/>
              </w:rPr>
            </w:pPr>
          </w:p>
        </w:tc>
        <w:tc>
          <w:tcPr>
            <w:tcW w:w="60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48"/>
        </w:trPr>
        <w:tc>
          <w:tcPr>
            <w:tcW w:w="2500" w:type="dxa"/>
            <w:vAlign w:val="bottom"/>
          </w:tcPr>
          <w:p>
            <w:pPr>
              <w:jc w:val="center"/>
              <w:spacing w:after="0"/>
              <w:rPr>
                <w:sz w:val="20"/>
                <w:szCs w:val="20"/>
                <w:color w:val="auto"/>
              </w:rPr>
            </w:pPr>
            <w:r>
              <w:rPr>
                <w:rFonts w:ascii="Arial" w:cs="Arial" w:eastAsia="Arial" w:hAnsi="Arial"/>
                <w:sz w:val="26"/>
                <w:szCs w:val="26"/>
                <w:b w:val="1"/>
                <w:bCs w:val="1"/>
                <w:color w:val="282A32"/>
                <w:w w:val="98"/>
              </w:rPr>
              <w:t>Reported</w:t>
            </w:r>
          </w:p>
        </w:tc>
        <w:tc>
          <w:tcPr>
            <w:tcW w:w="40" w:type="dxa"/>
            <w:vAlign w:val="bottom"/>
            <w:shd w:val="clear" w:color="auto" w:fill="D47C18"/>
          </w:tcPr>
          <w:p>
            <w:pPr>
              <w:spacing w:after="0"/>
              <w:rPr>
                <w:sz w:val="24"/>
                <w:szCs w:val="24"/>
                <w:color w:val="auto"/>
              </w:rPr>
            </w:pPr>
          </w:p>
        </w:tc>
        <w:tc>
          <w:tcPr>
            <w:tcW w:w="6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00" w:type="dxa"/>
            <w:vAlign w:val="bottom"/>
            <w:tcBorders>
              <w:bottom w:val="single" w:sz="8" w:color="D47C18"/>
            </w:tcBorders>
          </w:tcPr>
          <w:p>
            <w:pPr>
              <w:spacing w:after="0"/>
              <w:rPr>
                <w:sz w:val="17"/>
                <w:szCs w:val="17"/>
                <w:color w:val="auto"/>
              </w:rPr>
            </w:pPr>
          </w:p>
        </w:tc>
        <w:tc>
          <w:tcPr>
            <w:tcW w:w="40" w:type="dxa"/>
            <w:vAlign w:val="bottom"/>
            <w:tcBorders>
              <w:bottom w:val="single" w:sz="8" w:color="D47C18"/>
            </w:tcBorders>
            <w:shd w:val="clear" w:color="auto" w:fill="D47C18"/>
          </w:tcPr>
          <w:p>
            <w:pPr>
              <w:spacing w:after="0"/>
              <w:rPr>
                <w:sz w:val="17"/>
                <w:szCs w:val="17"/>
                <w:color w:val="auto"/>
              </w:rPr>
            </w:pPr>
          </w:p>
        </w:tc>
        <w:tc>
          <w:tcPr>
            <w:tcW w:w="6000" w:type="dxa"/>
            <w:vAlign w:val="bottom"/>
            <w:tcBorders>
              <w:bottom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500" w:type="dxa"/>
            <w:vAlign w:val="bottom"/>
          </w:tcPr>
          <w:p>
            <w:pPr>
              <w:jc w:val="right"/>
              <w:ind w:right="606"/>
              <w:spacing w:after="0"/>
              <w:rPr>
                <w:sz w:val="20"/>
                <w:szCs w:val="20"/>
                <w:color w:val="auto"/>
              </w:rPr>
            </w:pPr>
            <w:r>
              <w:rPr>
                <w:rFonts w:ascii="Arial" w:cs="Arial" w:eastAsia="Arial" w:hAnsi="Arial"/>
                <w:sz w:val="38"/>
                <w:szCs w:val="38"/>
                <w:color w:val="282A32"/>
              </w:rPr>
              <w:t>5%</w:t>
            </w:r>
          </w:p>
        </w:tc>
        <w:tc>
          <w:tcPr>
            <w:tcW w:w="40" w:type="dxa"/>
            <w:vAlign w:val="bottom"/>
            <w:shd w:val="clear" w:color="auto" w:fill="D47C18"/>
          </w:tcPr>
          <w:p>
            <w:pPr>
              <w:spacing w:after="0"/>
              <w:rPr>
                <w:sz w:val="24"/>
                <w:szCs w:val="24"/>
                <w:color w:val="auto"/>
              </w:rPr>
            </w:pPr>
          </w:p>
        </w:tc>
        <w:tc>
          <w:tcPr>
            <w:tcW w:w="600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2"/>
                <w:szCs w:val="42"/>
                <w:b w:val="1"/>
                <w:bCs w:val="1"/>
                <w:color w:val="282A32"/>
              </w:rPr>
              <w:t xml:space="preserve">Revenue </w:t>
            </w:r>
            <w:r>
              <w:rPr>
                <w:rFonts w:ascii="Arial" w:cs="Arial" w:eastAsia="Arial" w:hAnsi="Arial"/>
                <w:sz w:val="44"/>
                <w:szCs w:val="44"/>
                <w:b w:val="1"/>
                <w:bCs w:val="1"/>
                <w:color w:val="5F81AA"/>
              </w:rPr>
              <w:t>$1.1B</w:t>
            </w:r>
          </w:p>
        </w:tc>
        <w:tc>
          <w:tcPr>
            <w:tcW w:w="0" w:type="dxa"/>
            <w:vAlign w:val="bottom"/>
          </w:tcPr>
          <w:p>
            <w:pPr>
              <w:spacing w:after="0"/>
              <w:rPr>
                <w:sz w:val="1"/>
                <w:szCs w:val="1"/>
                <w:color w:val="auto"/>
              </w:rPr>
            </w:pPr>
          </w:p>
        </w:tc>
      </w:tr>
      <w:tr>
        <w:trPr>
          <w:trHeight w:val="266"/>
        </w:trPr>
        <w:tc>
          <w:tcPr>
            <w:tcW w:w="2500" w:type="dxa"/>
            <w:vAlign w:val="bottom"/>
            <w:vMerge w:val="restart"/>
          </w:tcPr>
          <w:p>
            <w:pPr>
              <w:jc w:val="center"/>
              <w:ind w:left="186"/>
              <w:spacing w:after="0"/>
              <w:rPr>
                <w:sz w:val="20"/>
                <w:szCs w:val="20"/>
                <w:color w:val="auto"/>
              </w:rPr>
            </w:pPr>
            <w:r>
              <w:rPr>
                <w:rFonts w:ascii="Arial" w:cs="Arial" w:eastAsia="Arial" w:hAnsi="Arial"/>
                <w:sz w:val="38"/>
                <w:szCs w:val="38"/>
                <w:color w:val="282A32"/>
              </w:rPr>
              <w:t>3% CC</w:t>
            </w:r>
          </w:p>
        </w:tc>
        <w:tc>
          <w:tcPr>
            <w:tcW w:w="40" w:type="dxa"/>
            <w:vAlign w:val="bottom"/>
          </w:tcPr>
          <w:p>
            <w:pPr>
              <w:spacing w:after="0"/>
              <w:rPr>
                <w:sz w:val="23"/>
                <w:szCs w:val="23"/>
                <w:color w:val="auto"/>
              </w:rPr>
            </w:pPr>
          </w:p>
        </w:tc>
        <w:tc>
          <w:tcPr>
            <w:tcW w:w="600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00" w:type="dxa"/>
            <w:vAlign w:val="bottom"/>
            <w:tcBorders>
              <w:left w:val="single" w:sz="8" w:color="D47C18"/>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600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57"/>
        </w:trPr>
        <w:tc>
          <w:tcPr>
            <w:tcW w:w="2500" w:type="dxa"/>
            <w:vAlign w:val="bottom"/>
          </w:tcPr>
          <w:p>
            <w:pPr>
              <w:jc w:val="right"/>
              <w:ind w:right="506"/>
              <w:spacing w:after="0"/>
              <w:rPr>
                <w:sz w:val="20"/>
                <w:szCs w:val="20"/>
                <w:color w:val="auto"/>
              </w:rPr>
            </w:pPr>
            <w:r>
              <w:rPr>
                <w:rFonts w:ascii="Arial" w:cs="Arial" w:eastAsia="Arial" w:hAnsi="Arial"/>
                <w:sz w:val="38"/>
                <w:szCs w:val="38"/>
                <w:color w:val="282A32"/>
              </w:rPr>
              <w:t>17%</w:t>
            </w:r>
          </w:p>
        </w:tc>
        <w:tc>
          <w:tcPr>
            <w:tcW w:w="40" w:type="dxa"/>
            <w:vAlign w:val="bottom"/>
            <w:tcBorders>
              <w:bottom w:val="single" w:sz="8" w:color="D47C18"/>
            </w:tcBorders>
            <w:shd w:val="clear" w:color="auto" w:fill="D47C18"/>
          </w:tcPr>
          <w:p>
            <w:pPr>
              <w:spacing w:after="0"/>
              <w:rPr>
                <w:sz w:val="24"/>
                <w:szCs w:val="24"/>
                <w:color w:val="auto"/>
              </w:rPr>
            </w:pPr>
          </w:p>
        </w:tc>
        <w:tc>
          <w:tcPr>
            <w:tcW w:w="6000" w:type="dxa"/>
            <w:vAlign w:val="bottom"/>
            <w:tcBorders>
              <w:left w:val="single" w:sz="8" w:color="D47C18"/>
            </w:tcBorders>
            <w:vMerge w:val="restart"/>
          </w:tcPr>
          <w:p>
            <w:pPr>
              <w:ind w:left="380"/>
              <w:spacing w:after="0"/>
              <w:rPr>
                <w:sz w:val="20"/>
                <w:szCs w:val="20"/>
                <w:color w:val="auto"/>
              </w:rPr>
            </w:pPr>
            <w:r>
              <w:rPr>
                <w:rFonts w:ascii="Arial" w:cs="Arial" w:eastAsia="Arial" w:hAnsi="Arial"/>
                <w:sz w:val="42"/>
                <w:szCs w:val="42"/>
                <w:b w:val="1"/>
                <w:bCs w:val="1"/>
                <w:color w:val="282A32"/>
              </w:rPr>
              <w:t xml:space="preserve">OUP </w:t>
            </w:r>
            <w:r>
              <w:rPr>
                <w:rFonts w:ascii="Arial" w:cs="Arial" w:eastAsia="Arial" w:hAnsi="Arial"/>
                <w:sz w:val="44"/>
                <w:szCs w:val="44"/>
                <w:b w:val="1"/>
                <w:bCs w:val="1"/>
                <w:color w:val="5F81AA"/>
              </w:rPr>
              <w:t>$35M</w:t>
            </w:r>
          </w:p>
        </w:tc>
        <w:tc>
          <w:tcPr>
            <w:tcW w:w="0" w:type="dxa"/>
            <w:vAlign w:val="bottom"/>
          </w:tcPr>
          <w:p>
            <w:pPr>
              <w:spacing w:after="0"/>
              <w:rPr>
                <w:sz w:val="1"/>
                <w:szCs w:val="1"/>
                <w:color w:val="auto"/>
              </w:rPr>
            </w:pPr>
          </w:p>
        </w:tc>
      </w:tr>
      <w:tr>
        <w:trPr>
          <w:trHeight w:val="266"/>
        </w:trPr>
        <w:tc>
          <w:tcPr>
            <w:tcW w:w="2500" w:type="dxa"/>
            <w:vAlign w:val="bottom"/>
            <w:vMerge w:val="restart"/>
          </w:tcPr>
          <w:p>
            <w:pPr>
              <w:jc w:val="center"/>
              <w:ind w:left="206"/>
              <w:spacing w:after="0"/>
              <w:rPr>
                <w:sz w:val="20"/>
                <w:szCs w:val="20"/>
                <w:color w:val="auto"/>
              </w:rPr>
            </w:pPr>
            <w:r>
              <w:rPr>
                <w:rFonts w:ascii="Arial" w:cs="Arial" w:eastAsia="Arial" w:hAnsi="Arial"/>
                <w:sz w:val="38"/>
                <w:szCs w:val="38"/>
                <w:color w:val="282A32"/>
              </w:rPr>
              <w:t>16% CC</w:t>
            </w:r>
          </w:p>
        </w:tc>
        <w:tc>
          <w:tcPr>
            <w:tcW w:w="40" w:type="dxa"/>
            <w:vAlign w:val="bottom"/>
          </w:tcPr>
          <w:p>
            <w:pPr>
              <w:spacing w:after="0"/>
              <w:rPr>
                <w:sz w:val="23"/>
                <w:szCs w:val="23"/>
                <w:color w:val="auto"/>
              </w:rPr>
            </w:pPr>
          </w:p>
        </w:tc>
        <w:tc>
          <w:tcPr>
            <w:tcW w:w="600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5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600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600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00" w:type="dxa"/>
            <w:vAlign w:val="bottom"/>
          </w:tcPr>
          <w:p>
            <w:pPr>
              <w:jc w:val="center"/>
              <w:ind w:left="206"/>
              <w:spacing w:after="0"/>
              <w:rPr>
                <w:sz w:val="20"/>
                <w:szCs w:val="20"/>
                <w:color w:val="auto"/>
              </w:rPr>
            </w:pPr>
            <w:r>
              <w:rPr>
                <w:rFonts w:ascii="Arial" w:cs="Arial" w:eastAsia="Arial" w:hAnsi="Arial"/>
                <w:sz w:val="38"/>
                <w:szCs w:val="38"/>
                <w:color w:val="282A32"/>
              </w:rPr>
              <w:t>40 bps</w:t>
            </w:r>
          </w:p>
        </w:tc>
        <w:tc>
          <w:tcPr>
            <w:tcW w:w="40" w:type="dxa"/>
            <w:vAlign w:val="bottom"/>
            <w:shd w:val="clear" w:color="auto" w:fill="D47C18"/>
          </w:tcPr>
          <w:p>
            <w:pPr>
              <w:spacing w:after="0"/>
              <w:rPr>
                <w:sz w:val="24"/>
                <w:szCs w:val="24"/>
                <w:color w:val="auto"/>
              </w:rPr>
            </w:pPr>
          </w:p>
        </w:tc>
        <w:tc>
          <w:tcPr>
            <w:tcW w:w="6000" w:type="dxa"/>
            <w:vAlign w:val="bottom"/>
          </w:tcPr>
          <w:p>
            <w:pPr>
              <w:ind w:left="340"/>
              <w:spacing w:after="0"/>
              <w:rPr>
                <w:sz w:val="20"/>
                <w:szCs w:val="20"/>
                <w:color w:val="auto"/>
              </w:rPr>
            </w:pPr>
            <w:r>
              <w:rPr>
                <w:rFonts w:ascii="Arial" w:cs="Arial" w:eastAsia="Arial" w:hAnsi="Arial"/>
                <w:sz w:val="42"/>
                <w:szCs w:val="42"/>
                <w:b w:val="1"/>
                <w:bCs w:val="1"/>
                <w:color w:val="282A32"/>
              </w:rPr>
              <w:t xml:space="preserve">OUP Margin </w:t>
            </w:r>
            <w:r>
              <w:rPr>
                <w:rFonts w:ascii="Arial" w:cs="Arial" w:eastAsia="Arial" w:hAnsi="Arial"/>
                <w:sz w:val="44"/>
                <w:szCs w:val="44"/>
                <w:b w:val="1"/>
                <w:bCs w:val="1"/>
                <w:color w:val="5F81AA"/>
              </w:rPr>
              <w:t>3.1%</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6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8"/>
          <w:szCs w:val="18"/>
          <w:color w:val="343537"/>
        </w:rPr>
        <w:t>(1) Included in these amounts is the US, which had revenue of $761M (-8%) and OUP of $25M (-24%).</w:t>
      </w:r>
    </w:p>
    <w:p>
      <w:pPr>
        <w:spacing w:after="0" w:line="37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343537"/>
        </w:rPr>
        <w:t>Operating Unit Profit (OUP) is the measure that we use to evaluate segment performance. OUP is</w:t>
      </w:r>
    </w:p>
    <w:p>
      <w:pPr>
        <w:ind w:left="480"/>
        <w:spacing w:after="0"/>
        <w:rPr>
          <w:sz w:val="20"/>
          <w:szCs w:val="20"/>
          <w:color w:val="auto"/>
        </w:rPr>
      </w:pPr>
      <w:r>
        <w:rPr>
          <w:rFonts w:ascii="Arial" w:cs="Arial" w:eastAsia="Arial" w:hAnsi="Arial"/>
          <w:sz w:val="19"/>
          <w:szCs w:val="19"/>
          <w:b w:val="1"/>
          <w:bCs w:val="1"/>
          <w:color w:val="343537"/>
        </w:rPr>
        <w:t xml:space="preserve">equal to segment revenues less direct costs and branch and national headquarters operating </w:t>
      </w:r>
      <w:r>
        <w:rPr>
          <w:rFonts w:ascii="Arial" w:cs="Arial" w:eastAsia="Arial" w:hAnsi="Arial"/>
          <w:sz w:val="35"/>
          <w:szCs w:val="35"/>
          <w:color w:val="7F7F7F"/>
          <w:vertAlign w:val="superscript"/>
        </w:rPr>
        <w:t>7</w:t>
      </w:r>
      <w:r>
        <w:rPr>
          <w:rFonts w:ascii="Arial" w:cs="Arial" w:eastAsia="Arial" w:hAnsi="Arial"/>
          <w:sz w:val="19"/>
          <w:szCs w:val="19"/>
          <w:b w:val="1"/>
          <w:bCs w:val="1"/>
          <w:color w:val="343537"/>
        </w:rPr>
        <w:t xml:space="preserv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339090</wp:posOffset>
            </wp:positionV>
            <wp:extent cx="726694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60"/>
          </w:cols>
          <w:pgMar w:left="820" w:top="520" w:right="519" w:bottom="1440" w:gutter="0" w:footer="0" w:header="0"/>
        </w:sectPr>
      </w:pPr>
    </w:p>
    <w:bookmarkStart w:id="18" w:name="page19"/>
    <w:bookmarkEnd w:id="18"/>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0"/>
        <w:spacing w:after="0"/>
        <w:rPr>
          <w:sz w:val="20"/>
          <w:szCs w:val="20"/>
          <w:color w:val="auto"/>
        </w:rPr>
      </w:pPr>
      <w:r>
        <w:rPr>
          <w:rFonts w:ascii="Arial" w:cs="Arial" w:eastAsia="Arial" w:hAnsi="Arial"/>
          <w:sz w:val="48"/>
          <w:szCs w:val="48"/>
          <w:color w:val="5F81AA"/>
        </w:rPr>
        <w:t>Americas - Q3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19" w:name="page20"/>
    <w:bookmarkEnd w:id="19"/>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40"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Southern Europe Segment</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(35% of Revenue)</w:t>
      </w:r>
    </w:p>
    <w:p>
      <w:pPr>
        <w:spacing w:after="0" w:line="200" w:lineRule="exact"/>
        <w:rPr>
          <w:sz w:val="20"/>
          <w:szCs w:val="20"/>
          <w:color w:val="auto"/>
        </w:rPr>
      </w:pPr>
    </w:p>
    <w:p>
      <w:pPr>
        <w:spacing w:after="0" w:line="293"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80" w:type="dxa"/>
            <w:vAlign w:val="bottom"/>
            <w:tcBorders>
              <w:right w:val="single" w:sz="8" w:color="D47C18"/>
            </w:tcBorders>
          </w:tcPr>
          <w:p>
            <w:pPr>
              <w:ind w:left="1080"/>
              <w:spacing w:after="0"/>
              <w:rPr>
                <w:sz w:val="20"/>
                <w:szCs w:val="20"/>
                <w:color w:val="auto"/>
              </w:rPr>
            </w:pPr>
            <w:r>
              <w:rPr>
                <w:rFonts w:ascii="Arial" w:cs="Arial" w:eastAsia="Arial" w:hAnsi="Arial"/>
                <w:sz w:val="29"/>
                <w:szCs w:val="29"/>
                <w:b w:val="1"/>
                <w:bCs w:val="1"/>
                <w:color w:val="282A32"/>
              </w:rPr>
              <w:t>As</w:t>
            </w:r>
          </w:p>
        </w:tc>
        <w:tc>
          <w:tcPr>
            <w:tcW w:w="5280" w:type="dxa"/>
            <w:vAlign w:val="bottom"/>
            <w:vMerge w:val="restart"/>
          </w:tcPr>
          <w:p>
            <w:pPr>
              <w:ind w:left="300"/>
              <w:spacing w:after="0"/>
              <w:rPr>
                <w:sz w:val="20"/>
                <w:szCs w:val="20"/>
                <w:color w:val="auto"/>
              </w:rPr>
            </w:pPr>
            <w:r>
              <w:rPr>
                <w:rFonts w:ascii="Arial" w:cs="Arial" w:eastAsia="Arial" w:hAnsi="Arial"/>
                <w:sz w:val="42"/>
                <w:szCs w:val="42"/>
                <w:b w:val="1"/>
                <w:bCs w:val="1"/>
                <w:color w:val="auto"/>
              </w:rPr>
              <w:t>Q3 Financial Highlights</w:t>
            </w:r>
            <w:r>
              <w:rPr>
                <w:rFonts w:ascii="Arial" w:cs="Arial" w:eastAsia="Arial" w:hAnsi="Arial"/>
                <w:sz w:val="35"/>
                <w:szCs w:val="35"/>
                <w:b w:val="1"/>
                <w:bCs w:val="1"/>
                <w:color w:val="282A32"/>
                <w:vertAlign w:val="superscript"/>
              </w:rPr>
              <w:t>(1)</w:t>
            </w:r>
          </w:p>
        </w:tc>
        <w:tc>
          <w:tcPr>
            <w:tcW w:w="0" w:type="dxa"/>
            <w:vAlign w:val="bottom"/>
          </w:tcPr>
          <w:p>
            <w:pPr>
              <w:spacing w:after="0"/>
              <w:rPr>
                <w:sz w:val="1"/>
                <w:szCs w:val="1"/>
                <w:color w:val="auto"/>
              </w:rPr>
            </w:pPr>
          </w:p>
        </w:tc>
      </w:tr>
      <w:tr>
        <w:trPr>
          <w:trHeight w:val="492"/>
        </w:trPr>
        <w:tc>
          <w:tcPr>
            <w:tcW w:w="2580" w:type="dxa"/>
            <w:vAlign w:val="bottom"/>
            <w:tcBorders>
              <w:right w:val="single" w:sz="8" w:color="D47C18"/>
            </w:tcBorders>
          </w:tcPr>
          <w:p>
            <w:pPr>
              <w:jc w:val="center"/>
              <w:ind w:left="62"/>
              <w:spacing w:after="0"/>
              <w:rPr>
                <w:sz w:val="20"/>
                <w:szCs w:val="20"/>
                <w:color w:val="auto"/>
              </w:rPr>
            </w:pPr>
            <w:r>
              <w:rPr>
                <w:rFonts w:ascii="Arial" w:cs="Arial" w:eastAsia="Arial" w:hAnsi="Arial"/>
                <w:sz w:val="29"/>
                <w:szCs w:val="29"/>
                <w:b w:val="1"/>
                <w:bCs w:val="1"/>
                <w:color w:val="282A32"/>
                <w:w w:val="93"/>
              </w:rPr>
              <w:t xml:space="preserve">Reported </w:t>
            </w:r>
            <w:r>
              <w:rPr>
                <w:rFonts w:ascii="Arial" w:cs="Arial" w:eastAsia="Arial" w:hAnsi="Arial"/>
                <w:sz w:val="35"/>
                <w:szCs w:val="35"/>
                <w:b w:val="1"/>
                <w:bCs w:val="1"/>
                <w:color w:val="282A32"/>
                <w:w w:val="93"/>
                <w:vertAlign w:val="superscript"/>
              </w:rPr>
              <w:t>(2)</w:t>
            </w: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D47C18"/>
              <w:right w:val="single" w:sz="8" w:color="D47C18"/>
            </w:tcBorders>
          </w:tcPr>
          <w:p>
            <w:pPr>
              <w:spacing w:after="0"/>
              <w:rPr>
                <w:sz w:val="19"/>
                <w:szCs w:val="19"/>
                <w:color w:val="auto"/>
              </w:rPr>
            </w:pPr>
          </w:p>
        </w:tc>
        <w:tc>
          <w:tcPr>
            <w:tcW w:w="5280" w:type="dxa"/>
            <w:vAlign w:val="bottom"/>
            <w:tcBorders>
              <w:bottom w:val="single" w:sz="8" w:color="D47C18"/>
            </w:tcBorders>
          </w:tcPr>
          <w:p>
            <w:pPr>
              <w:spacing w:after="0"/>
              <w:rPr>
                <w:sz w:val="19"/>
                <w:szCs w:val="19"/>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w w:val="99"/>
              </w:rPr>
              <w:t>17%</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Revenue </w:t>
            </w:r>
            <w:r>
              <w:rPr>
                <w:rFonts w:ascii="Arial" w:cs="Arial" w:eastAsia="Arial" w:hAnsi="Arial"/>
                <w:sz w:val="44"/>
                <w:szCs w:val="44"/>
                <w:b w:val="1"/>
                <w:bCs w:val="1"/>
                <w:color w:val="5F81AA"/>
              </w:rPr>
              <w:t>$1.8B</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w w:val="99"/>
              </w:rPr>
              <w:t>6%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80" w:type="dxa"/>
            <w:vAlign w:val="bottom"/>
            <w:tcBorders>
              <w:right w:val="single" w:sz="8" w:color="D47C18"/>
            </w:tcBorders>
            <w:vMerge w:val="continue"/>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80" w:type="dxa"/>
            <w:vAlign w:val="bottom"/>
            <w:tcBorders>
              <w:bottom w:val="single" w:sz="8" w:color="D47C18"/>
              <w:right w:val="single" w:sz="8" w:color="D47C18"/>
            </w:tcBorders>
          </w:tcPr>
          <w:p>
            <w:pPr>
              <w:spacing w:after="0"/>
              <w:rPr>
                <w:sz w:val="6"/>
                <w:szCs w:val="6"/>
                <w:color w:val="auto"/>
              </w:rPr>
            </w:pPr>
          </w:p>
        </w:tc>
        <w:tc>
          <w:tcPr>
            <w:tcW w:w="528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w w:val="99"/>
              </w:rPr>
              <w:t>42%</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OUP </w:t>
            </w:r>
            <w:r>
              <w:rPr>
                <w:rFonts w:ascii="Arial" w:cs="Arial" w:eastAsia="Arial" w:hAnsi="Arial"/>
                <w:sz w:val="44"/>
                <w:szCs w:val="44"/>
                <w:b w:val="1"/>
                <w:bCs w:val="1"/>
                <w:color w:val="5F81AA"/>
              </w:rPr>
              <w:t>$29M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rPr>
              <w:t>34%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580" w:type="dxa"/>
            <w:vAlign w:val="bottom"/>
            <w:tcBorders>
              <w:right w:val="single" w:sz="8" w:color="D47C18"/>
            </w:tcBorders>
            <w:vMerge w:val="continue"/>
          </w:tcPr>
          <w:p>
            <w:pPr>
              <w:spacing w:after="0"/>
              <w:rPr>
                <w:sz w:val="21"/>
                <w:szCs w:val="21"/>
                <w:color w:val="auto"/>
              </w:rPr>
            </w:pPr>
          </w:p>
        </w:tc>
        <w:tc>
          <w:tcPr>
            <w:tcW w:w="5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80" w:type="dxa"/>
            <w:vAlign w:val="bottom"/>
            <w:tcBorders>
              <w:bottom w:val="single" w:sz="8" w:color="D47C18"/>
              <w:right w:val="single" w:sz="8" w:color="D47C18"/>
            </w:tcBorders>
          </w:tcPr>
          <w:p>
            <w:pPr>
              <w:spacing w:after="0"/>
              <w:rPr>
                <w:sz w:val="3"/>
                <w:szCs w:val="3"/>
                <w:color w:val="auto"/>
              </w:rPr>
            </w:pPr>
          </w:p>
        </w:tc>
        <w:tc>
          <w:tcPr>
            <w:tcW w:w="528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rPr>
              <w:t>70 bps</w:t>
            </w:r>
          </w:p>
        </w:tc>
        <w:tc>
          <w:tcPr>
            <w:tcW w:w="5280" w:type="dxa"/>
            <w:vAlign w:val="bottom"/>
          </w:tcPr>
          <w:p>
            <w:pPr>
              <w:ind w:left="300"/>
              <w:spacing w:after="0"/>
              <w:rPr>
                <w:sz w:val="20"/>
                <w:szCs w:val="20"/>
                <w:color w:val="auto"/>
              </w:rPr>
            </w:pPr>
            <w:r>
              <w:rPr>
                <w:rFonts w:ascii="Arial" w:cs="Arial" w:eastAsia="Arial" w:hAnsi="Arial"/>
                <w:sz w:val="42"/>
                <w:szCs w:val="42"/>
                <w:b w:val="1"/>
                <w:bCs w:val="1"/>
                <w:color w:val="343537"/>
              </w:rPr>
              <w:t xml:space="preserve">OUP Margin </w:t>
            </w:r>
            <w:r>
              <w:rPr>
                <w:rFonts w:ascii="Arial" w:cs="Arial" w:eastAsia="Arial" w:hAnsi="Arial"/>
                <w:sz w:val="44"/>
                <w:szCs w:val="44"/>
                <w:b w:val="1"/>
                <w:bCs w:val="1"/>
                <w:color w:val="5F81AA"/>
              </w:rPr>
              <w:t>1.6%</w:t>
            </w:r>
          </w:p>
        </w:tc>
        <w:tc>
          <w:tcPr>
            <w:tcW w:w="0" w:type="dxa"/>
            <w:vAlign w:val="bottom"/>
          </w:tcPr>
          <w:p>
            <w:pPr>
              <w:spacing w:after="0"/>
              <w:rPr>
                <w:sz w:val="1"/>
                <w:szCs w:val="1"/>
                <w:color w:val="auto"/>
              </w:rPr>
            </w:pPr>
          </w:p>
        </w:tc>
      </w:tr>
      <w:tr>
        <w:trPr>
          <w:trHeight w:val="226"/>
        </w:trPr>
        <w:tc>
          <w:tcPr>
            <w:tcW w:w="2580" w:type="dxa"/>
            <w:vAlign w:val="bottom"/>
            <w:tcBorders>
              <w:right w:val="single" w:sz="8" w:color="D47C18"/>
            </w:tcBorders>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680" w:right="440" w:hanging="291"/>
        <w:spacing w:after="0" w:line="265" w:lineRule="auto"/>
        <w:tabs>
          <w:tab w:leader="none" w:pos="675" w:val="left"/>
        </w:tabs>
        <w:numPr>
          <w:ilvl w:val="0"/>
          <w:numId w:val="5"/>
        </w:numPr>
        <w:rPr>
          <w:rFonts w:ascii="Arial" w:cs="Arial" w:eastAsia="Arial" w:hAnsi="Arial"/>
          <w:sz w:val="19"/>
          <w:szCs w:val="19"/>
          <w:color w:val="343537"/>
        </w:rPr>
      </w:pPr>
      <w:r>
        <w:rPr>
          <w:rFonts w:ascii="Arial" w:cs="Arial" w:eastAsia="Arial" w:hAnsi="Arial"/>
          <w:sz w:val="19"/>
          <w:szCs w:val="19"/>
          <w:color w:val="343537"/>
        </w:rPr>
        <w:t>Included in these amounts is France, which had revenue of $1.4B (-6% CC) and OUP of $18M (-28% CC). On an organic basis, France revenue decreased 18% (-8% in CC).</w:t>
      </w:r>
    </w:p>
    <w:p>
      <w:pPr>
        <w:spacing w:after="0" w:line="10" w:lineRule="exact"/>
        <w:rPr>
          <w:rFonts w:ascii="Arial" w:cs="Arial" w:eastAsia="Arial" w:hAnsi="Arial"/>
          <w:sz w:val="19"/>
          <w:szCs w:val="19"/>
          <w:color w:val="343537"/>
        </w:rPr>
      </w:pPr>
    </w:p>
    <w:p>
      <w:pPr>
        <w:ind w:left="680" w:hanging="291"/>
        <w:spacing w:after="0"/>
        <w:tabs>
          <w:tab w:leader="none" w:pos="680" w:val="left"/>
        </w:tabs>
        <w:numPr>
          <w:ilvl w:val="0"/>
          <w:numId w:val="5"/>
        </w:numPr>
        <w:rPr>
          <w:rFonts w:ascii="Arial" w:cs="Arial" w:eastAsia="Arial" w:hAnsi="Arial"/>
          <w:sz w:val="19"/>
          <w:szCs w:val="19"/>
          <w:color w:val="343537"/>
        </w:rPr>
      </w:pPr>
      <w:r>
        <w:rPr>
          <w:rFonts w:ascii="Arial" w:cs="Arial" w:eastAsia="Arial" w:hAnsi="Arial"/>
          <w:sz w:val="19"/>
          <w:szCs w:val="19"/>
          <w:color w:val="343537"/>
        </w:rPr>
        <w:t>On an organic basis, Segment revenue decreased 18% (-7% in CC).</w:t>
      </w:r>
    </w:p>
    <w:p>
      <w:pPr>
        <w:jc w:val="right"/>
        <w:spacing w:after="0"/>
        <w:rPr>
          <w:sz w:val="20"/>
          <w:szCs w:val="20"/>
          <w:color w:val="auto"/>
        </w:rPr>
      </w:pPr>
      <w:r>
        <w:rPr>
          <w:rFonts w:ascii="Arial" w:cs="Arial" w:eastAsia="Arial" w:hAnsi="Arial"/>
          <w:sz w:val="18"/>
          <w:szCs w:val="18"/>
          <w:color w:val="7F7F7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20" w:name="page21"/>
    <w:bookmarkEnd w:id="20"/>
    <w:p>
      <w:pPr>
        <w:ind w:left="580"/>
        <w:spacing w:after="0"/>
        <w:tabs>
          <w:tab w:leader="none" w:pos="924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329" w:lineRule="exact"/>
        <w:rPr>
          <w:sz w:val="20"/>
          <w:szCs w:val="20"/>
          <w:color w:val="auto"/>
        </w:rPr>
      </w:pPr>
    </w:p>
    <w:p>
      <w:pPr>
        <w:ind w:left="540"/>
        <w:spacing w:after="0"/>
        <w:rPr>
          <w:sz w:val="20"/>
          <w:szCs w:val="20"/>
          <w:color w:val="auto"/>
        </w:rPr>
      </w:pPr>
      <w:r>
        <w:rPr>
          <w:rFonts w:ascii="Arial" w:cs="Arial" w:eastAsia="Arial" w:hAnsi="Arial"/>
          <w:sz w:val="48"/>
          <w:szCs w:val="48"/>
          <w:color w:val="5F81AA"/>
        </w:rPr>
        <w:t>Southern Europe - Q3 Revenue Growth YoY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40" w:right="9300" w:hanging="287"/>
        <w:spacing w:after="0" w:line="288" w:lineRule="auto"/>
        <w:tabs>
          <w:tab w:leader="none" w:pos="827" w:val="left"/>
        </w:tabs>
        <w:numPr>
          <w:ilvl w:val="0"/>
          <w:numId w:val="6"/>
        </w:numPr>
        <w:rPr>
          <w:rFonts w:ascii="Arial" w:cs="Arial" w:eastAsia="Arial" w:hAnsi="Arial"/>
          <w:sz w:val="24"/>
          <w:szCs w:val="24"/>
          <w:b w:val="1"/>
          <w:bCs w:val="1"/>
          <w:color w:val="343537"/>
        </w:rPr>
      </w:pPr>
      <w:r>
        <w:rPr>
          <w:rFonts w:ascii="Arial" w:cs="Arial" w:eastAsia="Arial" w:hAnsi="Arial"/>
          <w:sz w:val="24"/>
          <w:szCs w:val="24"/>
          <w:b w:val="1"/>
          <w:bCs w:val="1"/>
          <w:color w:val="343537"/>
        </w:rPr>
        <w:t>of Segment Revenue</w:t>
      </w:r>
    </w:p>
    <w:p>
      <w:pPr>
        <w:spacing w:after="0" w:line="377" w:lineRule="exact"/>
        <w:rPr>
          <w:sz w:val="20"/>
          <w:szCs w:val="20"/>
          <w:color w:val="auto"/>
        </w:rPr>
      </w:pPr>
    </w:p>
    <w:p>
      <w:pPr>
        <w:ind w:left="1120"/>
        <w:spacing w:after="0"/>
        <w:tabs>
          <w:tab w:leader="none" w:pos="3060" w:val="left"/>
        </w:tabs>
        <w:rPr>
          <w:sz w:val="20"/>
          <w:szCs w:val="20"/>
          <w:color w:val="auto"/>
        </w:rPr>
      </w:pPr>
      <w:r>
        <w:rPr>
          <w:rFonts w:ascii="Arial" w:cs="Arial" w:eastAsia="Arial" w:hAnsi="Arial"/>
          <w:sz w:val="29"/>
          <w:szCs w:val="29"/>
          <w:b w:val="1"/>
          <w:bCs w:val="1"/>
          <w:color w:val="6698C2"/>
        </w:rPr>
        <w:t>76%</w:t>
      </w:r>
      <w:r>
        <w:rPr>
          <w:sz w:val="20"/>
          <w:szCs w:val="20"/>
          <w:color w:val="auto"/>
        </w:rPr>
        <w:tab/>
      </w:r>
      <w:r>
        <w:rPr>
          <w:rFonts w:ascii="Arial" w:cs="Arial" w:eastAsia="Arial" w:hAnsi="Arial"/>
          <w:sz w:val="35"/>
          <w:szCs w:val="35"/>
          <w:b w:val="1"/>
          <w:bCs w:val="1"/>
          <w:color w:val="282A32"/>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spacing w:after="0"/>
        <w:rPr>
          <w:sz w:val="20"/>
          <w:szCs w:val="20"/>
          <w:color w:val="auto"/>
        </w:rPr>
      </w:pPr>
      <w:r>
        <w:rPr>
          <w:rFonts w:ascii="Arial" w:cs="Arial" w:eastAsia="Arial" w:hAnsi="Arial"/>
          <w:sz w:val="29"/>
          <w:szCs w:val="29"/>
          <w:b w:val="1"/>
          <w:bCs w:val="1"/>
          <w:color w:val="6698C2"/>
        </w:rPr>
        <w:t>14%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60"/>
        <w:spacing w:after="0"/>
        <w:rPr>
          <w:sz w:val="20"/>
          <w:szCs w:val="20"/>
          <w:color w:val="auto"/>
        </w:rPr>
      </w:pPr>
      <w:r>
        <w:rPr>
          <w:rFonts w:ascii="Arial" w:cs="Arial" w:eastAsia="Arial" w:hAnsi="Arial"/>
          <w:sz w:val="29"/>
          <w:szCs w:val="29"/>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80"/>
        <w:spacing w:after="0"/>
        <w:rPr>
          <w:sz w:val="20"/>
          <w:szCs w:val="20"/>
          <w:color w:val="auto"/>
        </w:rPr>
      </w:pPr>
      <w:r>
        <w:rPr>
          <w:rFonts w:ascii="Arial" w:cs="Arial" w:eastAsia="Arial" w:hAnsi="Arial"/>
          <w:sz w:val="29"/>
          <w:szCs w:val="29"/>
          <w:b w:val="1"/>
          <w:bCs w:val="1"/>
          <w:color w:val="6698C2"/>
        </w:rPr>
        <w:t>5%</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tcPr>
          <w:p>
            <w:pPr>
              <w:jc w:val="center"/>
              <w:ind w:left="3653"/>
              <w:spacing w:after="0"/>
              <w:rPr>
                <w:sz w:val="20"/>
                <w:szCs w:val="20"/>
                <w:color w:val="auto"/>
              </w:rPr>
            </w:pPr>
            <w:r>
              <w:rPr>
                <w:rFonts w:ascii="Arial" w:cs="Arial" w:eastAsia="Arial" w:hAnsi="Arial"/>
                <w:sz w:val="22"/>
                <w:szCs w:val="22"/>
                <w:b w:val="1"/>
                <w:bCs w:val="1"/>
                <w:color w:val="343537"/>
              </w:rPr>
              <w:t>Revenue</w:t>
            </w:r>
          </w:p>
        </w:tc>
        <w:tc>
          <w:tcPr>
            <w:tcW w:w="4040" w:type="dxa"/>
            <w:vAlign w:val="bottom"/>
          </w:tcPr>
          <w:p>
            <w:pPr>
              <w:ind w:left="460"/>
              <w:spacing w:after="0"/>
              <w:rPr>
                <w:sz w:val="20"/>
                <w:szCs w:val="20"/>
                <w:color w:val="auto"/>
              </w:rPr>
            </w:pPr>
            <w:r>
              <w:rPr>
                <w:rFonts w:ascii="Arial" w:cs="Arial" w:eastAsia="Arial" w:hAnsi="Arial"/>
                <w:sz w:val="22"/>
                <w:szCs w:val="22"/>
                <w:b w:val="1"/>
                <w:bCs w:val="1"/>
                <w:color w:val="343537"/>
              </w:rPr>
              <w:t>Revenue Growth - CC</w:t>
            </w:r>
          </w:p>
        </w:tc>
        <w:tc>
          <w:tcPr>
            <w:tcW w:w="1780" w:type="dxa"/>
            <w:vAlign w:val="bottom"/>
          </w:tcPr>
          <w:p>
            <w:pPr>
              <w:spacing w:after="0"/>
              <w:rPr>
                <w:sz w:val="22"/>
                <w:szCs w:val="22"/>
                <w:color w:val="auto"/>
              </w:rPr>
            </w:pPr>
          </w:p>
        </w:tc>
      </w:tr>
      <w:tr>
        <w:trPr>
          <w:trHeight w:val="297"/>
        </w:trPr>
        <w:tc>
          <w:tcPr>
            <w:tcW w:w="5620" w:type="dxa"/>
            <w:vAlign w:val="bottom"/>
          </w:tcPr>
          <w:p>
            <w:pPr>
              <w:jc w:val="center"/>
              <w:ind w:left="3653"/>
              <w:spacing w:after="0"/>
              <w:rPr>
                <w:sz w:val="20"/>
                <w:szCs w:val="20"/>
                <w:color w:val="auto"/>
              </w:rPr>
            </w:pPr>
            <w:r>
              <w:rPr>
                <w:rFonts w:ascii="Arial" w:cs="Arial" w:eastAsia="Arial" w:hAnsi="Arial"/>
                <w:sz w:val="22"/>
                <w:szCs w:val="22"/>
                <w:b w:val="1"/>
                <w:bCs w:val="1"/>
                <w:color w:val="343537"/>
              </w:rPr>
              <w:t>Growth</w:t>
            </w:r>
          </w:p>
        </w:tc>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80"/>
        </w:trPr>
        <w:tc>
          <w:tcPr>
            <w:tcW w:w="9660" w:type="dxa"/>
            <w:vAlign w:val="bottom"/>
            <w:gridSpan w:val="2"/>
          </w:tcPr>
          <w:p>
            <w:pPr>
              <w:ind w:left="1260"/>
              <w:spacing w:after="0"/>
              <w:rPr>
                <w:sz w:val="20"/>
                <w:szCs w:val="20"/>
                <w:color w:val="auto"/>
              </w:rPr>
            </w:pPr>
            <w:r>
              <w:rPr>
                <w:rFonts w:ascii="Arial" w:cs="Arial" w:eastAsia="Arial" w:hAnsi="Arial"/>
                <w:sz w:val="19"/>
                <w:szCs w:val="19"/>
                <w:color w:val="343537"/>
              </w:rPr>
              <w:t>(1) On an organic basis, France revenue decreased 18% (-8% in CC).</w:t>
            </w:r>
          </w:p>
        </w:tc>
        <w:tc>
          <w:tcPr>
            <w:tcW w:w="1780" w:type="dxa"/>
            <w:vAlign w:val="bottom"/>
          </w:tcPr>
          <w:p>
            <w:pPr>
              <w:jc w:val="right"/>
              <w:ind w:right="212"/>
              <w:spacing w:after="0"/>
              <w:rPr>
                <w:sz w:val="20"/>
                <w:szCs w:val="20"/>
                <w:color w:val="auto"/>
              </w:rPr>
            </w:pPr>
            <w:r>
              <w:rPr>
                <w:rFonts w:ascii="Arial" w:cs="Arial" w:eastAsia="Arial" w:hAnsi="Arial"/>
                <w:sz w:val="18"/>
                <w:szCs w:val="18"/>
                <w:color w:val="7F7F7F"/>
              </w:rPr>
              <w:t>10</w:t>
            </w:r>
          </w:p>
        </w:tc>
      </w:tr>
      <w:tr>
        <w:trPr>
          <w:trHeight w:val="671"/>
        </w:trPr>
        <w:tc>
          <w:tcPr>
            <w:tcW w:w="56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520" w:right="219" w:bottom="1440" w:gutter="0" w:footer="0" w:header="0"/>
        </w:sectPr>
      </w:pPr>
    </w:p>
    <w:bookmarkStart w:id="21" w:name="page22"/>
    <w:bookmarkEnd w:id="21"/>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Northern Europe Segment</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(28% of Revenue)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8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7"/>
              </w:rPr>
              <w:t>As</w:t>
            </w:r>
          </w:p>
        </w:tc>
        <w:tc>
          <w:tcPr>
            <w:tcW w:w="5280" w:type="dxa"/>
            <w:vAlign w:val="bottom"/>
            <w:vMerge w:val="restart"/>
          </w:tcPr>
          <w:p>
            <w:pPr>
              <w:ind w:left="300"/>
              <w:spacing w:after="0"/>
              <w:rPr>
                <w:sz w:val="20"/>
                <w:szCs w:val="20"/>
                <w:color w:val="auto"/>
              </w:rPr>
            </w:pPr>
            <w:r>
              <w:rPr>
                <w:rFonts w:ascii="Arial" w:cs="Arial" w:eastAsia="Arial" w:hAnsi="Arial"/>
                <w:sz w:val="42"/>
                <w:szCs w:val="42"/>
                <w:b w:val="1"/>
                <w:bCs w:val="1"/>
                <w:color w:val="auto"/>
              </w:rPr>
              <w:t>Q3 Financial Highlights</w:t>
            </w:r>
          </w:p>
        </w:tc>
        <w:tc>
          <w:tcPr>
            <w:tcW w:w="0" w:type="dxa"/>
            <w:vAlign w:val="bottom"/>
          </w:tcPr>
          <w:p>
            <w:pPr>
              <w:spacing w:after="0"/>
              <w:rPr>
                <w:sz w:val="1"/>
                <w:szCs w:val="1"/>
                <w:color w:val="auto"/>
              </w:rPr>
            </w:pPr>
          </w:p>
        </w:tc>
      </w:tr>
      <w:tr>
        <w:trPr>
          <w:trHeight w:val="457"/>
        </w:trPr>
        <w:tc>
          <w:tcPr>
            <w:tcW w:w="258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8"/>
              </w:rPr>
              <w:t>Reported</w:t>
            </w: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D47C18"/>
              <w:right w:val="single" w:sz="8" w:color="D47C18"/>
            </w:tcBorders>
          </w:tcPr>
          <w:p>
            <w:pPr>
              <w:spacing w:after="0"/>
              <w:rPr>
                <w:sz w:val="22"/>
                <w:szCs w:val="22"/>
                <w:color w:val="auto"/>
              </w:rPr>
            </w:pPr>
          </w:p>
        </w:tc>
        <w:tc>
          <w:tcPr>
            <w:tcW w:w="5280" w:type="dxa"/>
            <w:vAlign w:val="bottom"/>
            <w:tcBorders>
              <w:bottom w:val="single" w:sz="8" w:color="D47C18"/>
            </w:tcBorders>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w w:val="99"/>
              </w:rPr>
              <w:t>11%</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Revenue </w:t>
            </w:r>
            <w:r>
              <w:rPr>
                <w:rFonts w:ascii="Arial" w:cs="Arial" w:eastAsia="Arial" w:hAnsi="Arial"/>
                <w:sz w:val="44"/>
                <w:szCs w:val="44"/>
                <w:b w:val="1"/>
                <w:bCs w:val="1"/>
                <w:color w:val="5F81AA"/>
              </w:rPr>
              <w:t>$1.4B</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w w:val="99"/>
              </w:rPr>
              <w:t>3%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80" w:type="dxa"/>
            <w:vAlign w:val="bottom"/>
            <w:tcBorders>
              <w:right w:val="single" w:sz="8" w:color="D47C18"/>
            </w:tcBorders>
            <w:vMerge w:val="continue"/>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80" w:type="dxa"/>
            <w:vAlign w:val="bottom"/>
            <w:tcBorders>
              <w:bottom w:val="single" w:sz="8" w:color="D47C18"/>
              <w:right w:val="single" w:sz="8" w:color="D47C18"/>
            </w:tcBorders>
          </w:tcPr>
          <w:p>
            <w:pPr>
              <w:spacing w:after="0"/>
              <w:rPr>
                <w:sz w:val="6"/>
                <w:szCs w:val="6"/>
                <w:color w:val="auto"/>
              </w:rPr>
            </w:pPr>
          </w:p>
        </w:tc>
        <w:tc>
          <w:tcPr>
            <w:tcW w:w="528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w w:val="99"/>
              </w:rPr>
              <w:t>32%</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OUP </w:t>
            </w:r>
            <w:r>
              <w:rPr>
                <w:rFonts w:ascii="Arial" w:cs="Arial" w:eastAsia="Arial" w:hAnsi="Arial"/>
                <w:sz w:val="44"/>
                <w:szCs w:val="44"/>
                <w:b w:val="1"/>
                <w:bCs w:val="1"/>
                <w:color w:val="5F81AA"/>
              </w:rPr>
              <w:t>$43M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rPr>
              <w:t>28%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580" w:type="dxa"/>
            <w:vAlign w:val="bottom"/>
            <w:tcBorders>
              <w:right w:val="single" w:sz="8" w:color="D47C18"/>
            </w:tcBorders>
            <w:vMerge w:val="continue"/>
          </w:tcPr>
          <w:p>
            <w:pPr>
              <w:spacing w:after="0"/>
              <w:rPr>
                <w:sz w:val="21"/>
                <w:szCs w:val="21"/>
                <w:color w:val="auto"/>
              </w:rPr>
            </w:pPr>
          </w:p>
        </w:tc>
        <w:tc>
          <w:tcPr>
            <w:tcW w:w="5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80" w:type="dxa"/>
            <w:vAlign w:val="bottom"/>
            <w:tcBorders>
              <w:bottom w:val="single" w:sz="8" w:color="D47C18"/>
              <w:right w:val="single" w:sz="8" w:color="D47C18"/>
            </w:tcBorders>
          </w:tcPr>
          <w:p>
            <w:pPr>
              <w:spacing w:after="0"/>
              <w:rPr>
                <w:sz w:val="3"/>
                <w:szCs w:val="3"/>
                <w:color w:val="auto"/>
              </w:rPr>
            </w:pPr>
          </w:p>
        </w:tc>
        <w:tc>
          <w:tcPr>
            <w:tcW w:w="528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rPr>
              <w:t>90 bps</w:t>
            </w:r>
          </w:p>
        </w:tc>
        <w:tc>
          <w:tcPr>
            <w:tcW w:w="5280" w:type="dxa"/>
            <w:vAlign w:val="bottom"/>
          </w:tcPr>
          <w:p>
            <w:pPr>
              <w:ind w:left="300"/>
              <w:spacing w:after="0"/>
              <w:rPr>
                <w:sz w:val="20"/>
                <w:szCs w:val="20"/>
                <w:color w:val="auto"/>
              </w:rPr>
            </w:pPr>
            <w:r>
              <w:rPr>
                <w:rFonts w:ascii="Arial" w:cs="Arial" w:eastAsia="Arial" w:hAnsi="Arial"/>
                <w:sz w:val="42"/>
                <w:szCs w:val="42"/>
                <w:b w:val="1"/>
                <w:bCs w:val="1"/>
                <w:color w:val="343537"/>
              </w:rPr>
              <w:t xml:space="preserve">OUP Margin </w:t>
            </w:r>
            <w:r>
              <w:rPr>
                <w:rFonts w:ascii="Arial" w:cs="Arial" w:eastAsia="Arial" w:hAnsi="Arial"/>
                <w:sz w:val="44"/>
                <w:szCs w:val="44"/>
                <w:b w:val="1"/>
                <w:bCs w:val="1"/>
                <w:color w:val="5F81AA"/>
              </w:rPr>
              <w:t>3.0%</w:t>
            </w:r>
          </w:p>
        </w:tc>
        <w:tc>
          <w:tcPr>
            <w:tcW w:w="0" w:type="dxa"/>
            <w:vAlign w:val="bottom"/>
          </w:tcPr>
          <w:p>
            <w:pPr>
              <w:spacing w:after="0"/>
              <w:rPr>
                <w:sz w:val="1"/>
                <w:szCs w:val="1"/>
                <w:color w:val="auto"/>
              </w:rPr>
            </w:pPr>
          </w:p>
        </w:tc>
      </w:tr>
      <w:tr>
        <w:trPr>
          <w:trHeight w:val="226"/>
        </w:trPr>
        <w:tc>
          <w:tcPr>
            <w:tcW w:w="2580" w:type="dxa"/>
            <w:vAlign w:val="bottom"/>
            <w:tcBorders>
              <w:right w:val="single" w:sz="8" w:color="D47C18"/>
            </w:tcBorders>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60"/>
          </w:cols>
          <w:pgMar w:left="820" w:top="520" w:right="519" w:bottom="1440" w:gutter="0" w:footer="0" w:header="0"/>
        </w:sectPr>
      </w:pPr>
    </w:p>
    <w:bookmarkStart w:id="22" w:name="page23"/>
    <w:bookmarkEnd w:id="22"/>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ectPr>
          <w:pgSz w:w="11900" w:h="16838" w:orient="portrait"/>
          <w:cols w:equalWidth="0" w:num="1">
            <w:col w:w="10240"/>
          </w:cols>
          <w:pgMar w:left="820" w:top="520" w:right="8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Arial" w:cs="Arial" w:eastAsia="Arial" w:hAnsi="Arial"/>
          <w:sz w:val="47"/>
          <w:szCs w:val="47"/>
          <w:color w:val="5F81AA"/>
        </w:rPr>
        <w:t>Northern Europe - Q3 Revenue Growth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4721860</wp:posOffset>
            </wp:positionV>
            <wp:extent cx="726694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40"/>
          </w:cols>
          <w:pgMar w:left="820" w:top="520" w:right="839" w:bottom="1440" w:gutter="0" w:footer="0" w:header="0"/>
          <w:type w:val="continuous"/>
        </w:sectPr>
      </w:pPr>
    </w:p>
    <w:bookmarkStart w:id="23" w:name="page24"/>
    <w:bookmarkEnd w:id="23"/>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51"/>
          <w:szCs w:val="51"/>
          <w:color w:val="5F81AA"/>
        </w:rPr>
        <w:t>APME Segment</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32"/>
          <w:szCs w:val="32"/>
          <w:color w:val="5F81AA"/>
        </w:rPr>
        <w:t>(13% of Revenue)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333"/>
        </w:trPr>
        <w:tc>
          <w:tcPr>
            <w:tcW w:w="258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7"/>
              </w:rPr>
              <w:t>As</w:t>
            </w:r>
          </w:p>
        </w:tc>
        <w:tc>
          <w:tcPr>
            <w:tcW w:w="5280" w:type="dxa"/>
            <w:vAlign w:val="bottom"/>
            <w:vMerge w:val="restart"/>
          </w:tcPr>
          <w:p>
            <w:pPr>
              <w:ind w:left="300"/>
              <w:spacing w:after="0"/>
              <w:rPr>
                <w:sz w:val="20"/>
                <w:szCs w:val="20"/>
                <w:color w:val="auto"/>
              </w:rPr>
            </w:pPr>
            <w:r>
              <w:rPr>
                <w:rFonts w:ascii="Arial" w:cs="Arial" w:eastAsia="Arial" w:hAnsi="Arial"/>
                <w:sz w:val="42"/>
                <w:szCs w:val="42"/>
                <w:b w:val="1"/>
                <w:bCs w:val="1"/>
                <w:color w:val="auto"/>
              </w:rPr>
              <w:t>Q3 Financial Highlights</w:t>
            </w:r>
          </w:p>
        </w:tc>
        <w:tc>
          <w:tcPr>
            <w:tcW w:w="0" w:type="dxa"/>
            <w:vAlign w:val="bottom"/>
          </w:tcPr>
          <w:p>
            <w:pPr>
              <w:spacing w:after="0"/>
              <w:rPr>
                <w:sz w:val="1"/>
                <w:szCs w:val="1"/>
                <w:color w:val="auto"/>
              </w:rPr>
            </w:pPr>
          </w:p>
        </w:tc>
      </w:tr>
      <w:tr>
        <w:trPr>
          <w:trHeight w:val="457"/>
        </w:trPr>
        <w:tc>
          <w:tcPr>
            <w:tcW w:w="2580" w:type="dxa"/>
            <w:vAlign w:val="bottom"/>
            <w:tcBorders>
              <w:right w:val="single" w:sz="8" w:color="D47C18"/>
            </w:tcBorders>
          </w:tcPr>
          <w:p>
            <w:pPr>
              <w:jc w:val="center"/>
              <w:spacing w:after="0"/>
              <w:rPr>
                <w:sz w:val="20"/>
                <w:szCs w:val="20"/>
                <w:color w:val="auto"/>
              </w:rPr>
            </w:pPr>
            <w:r>
              <w:rPr>
                <w:rFonts w:ascii="Arial" w:cs="Arial" w:eastAsia="Arial" w:hAnsi="Arial"/>
                <w:sz w:val="29"/>
                <w:szCs w:val="29"/>
                <w:b w:val="1"/>
                <w:bCs w:val="1"/>
                <w:color w:val="282A32"/>
                <w:w w:val="98"/>
              </w:rPr>
              <w:t>Reported</w:t>
            </w:r>
          </w:p>
        </w:tc>
        <w:tc>
          <w:tcPr>
            <w:tcW w:w="5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80" w:type="dxa"/>
            <w:vAlign w:val="bottom"/>
            <w:tcBorders>
              <w:bottom w:val="single" w:sz="8" w:color="D47C18"/>
              <w:right w:val="single" w:sz="8" w:color="D47C18"/>
            </w:tcBorders>
          </w:tcPr>
          <w:p>
            <w:pPr>
              <w:spacing w:after="0"/>
              <w:rPr>
                <w:sz w:val="22"/>
                <w:szCs w:val="22"/>
                <w:color w:val="auto"/>
              </w:rPr>
            </w:pPr>
          </w:p>
        </w:tc>
        <w:tc>
          <w:tcPr>
            <w:tcW w:w="5280" w:type="dxa"/>
            <w:vAlign w:val="bottom"/>
            <w:tcBorders>
              <w:bottom w:val="single" w:sz="8" w:color="D47C18"/>
            </w:tcBorders>
          </w:tcPr>
          <w:p>
            <w:pPr>
              <w:spacing w:after="0"/>
              <w:rPr>
                <w:sz w:val="22"/>
                <w:szCs w:val="22"/>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rPr>
              <w:t>2%</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Revenue </w:t>
            </w:r>
            <w:r>
              <w:rPr>
                <w:rFonts w:ascii="Arial" w:cs="Arial" w:eastAsia="Arial" w:hAnsi="Arial"/>
                <w:sz w:val="44"/>
                <w:szCs w:val="44"/>
                <w:b w:val="1"/>
                <w:bCs w:val="1"/>
                <w:color w:val="5F81AA"/>
              </w:rPr>
              <w:t>$688M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w w:val="99"/>
              </w:rPr>
              <w:t>0%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80" w:type="dxa"/>
            <w:vAlign w:val="bottom"/>
            <w:tcBorders>
              <w:right w:val="single" w:sz="8" w:color="D47C18"/>
            </w:tcBorders>
            <w:vMerge w:val="continue"/>
          </w:tcPr>
          <w:p>
            <w:pPr>
              <w:spacing w:after="0"/>
              <w:rPr>
                <w:sz w:val="18"/>
                <w:szCs w:val="18"/>
                <w:color w:val="auto"/>
              </w:rPr>
            </w:pP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80" w:type="dxa"/>
            <w:vAlign w:val="bottom"/>
            <w:tcBorders>
              <w:bottom w:val="single" w:sz="8" w:color="D47C18"/>
              <w:right w:val="single" w:sz="8" w:color="D47C18"/>
            </w:tcBorders>
          </w:tcPr>
          <w:p>
            <w:pPr>
              <w:spacing w:after="0"/>
              <w:rPr>
                <w:sz w:val="6"/>
                <w:szCs w:val="6"/>
                <w:color w:val="auto"/>
              </w:rPr>
            </w:pPr>
          </w:p>
        </w:tc>
        <w:tc>
          <w:tcPr>
            <w:tcW w:w="5280" w:type="dxa"/>
            <w:vAlign w:val="bottom"/>
            <w:tcBorders>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7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rPr>
              <w:t>4%</w:t>
            </w:r>
          </w:p>
        </w:tc>
        <w:tc>
          <w:tcPr>
            <w:tcW w:w="5280" w:type="dxa"/>
            <w:vAlign w:val="bottom"/>
            <w:vMerge w:val="restart"/>
          </w:tcPr>
          <w:p>
            <w:pPr>
              <w:ind w:left="340"/>
              <w:spacing w:after="0"/>
              <w:rPr>
                <w:sz w:val="20"/>
                <w:szCs w:val="20"/>
                <w:color w:val="auto"/>
              </w:rPr>
            </w:pPr>
            <w:r>
              <w:rPr>
                <w:rFonts w:ascii="Arial" w:cs="Arial" w:eastAsia="Arial" w:hAnsi="Arial"/>
                <w:sz w:val="42"/>
                <w:szCs w:val="42"/>
                <w:b w:val="1"/>
                <w:bCs w:val="1"/>
                <w:color w:val="343537"/>
              </w:rPr>
              <w:t xml:space="preserve">OUP </w:t>
            </w:r>
            <w:r>
              <w:rPr>
                <w:rFonts w:ascii="Arial" w:cs="Arial" w:eastAsia="Arial" w:hAnsi="Arial"/>
                <w:sz w:val="44"/>
                <w:szCs w:val="44"/>
                <w:b w:val="1"/>
                <w:bCs w:val="1"/>
                <w:color w:val="5F81AA"/>
              </w:rPr>
              <w:t>$21M</w:t>
            </w:r>
          </w:p>
        </w:tc>
        <w:tc>
          <w:tcPr>
            <w:tcW w:w="0" w:type="dxa"/>
            <w:vAlign w:val="bottom"/>
          </w:tcPr>
          <w:p>
            <w:pPr>
              <w:spacing w:after="0"/>
              <w:rPr>
                <w:sz w:val="1"/>
                <w:szCs w:val="1"/>
                <w:color w:val="auto"/>
              </w:rPr>
            </w:pPr>
          </w:p>
        </w:tc>
      </w:tr>
      <w:tr>
        <w:trPr>
          <w:trHeight w:val="266"/>
        </w:trPr>
        <w:tc>
          <w:tcPr>
            <w:tcW w:w="2580" w:type="dxa"/>
            <w:vAlign w:val="bottom"/>
            <w:tcBorders>
              <w:right w:val="single" w:sz="8" w:color="D47C18"/>
            </w:tcBorders>
            <w:vMerge w:val="restart"/>
          </w:tcPr>
          <w:p>
            <w:pPr>
              <w:jc w:val="center"/>
              <w:ind w:left="122"/>
              <w:spacing w:after="0"/>
              <w:rPr>
                <w:sz w:val="20"/>
                <w:szCs w:val="20"/>
                <w:color w:val="auto"/>
              </w:rPr>
            </w:pPr>
            <w:r>
              <w:rPr>
                <w:rFonts w:ascii="Arial" w:cs="Arial" w:eastAsia="Arial" w:hAnsi="Arial"/>
                <w:sz w:val="38"/>
                <w:szCs w:val="38"/>
                <w:color w:val="343537"/>
                <w:w w:val="99"/>
              </w:rPr>
              <w:t>2% CC</w:t>
            </w:r>
          </w:p>
        </w:tc>
        <w:tc>
          <w:tcPr>
            <w:tcW w:w="52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580" w:type="dxa"/>
            <w:vAlign w:val="bottom"/>
            <w:tcBorders>
              <w:right w:val="single" w:sz="8" w:color="D47C18"/>
            </w:tcBorders>
            <w:vMerge w:val="continue"/>
          </w:tcPr>
          <w:p>
            <w:pPr>
              <w:spacing w:after="0"/>
              <w:rPr>
                <w:sz w:val="21"/>
                <w:szCs w:val="21"/>
                <w:color w:val="auto"/>
              </w:rPr>
            </w:pPr>
          </w:p>
        </w:tc>
        <w:tc>
          <w:tcPr>
            <w:tcW w:w="5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580" w:type="dxa"/>
            <w:vAlign w:val="bottom"/>
            <w:tcBorders>
              <w:bottom w:val="single" w:sz="8" w:color="D47C18"/>
              <w:right w:val="single" w:sz="8" w:color="D47C18"/>
            </w:tcBorders>
          </w:tcPr>
          <w:p>
            <w:pPr>
              <w:spacing w:after="0"/>
              <w:rPr>
                <w:sz w:val="3"/>
                <w:szCs w:val="3"/>
                <w:color w:val="auto"/>
              </w:rPr>
            </w:pPr>
          </w:p>
        </w:tc>
        <w:tc>
          <w:tcPr>
            <w:tcW w:w="5280" w:type="dxa"/>
            <w:vAlign w:val="bottom"/>
            <w:tcBorders>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80" w:type="dxa"/>
            <w:vAlign w:val="bottom"/>
            <w:tcBorders>
              <w:right w:val="single" w:sz="8" w:color="D47C18"/>
            </w:tcBorders>
          </w:tcPr>
          <w:p>
            <w:pPr>
              <w:jc w:val="center"/>
              <w:ind w:left="122"/>
              <w:spacing w:after="0"/>
              <w:rPr>
                <w:sz w:val="20"/>
                <w:szCs w:val="20"/>
                <w:color w:val="auto"/>
              </w:rPr>
            </w:pPr>
            <w:r>
              <w:rPr>
                <w:rFonts w:ascii="Arial" w:cs="Arial" w:eastAsia="Arial" w:hAnsi="Arial"/>
                <w:sz w:val="38"/>
                <w:szCs w:val="38"/>
                <w:color w:val="343537"/>
              </w:rPr>
              <w:t>10 bps</w:t>
            </w:r>
          </w:p>
        </w:tc>
        <w:tc>
          <w:tcPr>
            <w:tcW w:w="5280" w:type="dxa"/>
            <w:vAlign w:val="bottom"/>
          </w:tcPr>
          <w:p>
            <w:pPr>
              <w:ind w:left="300"/>
              <w:spacing w:after="0"/>
              <w:rPr>
                <w:sz w:val="20"/>
                <w:szCs w:val="20"/>
                <w:color w:val="auto"/>
              </w:rPr>
            </w:pPr>
            <w:r>
              <w:rPr>
                <w:rFonts w:ascii="Arial" w:cs="Arial" w:eastAsia="Arial" w:hAnsi="Arial"/>
                <w:sz w:val="42"/>
                <w:szCs w:val="42"/>
                <w:b w:val="1"/>
                <w:bCs w:val="1"/>
                <w:color w:val="343537"/>
              </w:rPr>
              <w:t xml:space="preserve">OUP Margin </w:t>
            </w:r>
            <w:r>
              <w:rPr>
                <w:rFonts w:ascii="Arial" w:cs="Arial" w:eastAsia="Arial" w:hAnsi="Arial"/>
                <w:sz w:val="44"/>
                <w:szCs w:val="44"/>
                <w:b w:val="1"/>
                <w:bCs w:val="1"/>
                <w:color w:val="5F81AA"/>
              </w:rPr>
              <w:t>3.0%</w:t>
            </w:r>
          </w:p>
        </w:tc>
        <w:tc>
          <w:tcPr>
            <w:tcW w:w="0" w:type="dxa"/>
            <w:vAlign w:val="bottom"/>
          </w:tcPr>
          <w:p>
            <w:pPr>
              <w:spacing w:after="0"/>
              <w:rPr>
                <w:sz w:val="1"/>
                <w:szCs w:val="1"/>
                <w:color w:val="auto"/>
              </w:rPr>
            </w:pPr>
          </w:p>
        </w:tc>
      </w:tr>
      <w:tr>
        <w:trPr>
          <w:trHeight w:val="226"/>
        </w:trPr>
        <w:tc>
          <w:tcPr>
            <w:tcW w:w="2580" w:type="dxa"/>
            <w:vAlign w:val="bottom"/>
            <w:tcBorders>
              <w:right w:val="single" w:sz="8" w:color="D47C18"/>
            </w:tcBorders>
          </w:tcPr>
          <w:p>
            <w:pPr>
              <w:spacing w:after="0"/>
              <w:rPr>
                <w:sz w:val="19"/>
                <w:szCs w:val="19"/>
                <w:color w:val="auto"/>
              </w:rPr>
            </w:pP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24" w:name="page25"/>
    <w:bookmarkEnd w:id="24"/>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48"/>
          <w:szCs w:val="48"/>
          <w:color w:val="5F81AA"/>
        </w:rPr>
        <w:t>APME - Q3 Revenue Growth YoY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25" w:name="page26"/>
    <w:bookmarkEnd w:id="25"/>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372" w:lineRule="exact"/>
        <w:rPr>
          <w:sz w:val="20"/>
          <w:szCs w:val="20"/>
          <w:color w:val="auto"/>
        </w:rPr>
      </w:pPr>
    </w:p>
    <w:p>
      <w:pPr>
        <w:ind w:left="240"/>
        <w:spacing w:after="0"/>
        <w:rPr>
          <w:sz w:val="20"/>
          <w:szCs w:val="20"/>
          <w:color w:val="auto"/>
        </w:rPr>
      </w:pPr>
      <w:r>
        <w:rPr>
          <w:rFonts w:ascii="Arial" w:cs="Arial" w:eastAsia="Arial" w:hAnsi="Arial"/>
          <w:sz w:val="51"/>
          <w:szCs w:val="51"/>
          <w:color w:val="5F81AA"/>
        </w:rPr>
        <w:t>Right Management Segment</w:t>
      </w:r>
    </w:p>
    <w:p>
      <w:pPr>
        <w:spacing w:after="0" w:line="10" w:lineRule="exact"/>
        <w:rPr>
          <w:sz w:val="20"/>
          <w:szCs w:val="20"/>
          <w:color w:val="auto"/>
        </w:rPr>
      </w:pPr>
    </w:p>
    <w:p>
      <w:pPr>
        <w:ind w:left="240"/>
        <w:spacing w:after="0"/>
        <w:rPr>
          <w:sz w:val="20"/>
          <w:szCs w:val="20"/>
          <w:color w:val="auto"/>
        </w:rPr>
      </w:pPr>
      <w:r>
        <w:rPr>
          <w:rFonts w:ascii="Arial" w:cs="Arial" w:eastAsia="Arial" w:hAnsi="Arial"/>
          <w:sz w:val="32"/>
          <w:szCs w:val="32"/>
          <w:color w:val="5F81AA"/>
        </w:rPr>
        <w:t>(2% of Revenue)</w:t>
      </w:r>
    </w:p>
    <w:p>
      <w:pPr>
        <w:spacing w:after="0" w:line="200" w:lineRule="exact"/>
        <w:rPr>
          <w:sz w:val="20"/>
          <w:szCs w:val="20"/>
          <w:color w:val="auto"/>
        </w:rPr>
      </w:pPr>
    </w:p>
    <w:p>
      <w:pPr>
        <w:spacing w:after="0" w:line="335" w:lineRule="exact"/>
        <w:rPr>
          <w:sz w:val="20"/>
          <w:szCs w:val="20"/>
          <w:color w:val="auto"/>
        </w:rPr>
      </w:pPr>
    </w:p>
    <w:tbl>
      <w:tblPr>
        <w:tblLayout w:type="fixed"/>
        <w:tblInd w:w="800" w:type="dxa"/>
        <w:tblCellMar>
          <w:top w:w="0" w:type="dxa"/>
          <w:left w:w="0" w:type="dxa"/>
          <w:bottom w:w="0" w:type="dxa"/>
          <w:right w:w="0" w:type="dxa"/>
        </w:tblCellMar>
      </w:tblPr>
      <w:tr>
        <w:trPr>
          <w:trHeight w:val="36"/>
        </w:trPr>
        <w:tc>
          <w:tcPr>
            <w:tcW w:w="2500" w:type="dxa"/>
            <w:vAlign w:val="bottom"/>
            <w:vMerge w:val="restart"/>
          </w:tcPr>
          <w:p>
            <w:pPr>
              <w:jc w:val="center"/>
              <w:spacing w:after="0"/>
              <w:rPr>
                <w:sz w:val="20"/>
                <w:szCs w:val="20"/>
                <w:color w:val="auto"/>
              </w:rPr>
            </w:pPr>
            <w:r>
              <w:rPr>
                <w:rFonts w:ascii="Arial" w:cs="Arial" w:eastAsia="Arial" w:hAnsi="Arial"/>
                <w:sz w:val="26"/>
                <w:szCs w:val="26"/>
                <w:b w:val="1"/>
                <w:bCs w:val="1"/>
                <w:color w:val="282A32"/>
              </w:rPr>
              <w:t>As</w:t>
            </w:r>
          </w:p>
        </w:tc>
        <w:tc>
          <w:tcPr>
            <w:tcW w:w="40" w:type="dxa"/>
            <w:vAlign w:val="bottom"/>
          </w:tcPr>
          <w:p>
            <w:pPr>
              <w:spacing w:after="0"/>
              <w:rPr>
                <w:sz w:val="3"/>
                <w:szCs w:val="3"/>
                <w:color w:val="auto"/>
              </w:rPr>
            </w:pPr>
          </w:p>
        </w:tc>
        <w:tc>
          <w:tcPr>
            <w:tcW w:w="5880" w:type="dxa"/>
            <w:vAlign w:val="bottom"/>
            <w:vMerge w:val="restart"/>
          </w:tcPr>
          <w:p>
            <w:pPr>
              <w:ind w:left="320"/>
              <w:spacing w:after="0"/>
              <w:rPr>
                <w:sz w:val="20"/>
                <w:szCs w:val="20"/>
                <w:color w:val="auto"/>
              </w:rPr>
            </w:pPr>
            <w:r>
              <w:rPr>
                <w:rFonts w:ascii="Arial" w:cs="Arial" w:eastAsia="Arial" w:hAnsi="Arial"/>
                <w:sz w:val="42"/>
                <w:szCs w:val="42"/>
                <w:b w:val="1"/>
                <w:bCs w:val="1"/>
                <w:color w:val="auto"/>
              </w:rPr>
              <w:t>Q3 Financial Highlights</w:t>
            </w:r>
          </w:p>
        </w:tc>
        <w:tc>
          <w:tcPr>
            <w:tcW w:w="0" w:type="dxa"/>
            <w:vAlign w:val="bottom"/>
          </w:tcPr>
          <w:p>
            <w:pPr>
              <w:spacing w:after="0" w:line="20" w:lineRule="exact"/>
              <w:rPr>
                <w:sz w:val="1"/>
                <w:szCs w:val="1"/>
                <w:color w:val="auto"/>
              </w:rPr>
            </w:pPr>
          </w:p>
        </w:tc>
      </w:tr>
      <w:tr>
        <w:trPr>
          <w:trHeight w:val="265"/>
        </w:trPr>
        <w:tc>
          <w:tcPr>
            <w:tcW w:w="2500" w:type="dxa"/>
            <w:vAlign w:val="bottom"/>
            <w:vMerge w:val="continue"/>
          </w:tcPr>
          <w:p>
            <w:pPr>
              <w:spacing w:after="0"/>
              <w:rPr>
                <w:sz w:val="23"/>
                <w:szCs w:val="23"/>
                <w:color w:val="auto"/>
              </w:rPr>
            </w:pPr>
          </w:p>
        </w:tc>
        <w:tc>
          <w:tcPr>
            <w:tcW w:w="40" w:type="dxa"/>
            <w:vAlign w:val="bottom"/>
            <w:shd w:val="clear" w:color="auto" w:fill="D47C18"/>
          </w:tcPr>
          <w:p>
            <w:pPr>
              <w:spacing w:after="0"/>
              <w:rPr>
                <w:sz w:val="23"/>
                <w:szCs w:val="23"/>
                <w:color w:val="auto"/>
              </w:rPr>
            </w:pPr>
          </w:p>
        </w:tc>
        <w:tc>
          <w:tcPr>
            <w:tcW w:w="5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48"/>
        </w:trPr>
        <w:tc>
          <w:tcPr>
            <w:tcW w:w="2500" w:type="dxa"/>
            <w:vAlign w:val="bottom"/>
          </w:tcPr>
          <w:p>
            <w:pPr>
              <w:jc w:val="center"/>
              <w:spacing w:after="0"/>
              <w:rPr>
                <w:sz w:val="20"/>
                <w:szCs w:val="20"/>
                <w:color w:val="auto"/>
              </w:rPr>
            </w:pPr>
            <w:r>
              <w:rPr>
                <w:rFonts w:ascii="Arial" w:cs="Arial" w:eastAsia="Arial" w:hAnsi="Arial"/>
                <w:sz w:val="26"/>
                <w:szCs w:val="26"/>
                <w:b w:val="1"/>
                <w:bCs w:val="1"/>
                <w:color w:val="282A32"/>
                <w:w w:val="98"/>
              </w:rPr>
              <w:t>Reported</w:t>
            </w:r>
          </w:p>
        </w:tc>
        <w:tc>
          <w:tcPr>
            <w:tcW w:w="40" w:type="dxa"/>
            <w:vAlign w:val="bottom"/>
            <w:shd w:val="clear" w:color="auto" w:fill="D47C18"/>
          </w:tcPr>
          <w:p>
            <w:pPr>
              <w:spacing w:after="0"/>
              <w:rPr>
                <w:sz w:val="24"/>
                <w:szCs w:val="24"/>
                <w:color w:val="auto"/>
              </w:rPr>
            </w:pPr>
          </w:p>
        </w:tc>
        <w:tc>
          <w:tcPr>
            <w:tcW w:w="58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00" w:type="dxa"/>
            <w:vAlign w:val="bottom"/>
            <w:tcBorders>
              <w:bottom w:val="single" w:sz="8" w:color="D47C18"/>
            </w:tcBorders>
          </w:tcPr>
          <w:p>
            <w:pPr>
              <w:spacing w:after="0"/>
              <w:rPr>
                <w:sz w:val="17"/>
                <w:szCs w:val="17"/>
                <w:color w:val="auto"/>
              </w:rPr>
            </w:pPr>
          </w:p>
        </w:tc>
        <w:tc>
          <w:tcPr>
            <w:tcW w:w="40" w:type="dxa"/>
            <w:vAlign w:val="bottom"/>
            <w:tcBorders>
              <w:bottom w:val="single" w:sz="8" w:color="D47C18"/>
            </w:tcBorders>
            <w:shd w:val="clear" w:color="auto" w:fill="D47C18"/>
          </w:tcPr>
          <w:p>
            <w:pPr>
              <w:spacing w:after="0"/>
              <w:rPr>
                <w:sz w:val="17"/>
                <w:szCs w:val="17"/>
                <w:color w:val="auto"/>
              </w:rPr>
            </w:pPr>
          </w:p>
        </w:tc>
        <w:tc>
          <w:tcPr>
            <w:tcW w:w="5880" w:type="dxa"/>
            <w:vAlign w:val="bottom"/>
            <w:tcBorders>
              <w:bottom w:val="single" w:sz="8" w:color="D47C18"/>
            </w:tcBorders>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500" w:type="dxa"/>
            <w:vAlign w:val="bottom"/>
          </w:tcPr>
          <w:p>
            <w:pPr>
              <w:jc w:val="center"/>
              <w:ind w:left="168"/>
              <w:spacing w:after="0"/>
              <w:rPr>
                <w:sz w:val="20"/>
                <w:szCs w:val="20"/>
                <w:color w:val="auto"/>
              </w:rPr>
            </w:pPr>
            <w:r>
              <w:rPr>
                <w:rFonts w:ascii="Arial" w:cs="Arial" w:eastAsia="Arial" w:hAnsi="Arial"/>
                <w:sz w:val="38"/>
                <w:szCs w:val="38"/>
                <w:color w:val="282A32"/>
              </w:rPr>
              <w:t>3%</w:t>
            </w:r>
          </w:p>
        </w:tc>
        <w:tc>
          <w:tcPr>
            <w:tcW w:w="40" w:type="dxa"/>
            <w:vAlign w:val="bottom"/>
            <w:shd w:val="clear" w:color="auto" w:fill="D47C18"/>
          </w:tcPr>
          <w:p>
            <w:pPr>
              <w:spacing w:after="0"/>
              <w:rPr>
                <w:sz w:val="24"/>
                <w:szCs w:val="24"/>
                <w:color w:val="auto"/>
              </w:rPr>
            </w:pPr>
          </w:p>
        </w:tc>
        <w:tc>
          <w:tcPr>
            <w:tcW w:w="588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2"/>
                <w:szCs w:val="42"/>
                <w:b w:val="1"/>
                <w:bCs w:val="1"/>
                <w:color w:val="282A32"/>
              </w:rPr>
              <w:t xml:space="preserve">Revenue </w:t>
            </w:r>
            <w:r>
              <w:rPr>
                <w:rFonts w:ascii="Arial" w:cs="Arial" w:eastAsia="Arial" w:hAnsi="Arial"/>
                <w:sz w:val="44"/>
                <w:szCs w:val="44"/>
                <w:b w:val="1"/>
                <w:bCs w:val="1"/>
                <w:color w:val="5F81AA"/>
              </w:rPr>
              <w:t>$80M</w:t>
            </w:r>
          </w:p>
        </w:tc>
        <w:tc>
          <w:tcPr>
            <w:tcW w:w="0" w:type="dxa"/>
            <w:vAlign w:val="bottom"/>
          </w:tcPr>
          <w:p>
            <w:pPr>
              <w:spacing w:after="0"/>
              <w:rPr>
                <w:sz w:val="1"/>
                <w:szCs w:val="1"/>
                <w:color w:val="auto"/>
              </w:rPr>
            </w:pPr>
          </w:p>
        </w:tc>
      </w:tr>
      <w:tr>
        <w:trPr>
          <w:trHeight w:val="266"/>
        </w:trPr>
        <w:tc>
          <w:tcPr>
            <w:tcW w:w="2500" w:type="dxa"/>
            <w:vAlign w:val="bottom"/>
            <w:vMerge w:val="restart"/>
          </w:tcPr>
          <w:p>
            <w:pPr>
              <w:jc w:val="center"/>
              <w:ind w:left="188"/>
              <w:spacing w:after="0"/>
              <w:rPr>
                <w:sz w:val="20"/>
                <w:szCs w:val="20"/>
                <w:color w:val="auto"/>
              </w:rPr>
            </w:pPr>
            <w:r>
              <w:rPr>
                <w:rFonts w:ascii="Arial" w:cs="Arial" w:eastAsia="Arial" w:hAnsi="Arial"/>
                <w:sz w:val="38"/>
                <w:szCs w:val="38"/>
                <w:color w:val="282A32"/>
              </w:rPr>
              <w:t>6% CC</w:t>
            </w:r>
          </w:p>
        </w:tc>
        <w:tc>
          <w:tcPr>
            <w:tcW w:w="40" w:type="dxa"/>
            <w:vAlign w:val="bottom"/>
          </w:tcPr>
          <w:p>
            <w:pPr>
              <w:spacing w:after="0"/>
              <w:rPr>
                <w:sz w:val="23"/>
                <w:szCs w:val="23"/>
                <w:color w:val="auto"/>
              </w:rPr>
            </w:pPr>
          </w:p>
        </w:tc>
        <w:tc>
          <w:tcPr>
            <w:tcW w:w="5880" w:type="dxa"/>
            <w:vAlign w:val="bottom"/>
            <w:tcBorders>
              <w:left w:val="single" w:sz="8" w:color="D47C18"/>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5880" w:type="dxa"/>
            <w:vAlign w:val="bottom"/>
            <w:tcBorders>
              <w:left w:val="single" w:sz="8" w:color="D47C18"/>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500" w:type="dxa"/>
            <w:vAlign w:val="bottom"/>
            <w:tcBorders>
              <w:bottom w:val="single" w:sz="8" w:color="D47C18"/>
            </w:tcBorders>
          </w:tcPr>
          <w:p>
            <w:pPr>
              <w:spacing w:after="0"/>
              <w:rPr>
                <w:sz w:val="6"/>
                <w:szCs w:val="6"/>
                <w:color w:val="auto"/>
              </w:rPr>
            </w:pPr>
          </w:p>
        </w:tc>
        <w:tc>
          <w:tcPr>
            <w:tcW w:w="40" w:type="dxa"/>
            <w:vAlign w:val="bottom"/>
            <w:tcBorders>
              <w:bottom w:val="single" w:sz="8" w:color="D47C18"/>
            </w:tcBorders>
          </w:tcPr>
          <w:p>
            <w:pPr>
              <w:spacing w:after="0"/>
              <w:rPr>
                <w:sz w:val="6"/>
                <w:szCs w:val="6"/>
                <w:color w:val="auto"/>
              </w:rPr>
            </w:pPr>
          </w:p>
        </w:tc>
        <w:tc>
          <w:tcPr>
            <w:tcW w:w="5880" w:type="dxa"/>
            <w:vAlign w:val="bottom"/>
            <w:tcBorders>
              <w:left w:val="single" w:sz="8" w:color="D47C18"/>
              <w:bottom w:val="single" w:sz="8" w:color="D47C18"/>
            </w:tcBorders>
          </w:tcPr>
          <w:p>
            <w:pPr>
              <w:spacing w:after="0"/>
              <w:rPr>
                <w:sz w:val="6"/>
                <w:szCs w:val="6"/>
                <w:color w:val="auto"/>
              </w:rPr>
            </w:pPr>
          </w:p>
        </w:tc>
        <w:tc>
          <w:tcPr>
            <w:tcW w:w="0" w:type="dxa"/>
            <w:vAlign w:val="bottom"/>
          </w:tcPr>
          <w:p>
            <w:pPr>
              <w:spacing w:after="0"/>
              <w:rPr>
                <w:sz w:val="1"/>
                <w:szCs w:val="1"/>
                <w:color w:val="auto"/>
              </w:rPr>
            </w:pPr>
          </w:p>
        </w:tc>
      </w:tr>
      <w:tr>
        <w:trPr>
          <w:trHeight w:val="533"/>
        </w:trPr>
        <w:tc>
          <w:tcPr>
            <w:tcW w:w="2500" w:type="dxa"/>
            <w:vAlign w:val="bottom"/>
          </w:tcPr>
          <w:p>
            <w:pPr>
              <w:jc w:val="center"/>
              <w:spacing w:after="0"/>
              <w:rPr>
                <w:sz w:val="20"/>
                <w:szCs w:val="20"/>
                <w:color w:val="auto"/>
              </w:rPr>
            </w:pPr>
            <w:r>
              <w:rPr>
                <w:rFonts w:ascii="Arial" w:cs="Arial" w:eastAsia="Arial" w:hAnsi="Arial"/>
                <w:sz w:val="37"/>
                <w:szCs w:val="37"/>
                <w:color w:val="282A32"/>
              </w:rPr>
              <w:t>N/A</w:t>
            </w:r>
          </w:p>
        </w:tc>
        <w:tc>
          <w:tcPr>
            <w:tcW w:w="40" w:type="dxa"/>
            <w:vAlign w:val="bottom"/>
            <w:tcBorders>
              <w:bottom w:val="single" w:sz="8" w:color="D47C18"/>
            </w:tcBorders>
            <w:shd w:val="clear" w:color="auto" w:fill="D47C18"/>
          </w:tcPr>
          <w:p>
            <w:pPr>
              <w:spacing w:after="0"/>
              <w:rPr>
                <w:sz w:val="24"/>
                <w:szCs w:val="24"/>
                <w:color w:val="auto"/>
              </w:rPr>
            </w:pPr>
          </w:p>
        </w:tc>
        <w:tc>
          <w:tcPr>
            <w:tcW w:w="5880" w:type="dxa"/>
            <w:vAlign w:val="bottom"/>
            <w:tcBorders>
              <w:left w:val="single" w:sz="8" w:color="D47C18"/>
            </w:tcBorders>
            <w:vMerge w:val="restart"/>
          </w:tcPr>
          <w:p>
            <w:pPr>
              <w:ind w:left="360"/>
              <w:spacing w:after="0"/>
              <w:rPr>
                <w:sz w:val="20"/>
                <w:szCs w:val="20"/>
                <w:color w:val="auto"/>
              </w:rPr>
            </w:pPr>
            <w:r>
              <w:rPr>
                <w:rFonts w:ascii="Arial" w:cs="Arial" w:eastAsia="Arial" w:hAnsi="Arial"/>
                <w:sz w:val="42"/>
                <w:szCs w:val="42"/>
                <w:b w:val="1"/>
                <w:bCs w:val="1"/>
                <w:color w:val="282A32"/>
              </w:rPr>
              <w:t xml:space="preserve">OUP </w:t>
            </w:r>
            <w:r>
              <w:rPr>
                <w:rFonts w:ascii="Arial" w:cs="Arial" w:eastAsia="Arial" w:hAnsi="Arial"/>
                <w:sz w:val="42"/>
                <w:szCs w:val="42"/>
                <w:b w:val="1"/>
                <w:bCs w:val="1"/>
                <w:color w:val="466EA5"/>
              </w:rPr>
              <w:t>$6M</w:t>
            </w:r>
          </w:p>
        </w:tc>
        <w:tc>
          <w:tcPr>
            <w:tcW w:w="0" w:type="dxa"/>
            <w:vAlign w:val="bottom"/>
          </w:tcPr>
          <w:p>
            <w:pPr>
              <w:spacing w:after="0"/>
              <w:rPr>
                <w:sz w:val="1"/>
                <w:szCs w:val="1"/>
                <w:color w:val="auto"/>
              </w:rPr>
            </w:pPr>
          </w:p>
        </w:tc>
      </w:tr>
      <w:tr>
        <w:trPr>
          <w:trHeight w:val="244"/>
        </w:trPr>
        <w:tc>
          <w:tcPr>
            <w:tcW w:w="2500" w:type="dxa"/>
            <w:vAlign w:val="bottom"/>
            <w:vMerge w:val="restart"/>
          </w:tcPr>
          <w:p>
            <w:pPr>
              <w:jc w:val="center"/>
              <w:spacing w:after="0"/>
              <w:rPr>
                <w:sz w:val="20"/>
                <w:szCs w:val="20"/>
                <w:color w:val="auto"/>
              </w:rPr>
            </w:pPr>
            <w:r>
              <w:rPr>
                <w:rFonts w:ascii="Arial" w:cs="Arial" w:eastAsia="Arial" w:hAnsi="Arial"/>
                <w:sz w:val="37"/>
                <w:szCs w:val="37"/>
                <w:color w:val="282A32"/>
              </w:rPr>
              <w:t>N/A</w:t>
            </w:r>
          </w:p>
        </w:tc>
        <w:tc>
          <w:tcPr>
            <w:tcW w:w="40" w:type="dxa"/>
            <w:vAlign w:val="bottom"/>
          </w:tcPr>
          <w:p>
            <w:pPr>
              <w:spacing w:after="0"/>
              <w:rPr>
                <w:sz w:val="21"/>
                <w:szCs w:val="21"/>
                <w:color w:val="auto"/>
              </w:rPr>
            </w:pPr>
          </w:p>
        </w:tc>
        <w:tc>
          <w:tcPr>
            <w:tcW w:w="5880" w:type="dxa"/>
            <w:vAlign w:val="bottom"/>
            <w:tcBorders>
              <w:left w:val="single" w:sz="8" w:color="D47C18"/>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5880" w:type="dxa"/>
            <w:vAlign w:val="bottom"/>
            <w:tcBorders>
              <w:left w:val="single" w:sz="8" w:color="D47C18"/>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500" w:type="dxa"/>
            <w:vAlign w:val="bottom"/>
            <w:tcBorders>
              <w:bottom w:val="single" w:sz="8" w:color="D47C18"/>
            </w:tcBorders>
          </w:tcPr>
          <w:p>
            <w:pPr>
              <w:spacing w:after="0"/>
              <w:rPr>
                <w:sz w:val="3"/>
                <w:szCs w:val="3"/>
                <w:color w:val="auto"/>
              </w:rPr>
            </w:pPr>
          </w:p>
        </w:tc>
        <w:tc>
          <w:tcPr>
            <w:tcW w:w="40" w:type="dxa"/>
            <w:vAlign w:val="bottom"/>
            <w:tcBorders>
              <w:bottom w:val="single" w:sz="8" w:color="D47C18"/>
            </w:tcBorders>
          </w:tcPr>
          <w:p>
            <w:pPr>
              <w:spacing w:after="0"/>
              <w:rPr>
                <w:sz w:val="3"/>
                <w:szCs w:val="3"/>
                <w:color w:val="auto"/>
              </w:rPr>
            </w:pPr>
          </w:p>
        </w:tc>
        <w:tc>
          <w:tcPr>
            <w:tcW w:w="5880" w:type="dxa"/>
            <w:vAlign w:val="bottom"/>
            <w:tcBorders>
              <w:left w:val="single" w:sz="8" w:color="D47C18"/>
              <w:bottom w:val="single" w:sz="8" w:color="D47C18"/>
            </w:tcBorders>
          </w:tcPr>
          <w:p>
            <w:pPr>
              <w:spacing w:after="0"/>
              <w:rPr>
                <w:sz w:val="3"/>
                <w:szCs w:val="3"/>
                <w:color w:val="auto"/>
              </w:rPr>
            </w:pPr>
          </w:p>
        </w:tc>
        <w:tc>
          <w:tcPr>
            <w:tcW w:w="0" w:type="dxa"/>
            <w:vAlign w:val="bottom"/>
          </w:tcPr>
          <w:p>
            <w:pPr>
              <w:spacing w:after="0"/>
              <w:rPr>
                <w:sz w:val="1"/>
                <w:szCs w:val="1"/>
                <w:color w:val="auto"/>
              </w:rPr>
            </w:pPr>
          </w:p>
        </w:tc>
      </w:tr>
      <w:tr>
        <w:trPr>
          <w:trHeight w:val="807"/>
        </w:trPr>
        <w:tc>
          <w:tcPr>
            <w:tcW w:w="2500" w:type="dxa"/>
            <w:vAlign w:val="bottom"/>
          </w:tcPr>
          <w:p>
            <w:pPr>
              <w:jc w:val="center"/>
              <w:ind w:left="188"/>
              <w:spacing w:after="0"/>
              <w:rPr>
                <w:sz w:val="20"/>
                <w:szCs w:val="20"/>
                <w:color w:val="auto"/>
              </w:rPr>
            </w:pPr>
            <w:r>
              <w:rPr>
                <w:rFonts w:ascii="Arial" w:cs="Arial" w:eastAsia="Arial" w:hAnsi="Arial"/>
                <w:sz w:val="38"/>
                <w:szCs w:val="38"/>
                <w:color w:val="282A32"/>
              </w:rPr>
              <w:t>940 bps</w:t>
            </w:r>
          </w:p>
        </w:tc>
        <w:tc>
          <w:tcPr>
            <w:tcW w:w="40" w:type="dxa"/>
            <w:vAlign w:val="bottom"/>
            <w:shd w:val="clear" w:color="auto" w:fill="D47C18"/>
          </w:tcPr>
          <w:p>
            <w:pPr>
              <w:spacing w:after="0"/>
              <w:rPr>
                <w:sz w:val="24"/>
                <w:szCs w:val="24"/>
                <w:color w:val="auto"/>
              </w:rPr>
            </w:pPr>
          </w:p>
        </w:tc>
        <w:tc>
          <w:tcPr>
            <w:tcW w:w="5880" w:type="dxa"/>
            <w:vAlign w:val="bottom"/>
          </w:tcPr>
          <w:p>
            <w:pPr>
              <w:ind w:left="320"/>
              <w:spacing w:after="0"/>
              <w:rPr>
                <w:sz w:val="20"/>
                <w:szCs w:val="20"/>
                <w:color w:val="auto"/>
              </w:rPr>
            </w:pPr>
            <w:r>
              <w:rPr>
                <w:rFonts w:ascii="Arial" w:cs="Arial" w:eastAsia="Arial" w:hAnsi="Arial"/>
                <w:sz w:val="42"/>
                <w:szCs w:val="42"/>
                <w:b w:val="1"/>
                <w:bCs w:val="1"/>
                <w:color w:val="282A32"/>
              </w:rPr>
              <w:t xml:space="preserve">OUP Margin </w:t>
            </w:r>
            <w:r>
              <w:rPr>
                <w:rFonts w:ascii="Arial" w:cs="Arial" w:eastAsia="Arial" w:hAnsi="Arial"/>
                <w:sz w:val="44"/>
                <w:szCs w:val="44"/>
                <w:b w:val="1"/>
                <w:bCs w:val="1"/>
                <w:color w:val="5F81AA"/>
              </w:rPr>
              <w:t>7.0%</w:t>
            </w:r>
          </w:p>
        </w:tc>
        <w:tc>
          <w:tcPr>
            <w:tcW w:w="0" w:type="dxa"/>
            <w:vAlign w:val="bottom"/>
          </w:tcPr>
          <w:p>
            <w:pPr>
              <w:spacing w:after="0"/>
              <w:rPr>
                <w:sz w:val="1"/>
                <w:szCs w:val="1"/>
                <w:color w:val="auto"/>
              </w:rPr>
            </w:pPr>
          </w:p>
        </w:tc>
      </w:tr>
      <w:tr>
        <w:trPr>
          <w:trHeight w:val="226"/>
        </w:trPr>
        <w:tc>
          <w:tcPr>
            <w:tcW w:w="2500" w:type="dxa"/>
            <w:vAlign w:val="bottom"/>
          </w:tcPr>
          <w:p>
            <w:pPr>
              <w:spacing w:after="0"/>
              <w:rPr>
                <w:sz w:val="19"/>
                <w:szCs w:val="19"/>
                <w:color w:val="auto"/>
              </w:rPr>
            </w:pPr>
          </w:p>
        </w:tc>
        <w:tc>
          <w:tcPr>
            <w:tcW w:w="40" w:type="dxa"/>
            <w:vAlign w:val="bottom"/>
            <w:shd w:val="clear" w:color="auto" w:fill="D47C18"/>
          </w:tcPr>
          <w:p>
            <w:pPr>
              <w:spacing w:after="0"/>
              <w:rPr>
                <w:sz w:val="19"/>
                <w:szCs w:val="19"/>
                <w:color w:val="auto"/>
              </w:rPr>
            </w:pPr>
          </w:p>
        </w:tc>
        <w:tc>
          <w:tcPr>
            <w:tcW w:w="5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480"/>
          </w:cols>
          <w:pgMar w:left="820" w:top="520" w:right="599" w:bottom="1440" w:gutter="0" w:footer="0" w:header="0"/>
        </w:sectPr>
      </w:pPr>
    </w:p>
    <w:bookmarkStart w:id="26" w:name="page27"/>
    <w:bookmarkEnd w:id="26"/>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51"/>
          <w:szCs w:val="51"/>
          <w:color w:val="5F81AA"/>
        </w:rPr>
        <w:t>Cash Flow Summary - Nine Months</w:t>
      </w:r>
    </w:p>
    <w:p>
      <w:pPr>
        <w:spacing w:after="0" w:line="378" w:lineRule="exact"/>
        <w:rPr>
          <w:sz w:val="20"/>
          <w:szCs w:val="20"/>
          <w:color w:val="auto"/>
        </w:rPr>
      </w:pPr>
    </w:p>
    <w:tbl>
      <w:tblPr>
        <w:tblLayout w:type="fixed"/>
        <w:tblInd w:w="380" w:type="dxa"/>
        <w:tblCellMar>
          <w:top w:w="0" w:type="dxa"/>
          <w:left w:w="0" w:type="dxa"/>
          <w:bottom w:w="0" w:type="dxa"/>
          <w:right w:w="0" w:type="dxa"/>
        </w:tblCellMar>
      </w:tblPr>
      <w:tr>
        <w:trPr>
          <w:trHeight w:val="426"/>
        </w:trPr>
        <w:tc>
          <w:tcPr>
            <w:tcW w:w="5660" w:type="dxa"/>
            <w:vAlign w:val="bottom"/>
          </w:tcPr>
          <w:p>
            <w:pPr>
              <w:spacing w:after="0"/>
              <w:rPr>
                <w:sz w:val="20"/>
                <w:szCs w:val="20"/>
                <w:color w:val="auto"/>
              </w:rPr>
            </w:pPr>
            <w:r>
              <w:rPr>
                <w:rFonts w:ascii="Arial" w:cs="Arial" w:eastAsia="Arial" w:hAnsi="Arial"/>
                <w:sz w:val="29"/>
                <w:szCs w:val="29"/>
                <w:color w:val="5F81AA"/>
              </w:rPr>
              <w:t>($ in millions)</w:t>
            </w:r>
          </w:p>
        </w:tc>
        <w:tc>
          <w:tcPr>
            <w:tcW w:w="1620" w:type="dxa"/>
            <w:vAlign w:val="bottom"/>
          </w:tcPr>
          <w:p>
            <w:pPr>
              <w:jc w:val="right"/>
              <w:spacing w:after="0"/>
              <w:rPr>
                <w:sz w:val="20"/>
                <w:szCs w:val="20"/>
                <w:color w:val="auto"/>
              </w:rPr>
            </w:pPr>
            <w:r>
              <w:rPr>
                <w:rFonts w:ascii="Arial" w:cs="Arial" w:eastAsia="Arial" w:hAnsi="Arial"/>
                <w:sz w:val="32"/>
                <w:szCs w:val="32"/>
                <w:b w:val="1"/>
                <w:bCs w:val="1"/>
                <w:color w:val="5F81AA"/>
              </w:rPr>
              <w:t>2012</w:t>
            </w:r>
          </w:p>
        </w:tc>
        <w:tc>
          <w:tcPr>
            <w:tcW w:w="2000" w:type="dxa"/>
            <w:vAlign w:val="bottom"/>
            <w:gridSpan w:val="2"/>
          </w:tcPr>
          <w:p>
            <w:pPr>
              <w:jc w:val="right"/>
              <w:spacing w:after="0"/>
              <w:rPr>
                <w:sz w:val="20"/>
                <w:szCs w:val="20"/>
                <w:color w:val="auto"/>
              </w:rPr>
            </w:pPr>
            <w:r>
              <w:rPr>
                <w:rFonts w:ascii="Arial" w:cs="Arial" w:eastAsia="Arial" w:hAnsi="Arial"/>
                <w:sz w:val="32"/>
                <w:szCs w:val="32"/>
                <w:b w:val="1"/>
                <w:bCs w:val="1"/>
                <w:color w:val="5F81AA"/>
              </w:rPr>
              <w:t>2011</w:t>
            </w:r>
          </w:p>
        </w:tc>
        <w:tc>
          <w:tcPr>
            <w:tcW w:w="0" w:type="dxa"/>
            <w:vAlign w:val="bottom"/>
          </w:tcPr>
          <w:p>
            <w:pPr>
              <w:spacing w:after="0"/>
              <w:rPr>
                <w:sz w:val="1"/>
                <w:szCs w:val="1"/>
                <w:color w:val="auto"/>
              </w:rPr>
            </w:pPr>
          </w:p>
        </w:tc>
      </w:tr>
      <w:tr>
        <w:trPr>
          <w:trHeight w:val="627"/>
        </w:trPr>
        <w:tc>
          <w:tcPr>
            <w:tcW w:w="5660" w:type="dxa"/>
            <w:vAlign w:val="bottom"/>
          </w:tcPr>
          <w:p>
            <w:pPr>
              <w:spacing w:after="0"/>
              <w:rPr>
                <w:sz w:val="20"/>
                <w:szCs w:val="20"/>
                <w:color w:val="auto"/>
              </w:rPr>
            </w:pPr>
            <w:r>
              <w:rPr>
                <w:rFonts w:ascii="Arial" w:cs="Arial" w:eastAsia="Arial" w:hAnsi="Arial"/>
                <w:sz w:val="29"/>
                <w:szCs w:val="29"/>
                <w:b w:val="1"/>
                <w:bCs w:val="1"/>
                <w:color w:val="282A32"/>
              </w:rPr>
              <w:t>Cash used in operating activities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(15)</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(73)</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282A32"/>
              </w:rPr>
              <w:t>Capital Expenditures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(48)</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(46)</w:t>
            </w:r>
          </w:p>
        </w:tc>
        <w:tc>
          <w:tcPr>
            <w:tcW w:w="0" w:type="dxa"/>
            <w:vAlign w:val="bottom"/>
          </w:tcPr>
          <w:p>
            <w:pPr>
              <w:spacing w:after="0"/>
              <w:rPr>
                <w:sz w:val="1"/>
                <w:szCs w:val="1"/>
                <w:color w:val="auto"/>
              </w:rPr>
            </w:pPr>
          </w:p>
        </w:tc>
      </w:tr>
      <w:tr>
        <w:trPr>
          <w:trHeight w:val="154"/>
        </w:trPr>
        <w:tc>
          <w:tcPr>
            <w:tcW w:w="5660" w:type="dxa"/>
            <w:vAlign w:val="bottom"/>
            <w:vMerge w:val="restart"/>
          </w:tcPr>
          <w:p>
            <w:pPr>
              <w:ind w:left="580"/>
              <w:spacing w:after="0"/>
              <w:rPr>
                <w:sz w:val="20"/>
                <w:szCs w:val="20"/>
                <w:color w:val="auto"/>
              </w:rPr>
            </w:pPr>
            <w:r>
              <w:rPr>
                <w:rFonts w:ascii="Arial" w:cs="Arial" w:eastAsia="Arial" w:hAnsi="Arial"/>
                <w:sz w:val="29"/>
                <w:szCs w:val="29"/>
                <w:b w:val="1"/>
                <w:bCs w:val="1"/>
                <w:color w:val="282A32"/>
              </w:rPr>
              <w:t>Free Cash Flow</w:t>
            </w:r>
          </w:p>
        </w:tc>
        <w:tc>
          <w:tcPr>
            <w:tcW w:w="1620" w:type="dxa"/>
            <w:vAlign w:val="bottom"/>
            <w:tcBorders>
              <w:bottom w:val="single" w:sz="8" w:color="282A32"/>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60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566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(63)</w:t>
            </w:r>
          </w:p>
        </w:tc>
        <w:tc>
          <w:tcPr>
            <w:tcW w:w="40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9"/>
                <w:szCs w:val="29"/>
                <w:b w:val="1"/>
                <w:bCs w:val="1"/>
                <w:color w:val="282A32"/>
              </w:rPr>
              <w:t>(119)</w:t>
            </w:r>
          </w:p>
        </w:tc>
        <w:tc>
          <w:tcPr>
            <w:tcW w:w="0" w:type="dxa"/>
            <w:vAlign w:val="bottom"/>
          </w:tcPr>
          <w:p>
            <w:pPr>
              <w:spacing w:after="0"/>
              <w:rPr>
                <w:sz w:val="1"/>
                <w:szCs w:val="1"/>
                <w:color w:val="auto"/>
              </w:rPr>
            </w:pPr>
          </w:p>
        </w:tc>
      </w:tr>
      <w:tr>
        <w:trPr>
          <w:trHeight w:val="484"/>
        </w:trPr>
        <w:tc>
          <w:tcPr>
            <w:tcW w:w="5660" w:type="dxa"/>
            <w:vAlign w:val="bottom"/>
          </w:tcPr>
          <w:p>
            <w:pPr>
              <w:spacing w:after="0"/>
              <w:rPr>
                <w:sz w:val="20"/>
                <w:szCs w:val="20"/>
                <w:color w:val="auto"/>
              </w:rPr>
            </w:pPr>
            <w:r>
              <w:rPr>
                <w:rFonts w:ascii="Arial" w:cs="Arial" w:eastAsia="Arial" w:hAnsi="Arial"/>
                <w:sz w:val="29"/>
                <w:szCs w:val="29"/>
                <w:b w:val="1"/>
                <w:bCs w:val="1"/>
                <w:color w:val="282A32"/>
              </w:rPr>
              <w:t>Change in Debt</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41</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6</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282A32"/>
              </w:rPr>
              <w:t>Share Repurchases</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(44)</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(43)</w:t>
            </w:r>
          </w:p>
        </w:tc>
        <w:tc>
          <w:tcPr>
            <w:tcW w:w="0" w:type="dxa"/>
            <w:vAlign w:val="bottom"/>
          </w:tcPr>
          <w:p>
            <w:pPr>
              <w:spacing w:after="0"/>
              <w:rPr>
                <w:sz w:val="1"/>
                <w:szCs w:val="1"/>
                <w:color w:val="auto"/>
              </w:rPr>
            </w:pPr>
          </w:p>
        </w:tc>
      </w:tr>
      <w:tr>
        <w:trPr>
          <w:trHeight w:val="589"/>
        </w:trPr>
        <w:tc>
          <w:tcPr>
            <w:tcW w:w="5660" w:type="dxa"/>
            <w:vAlign w:val="bottom"/>
          </w:tcPr>
          <w:p>
            <w:pPr>
              <w:spacing w:after="0"/>
              <w:rPr>
                <w:sz w:val="20"/>
                <w:szCs w:val="20"/>
                <w:color w:val="auto"/>
              </w:rPr>
            </w:pPr>
            <w:r>
              <w:rPr>
                <w:rFonts w:ascii="Arial" w:cs="Arial" w:eastAsia="Arial" w:hAnsi="Arial"/>
                <w:sz w:val="29"/>
                <w:szCs w:val="29"/>
                <w:b w:val="1"/>
                <w:bCs w:val="1"/>
                <w:color w:val="282A32"/>
              </w:rPr>
              <w:t>Dividends paid</w:t>
            </w: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(34)</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(33)</w:t>
            </w:r>
          </w:p>
        </w:tc>
        <w:tc>
          <w:tcPr>
            <w:tcW w:w="0" w:type="dxa"/>
            <w:vAlign w:val="bottom"/>
          </w:tcPr>
          <w:p>
            <w:pPr>
              <w:spacing w:after="0"/>
              <w:rPr>
                <w:sz w:val="1"/>
                <w:szCs w:val="1"/>
                <w:color w:val="auto"/>
              </w:rPr>
            </w:pPr>
          </w:p>
        </w:tc>
      </w:tr>
      <w:tr>
        <w:trPr>
          <w:trHeight w:val="374"/>
        </w:trPr>
        <w:tc>
          <w:tcPr>
            <w:tcW w:w="5660" w:type="dxa"/>
            <w:vAlign w:val="bottom"/>
          </w:tcPr>
          <w:p>
            <w:pPr>
              <w:spacing w:after="0"/>
              <w:rPr>
                <w:sz w:val="20"/>
                <w:szCs w:val="20"/>
                <w:color w:val="auto"/>
              </w:rPr>
            </w:pPr>
            <w:r>
              <w:rPr>
                <w:rFonts w:ascii="Arial" w:cs="Arial" w:eastAsia="Arial" w:hAnsi="Arial"/>
                <w:sz w:val="29"/>
                <w:szCs w:val="29"/>
                <w:b w:val="1"/>
                <w:bCs w:val="1"/>
                <w:color w:val="282A32"/>
              </w:rPr>
              <w:t>Acquisitions of Businesses</w:t>
            </w:r>
          </w:p>
        </w:tc>
        <w:tc>
          <w:tcPr>
            <w:tcW w:w="1620" w:type="dxa"/>
            <w:vAlign w:val="bottom"/>
            <w:vMerge w:val="restart"/>
          </w:tcPr>
          <w:p>
            <w:pPr>
              <w:jc w:val="right"/>
              <w:spacing w:after="0"/>
              <w:rPr>
                <w:sz w:val="20"/>
                <w:szCs w:val="20"/>
                <w:color w:val="auto"/>
              </w:rPr>
            </w:pPr>
            <w:r>
              <w:rPr>
                <w:rFonts w:ascii="Arial" w:cs="Arial" w:eastAsia="Arial" w:hAnsi="Arial"/>
                <w:sz w:val="29"/>
                <w:szCs w:val="29"/>
                <w:b w:val="1"/>
                <w:bCs w:val="1"/>
                <w:color w:val="282A32"/>
              </w:rPr>
              <w:t>(46)</w:t>
            </w:r>
          </w:p>
        </w:tc>
        <w:tc>
          <w:tcPr>
            <w:tcW w:w="2000" w:type="dxa"/>
            <w:vAlign w:val="bottom"/>
            <w:gridSpan w:val="2"/>
            <w:vMerge w:val="restart"/>
          </w:tcPr>
          <w:p>
            <w:pPr>
              <w:jc w:val="right"/>
              <w:spacing w:after="0"/>
              <w:rPr>
                <w:sz w:val="20"/>
                <w:szCs w:val="20"/>
                <w:color w:val="auto"/>
              </w:rPr>
            </w:pPr>
            <w:r>
              <w:rPr>
                <w:rFonts w:ascii="Arial" w:cs="Arial" w:eastAsia="Arial" w:hAnsi="Arial"/>
                <w:sz w:val="29"/>
                <w:szCs w:val="29"/>
                <w:b w:val="1"/>
                <w:bCs w:val="1"/>
                <w:color w:val="282A32"/>
              </w:rPr>
              <w:t>(32)</w:t>
            </w:r>
          </w:p>
        </w:tc>
        <w:tc>
          <w:tcPr>
            <w:tcW w:w="0" w:type="dxa"/>
            <w:vAlign w:val="bottom"/>
          </w:tcPr>
          <w:p>
            <w:pPr>
              <w:spacing w:after="0"/>
              <w:rPr>
                <w:sz w:val="1"/>
                <w:szCs w:val="1"/>
                <w:color w:val="auto"/>
              </w:rPr>
            </w:pPr>
          </w:p>
        </w:tc>
      </w:tr>
      <w:tr>
        <w:trPr>
          <w:trHeight w:val="275"/>
        </w:trPr>
        <w:tc>
          <w:tcPr>
            <w:tcW w:w="5660" w:type="dxa"/>
            <w:vAlign w:val="bottom"/>
            <w:vMerge w:val="restart"/>
          </w:tcPr>
          <w:p>
            <w:pPr>
              <w:ind w:left="160"/>
              <w:spacing w:after="0"/>
              <w:rPr>
                <w:sz w:val="20"/>
                <w:szCs w:val="20"/>
                <w:color w:val="auto"/>
              </w:rPr>
            </w:pPr>
            <w:r>
              <w:rPr>
                <w:rFonts w:ascii="Arial" w:cs="Arial" w:eastAsia="Arial" w:hAnsi="Arial"/>
                <w:sz w:val="29"/>
                <w:szCs w:val="29"/>
                <w:b w:val="1"/>
                <w:bCs w:val="1"/>
                <w:color w:val="282A32"/>
              </w:rPr>
              <w:t>net of cash acquired</w:t>
            </w:r>
          </w:p>
        </w:tc>
        <w:tc>
          <w:tcPr>
            <w:tcW w:w="1620" w:type="dxa"/>
            <w:vAlign w:val="bottom"/>
            <w:vMerge w:val="continue"/>
          </w:tcPr>
          <w:p>
            <w:pPr>
              <w:spacing w:after="0"/>
              <w:rPr>
                <w:sz w:val="23"/>
                <w:szCs w:val="23"/>
                <w:color w:val="auto"/>
              </w:rPr>
            </w:pPr>
          </w:p>
        </w:tc>
        <w:tc>
          <w:tcPr>
            <w:tcW w:w="20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8"/>
        </w:trPr>
        <w:tc>
          <w:tcPr>
            <w:tcW w:w="5660" w:type="dxa"/>
            <w:vAlign w:val="bottom"/>
          </w:tcPr>
          <w:p>
            <w:pPr>
              <w:spacing w:after="0"/>
              <w:rPr>
                <w:sz w:val="20"/>
                <w:szCs w:val="20"/>
                <w:color w:val="auto"/>
              </w:rPr>
            </w:pPr>
            <w:r>
              <w:rPr>
                <w:rFonts w:ascii="Arial" w:cs="Arial" w:eastAsia="Arial" w:hAnsi="Arial"/>
                <w:sz w:val="29"/>
                <w:szCs w:val="29"/>
                <w:b w:val="1"/>
                <w:bCs w:val="1"/>
                <w:color w:val="282A32"/>
              </w:rPr>
              <w:t>Effect of Exchange Rate Changes</w:t>
            </w:r>
          </w:p>
        </w:tc>
        <w:tc>
          <w:tcPr>
            <w:tcW w:w="1620" w:type="dxa"/>
            <w:vAlign w:val="bottom"/>
          </w:tcPr>
          <w:p>
            <w:pPr>
              <w:jc w:val="right"/>
              <w:ind w:right="114"/>
              <w:spacing w:after="0"/>
              <w:rPr>
                <w:sz w:val="20"/>
                <w:szCs w:val="20"/>
                <w:color w:val="auto"/>
              </w:rPr>
            </w:pPr>
            <w:r>
              <w:rPr>
                <w:rFonts w:ascii="Arial" w:cs="Arial" w:eastAsia="Arial" w:hAnsi="Arial"/>
                <w:sz w:val="29"/>
                <w:szCs w:val="29"/>
                <w:b w:val="1"/>
                <w:bCs w:val="1"/>
                <w:color w:val="282A32"/>
              </w:rPr>
              <w:t>8</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(12)</w:t>
            </w:r>
          </w:p>
        </w:tc>
        <w:tc>
          <w:tcPr>
            <w:tcW w:w="0" w:type="dxa"/>
            <w:vAlign w:val="bottom"/>
          </w:tcPr>
          <w:p>
            <w:pPr>
              <w:spacing w:after="0"/>
              <w:rPr>
                <w:sz w:val="1"/>
                <w:szCs w:val="1"/>
                <w:color w:val="auto"/>
              </w:rPr>
            </w:pPr>
          </w:p>
        </w:tc>
      </w:tr>
      <w:tr>
        <w:trPr>
          <w:trHeight w:val="517"/>
        </w:trPr>
        <w:tc>
          <w:tcPr>
            <w:tcW w:w="5660" w:type="dxa"/>
            <w:vAlign w:val="bottom"/>
          </w:tcPr>
          <w:p>
            <w:pPr>
              <w:spacing w:after="0"/>
              <w:rPr>
                <w:sz w:val="20"/>
                <w:szCs w:val="20"/>
                <w:color w:val="auto"/>
              </w:rPr>
            </w:pPr>
            <w:r>
              <w:rPr>
                <w:rFonts w:ascii="Arial" w:cs="Arial" w:eastAsia="Arial" w:hAnsi="Arial"/>
                <w:sz w:val="29"/>
                <w:szCs w:val="29"/>
                <w:b w:val="1"/>
                <w:bCs w:val="1"/>
                <w:color w:val="282A32"/>
              </w:rPr>
              <w:t>Other</w:t>
            </w:r>
          </w:p>
        </w:tc>
        <w:tc>
          <w:tcPr>
            <w:tcW w:w="1620" w:type="dxa"/>
            <w:vAlign w:val="bottom"/>
          </w:tcPr>
          <w:p>
            <w:pPr>
              <w:jc w:val="right"/>
              <w:ind w:right="114"/>
              <w:spacing w:after="0"/>
              <w:rPr>
                <w:sz w:val="20"/>
                <w:szCs w:val="20"/>
                <w:color w:val="auto"/>
              </w:rPr>
            </w:pPr>
            <w:r>
              <w:rPr>
                <w:rFonts w:ascii="Arial" w:cs="Arial" w:eastAsia="Arial" w:hAnsi="Arial"/>
                <w:sz w:val="29"/>
                <w:szCs w:val="29"/>
                <w:b w:val="1"/>
                <w:bCs w:val="1"/>
                <w:color w:val="282A32"/>
              </w:rPr>
              <w:t>2</w:t>
            </w:r>
          </w:p>
        </w:tc>
        <w:tc>
          <w:tcPr>
            <w:tcW w:w="2000" w:type="dxa"/>
            <w:vAlign w:val="bottom"/>
            <w:gridSpan w:val="2"/>
          </w:tcPr>
          <w:p>
            <w:pPr>
              <w:jc w:val="right"/>
              <w:spacing w:after="0"/>
              <w:rPr>
                <w:sz w:val="20"/>
                <w:szCs w:val="20"/>
                <w:color w:val="auto"/>
              </w:rPr>
            </w:pPr>
            <w:r>
              <w:rPr>
                <w:rFonts w:ascii="Arial" w:cs="Arial" w:eastAsia="Arial" w:hAnsi="Arial"/>
                <w:sz w:val="29"/>
                <w:szCs w:val="29"/>
                <w:b w:val="1"/>
                <w:bCs w:val="1"/>
                <w:color w:val="282A32"/>
              </w:rPr>
              <w:t>24</w:t>
            </w:r>
          </w:p>
        </w:tc>
        <w:tc>
          <w:tcPr>
            <w:tcW w:w="0" w:type="dxa"/>
            <w:vAlign w:val="bottom"/>
          </w:tcPr>
          <w:p>
            <w:pPr>
              <w:spacing w:after="0"/>
              <w:rPr>
                <w:sz w:val="1"/>
                <w:szCs w:val="1"/>
                <w:color w:val="auto"/>
              </w:rPr>
            </w:pPr>
          </w:p>
        </w:tc>
      </w:tr>
      <w:tr>
        <w:trPr>
          <w:trHeight w:val="154"/>
        </w:trPr>
        <w:tc>
          <w:tcPr>
            <w:tcW w:w="5660" w:type="dxa"/>
            <w:vAlign w:val="bottom"/>
            <w:vMerge w:val="restart"/>
          </w:tcPr>
          <w:p>
            <w:pPr>
              <w:ind w:left="580"/>
              <w:spacing w:after="0"/>
              <w:rPr>
                <w:sz w:val="20"/>
                <w:szCs w:val="20"/>
                <w:color w:val="auto"/>
              </w:rPr>
            </w:pPr>
            <w:r>
              <w:rPr>
                <w:rFonts w:ascii="Arial" w:cs="Arial" w:eastAsia="Arial" w:hAnsi="Arial"/>
                <w:sz w:val="29"/>
                <w:szCs w:val="29"/>
                <w:b w:val="1"/>
                <w:bCs w:val="1"/>
                <w:color w:val="282A32"/>
              </w:rPr>
              <w:t>Change in Cash</w:t>
            </w:r>
          </w:p>
        </w:tc>
        <w:tc>
          <w:tcPr>
            <w:tcW w:w="1620" w:type="dxa"/>
            <w:vAlign w:val="bottom"/>
            <w:tcBorders>
              <w:bottom w:val="single" w:sz="8" w:color="282A32"/>
            </w:tcBorders>
          </w:tcPr>
          <w:p>
            <w:pPr>
              <w:spacing w:after="0"/>
              <w:rPr>
                <w:sz w:val="13"/>
                <w:szCs w:val="13"/>
                <w:color w:val="auto"/>
              </w:rPr>
            </w:pPr>
          </w:p>
        </w:tc>
        <w:tc>
          <w:tcPr>
            <w:tcW w:w="400" w:type="dxa"/>
            <w:vAlign w:val="bottom"/>
            <w:vMerge w:val="restart"/>
          </w:tcPr>
          <w:p>
            <w:pPr>
              <w:spacing w:after="0"/>
              <w:rPr>
                <w:sz w:val="13"/>
                <w:szCs w:val="13"/>
                <w:color w:val="auto"/>
              </w:rPr>
            </w:pPr>
          </w:p>
        </w:tc>
        <w:tc>
          <w:tcPr>
            <w:tcW w:w="1600" w:type="dxa"/>
            <w:vAlign w:val="bottom"/>
            <w:tcBorders>
              <w:bottom w:val="single" w:sz="8" w:color="282A32"/>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566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29"/>
                <w:szCs w:val="29"/>
                <w:b w:val="1"/>
                <w:bCs w:val="1"/>
                <w:color w:val="282A32"/>
              </w:rPr>
              <w:t>(136)</w:t>
            </w:r>
          </w:p>
        </w:tc>
        <w:tc>
          <w:tcPr>
            <w:tcW w:w="40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29"/>
                <w:szCs w:val="29"/>
                <w:b w:val="1"/>
                <w:bCs w:val="1"/>
                <w:color w:val="282A32"/>
              </w:rPr>
              <w:t>(209)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424815</wp:posOffset>
            </wp:positionV>
            <wp:extent cx="726694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820" w:top="520" w:right="579" w:bottom="1440" w:gutter="0" w:footer="0" w:header="0"/>
        </w:sectPr>
      </w:pPr>
    </w:p>
    <w:bookmarkStart w:id="27" w:name="page28"/>
    <w:bookmarkEnd w:id="27"/>
    <w:p>
      <w:pPr>
        <w:ind w:left="20"/>
        <w:spacing w:after="0"/>
        <w:tabs>
          <w:tab w:leader="none" w:pos="868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48"/>
          <w:szCs w:val="48"/>
          <w:color w:val="5F81AA"/>
        </w:rPr>
        <w:t>Balance Sheet Highlights</w:t>
      </w: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343537"/>
        </w:rPr>
        <w:t>Total Debt</w:t>
      </w:r>
    </w:p>
    <w:p>
      <w:pPr>
        <w:spacing w:after="0" w:line="56" w:lineRule="exact"/>
        <w:rPr>
          <w:sz w:val="20"/>
          <w:szCs w:val="20"/>
          <w:color w:val="auto"/>
        </w:rPr>
      </w:pPr>
    </w:p>
    <w:p>
      <w:pPr>
        <w:ind w:left="80"/>
        <w:spacing w:after="0"/>
        <w:rPr>
          <w:sz w:val="20"/>
          <w:szCs w:val="20"/>
          <w:color w:val="auto"/>
        </w:rPr>
      </w:pPr>
      <w:r>
        <w:rPr>
          <w:rFonts w:ascii="Arial" w:cs="Arial" w:eastAsia="Arial" w:hAnsi="Arial"/>
          <w:sz w:val="19"/>
          <w:szCs w:val="19"/>
          <w:color w:val="343537"/>
        </w:rPr>
        <w:t>($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343537"/>
        </w:rPr>
        <w:t>Total Debt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2424430</wp:posOffset>
            </wp:positionV>
            <wp:extent cx="726694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260"/>
          </w:cols>
          <w:pgMar w:left="800" w:top="520" w:right="839" w:bottom="1440" w:gutter="0" w:footer="0" w:header="0"/>
        </w:sectPr>
      </w:pPr>
    </w:p>
    <w:bookmarkStart w:id="28" w:name="page29"/>
    <w:bookmarkEnd w:id="28"/>
    <w:p>
      <w:pPr>
        <w:ind w:left="220"/>
        <w:spacing w:after="0"/>
        <w:tabs>
          <w:tab w:leader="none" w:pos="888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349" w:lineRule="exact"/>
        <w:rPr>
          <w:sz w:val="20"/>
          <w:szCs w:val="20"/>
          <w:color w:val="auto"/>
        </w:rPr>
      </w:pPr>
    </w:p>
    <w:p>
      <w:pPr>
        <w:ind w:left="280"/>
        <w:spacing w:after="0"/>
        <w:rPr>
          <w:sz w:val="20"/>
          <w:szCs w:val="20"/>
          <w:color w:val="auto"/>
        </w:rPr>
      </w:pPr>
      <w:r>
        <w:rPr>
          <w:rFonts w:ascii="Arial" w:cs="Arial" w:eastAsia="Arial" w:hAnsi="Arial"/>
          <w:sz w:val="48"/>
          <w:szCs w:val="48"/>
          <w:color w:val="5F81AA"/>
        </w:rPr>
        <w:t>Credit Facilities</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22"/>
          <w:szCs w:val="22"/>
          <w:color w:val="5F81AA"/>
        </w:rPr>
        <w:t>($ in millions)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Arial" w:cs="Arial" w:eastAsia="Arial" w:hAnsi="Arial"/>
                <w:sz w:val="22"/>
                <w:szCs w:val="22"/>
                <w:b w:val="1"/>
                <w:bCs w:val="1"/>
                <w:color w:val="7F7F7F"/>
                <w:w w:val="98"/>
              </w:rPr>
              <w:t>Total</w:t>
            </w:r>
          </w:p>
        </w:tc>
        <w:tc>
          <w:tcPr>
            <w:tcW w:w="30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7F7F7F"/>
              </w:rPr>
              <w:t>Remaining</w:t>
            </w: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22"/>
                <w:szCs w:val="22"/>
                <w:b w:val="1"/>
                <w:bCs w:val="1"/>
                <w:color w:val="7F7F7F"/>
              </w:rPr>
              <w:t>Interest</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7F7F7F"/>
              </w:rPr>
              <w:t>Maturity</w:t>
            </w:r>
          </w:p>
        </w:tc>
        <w:tc>
          <w:tcPr>
            <w:tcW w:w="1780" w:type="dxa"/>
            <w:vAlign w:val="bottom"/>
          </w:tcPr>
          <w:p>
            <w:pPr>
              <w:jc w:val="center"/>
              <w:spacing w:after="0"/>
              <w:rPr>
                <w:sz w:val="20"/>
                <w:szCs w:val="20"/>
                <w:color w:val="auto"/>
              </w:rPr>
            </w:pPr>
            <w:r>
              <w:rPr>
                <w:rFonts w:ascii="Arial" w:cs="Arial" w:eastAsia="Arial" w:hAnsi="Arial"/>
                <w:sz w:val="22"/>
                <w:szCs w:val="22"/>
                <w:b w:val="1"/>
                <w:bCs w:val="1"/>
                <w:color w:val="7F7F7F"/>
              </w:rPr>
              <w:t>Outstanding</w:t>
            </w:r>
          </w:p>
        </w:tc>
        <w:tc>
          <w:tcPr>
            <w:tcW w:w="300" w:type="dxa"/>
            <w:vAlign w:val="bottom"/>
          </w:tcPr>
          <w:p>
            <w:pPr>
              <w:spacing w:after="0"/>
              <w:rPr>
                <w:sz w:val="22"/>
                <w:szCs w:val="22"/>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22"/>
                <w:szCs w:val="22"/>
                <w:b w:val="1"/>
                <w:bCs w:val="1"/>
                <w:color w:val="7F7F7F"/>
                <w:w w:val="99"/>
              </w:rPr>
              <w:t>Available</w:t>
            </w:r>
          </w:p>
        </w:tc>
        <w:tc>
          <w:tcPr>
            <w:tcW w:w="0" w:type="dxa"/>
            <w:vAlign w:val="bottom"/>
          </w:tcPr>
          <w:p>
            <w:pPr>
              <w:spacing w:after="0"/>
              <w:rPr>
                <w:sz w:val="1"/>
                <w:szCs w:val="1"/>
                <w:color w:val="auto"/>
              </w:rPr>
            </w:pPr>
          </w:p>
        </w:tc>
      </w:tr>
      <w:tr>
        <w:trPr>
          <w:trHeight w:val="307"/>
        </w:trPr>
        <w:tc>
          <w:tcPr>
            <w:tcW w:w="3820" w:type="dxa"/>
            <w:vAlign w:val="bottom"/>
            <w:tcBorders>
              <w:bottom w:val="single" w:sz="8" w:color="282A32"/>
            </w:tcBorders>
          </w:tcPr>
          <w:p>
            <w:pPr>
              <w:spacing w:after="0"/>
              <w:rPr>
                <w:sz w:val="24"/>
                <w:szCs w:val="24"/>
                <w:color w:val="auto"/>
              </w:rPr>
            </w:pPr>
          </w:p>
        </w:tc>
        <w:tc>
          <w:tcPr>
            <w:tcW w:w="138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Rate</w:t>
            </w:r>
          </w:p>
        </w:tc>
        <w:tc>
          <w:tcPr>
            <w:tcW w:w="152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Date</w:t>
            </w:r>
          </w:p>
        </w:tc>
        <w:tc>
          <w:tcPr>
            <w:tcW w:w="1780" w:type="dxa"/>
            <w:vAlign w:val="bottom"/>
            <w:tcBorders>
              <w:bottom w:val="single" w:sz="8" w:color="282A32"/>
            </w:tcBorders>
          </w:tcPr>
          <w:p>
            <w:pPr>
              <w:jc w:val="center"/>
              <w:spacing w:after="0"/>
              <w:rPr>
                <w:sz w:val="20"/>
                <w:szCs w:val="20"/>
                <w:color w:val="auto"/>
              </w:rPr>
            </w:pPr>
            <w:r>
              <w:rPr>
                <w:rFonts w:ascii="Arial" w:cs="Arial" w:eastAsia="Arial" w:hAnsi="Arial"/>
                <w:sz w:val="22"/>
                <w:szCs w:val="22"/>
                <w:b w:val="1"/>
                <w:bCs w:val="1"/>
                <w:color w:val="7F7F7F"/>
              </w:rPr>
              <w:t>at 9/30/12</w:t>
            </w:r>
          </w:p>
        </w:tc>
        <w:tc>
          <w:tcPr>
            <w:tcW w:w="300" w:type="dxa"/>
            <w:vAlign w:val="bottom"/>
            <w:tcBorders>
              <w:bottom w:val="single" w:sz="8" w:color="282A32"/>
            </w:tcBorders>
          </w:tcPr>
          <w:p>
            <w:pPr>
              <w:spacing w:after="0"/>
              <w:rPr>
                <w:sz w:val="24"/>
                <w:szCs w:val="24"/>
                <w:color w:val="auto"/>
              </w:rPr>
            </w:pPr>
          </w:p>
        </w:tc>
        <w:tc>
          <w:tcPr>
            <w:tcW w:w="1940" w:type="dxa"/>
            <w:vAlign w:val="bottom"/>
            <w:tcBorders>
              <w:bottom w:val="single" w:sz="8" w:color="282A32"/>
            </w:tcBorders>
            <w:gridSpan w:val="2"/>
          </w:tcPr>
          <w:p>
            <w:pPr>
              <w:jc w:val="center"/>
              <w:ind w:right="300"/>
              <w:spacing w:after="0"/>
              <w:rPr>
                <w:sz w:val="20"/>
                <w:szCs w:val="20"/>
                <w:color w:val="auto"/>
              </w:rPr>
            </w:pPr>
            <w:r>
              <w:rPr>
                <w:rFonts w:ascii="Arial" w:cs="Arial" w:eastAsia="Arial" w:hAnsi="Arial"/>
                <w:sz w:val="22"/>
                <w:szCs w:val="22"/>
                <w:b w:val="1"/>
                <w:bCs w:val="1"/>
                <w:color w:val="7F7F7F"/>
              </w:rPr>
              <w:t>at 9/30/12</w:t>
            </w:r>
          </w:p>
        </w:tc>
        <w:tc>
          <w:tcPr>
            <w:tcW w:w="0" w:type="dxa"/>
            <w:vAlign w:val="bottom"/>
          </w:tcPr>
          <w:p>
            <w:pPr>
              <w:spacing w:after="0"/>
              <w:rPr>
                <w:sz w:val="1"/>
                <w:szCs w:val="1"/>
                <w:color w:val="auto"/>
              </w:rPr>
            </w:pPr>
          </w:p>
        </w:tc>
      </w:tr>
      <w:tr>
        <w:trPr>
          <w:trHeight w:val="297"/>
        </w:trPr>
        <w:tc>
          <w:tcPr>
            <w:tcW w:w="3820" w:type="dxa"/>
            <w:vAlign w:val="bottom"/>
          </w:tcPr>
          <w:p>
            <w:pPr>
              <w:ind w:left="120"/>
              <w:spacing w:after="0"/>
              <w:rPr>
                <w:sz w:val="20"/>
                <w:szCs w:val="20"/>
                <w:color w:val="auto"/>
              </w:rPr>
            </w:pPr>
            <w:r>
              <w:rPr>
                <w:rFonts w:ascii="Arial" w:cs="Arial" w:eastAsia="Arial" w:hAnsi="Arial"/>
                <w:sz w:val="22"/>
                <w:szCs w:val="22"/>
                <w:b w:val="1"/>
                <w:bCs w:val="1"/>
                <w:color w:val="343537"/>
              </w:rPr>
              <w:t>Euro Notes:</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3820" w:type="dxa"/>
            <w:vAlign w:val="bottom"/>
          </w:tcPr>
          <w:p>
            <w:pPr>
              <w:ind w:left="340"/>
              <w:spacing w:after="0"/>
              <w:rPr>
                <w:sz w:val="20"/>
                <w:szCs w:val="20"/>
                <w:color w:val="auto"/>
              </w:rPr>
            </w:pPr>
            <w:r>
              <w:rPr>
                <w:rFonts w:ascii="Arial" w:cs="Arial" w:eastAsia="Arial" w:hAnsi="Arial"/>
                <w:sz w:val="22"/>
                <w:szCs w:val="22"/>
                <w:b w:val="1"/>
                <w:bCs w:val="1"/>
                <w:color w:val="343537"/>
              </w:rPr>
              <w:t>- Euro 200M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4.86%</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343537"/>
              </w:rPr>
              <w:t>Jun 2013</w:t>
            </w:r>
          </w:p>
        </w:tc>
        <w:tc>
          <w:tcPr>
            <w:tcW w:w="1780" w:type="dxa"/>
            <w:vAlign w:val="bottom"/>
          </w:tcPr>
          <w:p>
            <w:pPr>
              <w:jc w:val="right"/>
              <w:ind w:right="28"/>
              <w:spacing w:after="0"/>
              <w:rPr>
                <w:sz w:val="20"/>
                <w:szCs w:val="20"/>
                <w:color w:val="auto"/>
              </w:rPr>
            </w:pPr>
            <w:r>
              <w:rPr>
                <w:rFonts w:ascii="Arial" w:cs="Arial" w:eastAsia="Arial" w:hAnsi="Arial"/>
                <w:sz w:val="22"/>
                <w:szCs w:val="22"/>
                <w:b w:val="1"/>
                <w:bCs w:val="1"/>
                <w:color w:val="343537"/>
              </w:rPr>
              <w:t>257</w:t>
            </w:r>
          </w:p>
        </w:tc>
        <w:tc>
          <w:tcPr>
            <w:tcW w:w="1940" w:type="dxa"/>
            <w:vAlign w:val="bottom"/>
            <w:gridSpan w:val="2"/>
          </w:tcPr>
          <w:p>
            <w:pPr>
              <w:jc w:val="right"/>
              <w:ind w:right="8"/>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3820" w:type="dxa"/>
            <w:vAlign w:val="bottom"/>
          </w:tcPr>
          <w:p>
            <w:pPr>
              <w:ind w:left="340"/>
              <w:spacing w:after="0"/>
              <w:rPr>
                <w:sz w:val="20"/>
                <w:szCs w:val="20"/>
                <w:color w:val="auto"/>
              </w:rPr>
            </w:pPr>
            <w:r>
              <w:rPr>
                <w:rFonts w:ascii="Arial" w:cs="Arial" w:eastAsia="Arial" w:hAnsi="Arial"/>
                <w:sz w:val="22"/>
                <w:szCs w:val="22"/>
                <w:b w:val="1"/>
                <w:bCs w:val="1"/>
                <w:color w:val="343537"/>
              </w:rPr>
              <w:t>- Euro 350M</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4.505%</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343537"/>
              </w:rPr>
              <w:t>Jun 2018</w:t>
            </w:r>
          </w:p>
        </w:tc>
        <w:tc>
          <w:tcPr>
            <w:tcW w:w="1780" w:type="dxa"/>
            <w:vAlign w:val="bottom"/>
          </w:tcPr>
          <w:p>
            <w:pPr>
              <w:jc w:val="right"/>
              <w:ind w:right="28"/>
              <w:spacing w:after="0"/>
              <w:rPr>
                <w:sz w:val="20"/>
                <w:szCs w:val="20"/>
                <w:color w:val="auto"/>
              </w:rPr>
            </w:pPr>
            <w:r>
              <w:rPr>
                <w:rFonts w:ascii="Arial" w:cs="Arial" w:eastAsia="Arial" w:hAnsi="Arial"/>
                <w:sz w:val="22"/>
                <w:szCs w:val="22"/>
                <w:b w:val="1"/>
                <w:bCs w:val="1"/>
                <w:color w:val="343537"/>
              </w:rPr>
              <w:t>450</w:t>
            </w:r>
          </w:p>
        </w:tc>
        <w:tc>
          <w:tcPr>
            <w:tcW w:w="1940" w:type="dxa"/>
            <w:vAlign w:val="bottom"/>
            <w:gridSpan w:val="2"/>
          </w:tcPr>
          <w:p>
            <w:pPr>
              <w:jc w:val="right"/>
              <w:ind w:right="8"/>
              <w:spacing w:after="0"/>
              <w:rPr>
                <w:sz w:val="20"/>
                <w:szCs w:val="20"/>
                <w:color w:val="auto"/>
              </w:rPr>
            </w:pPr>
            <w:r>
              <w:rPr>
                <w:rFonts w:ascii="Arial" w:cs="Arial" w:eastAsia="Arial" w:hAnsi="Arial"/>
                <w:sz w:val="22"/>
                <w:szCs w:val="22"/>
                <w:b w:val="1"/>
                <w:bCs w:val="1"/>
                <w:color w:val="343537"/>
              </w:rPr>
              <w:t>-</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3820" w:type="dxa"/>
            <w:vAlign w:val="bottom"/>
          </w:tcPr>
          <w:p>
            <w:pPr>
              <w:ind w:left="120"/>
              <w:spacing w:after="0"/>
              <w:rPr>
                <w:sz w:val="20"/>
                <w:szCs w:val="20"/>
                <w:color w:val="auto"/>
              </w:rPr>
            </w:pPr>
            <w:r>
              <w:rPr>
                <w:rFonts w:ascii="Arial" w:cs="Arial" w:eastAsia="Arial" w:hAnsi="Arial"/>
                <w:sz w:val="22"/>
                <w:szCs w:val="22"/>
                <w:b w:val="1"/>
                <w:bCs w:val="1"/>
                <w:color w:val="343537"/>
              </w:rPr>
              <w:t xml:space="preserve">Revolving Credit Agreement </w:t>
            </w:r>
            <w:r>
              <w:rPr>
                <w:rFonts w:ascii="Arial" w:cs="Arial" w:eastAsia="Arial" w:hAnsi="Arial"/>
                <w:sz w:val="14"/>
                <w:szCs w:val="14"/>
                <w:color w:val="343537"/>
              </w:rPr>
              <w:t>(1)</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rPr>
              <w:t>1.49%</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343537"/>
              </w:rPr>
              <w:t>Oct 2016</w:t>
            </w:r>
          </w:p>
        </w:tc>
        <w:tc>
          <w:tcPr>
            <w:tcW w:w="1780" w:type="dxa"/>
            <w:vAlign w:val="bottom"/>
          </w:tcPr>
          <w:p>
            <w:pPr>
              <w:jc w:val="right"/>
              <w:ind w:right="28"/>
              <w:spacing w:after="0"/>
              <w:rPr>
                <w:sz w:val="20"/>
                <w:szCs w:val="20"/>
                <w:color w:val="auto"/>
              </w:rPr>
            </w:pPr>
            <w:r>
              <w:rPr>
                <w:rFonts w:ascii="Arial" w:cs="Arial" w:eastAsia="Arial" w:hAnsi="Arial"/>
                <w:sz w:val="22"/>
                <w:szCs w:val="22"/>
                <w:b w:val="1"/>
                <w:bCs w:val="1"/>
                <w:color w:val="343537"/>
              </w:rPr>
              <w:t>-</w:t>
            </w:r>
          </w:p>
        </w:tc>
        <w:tc>
          <w:tcPr>
            <w:tcW w:w="1940" w:type="dxa"/>
            <w:vAlign w:val="bottom"/>
            <w:gridSpan w:val="2"/>
          </w:tcPr>
          <w:p>
            <w:pPr>
              <w:jc w:val="right"/>
              <w:ind w:right="8"/>
              <w:spacing w:after="0"/>
              <w:rPr>
                <w:sz w:val="20"/>
                <w:szCs w:val="20"/>
                <w:color w:val="auto"/>
              </w:rPr>
            </w:pPr>
            <w:r>
              <w:rPr>
                <w:rFonts w:ascii="Arial" w:cs="Arial" w:eastAsia="Arial" w:hAnsi="Arial"/>
                <w:sz w:val="22"/>
                <w:szCs w:val="22"/>
                <w:b w:val="1"/>
                <w:bCs w:val="1"/>
                <w:color w:val="343537"/>
              </w:rPr>
              <w:t>798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3820" w:type="dxa"/>
            <w:vAlign w:val="bottom"/>
          </w:tcPr>
          <w:p>
            <w:pPr>
              <w:ind w:left="120"/>
              <w:spacing w:after="0"/>
              <w:rPr>
                <w:sz w:val="20"/>
                <w:szCs w:val="20"/>
                <w:color w:val="auto"/>
              </w:rPr>
            </w:pPr>
            <w:r>
              <w:rPr>
                <w:rFonts w:ascii="Arial" w:cs="Arial" w:eastAsia="Arial" w:hAnsi="Arial"/>
                <w:sz w:val="22"/>
                <w:szCs w:val="22"/>
                <w:b w:val="1"/>
                <w:bCs w:val="1"/>
                <w:color w:val="343537"/>
              </w:rPr>
              <w:t xml:space="preserve">Uncommitted lines and Other </w:t>
            </w:r>
            <w:r>
              <w:rPr>
                <w:rFonts w:ascii="Arial" w:cs="Arial" w:eastAsia="Arial" w:hAnsi="Arial"/>
                <w:sz w:val="14"/>
                <w:szCs w:val="14"/>
                <w:color w:val="343537"/>
              </w:rPr>
              <w:t>(2)</w:t>
            </w:r>
          </w:p>
        </w:tc>
        <w:tc>
          <w:tcPr>
            <w:tcW w:w="138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343537"/>
                <w:w w:val="99"/>
              </w:rPr>
              <w:t>Various</w:t>
            </w:r>
          </w:p>
        </w:tc>
        <w:tc>
          <w:tcPr>
            <w:tcW w:w="1780" w:type="dxa"/>
            <w:vAlign w:val="bottom"/>
          </w:tcPr>
          <w:p>
            <w:pPr>
              <w:jc w:val="right"/>
              <w:ind w:right="28"/>
              <w:spacing w:after="0"/>
              <w:rPr>
                <w:sz w:val="20"/>
                <w:szCs w:val="20"/>
                <w:color w:val="auto"/>
              </w:rPr>
            </w:pPr>
            <w:r>
              <w:rPr>
                <w:rFonts w:ascii="Arial" w:cs="Arial" w:eastAsia="Arial" w:hAnsi="Arial"/>
                <w:sz w:val="22"/>
                <w:szCs w:val="22"/>
                <w:b w:val="1"/>
                <w:bCs w:val="1"/>
                <w:color w:val="343537"/>
              </w:rPr>
              <w:t>44</w:t>
            </w:r>
          </w:p>
        </w:tc>
        <w:tc>
          <w:tcPr>
            <w:tcW w:w="1940" w:type="dxa"/>
            <w:vAlign w:val="bottom"/>
            <w:gridSpan w:val="2"/>
          </w:tcPr>
          <w:p>
            <w:pPr>
              <w:jc w:val="right"/>
              <w:ind w:right="8"/>
              <w:spacing w:after="0"/>
              <w:rPr>
                <w:sz w:val="20"/>
                <w:szCs w:val="20"/>
                <w:color w:val="auto"/>
              </w:rPr>
            </w:pPr>
            <w:r>
              <w:rPr>
                <w:rFonts w:ascii="Arial" w:cs="Arial" w:eastAsia="Arial" w:hAnsi="Arial"/>
                <w:sz w:val="22"/>
                <w:szCs w:val="22"/>
                <w:b w:val="1"/>
                <w:bCs w:val="1"/>
                <w:color w:val="343537"/>
              </w:rPr>
              <w:t>337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20" w:type="dxa"/>
            <w:vAlign w:val="bottom"/>
            <w:vMerge w:val="restart"/>
          </w:tcPr>
          <w:p>
            <w:pPr>
              <w:ind w:left="120"/>
              <w:spacing w:after="0"/>
              <w:rPr>
                <w:sz w:val="20"/>
                <w:szCs w:val="20"/>
                <w:color w:val="auto"/>
              </w:rPr>
            </w:pPr>
            <w:r>
              <w:rPr>
                <w:rFonts w:ascii="Arial" w:cs="Arial" w:eastAsia="Arial" w:hAnsi="Arial"/>
                <w:sz w:val="22"/>
                <w:szCs w:val="22"/>
                <w:b w:val="1"/>
                <w:bCs w:val="1"/>
                <w:color w:val="343537"/>
              </w:rPr>
              <w:t>Total Debt</w:t>
            </w:r>
          </w:p>
        </w:tc>
        <w:tc>
          <w:tcPr>
            <w:tcW w:w="1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80" w:type="dxa"/>
            <w:vAlign w:val="bottom"/>
            <w:tcBorders>
              <w:bottom w:val="single" w:sz="8" w:color="282A32"/>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1640" w:type="dxa"/>
            <w:vAlign w:val="bottom"/>
            <w:tcBorders>
              <w:bottom w:val="single" w:sz="8" w:color="282A32"/>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8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jc w:val="right"/>
              <w:ind w:right="28"/>
              <w:spacing w:after="0"/>
              <w:rPr>
                <w:sz w:val="20"/>
                <w:szCs w:val="20"/>
                <w:color w:val="auto"/>
              </w:rPr>
            </w:pPr>
            <w:r>
              <w:rPr>
                <w:rFonts w:ascii="Arial" w:cs="Arial" w:eastAsia="Arial" w:hAnsi="Arial"/>
                <w:sz w:val="22"/>
                <w:szCs w:val="22"/>
                <w:b w:val="1"/>
                <w:bCs w:val="1"/>
                <w:color w:val="343537"/>
              </w:rPr>
              <w:t>751</w:t>
            </w:r>
          </w:p>
        </w:tc>
        <w:tc>
          <w:tcPr>
            <w:tcW w:w="300" w:type="dxa"/>
            <w:vAlign w:val="bottom"/>
            <w:vMerge w:val="continue"/>
          </w:tcPr>
          <w:p>
            <w:pPr>
              <w:spacing w:after="0"/>
              <w:rPr>
                <w:sz w:val="24"/>
                <w:szCs w:val="24"/>
                <w:color w:val="auto"/>
              </w:rPr>
            </w:pPr>
          </w:p>
        </w:tc>
        <w:tc>
          <w:tcPr>
            <w:tcW w:w="1640" w:type="dxa"/>
            <w:vAlign w:val="bottom"/>
          </w:tcPr>
          <w:p>
            <w:pPr>
              <w:jc w:val="right"/>
              <w:ind w:right="8"/>
              <w:spacing w:after="0"/>
              <w:rPr>
                <w:sz w:val="20"/>
                <w:szCs w:val="20"/>
                <w:color w:val="auto"/>
              </w:rPr>
            </w:pPr>
            <w:r>
              <w:rPr>
                <w:rFonts w:ascii="Arial" w:cs="Arial" w:eastAsia="Arial" w:hAnsi="Arial"/>
                <w:sz w:val="22"/>
                <w:szCs w:val="22"/>
                <w:b w:val="1"/>
                <w:bCs w:val="1"/>
                <w:color w:val="343537"/>
              </w:rPr>
              <w:t>1,135</w:t>
            </w: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80" w:type="dxa"/>
            <w:vAlign w:val="bottom"/>
            <w:tcBorders>
              <w:bottom w:val="single" w:sz="8" w:color="282A32"/>
            </w:tcBorders>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Borders>
              <w:bottom w:val="single" w:sz="8" w:color="282A32"/>
            </w:tcBorders>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540" w:hanging="235"/>
        <w:spacing w:after="0" w:line="255" w:lineRule="auto"/>
        <w:tabs>
          <w:tab w:leader="none" w:pos="580" w:val="left"/>
        </w:tabs>
        <w:numPr>
          <w:ilvl w:val="1"/>
          <w:numId w:val="7"/>
        </w:numPr>
        <w:rPr>
          <w:rFonts w:ascii="Arial" w:cs="Arial" w:eastAsia="Arial" w:hAnsi="Arial"/>
          <w:sz w:val="14"/>
          <w:szCs w:val="14"/>
          <w:color w:val="282A32"/>
        </w:rPr>
      </w:pPr>
      <w:r>
        <w:rPr>
          <w:rFonts w:ascii="Arial" w:cs="Arial" w:eastAsia="Arial" w:hAnsi="Arial"/>
          <w:sz w:val="14"/>
          <w:szCs w:val="14"/>
          <w:color w:val="282A32"/>
        </w:rPr>
        <w:t>The $800M agreement requires that we comply with a Leverage Ratio (Debt-to-EBITDA) of not greater than 3.5 to 1 and a Fixed Charge Coverage Ratio of not less than 1.5 to 1, in addition to other customary restrictive covenants. As defined in the agreement, we had a Debt-to-EBITDA ratio of 1.22 and a fixed charge coverage ratio of 2.97 as of September 30, 2012. As of September 30, 2012, there were $1.6M of standby letters of credit issued under the agreement.</w:t>
      </w:r>
    </w:p>
    <w:p>
      <w:pPr>
        <w:ind w:left="580" w:right="720" w:hanging="247"/>
        <w:spacing w:after="0" w:line="267" w:lineRule="auto"/>
        <w:tabs>
          <w:tab w:leader="none" w:pos="580" w:val="left"/>
        </w:tabs>
        <w:numPr>
          <w:ilvl w:val="0"/>
          <w:numId w:val="8"/>
        </w:numPr>
        <w:rPr>
          <w:rFonts w:ascii="Arial" w:cs="Arial" w:eastAsia="Arial" w:hAnsi="Arial"/>
          <w:sz w:val="14"/>
          <w:szCs w:val="14"/>
          <w:color w:val="282A32"/>
        </w:rPr>
      </w:pPr>
      <w:r>
        <w:rPr>
          <w:rFonts w:ascii="Arial" w:cs="Arial" w:eastAsia="Arial" w:hAnsi="Arial"/>
          <w:sz w:val="14"/>
          <w:szCs w:val="14"/>
          <w:color w:val="282A32"/>
        </w:rPr>
        <w:t>Represents subsidiary uncommitted lines of credit &amp; overdraft facilities, which total $381.0M. Total subsidiary borrowings are limited to $300M due to restrictions in our Revolving Credit Facility, with the exception of Q3 when subsidiary borrowings are limited to $600M.</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462915</wp:posOffset>
            </wp:positionV>
            <wp:extent cx="726694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40"/>
          </w:cols>
          <w:pgMar w:left="600" w:top="520" w:right="559" w:bottom="1440" w:gutter="0" w:footer="0" w:header="0"/>
        </w:sectPr>
      </w:pPr>
    </w:p>
    <w:bookmarkStart w:id="29" w:name="page30"/>
    <w:bookmarkEnd w:id="29"/>
    <w:p>
      <w:pPr>
        <w:ind w:left="120"/>
        <w:spacing w:after="0"/>
        <w:tabs>
          <w:tab w:leader="none" w:pos="878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spacing w:after="0"/>
        <w:rPr>
          <w:sz w:val="20"/>
          <w:szCs w:val="20"/>
          <w:color w:val="auto"/>
        </w:rPr>
      </w:pPr>
      <w:r>
        <w:rPr>
          <w:rFonts w:ascii="Arial" w:cs="Arial" w:eastAsia="Arial" w:hAnsi="Arial"/>
          <w:sz w:val="51"/>
          <w:szCs w:val="51"/>
          <w:color w:val="5F81AA"/>
        </w:rPr>
        <w:t>Fourth Quarter Outlook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492"/>
        </w:trPr>
        <w:tc>
          <w:tcPr>
            <w:tcW w:w="1880" w:type="dxa"/>
            <w:vAlign w:val="bottom"/>
            <w:tcBorders>
              <w:top w:val="single" w:sz="8" w:color="466EA5"/>
            </w:tcBorders>
          </w:tcPr>
          <w:p>
            <w:pPr>
              <w:ind w:left="100"/>
              <w:spacing w:after="0"/>
              <w:rPr>
                <w:sz w:val="20"/>
                <w:szCs w:val="20"/>
                <w:color w:val="auto"/>
              </w:rPr>
            </w:pPr>
            <w:r>
              <w:rPr>
                <w:rFonts w:ascii="Arial" w:cs="Arial" w:eastAsia="Arial" w:hAnsi="Arial"/>
                <w:sz w:val="32"/>
                <w:szCs w:val="32"/>
                <w:b w:val="1"/>
                <w:bCs w:val="1"/>
                <w:color w:val="282A32"/>
              </w:rPr>
              <w:t>Revenue</w:t>
            </w:r>
          </w:p>
        </w:tc>
        <w:tc>
          <w:tcPr>
            <w:tcW w:w="2980" w:type="dxa"/>
            <w:vAlign w:val="bottom"/>
            <w:tcBorders>
              <w:top w:val="single" w:sz="8" w:color="466EA5"/>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Total</w:t>
            </w:r>
          </w:p>
        </w:tc>
        <w:tc>
          <w:tcPr>
            <w:tcW w:w="5880" w:type="dxa"/>
            <w:vAlign w:val="bottom"/>
            <w:tcBorders>
              <w:top w:val="single" w:sz="8" w:color="466EA5"/>
            </w:tcBorders>
          </w:tcPr>
          <w:p>
            <w:pPr>
              <w:ind w:left="220"/>
              <w:spacing w:after="0"/>
              <w:rPr>
                <w:sz w:val="20"/>
                <w:szCs w:val="20"/>
                <w:color w:val="auto"/>
              </w:rPr>
            </w:pPr>
            <w:r>
              <w:rPr>
                <w:rFonts w:ascii="Arial" w:cs="Arial" w:eastAsia="Arial" w:hAnsi="Arial"/>
                <w:sz w:val="29"/>
                <w:szCs w:val="29"/>
                <w:color w:val="282A32"/>
              </w:rPr>
              <w:t>Down 5-7% (Down 3-5% CC)</w:t>
            </w:r>
          </w:p>
        </w:tc>
      </w:tr>
      <w:tr>
        <w:trPr>
          <w:trHeight w:val="72"/>
        </w:trPr>
        <w:tc>
          <w:tcPr>
            <w:tcW w:w="1880" w:type="dxa"/>
            <w:vAlign w:val="bottom"/>
          </w:tcPr>
          <w:p>
            <w:pPr>
              <w:spacing w:after="0"/>
              <w:rPr>
                <w:sz w:val="6"/>
                <w:szCs w:val="6"/>
                <w:color w:val="auto"/>
              </w:rPr>
            </w:pPr>
          </w:p>
        </w:tc>
        <w:tc>
          <w:tcPr>
            <w:tcW w:w="2980" w:type="dxa"/>
            <w:vAlign w:val="bottom"/>
            <w:tcBorders>
              <w:bottom w:val="single" w:sz="8" w:color="466EA5"/>
              <w:right w:val="single" w:sz="8" w:color="466EA5"/>
            </w:tcBorders>
          </w:tcPr>
          <w:p>
            <w:pPr>
              <w:spacing w:after="0"/>
              <w:rPr>
                <w:sz w:val="6"/>
                <w:szCs w:val="6"/>
                <w:color w:val="auto"/>
              </w:rPr>
            </w:pPr>
          </w:p>
        </w:tc>
        <w:tc>
          <w:tcPr>
            <w:tcW w:w="5880" w:type="dxa"/>
            <w:vAlign w:val="bottom"/>
            <w:tcBorders>
              <w:bottom w:val="single" w:sz="8" w:color="466EA5"/>
            </w:tcBorders>
          </w:tcPr>
          <w:p>
            <w:pPr>
              <w:spacing w:after="0"/>
              <w:rPr>
                <w:sz w:val="6"/>
                <w:szCs w:val="6"/>
                <w:color w:val="auto"/>
              </w:rPr>
            </w:pPr>
          </w:p>
        </w:tc>
      </w:tr>
      <w:tr>
        <w:trPr>
          <w:trHeight w:val="462"/>
        </w:trPr>
        <w:tc>
          <w:tcPr>
            <w:tcW w:w="1880" w:type="dxa"/>
            <w:vAlign w:val="bottom"/>
          </w:tcPr>
          <w:p>
            <w:pPr>
              <w:spacing w:after="0"/>
              <w:rPr>
                <w:sz w:val="24"/>
                <w:szCs w:val="24"/>
                <w:color w:val="auto"/>
              </w:rPr>
            </w:pPr>
          </w:p>
        </w:tc>
        <w:tc>
          <w:tcPr>
            <w:tcW w:w="298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Americas</w:t>
            </w:r>
          </w:p>
        </w:tc>
        <w:tc>
          <w:tcPr>
            <w:tcW w:w="5880" w:type="dxa"/>
            <w:vAlign w:val="bottom"/>
          </w:tcPr>
          <w:p>
            <w:pPr>
              <w:ind w:left="220"/>
              <w:spacing w:after="0"/>
              <w:rPr>
                <w:sz w:val="20"/>
                <w:szCs w:val="20"/>
                <w:color w:val="auto"/>
              </w:rPr>
            </w:pPr>
            <w:r>
              <w:rPr>
                <w:rFonts w:ascii="Arial" w:cs="Arial" w:eastAsia="Arial" w:hAnsi="Arial"/>
                <w:sz w:val="29"/>
                <w:szCs w:val="29"/>
                <w:color w:val="282A32"/>
              </w:rPr>
              <w:t>Down 1-3% (Down 1-3% CC)</w:t>
            </w:r>
          </w:p>
        </w:tc>
      </w:tr>
      <w:tr>
        <w:trPr>
          <w:trHeight w:val="94"/>
        </w:trPr>
        <w:tc>
          <w:tcPr>
            <w:tcW w:w="1880" w:type="dxa"/>
            <w:vAlign w:val="bottom"/>
          </w:tcPr>
          <w:p>
            <w:pPr>
              <w:spacing w:after="0"/>
              <w:rPr>
                <w:sz w:val="8"/>
                <w:szCs w:val="8"/>
                <w:color w:val="auto"/>
              </w:rPr>
            </w:pPr>
          </w:p>
        </w:tc>
        <w:tc>
          <w:tcPr>
            <w:tcW w:w="2980" w:type="dxa"/>
            <w:vAlign w:val="bottom"/>
            <w:tcBorders>
              <w:bottom w:val="single" w:sz="8" w:color="466EA5"/>
              <w:right w:val="single" w:sz="8" w:color="466EA5"/>
            </w:tcBorders>
          </w:tcPr>
          <w:p>
            <w:pPr>
              <w:spacing w:after="0"/>
              <w:rPr>
                <w:sz w:val="8"/>
                <w:szCs w:val="8"/>
                <w:color w:val="auto"/>
              </w:rPr>
            </w:pPr>
          </w:p>
        </w:tc>
        <w:tc>
          <w:tcPr>
            <w:tcW w:w="5880" w:type="dxa"/>
            <w:vAlign w:val="bottom"/>
            <w:tcBorders>
              <w:bottom w:val="single" w:sz="8" w:color="466EA5"/>
            </w:tcBorders>
          </w:tcPr>
          <w:p>
            <w:pPr>
              <w:spacing w:after="0"/>
              <w:rPr>
                <w:sz w:val="8"/>
                <w:szCs w:val="8"/>
                <w:color w:val="auto"/>
              </w:rPr>
            </w:pPr>
          </w:p>
        </w:tc>
      </w:tr>
      <w:tr>
        <w:trPr>
          <w:trHeight w:val="462"/>
        </w:trPr>
        <w:tc>
          <w:tcPr>
            <w:tcW w:w="1880" w:type="dxa"/>
            <w:vAlign w:val="bottom"/>
          </w:tcPr>
          <w:p>
            <w:pPr>
              <w:spacing w:after="0"/>
              <w:rPr>
                <w:sz w:val="24"/>
                <w:szCs w:val="24"/>
                <w:color w:val="auto"/>
              </w:rPr>
            </w:pPr>
          </w:p>
        </w:tc>
        <w:tc>
          <w:tcPr>
            <w:tcW w:w="298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Southern Europe</w:t>
            </w:r>
          </w:p>
        </w:tc>
        <w:tc>
          <w:tcPr>
            <w:tcW w:w="5880" w:type="dxa"/>
            <w:vAlign w:val="bottom"/>
          </w:tcPr>
          <w:p>
            <w:pPr>
              <w:ind w:left="220"/>
              <w:spacing w:after="0"/>
              <w:rPr>
                <w:sz w:val="20"/>
                <w:szCs w:val="20"/>
                <w:color w:val="auto"/>
              </w:rPr>
            </w:pPr>
            <w:r>
              <w:rPr>
                <w:rFonts w:ascii="Arial" w:cs="Arial" w:eastAsia="Arial" w:hAnsi="Arial"/>
                <w:sz w:val="29"/>
                <w:szCs w:val="29"/>
                <w:color w:val="282A32"/>
              </w:rPr>
              <w:t>Down 10-12% (Down 6-8% CC)</w:t>
            </w:r>
          </w:p>
        </w:tc>
      </w:tr>
      <w:tr>
        <w:trPr>
          <w:trHeight w:val="94"/>
        </w:trPr>
        <w:tc>
          <w:tcPr>
            <w:tcW w:w="1880" w:type="dxa"/>
            <w:vAlign w:val="bottom"/>
          </w:tcPr>
          <w:p>
            <w:pPr>
              <w:spacing w:after="0"/>
              <w:rPr>
                <w:sz w:val="8"/>
                <w:szCs w:val="8"/>
                <w:color w:val="auto"/>
              </w:rPr>
            </w:pPr>
          </w:p>
        </w:tc>
        <w:tc>
          <w:tcPr>
            <w:tcW w:w="2980" w:type="dxa"/>
            <w:vAlign w:val="bottom"/>
            <w:tcBorders>
              <w:bottom w:val="single" w:sz="8" w:color="466EA5"/>
              <w:right w:val="single" w:sz="8" w:color="466EA5"/>
            </w:tcBorders>
          </w:tcPr>
          <w:p>
            <w:pPr>
              <w:spacing w:after="0"/>
              <w:rPr>
                <w:sz w:val="8"/>
                <w:szCs w:val="8"/>
                <w:color w:val="auto"/>
              </w:rPr>
            </w:pPr>
          </w:p>
        </w:tc>
        <w:tc>
          <w:tcPr>
            <w:tcW w:w="5880" w:type="dxa"/>
            <w:vAlign w:val="bottom"/>
            <w:tcBorders>
              <w:bottom w:val="single" w:sz="8" w:color="466EA5"/>
            </w:tcBorders>
          </w:tcPr>
          <w:p>
            <w:pPr>
              <w:spacing w:after="0"/>
              <w:rPr>
                <w:sz w:val="8"/>
                <w:szCs w:val="8"/>
                <w:color w:val="auto"/>
              </w:rPr>
            </w:pPr>
          </w:p>
        </w:tc>
      </w:tr>
      <w:tr>
        <w:trPr>
          <w:trHeight w:val="462"/>
        </w:trPr>
        <w:tc>
          <w:tcPr>
            <w:tcW w:w="1880" w:type="dxa"/>
            <w:vAlign w:val="bottom"/>
          </w:tcPr>
          <w:p>
            <w:pPr>
              <w:spacing w:after="0"/>
              <w:rPr>
                <w:sz w:val="24"/>
                <w:szCs w:val="24"/>
                <w:color w:val="auto"/>
              </w:rPr>
            </w:pPr>
          </w:p>
        </w:tc>
        <w:tc>
          <w:tcPr>
            <w:tcW w:w="298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Northern Europe</w:t>
            </w:r>
          </w:p>
        </w:tc>
        <w:tc>
          <w:tcPr>
            <w:tcW w:w="5880" w:type="dxa"/>
            <w:vAlign w:val="bottom"/>
          </w:tcPr>
          <w:p>
            <w:pPr>
              <w:ind w:left="220"/>
              <w:spacing w:after="0"/>
              <w:rPr>
                <w:sz w:val="20"/>
                <w:szCs w:val="20"/>
                <w:color w:val="auto"/>
              </w:rPr>
            </w:pPr>
            <w:r>
              <w:rPr>
                <w:rFonts w:ascii="Arial" w:cs="Arial" w:eastAsia="Arial" w:hAnsi="Arial"/>
                <w:sz w:val="29"/>
                <w:szCs w:val="29"/>
                <w:color w:val="282A32"/>
              </w:rPr>
              <w:t>Down 5-7% (Down 4-6% CC)</w:t>
            </w:r>
          </w:p>
        </w:tc>
      </w:tr>
      <w:tr>
        <w:trPr>
          <w:trHeight w:val="94"/>
        </w:trPr>
        <w:tc>
          <w:tcPr>
            <w:tcW w:w="1880" w:type="dxa"/>
            <w:vAlign w:val="bottom"/>
          </w:tcPr>
          <w:p>
            <w:pPr>
              <w:spacing w:after="0"/>
              <w:rPr>
                <w:sz w:val="8"/>
                <w:szCs w:val="8"/>
                <w:color w:val="auto"/>
              </w:rPr>
            </w:pPr>
          </w:p>
        </w:tc>
        <w:tc>
          <w:tcPr>
            <w:tcW w:w="2980" w:type="dxa"/>
            <w:vAlign w:val="bottom"/>
            <w:tcBorders>
              <w:bottom w:val="single" w:sz="8" w:color="466EA5"/>
              <w:right w:val="single" w:sz="8" w:color="466EA5"/>
            </w:tcBorders>
          </w:tcPr>
          <w:p>
            <w:pPr>
              <w:spacing w:after="0"/>
              <w:rPr>
                <w:sz w:val="8"/>
                <w:szCs w:val="8"/>
                <w:color w:val="auto"/>
              </w:rPr>
            </w:pPr>
          </w:p>
        </w:tc>
        <w:tc>
          <w:tcPr>
            <w:tcW w:w="5880" w:type="dxa"/>
            <w:vAlign w:val="bottom"/>
            <w:tcBorders>
              <w:bottom w:val="single" w:sz="8" w:color="466EA5"/>
            </w:tcBorders>
          </w:tcPr>
          <w:p>
            <w:pPr>
              <w:spacing w:after="0"/>
              <w:rPr>
                <w:sz w:val="8"/>
                <w:szCs w:val="8"/>
                <w:color w:val="auto"/>
              </w:rPr>
            </w:pPr>
          </w:p>
        </w:tc>
      </w:tr>
      <w:tr>
        <w:trPr>
          <w:trHeight w:val="462"/>
        </w:trPr>
        <w:tc>
          <w:tcPr>
            <w:tcW w:w="1880" w:type="dxa"/>
            <w:vAlign w:val="bottom"/>
          </w:tcPr>
          <w:p>
            <w:pPr>
              <w:spacing w:after="0"/>
              <w:rPr>
                <w:sz w:val="24"/>
                <w:szCs w:val="24"/>
                <w:color w:val="auto"/>
              </w:rPr>
            </w:pPr>
          </w:p>
        </w:tc>
        <w:tc>
          <w:tcPr>
            <w:tcW w:w="298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APME</w:t>
            </w:r>
          </w:p>
        </w:tc>
        <w:tc>
          <w:tcPr>
            <w:tcW w:w="5880" w:type="dxa"/>
            <w:vAlign w:val="bottom"/>
          </w:tcPr>
          <w:p>
            <w:pPr>
              <w:ind w:left="220"/>
              <w:spacing w:after="0"/>
              <w:rPr>
                <w:sz w:val="20"/>
                <w:szCs w:val="20"/>
                <w:color w:val="auto"/>
              </w:rPr>
            </w:pPr>
            <w:r>
              <w:rPr>
                <w:rFonts w:ascii="Arial" w:cs="Arial" w:eastAsia="Arial" w:hAnsi="Arial"/>
                <w:sz w:val="29"/>
                <w:szCs w:val="29"/>
                <w:color w:val="282A32"/>
              </w:rPr>
              <w:t>Up 0-2% (Up 0-2% CC)</w:t>
            </w:r>
          </w:p>
        </w:tc>
      </w:tr>
      <w:tr>
        <w:trPr>
          <w:trHeight w:val="94"/>
        </w:trPr>
        <w:tc>
          <w:tcPr>
            <w:tcW w:w="1880" w:type="dxa"/>
            <w:vAlign w:val="bottom"/>
          </w:tcPr>
          <w:p>
            <w:pPr>
              <w:spacing w:after="0"/>
              <w:rPr>
                <w:sz w:val="8"/>
                <w:szCs w:val="8"/>
                <w:color w:val="auto"/>
              </w:rPr>
            </w:pPr>
          </w:p>
        </w:tc>
        <w:tc>
          <w:tcPr>
            <w:tcW w:w="2980" w:type="dxa"/>
            <w:vAlign w:val="bottom"/>
            <w:tcBorders>
              <w:bottom w:val="single" w:sz="8" w:color="466EA5"/>
              <w:right w:val="single" w:sz="8" w:color="466EA5"/>
            </w:tcBorders>
          </w:tcPr>
          <w:p>
            <w:pPr>
              <w:spacing w:after="0"/>
              <w:rPr>
                <w:sz w:val="8"/>
                <w:szCs w:val="8"/>
                <w:color w:val="auto"/>
              </w:rPr>
            </w:pPr>
          </w:p>
        </w:tc>
        <w:tc>
          <w:tcPr>
            <w:tcW w:w="5880" w:type="dxa"/>
            <w:vAlign w:val="bottom"/>
            <w:tcBorders>
              <w:bottom w:val="single" w:sz="8" w:color="466EA5"/>
            </w:tcBorders>
          </w:tcPr>
          <w:p>
            <w:pPr>
              <w:spacing w:after="0"/>
              <w:rPr>
                <w:sz w:val="8"/>
                <w:szCs w:val="8"/>
                <w:color w:val="auto"/>
              </w:rPr>
            </w:pPr>
          </w:p>
        </w:tc>
      </w:tr>
      <w:tr>
        <w:trPr>
          <w:trHeight w:val="450"/>
        </w:trPr>
        <w:tc>
          <w:tcPr>
            <w:tcW w:w="1880" w:type="dxa"/>
            <w:vAlign w:val="bottom"/>
          </w:tcPr>
          <w:p>
            <w:pPr>
              <w:spacing w:after="0"/>
              <w:rPr>
                <w:sz w:val="24"/>
                <w:szCs w:val="24"/>
                <w:color w:val="auto"/>
              </w:rPr>
            </w:pPr>
          </w:p>
        </w:tc>
        <w:tc>
          <w:tcPr>
            <w:tcW w:w="2980" w:type="dxa"/>
            <w:vAlign w:val="bottom"/>
            <w:tcBorders>
              <w:right w:val="single" w:sz="8" w:color="466EA5"/>
            </w:tcBorders>
          </w:tcPr>
          <w:p>
            <w:pPr>
              <w:jc w:val="right"/>
              <w:spacing w:after="0"/>
              <w:rPr>
                <w:sz w:val="20"/>
                <w:szCs w:val="20"/>
                <w:color w:val="auto"/>
              </w:rPr>
            </w:pPr>
            <w:r>
              <w:rPr>
                <w:rFonts w:ascii="Arial" w:cs="Arial" w:eastAsia="Arial" w:hAnsi="Arial"/>
                <w:sz w:val="29"/>
                <w:szCs w:val="29"/>
                <w:b w:val="1"/>
                <w:bCs w:val="1"/>
                <w:color w:val="282A32"/>
              </w:rPr>
              <w:t>Right Management</w:t>
            </w:r>
          </w:p>
        </w:tc>
        <w:tc>
          <w:tcPr>
            <w:tcW w:w="5880" w:type="dxa"/>
            <w:vAlign w:val="bottom"/>
          </w:tcPr>
          <w:p>
            <w:pPr>
              <w:ind w:left="220"/>
              <w:spacing w:after="0"/>
              <w:rPr>
                <w:sz w:val="20"/>
                <w:szCs w:val="20"/>
                <w:color w:val="auto"/>
              </w:rPr>
            </w:pPr>
            <w:r>
              <w:rPr>
                <w:rFonts w:ascii="Arial" w:cs="Arial" w:eastAsia="Arial" w:hAnsi="Arial"/>
                <w:sz w:val="29"/>
                <w:szCs w:val="29"/>
                <w:color w:val="282A32"/>
              </w:rPr>
              <w:t>Up 6-8% (Up 6-8% CC)</w:t>
            </w:r>
          </w:p>
        </w:tc>
      </w:tr>
      <w:tr>
        <w:trPr>
          <w:trHeight w:val="98"/>
        </w:trPr>
        <w:tc>
          <w:tcPr>
            <w:tcW w:w="4860" w:type="dxa"/>
            <w:vAlign w:val="bottom"/>
            <w:tcBorders>
              <w:bottom w:val="single" w:sz="8" w:color="466EA5"/>
              <w:right w:val="single" w:sz="8" w:color="466EA5"/>
            </w:tcBorders>
            <w:gridSpan w:val="2"/>
          </w:tcPr>
          <w:p>
            <w:pPr>
              <w:spacing w:after="0"/>
              <w:rPr>
                <w:sz w:val="8"/>
                <w:szCs w:val="8"/>
                <w:color w:val="auto"/>
              </w:rPr>
            </w:pPr>
          </w:p>
        </w:tc>
        <w:tc>
          <w:tcPr>
            <w:tcW w:w="5880" w:type="dxa"/>
            <w:vAlign w:val="bottom"/>
            <w:tcBorders>
              <w:bottom w:val="single" w:sz="8" w:color="466EA5"/>
            </w:tcBorders>
          </w:tcPr>
          <w:p>
            <w:pPr>
              <w:spacing w:after="0"/>
              <w:rPr>
                <w:sz w:val="8"/>
                <w:szCs w:val="8"/>
                <w:color w:val="auto"/>
              </w:rPr>
            </w:pPr>
          </w:p>
        </w:tc>
      </w:tr>
      <w:tr>
        <w:trPr>
          <w:trHeight w:val="468"/>
        </w:trPr>
        <w:tc>
          <w:tcPr>
            <w:tcW w:w="4860" w:type="dxa"/>
            <w:vAlign w:val="bottom"/>
            <w:tcBorders>
              <w:right w:val="single" w:sz="8" w:color="466EA5"/>
            </w:tcBorders>
            <w:gridSpan w:val="2"/>
          </w:tcPr>
          <w:p>
            <w:pPr>
              <w:ind w:left="100"/>
              <w:spacing w:after="0"/>
              <w:rPr>
                <w:sz w:val="20"/>
                <w:szCs w:val="20"/>
                <w:color w:val="auto"/>
              </w:rPr>
            </w:pPr>
            <w:r>
              <w:rPr>
                <w:rFonts w:ascii="Arial" w:cs="Arial" w:eastAsia="Arial" w:hAnsi="Arial"/>
                <w:sz w:val="32"/>
                <w:szCs w:val="32"/>
                <w:b w:val="1"/>
                <w:bCs w:val="1"/>
                <w:color w:val="282A32"/>
              </w:rPr>
              <w:t>Gross Profit Margin</w:t>
            </w:r>
          </w:p>
        </w:tc>
        <w:tc>
          <w:tcPr>
            <w:tcW w:w="5880" w:type="dxa"/>
            <w:vAlign w:val="bottom"/>
          </w:tcPr>
          <w:p>
            <w:pPr>
              <w:ind w:left="220"/>
              <w:spacing w:after="0"/>
              <w:rPr>
                <w:sz w:val="20"/>
                <w:szCs w:val="20"/>
                <w:color w:val="auto"/>
              </w:rPr>
            </w:pPr>
            <w:r>
              <w:rPr>
                <w:rFonts w:ascii="Arial" w:cs="Arial" w:eastAsia="Arial" w:hAnsi="Arial"/>
                <w:sz w:val="29"/>
                <w:szCs w:val="29"/>
                <w:color w:val="282A32"/>
              </w:rPr>
              <w:t>16.7 - 16.9%</w:t>
            </w:r>
          </w:p>
        </w:tc>
      </w:tr>
      <w:tr>
        <w:trPr>
          <w:trHeight w:val="88"/>
        </w:trPr>
        <w:tc>
          <w:tcPr>
            <w:tcW w:w="4860" w:type="dxa"/>
            <w:vAlign w:val="bottom"/>
            <w:tcBorders>
              <w:bottom w:val="single" w:sz="8" w:color="466EA5"/>
              <w:right w:val="single" w:sz="8" w:color="466EA5"/>
            </w:tcBorders>
            <w:gridSpan w:val="2"/>
          </w:tcPr>
          <w:p>
            <w:pPr>
              <w:spacing w:after="0"/>
              <w:rPr>
                <w:sz w:val="7"/>
                <w:szCs w:val="7"/>
                <w:color w:val="auto"/>
              </w:rPr>
            </w:pPr>
          </w:p>
        </w:tc>
        <w:tc>
          <w:tcPr>
            <w:tcW w:w="5880" w:type="dxa"/>
            <w:vAlign w:val="bottom"/>
            <w:tcBorders>
              <w:bottom w:val="single" w:sz="8" w:color="466EA5"/>
            </w:tcBorders>
          </w:tcPr>
          <w:p>
            <w:pPr>
              <w:spacing w:after="0"/>
              <w:rPr>
                <w:sz w:val="7"/>
                <w:szCs w:val="7"/>
                <w:color w:val="auto"/>
              </w:rPr>
            </w:pPr>
          </w:p>
        </w:tc>
      </w:tr>
      <w:tr>
        <w:trPr>
          <w:trHeight w:val="468"/>
        </w:trPr>
        <w:tc>
          <w:tcPr>
            <w:tcW w:w="4860" w:type="dxa"/>
            <w:vAlign w:val="bottom"/>
            <w:tcBorders>
              <w:right w:val="single" w:sz="8" w:color="466EA5"/>
            </w:tcBorders>
            <w:gridSpan w:val="2"/>
          </w:tcPr>
          <w:p>
            <w:pPr>
              <w:ind w:left="100"/>
              <w:spacing w:after="0"/>
              <w:rPr>
                <w:sz w:val="20"/>
                <w:szCs w:val="20"/>
                <w:color w:val="auto"/>
              </w:rPr>
            </w:pPr>
            <w:r>
              <w:rPr>
                <w:rFonts w:ascii="Arial" w:cs="Arial" w:eastAsia="Arial" w:hAnsi="Arial"/>
                <w:sz w:val="32"/>
                <w:szCs w:val="32"/>
                <w:b w:val="1"/>
                <w:bCs w:val="1"/>
                <w:color w:val="282A32"/>
              </w:rPr>
              <w:t>Operating Profit Margin</w:t>
            </w:r>
          </w:p>
        </w:tc>
        <w:tc>
          <w:tcPr>
            <w:tcW w:w="5880" w:type="dxa"/>
            <w:vAlign w:val="bottom"/>
          </w:tcPr>
          <w:p>
            <w:pPr>
              <w:ind w:left="220"/>
              <w:spacing w:after="0"/>
              <w:rPr>
                <w:sz w:val="20"/>
                <w:szCs w:val="20"/>
                <w:color w:val="auto"/>
              </w:rPr>
            </w:pPr>
            <w:r>
              <w:rPr>
                <w:rFonts w:ascii="Arial" w:cs="Arial" w:eastAsia="Arial" w:hAnsi="Arial"/>
                <w:sz w:val="29"/>
                <w:szCs w:val="29"/>
                <w:color w:val="282A32"/>
              </w:rPr>
              <w:t>2.2 - 2.4%</w:t>
            </w:r>
          </w:p>
        </w:tc>
      </w:tr>
      <w:tr>
        <w:trPr>
          <w:trHeight w:val="88"/>
        </w:trPr>
        <w:tc>
          <w:tcPr>
            <w:tcW w:w="1880" w:type="dxa"/>
            <w:vAlign w:val="bottom"/>
            <w:tcBorders>
              <w:bottom w:val="single" w:sz="8" w:color="466EA5"/>
            </w:tcBorders>
          </w:tcPr>
          <w:p>
            <w:pPr>
              <w:spacing w:after="0"/>
              <w:rPr>
                <w:sz w:val="7"/>
                <w:szCs w:val="7"/>
                <w:color w:val="auto"/>
              </w:rPr>
            </w:pPr>
          </w:p>
        </w:tc>
        <w:tc>
          <w:tcPr>
            <w:tcW w:w="2980" w:type="dxa"/>
            <w:vAlign w:val="bottom"/>
            <w:tcBorders>
              <w:bottom w:val="single" w:sz="8" w:color="466EA5"/>
              <w:right w:val="single" w:sz="8" w:color="466EA5"/>
            </w:tcBorders>
          </w:tcPr>
          <w:p>
            <w:pPr>
              <w:spacing w:after="0"/>
              <w:rPr>
                <w:sz w:val="7"/>
                <w:szCs w:val="7"/>
                <w:color w:val="auto"/>
              </w:rPr>
            </w:pPr>
          </w:p>
        </w:tc>
        <w:tc>
          <w:tcPr>
            <w:tcW w:w="5880" w:type="dxa"/>
            <w:vAlign w:val="bottom"/>
            <w:tcBorders>
              <w:bottom w:val="single" w:sz="8" w:color="466EA5"/>
            </w:tcBorders>
          </w:tcPr>
          <w:p>
            <w:pPr>
              <w:spacing w:after="0"/>
              <w:rPr>
                <w:sz w:val="7"/>
                <w:szCs w:val="7"/>
                <w:color w:val="auto"/>
              </w:rPr>
            </w:pPr>
          </w:p>
        </w:tc>
      </w:tr>
      <w:tr>
        <w:trPr>
          <w:trHeight w:val="432"/>
        </w:trPr>
        <w:tc>
          <w:tcPr>
            <w:tcW w:w="1880" w:type="dxa"/>
            <w:vAlign w:val="bottom"/>
          </w:tcPr>
          <w:p>
            <w:pPr>
              <w:ind w:left="100"/>
              <w:spacing w:after="0"/>
              <w:rPr>
                <w:sz w:val="20"/>
                <w:szCs w:val="20"/>
                <w:color w:val="auto"/>
              </w:rPr>
            </w:pPr>
            <w:r>
              <w:rPr>
                <w:rFonts w:ascii="Arial" w:cs="Arial" w:eastAsia="Arial" w:hAnsi="Arial"/>
                <w:sz w:val="32"/>
                <w:szCs w:val="32"/>
                <w:b w:val="1"/>
                <w:bCs w:val="1"/>
                <w:color w:val="282A32"/>
              </w:rPr>
              <w:t>Tax Rate</w:t>
            </w:r>
          </w:p>
        </w:tc>
        <w:tc>
          <w:tcPr>
            <w:tcW w:w="2980" w:type="dxa"/>
            <w:vAlign w:val="bottom"/>
            <w:tcBorders>
              <w:right w:val="single" w:sz="8" w:color="466EA5"/>
            </w:tcBorders>
          </w:tcPr>
          <w:p>
            <w:pPr>
              <w:spacing w:after="0"/>
              <w:rPr>
                <w:sz w:val="24"/>
                <w:szCs w:val="24"/>
                <w:color w:val="auto"/>
              </w:rPr>
            </w:pPr>
          </w:p>
        </w:tc>
        <w:tc>
          <w:tcPr>
            <w:tcW w:w="5880" w:type="dxa"/>
            <w:vAlign w:val="bottom"/>
          </w:tcPr>
          <w:p>
            <w:pPr>
              <w:ind w:left="220"/>
              <w:spacing w:after="0"/>
              <w:rPr>
                <w:sz w:val="20"/>
                <w:szCs w:val="20"/>
                <w:color w:val="auto"/>
              </w:rPr>
            </w:pPr>
            <w:r>
              <w:rPr>
                <w:rFonts w:ascii="Arial" w:cs="Arial" w:eastAsia="Arial" w:hAnsi="Arial"/>
                <w:sz w:val="29"/>
                <w:szCs w:val="29"/>
                <w:color w:val="282A32"/>
              </w:rPr>
              <w:t xml:space="preserve">43% </w:t>
            </w:r>
            <w:r>
              <w:rPr>
                <w:rFonts w:ascii="Arial" w:cs="Arial" w:eastAsia="Arial" w:hAnsi="Arial"/>
                <w:sz w:val="19"/>
                <w:szCs w:val="19"/>
                <w:color w:val="282A32"/>
              </w:rPr>
              <w:t>(31% excl. reclassification of France business tax)</w:t>
            </w:r>
          </w:p>
        </w:tc>
      </w:tr>
      <w:tr>
        <w:trPr>
          <w:trHeight w:val="52"/>
        </w:trPr>
        <w:tc>
          <w:tcPr>
            <w:tcW w:w="4860" w:type="dxa"/>
            <w:vAlign w:val="bottom"/>
            <w:tcBorders>
              <w:bottom w:val="single" w:sz="8" w:color="466EA5"/>
              <w:right w:val="single" w:sz="8" w:color="466EA5"/>
            </w:tcBorders>
            <w:gridSpan w:val="2"/>
          </w:tcPr>
          <w:p>
            <w:pPr>
              <w:spacing w:after="0"/>
              <w:rPr>
                <w:sz w:val="4"/>
                <w:szCs w:val="4"/>
                <w:color w:val="auto"/>
              </w:rPr>
            </w:pPr>
          </w:p>
        </w:tc>
        <w:tc>
          <w:tcPr>
            <w:tcW w:w="5880" w:type="dxa"/>
            <w:vAlign w:val="bottom"/>
            <w:tcBorders>
              <w:bottom w:val="single" w:sz="8" w:color="466EA5"/>
            </w:tcBorders>
          </w:tcPr>
          <w:p>
            <w:pPr>
              <w:spacing w:after="0"/>
              <w:rPr>
                <w:sz w:val="4"/>
                <w:szCs w:val="4"/>
                <w:color w:val="auto"/>
              </w:rPr>
            </w:pPr>
          </w:p>
        </w:tc>
      </w:tr>
      <w:tr>
        <w:trPr>
          <w:trHeight w:val="468"/>
        </w:trPr>
        <w:tc>
          <w:tcPr>
            <w:tcW w:w="4860" w:type="dxa"/>
            <w:vAlign w:val="bottom"/>
            <w:tcBorders>
              <w:right w:val="single" w:sz="8" w:color="466EA5"/>
            </w:tcBorders>
            <w:gridSpan w:val="2"/>
          </w:tcPr>
          <w:p>
            <w:pPr>
              <w:ind w:left="100"/>
              <w:spacing w:after="0"/>
              <w:rPr>
                <w:sz w:val="20"/>
                <w:szCs w:val="20"/>
                <w:color w:val="auto"/>
              </w:rPr>
            </w:pPr>
            <w:r>
              <w:rPr>
                <w:rFonts w:ascii="Arial" w:cs="Arial" w:eastAsia="Arial" w:hAnsi="Arial"/>
                <w:sz w:val="32"/>
                <w:szCs w:val="32"/>
                <w:b w:val="1"/>
                <w:bCs w:val="1"/>
                <w:color w:val="282A32"/>
              </w:rPr>
              <w:t xml:space="preserve">EPS </w:t>
            </w:r>
            <w:r>
              <w:rPr>
                <w:rFonts w:ascii="Arial" w:cs="Arial" w:eastAsia="Arial" w:hAnsi="Arial"/>
                <w:sz w:val="22"/>
                <w:szCs w:val="22"/>
                <w:color w:val="282A32"/>
              </w:rPr>
              <w:t>(before reorganization charges)</w:t>
            </w:r>
          </w:p>
        </w:tc>
        <w:tc>
          <w:tcPr>
            <w:tcW w:w="5880" w:type="dxa"/>
            <w:vAlign w:val="bottom"/>
          </w:tcPr>
          <w:p>
            <w:pPr>
              <w:ind w:left="220"/>
              <w:spacing w:after="0"/>
              <w:rPr>
                <w:sz w:val="20"/>
                <w:szCs w:val="20"/>
                <w:color w:val="auto"/>
              </w:rPr>
            </w:pPr>
            <w:r>
              <w:rPr>
                <w:rFonts w:ascii="Arial" w:cs="Arial" w:eastAsia="Arial" w:hAnsi="Arial"/>
                <w:sz w:val="29"/>
                <w:szCs w:val="29"/>
                <w:color w:val="282A32"/>
              </w:rPr>
              <w:t>$0.72 - $0.80 (Neg. $.01 Currency)</w:t>
            </w:r>
          </w:p>
        </w:tc>
      </w:tr>
      <w:tr>
        <w:trPr>
          <w:trHeight w:val="88"/>
        </w:trPr>
        <w:tc>
          <w:tcPr>
            <w:tcW w:w="1880" w:type="dxa"/>
            <w:vAlign w:val="bottom"/>
            <w:tcBorders>
              <w:bottom w:val="single" w:sz="8" w:color="466EA5"/>
            </w:tcBorders>
          </w:tcPr>
          <w:p>
            <w:pPr>
              <w:spacing w:after="0"/>
              <w:rPr>
                <w:sz w:val="7"/>
                <w:szCs w:val="7"/>
                <w:color w:val="auto"/>
              </w:rPr>
            </w:pPr>
          </w:p>
        </w:tc>
        <w:tc>
          <w:tcPr>
            <w:tcW w:w="2980" w:type="dxa"/>
            <w:vAlign w:val="bottom"/>
            <w:tcBorders>
              <w:bottom w:val="single" w:sz="8" w:color="466EA5"/>
              <w:right w:val="single" w:sz="8" w:color="466EA5"/>
            </w:tcBorders>
          </w:tcPr>
          <w:p>
            <w:pPr>
              <w:spacing w:after="0"/>
              <w:rPr>
                <w:sz w:val="7"/>
                <w:szCs w:val="7"/>
                <w:color w:val="auto"/>
              </w:rPr>
            </w:pPr>
          </w:p>
        </w:tc>
        <w:tc>
          <w:tcPr>
            <w:tcW w:w="5880" w:type="dxa"/>
            <w:vAlign w:val="bottom"/>
            <w:tcBorders>
              <w:bottom w:val="single" w:sz="8" w:color="466EA5"/>
            </w:tcBorders>
          </w:tcPr>
          <w:p>
            <w:pPr>
              <w:spacing w:after="0"/>
              <w:rPr>
                <w:sz w:val="7"/>
                <w:szCs w:val="7"/>
                <w:color w:val="auto"/>
              </w:rPr>
            </w:pPr>
          </w:p>
        </w:tc>
      </w:tr>
    </w:tbl>
    <w:p>
      <w:pPr>
        <w:spacing w:after="0" w:line="285" w:lineRule="exact"/>
        <w:rPr>
          <w:sz w:val="20"/>
          <w:szCs w:val="20"/>
          <w:color w:val="auto"/>
        </w:rPr>
      </w:pPr>
    </w:p>
    <w:p>
      <w:pPr>
        <w:ind w:left="10440"/>
        <w:spacing w:after="0"/>
        <w:rPr>
          <w:sz w:val="20"/>
          <w:szCs w:val="20"/>
          <w:color w:val="auto"/>
        </w:rPr>
      </w:pPr>
      <w:r>
        <w:rPr>
          <w:rFonts w:ascii="Arial" w:cs="Arial" w:eastAsia="Arial" w:hAnsi="Arial"/>
          <w:sz w:val="18"/>
          <w:szCs w:val="18"/>
          <w:color w:val="7F7F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462915</wp:posOffset>
            </wp:positionV>
            <wp:extent cx="726694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740"/>
          </w:cols>
          <w:pgMar w:left="700" w:top="520" w:right="459" w:bottom="1440" w:gutter="0" w:footer="0" w:header="0"/>
        </w:sectPr>
      </w:pPr>
    </w:p>
    <w:bookmarkStart w:id="30" w:name="page31"/>
    <w:bookmarkEnd w:id="30"/>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41" w:lineRule="exact"/>
        <w:rPr>
          <w:sz w:val="20"/>
          <w:szCs w:val="20"/>
          <w:color w:val="auto"/>
        </w:rPr>
      </w:pPr>
    </w:p>
    <w:p>
      <w:pPr>
        <w:spacing w:after="0"/>
        <w:rPr>
          <w:sz w:val="20"/>
          <w:szCs w:val="20"/>
          <w:color w:val="auto"/>
        </w:rPr>
      </w:pPr>
      <w:r>
        <w:rPr>
          <w:rFonts w:ascii="Arial" w:cs="Arial" w:eastAsia="Arial" w:hAnsi="Arial"/>
          <w:sz w:val="48"/>
          <w:szCs w:val="48"/>
          <w:color w:val="5F81AA"/>
        </w:rPr>
        <w:t>Strategic Drivers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462915</wp:posOffset>
            </wp:positionV>
            <wp:extent cx="726694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20"/>
          </w:cols>
          <w:pgMar w:left="820" w:top="520" w:right="559" w:bottom="1440" w:gutter="0" w:footer="0" w:header="0"/>
        </w:sectPr>
      </w:pPr>
    </w:p>
    <w:bookmarkStart w:id="31" w:name="page32"/>
    <w:bookmarkEnd w:id="31"/>
    <w:p>
      <w:pPr>
        <w:spacing w:after="0"/>
        <w:tabs>
          <w:tab w:leader="none" w:pos="8660" w:val="left"/>
        </w:tabs>
        <w:rPr>
          <w:sz w:val="20"/>
          <w:szCs w:val="20"/>
          <w:color w:val="auto"/>
        </w:rPr>
      </w:pPr>
      <w:r>
        <w:rPr>
          <w:rFonts w:ascii="Arial" w:cs="Arial" w:eastAsia="Arial" w:hAnsi="Arial"/>
          <w:sz w:val="26"/>
          <w:szCs w:val="26"/>
          <w:color w:val="466EA5"/>
        </w:rPr>
        <w:drawing>
          <wp:anchor simplePos="0" relativeHeight="251657728" behindDoc="1" locked="0" layoutInCell="0" allowOverlap="1">
            <wp:simplePos x="0" y="0"/>
            <wp:positionH relativeFrom="page">
              <wp:posOffset>149860</wp:posOffset>
            </wp:positionH>
            <wp:positionV relativeFrom="page">
              <wp:posOffset>172720</wp:posOffset>
            </wp:positionV>
            <wp:extent cx="7317740" cy="5492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t>ManpowerGroup 2012 3</w:t>
      </w:r>
      <w:r>
        <w:rPr>
          <w:rFonts w:ascii="Arial" w:cs="Arial" w:eastAsia="Arial" w:hAnsi="Arial"/>
          <w:sz w:val="17"/>
          <w:szCs w:val="17"/>
          <w:color w:val="466EA5"/>
        </w:rPr>
        <w:t>rd</w:t>
      </w:r>
      <w:r>
        <w:rPr>
          <w:rFonts w:ascii="Arial" w:cs="Arial" w:eastAsia="Arial" w:hAnsi="Arial"/>
          <w:sz w:val="26"/>
          <w:szCs w:val="26"/>
          <w:color w:val="466EA5"/>
        </w:rPr>
        <w:t xml:space="preserve"> Quarter Results</w:t>
      </w:r>
      <w:r>
        <w:rPr>
          <w:sz w:val="20"/>
          <w:szCs w:val="20"/>
          <w:color w:val="auto"/>
        </w:rPr>
        <w:tab/>
      </w:r>
      <w:r>
        <w:rPr>
          <w:rFonts w:ascii="Arial" w:cs="Arial" w:eastAsia="Arial" w:hAnsi="Arial"/>
          <w:sz w:val="25"/>
          <w:szCs w:val="25"/>
          <w:color w:val="466EA5"/>
        </w:rPr>
        <w:t>October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77"/>
          <w:szCs w:val="77"/>
          <w:color w:val="6390C6"/>
        </w:rPr>
        <w:t>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wp:posOffset>
            </wp:positionH>
            <wp:positionV relativeFrom="paragraph">
              <wp:posOffset>485775</wp:posOffset>
            </wp:positionV>
            <wp:extent cx="726694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0500"/>
          </w:cols>
          <w:pgMar w:left="820" w:top="520" w:right="579"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2019-12-09T10:48:48Z</dcterms:created>
  <dcterms:modified xsi:type="dcterms:W3CDTF">2019-12-09T10:48:48Z</dcterms:modified>
</cp:coreProperties>
</file>