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45"/>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146050</wp:posOffset>
            </wp:positionH>
            <wp:positionV relativeFrom="page">
              <wp:posOffset>146050</wp:posOffset>
            </wp:positionV>
            <wp:extent cx="7269480"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9480" cy="27940"/>
                    </a:xfrm>
                    <a:prstGeom prst="rect">
                      <a:avLst/>
                    </a:prstGeom>
                    <a:noFill/>
                  </pic:spPr>
                </pic:pic>
              </a:graphicData>
            </a:graphic>
          </wp:anchor>
        </w:drawing>
        <w:t>UNITED STATES</w:t>
      </w:r>
    </w:p>
    <w:p>
      <w:pPr>
        <w:spacing w:after="0" w:line="24" w:lineRule="exact"/>
        <w:rPr>
          <w:sz w:val="24"/>
          <w:szCs w:val="24"/>
          <w:color w:val="auto"/>
        </w:rPr>
      </w:pPr>
    </w:p>
    <w:p>
      <w:pPr>
        <w:jc w:val="center"/>
        <w:ind w:right="-1145"/>
        <w:spacing w:after="0"/>
        <w:rPr>
          <w:sz w:val="20"/>
          <w:szCs w:val="20"/>
          <w:color w:val="auto"/>
        </w:rPr>
      </w:pPr>
      <w:r>
        <w:rPr>
          <w:rFonts w:ascii="Arial" w:cs="Arial" w:eastAsia="Arial" w:hAnsi="Arial"/>
          <w:sz w:val="28"/>
          <w:szCs w:val="28"/>
          <w:b w:val="1"/>
          <w:bCs w:val="1"/>
          <w:color w:val="auto"/>
        </w:rPr>
        <w:t>SECURITIES AND EXCHANGE COMMISSION</w:t>
      </w:r>
    </w:p>
    <w:p>
      <w:pPr>
        <w:ind w:left="4746"/>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3008630</wp:posOffset>
            </wp:positionH>
            <wp:positionV relativeFrom="paragraph">
              <wp:posOffset>169545</wp:posOffset>
            </wp:positionV>
            <wp:extent cx="12465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6505" cy="7620"/>
                    </a:xfrm>
                    <a:prstGeom prst="rect">
                      <a:avLst/>
                    </a:prstGeom>
                    <a:noFill/>
                  </pic:spPr>
                </pic:pic>
              </a:graphicData>
            </a:graphic>
          </wp:anchor>
        </w:drawing>
      </w:r>
    </w:p>
    <w:p>
      <w:pPr>
        <w:spacing w:after="0" w:line="363" w:lineRule="exact"/>
        <w:rPr>
          <w:sz w:val="24"/>
          <w:szCs w:val="24"/>
          <w:color w:val="auto"/>
        </w:rPr>
      </w:pPr>
    </w:p>
    <w:p>
      <w:pPr>
        <w:ind w:left="5026"/>
        <w:spacing w:after="0"/>
        <w:rPr>
          <w:sz w:val="20"/>
          <w:szCs w:val="20"/>
          <w:color w:val="auto"/>
        </w:rPr>
      </w:pPr>
      <w:r>
        <w:rPr>
          <w:rFonts w:ascii="Arial" w:cs="Arial" w:eastAsia="Arial" w:hAnsi="Arial"/>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3008630</wp:posOffset>
            </wp:positionH>
            <wp:positionV relativeFrom="paragraph">
              <wp:posOffset>191770</wp:posOffset>
            </wp:positionV>
            <wp:extent cx="124650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6505" cy="7620"/>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145"/>
        <w:spacing w:after="0"/>
        <w:rPr>
          <w:sz w:val="20"/>
          <w:szCs w:val="20"/>
          <w:color w:val="auto"/>
        </w:rPr>
      </w:pPr>
      <w:r>
        <w:rPr>
          <w:rFonts w:ascii="Arial" w:cs="Arial" w:eastAsia="Arial" w:hAnsi="Arial"/>
          <w:sz w:val="19"/>
          <w:szCs w:val="19"/>
          <w:b w:val="1"/>
          <w:bCs w:val="1"/>
          <w:color w:val="auto"/>
        </w:rPr>
        <w:t>CURRENT REPORT</w:t>
      </w:r>
    </w:p>
    <w:p>
      <w:pPr>
        <w:spacing w:after="0" w:line="134" w:lineRule="exact"/>
        <w:rPr>
          <w:sz w:val="24"/>
          <w:szCs w:val="24"/>
          <w:color w:val="auto"/>
        </w:rPr>
      </w:pPr>
    </w:p>
    <w:p>
      <w:pPr>
        <w:jc w:val="center"/>
        <w:ind w:right="-1145"/>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60" w:lineRule="exact"/>
        <w:rPr>
          <w:sz w:val="24"/>
          <w:szCs w:val="24"/>
          <w:color w:val="auto"/>
        </w:rPr>
      </w:pPr>
    </w:p>
    <w:p>
      <w:pPr>
        <w:ind w:left="3566"/>
        <w:spacing w:after="0"/>
        <w:rPr>
          <w:sz w:val="20"/>
          <w:szCs w:val="20"/>
          <w:color w:val="auto"/>
        </w:rPr>
      </w:pPr>
      <w:r>
        <w:rPr>
          <w:rFonts w:ascii="Arial" w:cs="Arial" w:eastAsia="Arial" w:hAnsi="Arial"/>
          <w:sz w:val="15"/>
          <w:szCs w:val="15"/>
          <w:b w:val="1"/>
          <w:bCs w:val="1"/>
          <w:color w:val="auto"/>
        </w:rPr>
        <w:t>Date of Report (Date of earliest event reported): January 30,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3008630</wp:posOffset>
            </wp:positionH>
            <wp:positionV relativeFrom="paragraph">
              <wp:posOffset>188595</wp:posOffset>
            </wp:positionV>
            <wp:extent cx="124650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6505" cy="7620"/>
                    </a:xfrm>
                    <a:prstGeom prst="rect">
                      <a:avLst/>
                    </a:prstGeom>
                    <a:noFill/>
                  </pic:spPr>
                </pic:pic>
              </a:graphicData>
            </a:graphic>
          </wp:anchor>
        </w:drawing>
      </w:r>
    </w:p>
    <w:p>
      <w:pPr>
        <w:spacing w:after="0" w:line="392" w:lineRule="exact"/>
        <w:rPr>
          <w:sz w:val="24"/>
          <w:szCs w:val="24"/>
          <w:color w:val="auto"/>
        </w:rPr>
      </w:pPr>
    </w:p>
    <w:p>
      <w:pPr>
        <w:jc w:val="center"/>
        <w:ind w:right="-1145"/>
        <w:spacing w:after="0"/>
        <w:rPr>
          <w:sz w:val="20"/>
          <w:szCs w:val="20"/>
          <w:color w:val="auto"/>
        </w:rPr>
      </w:pPr>
      <w:r>
        <w:rPr>
          <w:rFonts w:ascii="Arial" w:cs="Arial" w:eastAsia="Arial" w:hAnsi="Arial"/>
          <w:sz w:val="38"/>
          <w:szCs w:val="38"/>
          <w:b w:val="1"/>
          <w:bCs w:val="1"/>
          <w:color w:val="auto"/>
        </w:rPr>
        <w:t>MANPOWER INC.</w:t>
      </w:r>
    </w:p>
    <w:p>
      <w:pPr>
        <w:spacing w:after="0" w:line="37" w:lineRule="exact"/>
        <w:rPr>
          <w:sz w:val="24"/>
          <w:szCs w:val="24"/>
          <w:color w:val="auto"/>
        </w:rPr>
      </w:pPr>
    </w:p>
    <w:p>
      <w:pPr>
        <w:ind w:left="4426"/>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3008630</wp:posOffset>
            </wp:positionH>
            <wp:positionV relativeFrom="paragraph">
              <wp:posOffset>165735</wp:posOffset>
            </wp:positionV>
            <wp:extent cx="124650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6505" cy="7620"/>
                    </a:xfrm>
                    <a:prstGeom prst="rect">
                      <a:avLst/>
                    </a:prstGeom>
                    <a:noFill/>
                  </pic:spPr>
                </pic:pic>
              </a:graphicData>
            </a:graphic>
          </wp:anchor>
        </w:drawing>
      </w:r>
    </w:p>
    <w:p>
      <w:pPr>
        <w:sectPr>
          <w:pgSz w:w="11900" w:h="16838" w:orient="portrait"/>
          <w:cols w:equalWidth="0" w:num="1">
            <w:col w:w="10306"/>
          </w:cols>
          <w:pgMar w:left="234" w:top="326" w:right="1359" w:bottom="1440" w:gutter="0" w:footer="0" w:header="0"/>
        </w:sectPr>
      </w:pPr>
    </w:p>
    <w:p>
      <w:pPr>
        <w:spacing w:after="0" w:line="200" w:lineRule="exact"/>
        <w:rPr>
          <w:sz w:val="24"/>
          <w:szCs w:val="24"/>
          <w:color w:val="auto"/>
        </w:rPr>
      </w:pPr>
    </w:p>
    <w:p>
      <w:pPr>
        <w:spacing w:after="0" w:line="332" w:lineRule="exact"/>
        <w:rPr>
          <w:sz w:val="24"/>
          <w:szCs w:val="24"/>
          <w:color w:val="auto"/>
        </w:rPr>
      </w:pPr>
    </w:p>
    <w:p>
      <w:pPr>
        <w:ind w:left="1606"/>
        <w:spacing w:after="0"/>
        <w:rPr>
          <w:sz w:val="20"/>
          <w:szCs w:val="20"/>
          <w:color w:val="auto"/>
        </w:rPr>
      </w:pPr>
      <w:r>
        <w:rPr>
          <w:rFonts w:ascii="Arial" w:cs="Arial" w:eastAsia="Arial" w:hAnsi="Arial"/>
          <w:sz w:val="13"/>
          <w:szCs w:val="13"/>
          <w:b w:val="1"/>
          <w:bCs w:val="1"/>
          <w:color w:val="auto"/>
        </w:rPr>
        <w:t>Wisconsin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2" w:lineRule="exact"/>
        <w:rPr>
          <w:sz w:val="24"/>
          <w:szCs w:val="24"/>
          <w:color w:val="auto"/>
        </w:rPr>
      </w:pPr>
    </w:p>
    <w:p>
      <w:pPr>
        <w:jc w:val="center"/>
        <w:ind w:right="2420"/>
        <w:spacing w:after="0"/>
        <w:rPr>
          <w:sz w:val="20"/>
          <w:szCs w:val="20"/>
          <w:color w:val="auto"/>
        </w:rPr>
      </w:pPr>
      <w:r>
        <w:rPr>
          <w:rFonts w:ascii="Arial" w:cs="Arial" w:eastAsia="Arial" w:hAnsi="Arial"/>
          <w:sz w:val="14"/>
          <w:szCs w:val="14"/>
          <w:b w:val="1"/>
          <w:bCs w:val="1"/>
          <w:color w:val="auto"/>
        </w:rPr>
        <w:t>1-10686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2"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39-1672779</w:t>
      </w:r>
    </w:p>
    <w:p>
      <w:pPr>
        <w:spacing w:after="0" w:line="42" w:lineRule="exact"/>
        <w:rPr>
          <w:sz w:val="24"/>
          <w:szCs w:val="24"/>
          <w:color w:val="auto"/>
        </w:rPr>
      </w:pPr>
    </w:p>
    <w:p>
      <w:pPr>
        <w:sectPr>
          <w:pgSz w:w="11900" w:h="16838" w:orient="portrait"/>
          <w:cols w:equalWidth="0" w:num="3">
            <w:col w:w="4866" w:space="720"/>
            <w:col w:w="2940" w:space="720"/>
            <w:col w:w="1060"/>
          </w:cols>
          <w:pgMar w:left="234" w:top="326" w:right="1359" w:bottom="1440" w:gutter="0" w:footer="0" w:header="0"/>
          <w:type w:val="continuous"/>
        </w:sectPr>
      </w:pPr>
    </w:p>
    <w:p>
      <w:pPr>
        <w:spacing w:after="0" w:line="6" w:lineRule="exact"/>
        <w:rPr>
          <w:sz w:val="24"/>
          <w:szCs w:val="24"/>
          <w:color w:val="auto"/>
        </w:rPr>
      </w:pPr>
    </w:p>
    <w:p>
      <w:pPr>
        <w:jc w:val="center"/>
        <w:ind w:right="554"/>
        <w:spacing w:after="0"/>
        <w:rPr>
          <w:sz w:val="20"/>
          <w:szCs w:val="20"/>
          <w:color w:val="auto"/>
        </w:rPr>
      </w:pPr>
      <w:r>
        <w:rPr>
          <w:rFonts w:ascii="Arial" w:cs="Arial" w:eastAsia="Arial" w:hAnsi="Arial"/>
          <w:sz w:val="9"/>
          <w:szCs w:val="9"/>
          <w:b w:val="1"/>
          <w:bCs w:val="1"/>
          <w:color w:val="auto"/>
        </w:rPr>
        <w:t>(State or other jurisdiction</w:t>
      </w:r>
    </w:p>
    <w:p>
      <w:pPr>
        <w:spacing w:after="0" w:line="28" w:lineRule="exact"/>
        <w:rPr>
          <w:sz w:val="24"/>
          <w:szCs w:val="24"/>
          <w:color w:val="auto"/>
        </w:rPr>
      </w:pPr>
    </w:p>
    <w:p>
      <w:pPr>
        <w:jc w:val="center"/>
        <w:ind w:right="554"/>
        <w:spacing w:after="0"/>
        <w:rPr>
          <w:sz w:val="20"/>
          <w:szCs w:val="20"/>
          <w:color w:val="auto"/>
        </w:rPr>
      </w:pPr>
      <w:r>
        <w:rPr>
          <w:rFonts w:ascii="Arial" w:cs="Arial" w:eastAsia="Arial" w:hAnsi="Arial"/>
          <w:sz w:val="12"/>
          <w:szCs w:val="12"/>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900"/>
        <w:spacing w:after="0"/>
        <w:rPr>
          <w:sz w:val="20"/>
          <w:szCs w:val="20"/>
          <w:color w:val="auto"/>
        </w:rPr>
      </w:pPr>
      <w:r>
        <w:rPr>
          <w:rFonts w:ascii="Arial" w:cs="Arial" w:eastAsia="Arial" w:hAnsi="Arial"/>
          <w:sz w:val="9"/>
          <w:szCs w:val="9"/>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240"/>
        <w:spacing w:after="0"/>
        <w:rPr>
          <w:sz w:val="20"/>
          <w:szCs w:val="20"/>
          <w:color w:val="auto"/>
        </w:rPr>
      </w:pPr>
      <w:r>
        <w:rPr>
          <w:rFonts w:ascii="Arial" w:cs="Arial" w:eastAsia="Arial" w:hAnsi="Arial"/>
          <w:sz w:val="12"/>
          <w:szCs w:val="12"/>
          <w:b w:val="1"/>
          <w:bCs w:val="1"/>
          <w:color w:val="auto"/>
        </w:rPr>
        <w:t>(IRS Employer</w:t>
      </w:r>
    </w:p>
    <w:p>
      <w:pPr>
        <w:jc w:val="center"/>
        <w:ind w:right="240"/>
        <w:spacing w:after="0"/>
        <w:rPr>
          <w:sz w:val="20"/>
          <w:szCs w:val="20"/>
          <w:color w:val="auto"/>
        </w:rPr>
      </w:pPr>
      <w:r>
        <w:rPr>
          <w:rFonts w:ascii="Arial" w:cs="Arial" w:eastAsia="Arial" w:hAnsi="Arial"/>
          <w:sz w:val="9"/>
          <w:szCs w:val="9"/>
          <w:b w:val="1"/>
          <w:bCs w:val="1"/>
          <w:color w:val="auto"/>
        </w:rPr>
        <w:t>Identification No.)</w:t>
      </w:r>
    </w:p>
    <w:p>
      <w:pPr>
        <w:spacing w:after="0" w:line="201" w:lineRule="exact"/>
        <w:rPr>
          <w:sz w:val="24"/>
          <w:szCs w:val="24"/>
          <w:color w:val="auto"/>
        </w:rPr>
      </w:pPr>
    </w:p>
    <w:p>
      <w:pPr>
        <w:sectPr>
          <w:pgSz w:w="11900" w:h="16838" w:orient="portrait"/>
          <w:cols w:equalWidth="0" w:num="3">
            <w:col w:w="4446" w:space="720"/>
            <w:col w:w="3260" w:space="720"/>
            <w:col w:w="1160"/>
          </w:cols>
          <w:pgMar w:left="234" w:top="326" w:right="1359" w:bottom="1440" w:gutter="0" w:footer="0" w:header="0"/>
          <w:type w:val="continuous"/>
        </w:sectPr>
      </w:pPr>
    </w:p>
    <w:p>
      <w:pPr>
        <w:jc w:val="center"/>
        <w:ind w:right="2054"/>
        <w:spacing w:after="0"/>
        <w:rPr>
          <w:sz w:val="20"/>
          <w:szCs w:val="20"/>
          <w:color w:val="auto"/>
        </w:rPr>
      </w:pPr>
      <w:r>
        <w:rPr>
          <w:rFonts w:ascii="Arial" w:cs="Arial" w:eastAsia="Arial" w:hAnsi="Arial"/>
          <w:sz w:val="14"/>
          <w:szCs w:val="14"/>
          <w:b w:val="1"/>
          <w:bCs w:val="1"/>
          <w:color w:val="auto"/>
        </w:rPr>
        <w:t>5301 North Ironwood Road</w:t>
      </w:r>
    </w:p>
    <w:p>
      <w:pPr>
        <w:spacing w:after="0" w:line="37" w:lineRule="exact"/>
        <w:rPr>
          <w:sz w:val="24"/>
          <w:szCs w:val="24"/>
          <w:color w:val="auto"/>
        </w:rPr>
      </w:pPr>
    </w:p>
    <w:p>
      <w:pPr>
        <w:jc w:val="center"/>
        <w:ind w:right="2054"/>
        <w:spacing w:after="0"/>
        <w:rPr>
          <w:sz w:val="20"/>
          <w:szCs w:val="20"/>
          <w:color w:val="auto"/>
        </w:rPr>
      </w:pPr>
      <w:r>
        <w:rPr>
          <w:rFonts w:ascii="Arial" w:cs="Arial" w:eastAsia="Arial" w:hAnsi="Arial"/>
          <w:sz w:val="15"/>
          <w:szCs w:val="15"/>
          <w:b w:val="1"/>
          <w:bCs w:val="1"/>
          <w:color w:val="auto"/>
        </w:rPr>
        <w:t>Milwaukee, Wisconsin</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53217</w:t>
      </w:r>
    </w:p>
    <w:p>
      <w:pPr>
        <w:spacing w:after="0" w:line="49" w:lineRule="exact"/>
        <w:rPr>
          <w:sz w:val="24"/>
          <w:szCs w:val="24"/>
          <w:color w:val="auto"/>
        </w:rPr>
      </w:pPr>
    </w:p>
    <w:p>
      <w:pPr>
        <w:sectPr>
          <w:pgSz w:w="11900" w:h="16838" w:orient="portrait"/>
          <w:cols w:equalWidth="0" w:num="2">
            <w:col w:w="7786" w:space="720"/>
            <w:col w:w="1800"/>
          </w:cols>
          <w:pgMar w:left="234" w:top="326" w:right="1359" w:bottom="1440" w:gutter="0" w:footer="0" w:header="0"/>
          <w:type w:val="continuous"/>
        </w:sectPr>
      </w:pPr>
    </w:p>
    <w:p>
      <w:pPr>
        <w:ind w:left="1886"/>
        <w:spacing w:after="0"/>
        <w:rPr>
          <w:sz w:val="20"/>
          <w:szCs w:val="20"/>
          <w:color w:val="auto"/>
        </w:rPr>
      </w:pPr>
      <w:r>
        <w:rPr>
          <w:rFonts w:ascii="Arial" w:cs="Arial" w:eastAsia="Arial" w:hAnsi="Arial"/>
          <w:sz w:val="9"/>
          <w:szCs w:val="9"/>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9"/>
          <w:szCs w:val="9"/>
          <w:b w:val="1"/>
          <w:bCs w:val="1"/>
          <w:color w:val="auto"/>
        </w:rPr>
        <w:t>(Zip Code)</w:t>
      </w:r>
    </w:p>
    <w:p>
      <w:pPr>
        <w:spacing w:after="0" w:line="157" w:lineRule="exact"/>
        <w:rPr>
          <w:sz w:val="24"/>
          <w:szCs w:val="24"/>
          <w:color w:val="auto"/>
        </w:rPr>
      </w:pPr>
    </w:p>
    <w:p>
      <w:pPr>
        <w:sectPr>
          <w:pgSz w:w="11900" w:h="16838" w:orient="portrait"/>
          <w:cols w:equalWidth="0" w:num="2">
            <w:col w:w="7706" w:space="720"/>
            <w:col w:w="1880"/>
          </w:cols>
          <w:pgMar w:left="234" w:top="326" w:right="1359" w:bottom="1440" w:gutter="0" w:footer="0" w:header="0"/>
          <w:type w:val="continuous"/>
        </w:sectPr>
      </w:pPr>
    </w:p>
    <w:p>
      <w:pPr>
        <w:ind w:left="3526"/>
        <w:spacing w:after="0"/>
        <w:rPr>
          <w:sz w:val="20"/>
          <w:szCs w:val="20"/>
          <w:color w:val="auto"/>
        </w:rPr>
      </w:pPr>
      <w:r>
        <w:rPr>
          <w:rFonts w:ascii="Arial" w:cs="Arial" w:eastAsia="Arial" w:hAnsi="Arial"/>
          <w:sz w:val="15"/>
          <w:szCs w:val="15"/>
          <w:b w:val="1"/>
          <w:bCs w:val="1"/>
          <w:color w:val="auto"/>
        </w:rPr>
        <w:t>Registrant’s telephone number, including area code: (414) 961-1000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3008630</wp:posOffset>
            </wp:positionH>
            <wp:positionV relativeFrom="paragraph">
              <wp:posOffset>188595</wp:posOffset>
            </wp:positionV>
            <wp:extent cx="124650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6505" cy="762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6"/>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203" w:lineRule="exact"/>
        <w:rPr>
          <w:sz w:val="24"/>
          <w:szCs w:val="24"/>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191"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Rule 14a-12 under the Securities Act (17 CFR 240.14a-12)</w:t>
      </w:r>
    </w:p>
    <w:p>
      <w:pPr>
        <w:spacing w:after="0" w:line="191"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191"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7269480"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9480" cy="27940"/>
                    </a:xfrm>
                    <a:prstGeom prst="rect">
                      <a:avLst/>
                    </a:prstGeom>
                    <a:noFill/>
                  </pic:spPr>
                </pic:pic>
              </a:graphicData>
            </a:graphic>
          </wp:anchor>
        </w:drawing>
      </w:r>
    </w:p>
    <w:p>
      <w:pPr>
        <w:sectPr>
          <w:pgSz w:w="11900" w:h="16838" w:orient="portrait"/>
          <w:cols w:equalWidth="0" w:num="1">
            <w:col w:w="10306"/>
          </w:cols>
          <w:pgMar w:left="234" w:top="326" w:right="1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4720" cy="24765"/>
                    </a:xfrm>
                    <a:prstGeom prst="rect">
                      <a:avLst/>
                    </a:prstGeom>
                    <a:noFill/>
                  </pic:spPr>
                </pic:pic>
              </a:graphicData>
            </a:graphic>
          </wp:anchor>
        </w:drawing>
        <w:t>Item 2.02 Results of Operations and Financial Condition</w:t>
      </w:r>
    </w:p>
    <w:p>
      <w:pPr>
        <w:spacing w:after="0" w:line="86" w:lineRule="exact"/>
        <w:rPr>
          <w:sz w:val="20"/>
          <w:szCs w:val="20"/>
          <w:color w:val="auto"/>
        </w:rPr>
      </w:pPr>
    </w:p>
    <w:p>
      <w:pPr>
        <w:ind w:right="520" w:firstLine="457"/>
        <w:spacing w:after="0" w:line="291" w:lineRule="auto"/>
        <w:rPr>
          <w:sz w:val="20"/>
          <w:szCs w:val="20"/>
          <w:color w:val="auto"/>
        </w:rPr>
      </w:pPr>
      <w:r>
        <w:rPr>
          <w:rFonts w:ascii="Arial" w:cs="Arial" w:eastAsia="Arial" w:hAnsi="Arial"/>
          <w:sz w:val="15"/>
          <w:szCs w:val="15"/>
          <w:color w:val="auto"/>
        </w:rPr>
        <w:t>On January 30, 2007, we issued a press release announcing our results of operations for the three months and year ended December 31, 2006. A copy of the press release is attached hereto as Exhibit 99.1 and is incorporated herein by reference.</w:t>
      </w:r>
    </w:p>
    <w:p>
      <w:pPr>
        <w:spacing w:after="0" w:line="99" w:lineRule="exact"/>
        <w:rPr>
          <w:sz w:val="20"/>
          <w:szCs w:val="20"/>
          <w:color w:val="auto"/>
        </w:rPr>
      </w:pPr>
    </w:p>
    <w:p>
      <w:pPr>
        <w:ind w:right="100" w:firstLine="457"/>
        <w:spacing w:after="0" w:line="266" w:lineRule="auto"/>
        <w:rPr>
          <w:sz w:val="20"/>
          <w:szCs w:val="20"/>
          <w:color w:val="auto"/>
        </w:rPr>
      </w:pPr>
      <w:r>
        <w:rPr>
          <w:rFonts w:ascii="Arial" w:cs="Arial" w:eastAsia="Arial" w:hAnsi="Arial"/>
          <w:sz w:val="15"/>
          <w:szCs w:val="15"/>
          <w:color w:val="auto"/>
        </w:rPr>
        <w:t>Reflected in our earnings for the three months and year ended December 31, 2006 are three items that require us to revise previously reported financial results. First, we have income from discontinued operations, primarily related to the sales of our Nordic payroll processing and facilities management services businesses. Second, our French business tax and profit sharing expenses, previously reported as Selling and administrative expenses, are now reported as Cost of services as we believe this presentation is more appropriate given the nature of these costs. Third, certain Eastern European subsidiaries previously reported in our France segment, and our Russian operations previously reported in our Other Operations segment, are now reported in our EMEA segment due to a change in the management structure. Attached hereto as Exhibit 99.3 are our Results of Operations and Operating Unit Results since January 1, 2004, reflecting the restatement of our financial results to exclude the earnings of the discontinued operations and reflecting the reclassification of the business tax and profit sharing expenses and the segment results.</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color w:val="auto"/>
        </w:rPr>
        <w:t>Item 9.01. Exhibits.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580" w:type="dxa"/>
            <w:vAlign w:val="bottom"/>
            <w:gridSpan w:val="2"/>
          </w:tcPr>
          <w:p>
            <w:pPr>
              <w:jc w:val="center"/>
              <w:spacing w:after="0"/>
              <w:rPr>
                <w:sz w:val="20"/>
                <w:szCs w:val="20"/>
                <w:color w:val="auto"/>
              </w:rPr>
            </w:pPr>
            <w:r>
              <w:rPr>
                <w:rFonts w:ascii="Arial" w:cs="Arial" w:eastAsia="Arial" w:hAnsi="Arial"/>
                <w:sz w:val="12"/>
                <w:szCs w:val="12"/>
                <w:b w:val="1"/>
                <w:bCs w:val="1"/>
                <w:color w:val="auto"/>
                <w:w w:val="89"/>
              </w:rPr>
              <w:t>Exhibit No.</w:t>
            </w:r>
          </w:p>
        </w:tc>
        <w:tc>
          <w:tcPr>
            <w:tcW w:w="640" w:type="dxa"/>
            <w:vAlign w:val="bottom"/>
          </w:tcPr>
          <w:p>
            <w:pPr>
              <w:spacing w:after="0"/>
              <w:rPr>
                <w:sz w:val="13"/>
                <w:szCs w:val="13"/>
                <w:color w:val="auto"/>
              </w:rPr>
            </w:pPr>
          </w:p>
        </w:tc>
        <w:tc>
          <w:tcPr>
            <w:tcW w:w="10220" w:type="dxa"/>
            <w:vAlign w:val="bottom"/>
          </w:tcPr>
          <w:p>
            <w:pPr>
              <w:spacing w:after="0"/>
              <w:rPr>
                <w:sz w:val="20"/>
                <w:szCs w:val="20"/>
                <w:color w:val="auto"/>
              </w:rPr>
            </w:pPr>
            <w:r>
              <w:rPr>
                <w:rFonts w:ascii="Arial" w:cs="Arial" w:eastAsia="Arial" w:hAnsi="Arial"/>
                <w:sz w:val="12"/>
                <w:szCs w:val="12"/>
                <w:b w:val="1"/>
                <w:bCs w:val="1"/>
                <w:color w:val="auto"/>
              </w:rPr>
              <w:t>Description</w:t>
            </w:r>
          </w:p>
        </w:tc>
      </w:tr>
      <w:tr>
        <w:trPr>
          <w:trHeight w:val="186"/>
        </w:trPr>
        <w:tc>
          <w:tcPr>
            <w:tcW w:w="20" w:type="dxa"/>
            <w:vAlign w:val="bottom"/>
          </w:tcPr>
          <w:p>
            <w:pPr>
              <w:spacing w:after="0"/>
              <w:rPr>
                <w:sz w:val="16"/>
                <w:szCs w:val="16"/>
                <w:color w:val="auto"/>
              </w:rPr>
            </w:pPr>
          </w:p>
        </w:tc>
        <w:tc>
          <w:tcPr>
            <w:tcW w:w="56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5"/>
              </w:rPr>
              <w:t>99.1</w:t>
            </w:r>
          </w:p>
        </w:tc>
        <w:tc>
          <w:tcPr>
            <w:tcW w:w="640" w:type="dxa"/>
            <w:vAlign w:val="bottom"/>
          </w:tcPr>
          <w:p>
            <w:pPr>
              <w:spacing w:after="0"/>
              <w:rPr>
                <w:sz w:val="16"/>
                <w:szCs w:val="16"/>
                <w:color w:val="auto"/>
              </w:rPr>
            </w:pPr>
          </w:p>
        </w:tc>
        <w:tc>
          <w:tcPr>
            <w:tcW w:w="1022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Press Release dated January 30, 2007</w:t>
            </w:r>
          </w:p>
        </w:tc>
      </w:tr>
      <w:tr>
        <w:trPr>
          <w:trHeight w:val="275"/>
        </w:trPr>
        <w:tc>
          <w:tcPr>
            <w:tcW w:w="580" w:type="dxa"/>
            <w:vAlign w:val="bottom"/>
            <w:gridSpan w:val="2"/>
          </w:tcPr>
          <w:p>
            <w:pPr>
              <w:jc w:val="center"/>
              <w:spacing w:after="0"/>
              <w:rPr>
                <w:sz w:val="20"/>
                <w:szCs w:val="20"/>
                <w:color w:val="auto"/>
              </w:rPr>
            </w:pPr>
            <w:r>
              <w:rPr>
                <w:rFonts w:ascii="Arial" w:cs="Arial" w:eastAsia="Arial" w:hAnsi="Arial"/>
                <w:sz w:val="15"/>
                <w:szCs w:val="15"/>
                <w:color w:val="auto"/>
                <w:w w:val="95"/>
              </w:rPr>
              <w:t>99.2</w:t>
            </w:r>
          </w:p>
        </w:tc>
        <w:tc>
          <w:tcPr>
            <w:tcW w:w="640" w:type="dxa"/>
            <w:vAlign w:val="bottom"/>
          </w:tcPr>
          <w:p>
            <w:pPr>
              <w:spacing w:after="0"/>
              <w:rPr>
                <w:sz w:val="23"/>
                <w:szCs w:val="23"/>
                <w:color w:val="auto"/>
              </w:rPr>
            </w:pPr>
          </w:p>
        </w:tc>
        <w:tc>
          <w:tcPr>
            <w:tcW w:w="10220" w:type="dxa"/>
            <w:vAlign w:val="bottom"/>
          </w:tcPr>
          <w:p>
            <w:pPr>
              <w:spacing w:after="0"/>
              <w:rPr>
                <w:sz w:val="20"/>
                <w:szCs w:val="20"/>
                <w:color w:val="auto"/>
              </w:rPr>
            </w:pPr>
            <w:r>
              <w:rPr>
                <w:rFonts w:ascii="Arial" w:cs="Arial" w:eastAsia="Arial" w:hAnsi="Arial"/>
                <w:sz w:val="15"/>
                <w:szCs w:val="15"/>
                <w:color w:val="auto"/>
              </w:rPr>
              <w:t>Presentation materials for January 30, 2007 conference call</w:t>
            </w:r>
          </w:p>
        </w:tc>
      </w:tr>
      <w:tr>
        <w:trPr>
          <w:trHeight w:val="282"/>
        </w:trPr>
        <w:tc>
          <w:tcPr>
            <w:tcW w:w="580" w:type="dxa"/>
            <w:vAlign w:val="bottom"/>
            <w:gridSpan w:val="2"/>
          </w:tcPr>
          <w:p>
            <w:pPr>
              <w:jc w:val="center"/>
              <w:spacing w:after="0"/>
              <w:rPr>
                <w:sz w:val="20"/>
                <w:szCs w:val="20"/>
                <w:color w:val="auto"/>
              </w:rPr>
            </w:pPr>
            <w:r>
              <w:rPr>
                <w:rFonts w:ascii="Arial" w:cs="Arial" w:eastAsia="Arial" w:hAnsi="Arial"/>
                <w:sz w:val="15"/>
                <w:szCs w:val="15"/>
                <w:color w:val="auto"/>
                <w:w w:val="95"/>
              </w:rPr>
              <w:t>99.3</w:t>
            </w:r>
          </w:p>
        </w:tc>
        <w:tc>
          <w:tcPr>
            <w:tcW w:w="640" w:type="dxa"/>
            <w:vAlign w:val="bottom"/>
          </w:tcPr>
          <w:p>
            <w:pPr>
              <w:spacing w:after="0"/>
              <w:rPr>
                <w:sz w:val="24"/>
                <w:szCs w:val="24"/>
                <w:color w:val="auto"/>
              </w:rPr>
            </w:pPr>
          </w:p>
        </w:tc>
        <w:tc>
          <w:tcPr>
            <w:tcW w:w="10220" w:type="dxa"/>
            <w:vAlign w:val="bottom"/>
          </w:tcPr>
          <w:p>
            <w:pPr>
              <w:spacing w:after="0"/>
              <w:rPr>
                <w:sz w:val="20"/>
                <w:szCs w:val="20"/>
                <w:color w:val="auto"/>
              </w:rPr>
            </w:pPr>
            <w:r>
              <w:rPr>
                <w:rFonts w:ascii="Arial" w:cs="Arial" w:eastAsia="Arial" w:hAnsi="Arial"/>
                <w:sz w:val="15"/>
                <w:szCs w:val="15"/>
                <w:color w:val="auto"/>
                <w:w w:val="93"/>
              </w:rPr>
              <w:t>Results of Operations and Operating Unit Results reflecting the restatement for discontinued operations and reclassification of certain expenses and segment results.</w:t>
            </w:r>
          </w:p>
        </w:tc>
      </w:tr>
    </w:tbl>
    <w:p>
      <w:pPr>
        <w:sectPr>
          <w:pgSz w:w="11900" w:h="16838" w:orient="portrait"/>
          <w:cols w:equalWidth="0" w:num="1">
            <w:col w:w="11440"/>
          </w:cols>
          <w:pgMar w:left="240" w:top="262" w:right="219" w:bottom="1440" w:gutter="0" w:footer="0" w:header="0"/>
        </w:sectPr>
      </w:pPr>
    </w:p>
    <w:bookmarkStart w:id="2" w:name="page3"/>
    <w:bookmarkEnd w:id="2"/>
    <w:p>
      <w:pPr>
        <w:jc w:val="center"/>
        <w:ind w:right="-47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4720" cy="24765"/>
                    </a:xfrm>
                    <a:prstGeom prst="rect">
                      <a:avLst/>
                    </a:prstGeom>
                    <a:noFill/>
                  </pic:spPr>
                </pic:pic>
              </a:graphicData>
            </a:graphic>
          </wp:anchor>
        </w:drawing>
        <w:t>SIGNATURES</w:t>
      </w:r>
    </w:p>
    <w:p>
      <w:pPr>
        <w:spacing w:after="0" w:line="161" w:lineRule="exact"/>
        <w:rPr>
          <w:sz w:val="20"/>
          <w:szCs w:val="20"/>
          <w:color w:val="auto"/>
        </w:rPr>
      </w:pPr>
    </w:p>
    <w:p>
      <w:pPr>
        <w:ind w:firstLine="457"/>
        <w:spacing w:after="0" w:line="291" w:lineRule="auto"/>
        <w:rPr>
          <w:sz w:val="20"/>
          <w:szCs w:val="20"/>
          <w:color w:val="auto"/>
        </w:rPr>
      </w:pPr>
      <w:r>
        <w:rPr>
          <w:rFonts w:ascii="Arial" w:cs="Arial" w:eastAsia="Arial" w:hAnsi="Arial"/>
          <w:sz w:val="15"/>
          <w:szCs w:val="15"/>
          <w:color w:val="auto"/>
        </w:rPr>
        <w:t>Pursuant to the requirements of the Securities Exchange Act of 1934, the Registrant has duly caused this Report to be signed on its behalf by the undersigned hereunto duly authorized.</w:t>
      </w:r>
    </w:p>
    <w:p>
      <w:pPr>
        <w:spacing w:after="0" w:line="134" w:lineRule="exact"/>
        <w:rPr>
          <w:sz w:val="20"/>
          <w:szCs w:val="20"/>
          <w:color w:val="auto"/>
        </w:rPr>
      </w:pPr>
    </w:p>
    <w:p>
      <w:pPr>
        <w:ind w:left="5620"/>
        <w:spacing w:after="0"/>
        <w:rPr>
          <w:sz w:val="20"/>
          <w:szCs w:val="20"/>
          <w:color w:val="auto"/>
        </w:rPr>
      </w:pPr>
      <w:r>
        <w:rPr>
          <w:rFonts w:ascii="Arial" w:cs="Arial" w:eastAsia="Arial" w:hAnsi="Arial"/>
          <w:sz w:val="15"/>
          <w:szCs w:val="15"/>
          <w:color w:val="auto"/>
        </w:rPr>
        <w:t>MANPOWER INC.</w:t>
      </w:r>
    </w:p>
    <w:p>
      <w:pPr>
        <w:spacing w:after="0" w:line="204" w:lineRule="exact"/>
        <w:rPr>
          <w:sz w:val="20"/>
          <w:szCs w:val="20"/>
          <w:color w:val="auto"/>
        </w:rPr>
      </w:pPr>
    </w:p>
    <w:p>
      <w:pPr>
        <w:spacing w:after="0"/>
        <w:tabs>
          <w:tab w:leader="none" w:pos="5600" w:val="left"/>
        </w:tabs>
        <w:rPr>
          <w:sz w:val="20"/>
          <w:szCs w:val="20"/>
          <w:color w:val="auto"/>
        </w:rPr>
      </w:pPr>
      <w:r>
        <w:rPr>
          <w:rFonts w:ascii="Arial" w:cs="Arial" w:eastAsia="Arial" w:hAnsi="Arial"/>
          <w:sz w:val="15"/>
          <w:szCs w:val="15"/>
          <w:color w:val="auto"/>
        </w:rPr>
        <w:t>Dated: January 30, 2007</w:t>
      </w:r>
      <w:r>
        <w:rPr>
          <w:sz w:val="20"/>
          <w:szCs w:val="20"/>
          <w:color w:val="auto"/>
        </w:rPr>
        <w:tab/>
      </w:r>
      <w:r>
        <w:rPr>
          <w:rFonts w:ascii="Arial" w:cs="Arial" w:eastAsia="Arial" w:hAnsi="Arial"/>
          <w:sz w:val="14"/>
          <w:szCs w:val="14"/>
          <w:color w:val="auto"/>
        </w:rPr>
        <w:t>By:  /s/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3773805</wp:posOffset>
            </wp:positionH>
            <wp:positionV relativeFrom="paragraph">
              <wp:posOffset>14605</wp:posOffset>
            </wp:positionV>
            <wp:extent cx="348678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86785" cy="7620"/>
                    </a:xfrm>
                    <a:prstGeom prst="rect">
                      <a:avLst/>
                    </a:prstGeom>
                    <a:noFill/>
                  </pic:spPr>
                </pic:pic>
              </a:graphicData>
            </a:graphic>
          </wp:anchor>
        </w:drawing>
      </w:r>
    </w:p>
    <w:p>
      <w:pPr>
        <w:spacing w:after="0" w:line="19" w:lineRule="exact"/>
        <w:rPr>
          <w:sz w:val="20"/>
          <w:szCs w:val="20"/>
          <w:color w:val="auto"/>
        </w:rPr>
      </w:pPr>
    </w:p>
    <w:p>
      <w:pPr>
        <w:ind w:left="5940"/>
        <w:spacing w:after="0"/>
        <w:rPr>
          <w:sz w:val="20"/>
          <w:szCs w:val="20"/>
          <w:color w:val="auto"/>
        </w:rPr>
      </w:pPr>
      <w:r>
        <w:rPr>
          <w:rFonts w:ascii="Arial" w:cs="Arial" w:eastAsia="Arial" w:hAnsi="Arial"/>
          <w:sz w:val="15"/>
          <w:szCs w:val="15"/>
          <w:color w:val="auto"/>
        </w:rPr>
        <w:t>Michael J. Van Handel</w:t>
      </w:r>
    </w:p>
    <w:p>
      <w:pPr>
        <w:spacing w:after="0" w:line="22" w:lineRule="exact"/>
        <w:rPr>
          <w:sz w:val="20"/>
          <w:szCs w:val="20"/>
          <w:color w:val="auto"/>
        </w:rPr>
      </w:pPr>
    </w:p>
    <w:p>
      <w:pPr>
        <w:ind w:left="5940"/>
        <w:spacing w:after="0"/>
        <w:rPr>
          <w:sz w:val="20"/>
          <w:szCs w:val="20"/>
          <w:color w:val="auto"/>
        </w:rPr>
      </w:pPr>
      <w:r>
        <w:rPr>
          <w:rFonts w:ascii="Arial" w:cs="Arial" w:eastAsia="Arial" w:hAnsi="Arial"/>
          <w:sz w:val="15"/>
          <w:szCs w:val="15"/>
          <w:color w:val="auto"/>
        </w:rPr>
        <w:t>Executive Vice President,</w:t>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5"/>
          <w:szCs w:val="15"/>
          <w:color w:val="auto"/>
        </w:rPr>
        <w:t>Chief Financial Officer and Secretary</w:t>
      </w:r>
    </w:p>
    <w:p>
      <w:pPr>
        <w:sectPr>
          <w:pgSz w:w="11900" w:h="16838" w:orient="portrait"/>
          <w:cols w:equalWidth="0" w:num="1">
            <w:col w:w="10940"/>
          </w:cols>
          <w:pgMar w:left="240" w:top="258" w:right="7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20" w:type="dxa"/>
            <w:vAlign w:val="bottom"/>
          </w:tcPr>
          <w:p>
            <w:pPr>
              <w:ind w:left="3900"/>
              <w:spacing w:after="0"/>
              <w:rPr>
                <w:sz w:val="20"/>
                <w:szCs w:val="20"/>
                <w:color w:val="auto"/>
              </w:rPr>
            </w:pPr>
            <w:r>
              <w:rPr>
                <w:rFonts w:ascii="Arial" w:cs="Arial" w:eastAsia="Arial" w:hAnsi="Arial"/>
                <w:sz w:val="15"/>
                <w:szCs w:val="15"/>
                <w:b w:val="1"/>
                <w:bCs w:val="1"/>
                <w:color w:val="auto"/>
              </w:rPr>
              <w:t>EXHIBIT INDEX</w:t>
            </w:r>
          </w:p>
        </w:tc>
      </w:tr>
      <w:tr>
        <w:trPr>
          <w:trHeight w:val="318"/>
        </w:trPr>
        <w:tc>
          <w:tcPr>
            <w:tcW w:w="580" w:type="dxa"/>
            <w:vAlign w:val="bottom"/>
            <w:gridSpan w:val="2"/>
          </w:tcPr>
          <w:p>
            <w:pPr>
              <w:jc w:val="center"/>
              <w:spacing w:after="0"/>
              <w:rPr>
                <w:sz w:val="20"/>
                <w:szCs w:val="20"/>
                <w:color w:val="auto"/>
              </w:rPr>
            </w:pPr>
            <w:r>
              <w:rPr>
                <w:rFonts w:ascii="Arial" w:cs="Arial" w:eastAsia="Arial" w:hAnsi="Arial"/>
                <w:sz w:val="12"/>
                <w:szCs w:val="12"/>
                <w:b w:val="1"/>
                <w:bCs w:val="1"/>
                <w:color w:val="auto"/>
                <w:w w:val="89"/>
              </w:rPr>
              <w:t>Exhibit No.</w:t>
            </w:r>
          </w:p>
        </w:tc>
        <w:tc>
          <w:tcPr>
            <w:tcW w:w="640" w:type="dxa"/>
            <w:vAlign w:val="bottom"/>
          </w:tcPr>
          <w:p>
            <w:pPr>
              <w:spacing w:after="0"/>
              <w:rPr>
                <w:sz w:val="24"/>
                <w:szCs w:val="24"/>
                <w:color w:val="auto"/>
              </w:rPr>
            </w:pPr>
          </w:p>
        </w:tc>
        <w:tc>
          <w:tcPr>
            <w:tcW w:w="10220" w:type="dxa"/>
            <w:vAlign w:val="bottom"/>
          </w:tcPr>
          <w:p>
            <w:pPr>
              <w:spacing w:after="0"/>
              <w:rPr>
                <w:sz w:val="20"/>
                <w:szCs w:val="20"/>
                <w:color w:val="auto"/>
              </w:rPr>
            </w:pPr>
            <w:r>
              <w:rPr>
                <w:rFonts w:ascii="Arial" w:cs="Arial" w:eastAsia="Arial" w:hAnsi="Arial"/>
                <w:sz w:val="12"/>
                <w:szCs w:val="12"/>
                <w:b w:val="1"/>
                <w:bCs w:val="1"/>
                <w:color w:val="auto"/>
              </w:rPr>
              <w:t>Description</w:t>
            </w:r>
          </w:p>
        </w:tc>
      </w:tr>
      <w:tr>
        <w:trPr>
          <w:trHeight w:val="186"/>
        </w:trPr>
        <w:tc>
          <w:tcPr>
            <w:tcW w:w="20" w:type="dxa"/>
            <w:vAlign w:val="bottom"/>
          </w:tcPr>
          <w:p>
            <w:pPr>
              <w:spacing w:after="0"/>
              <w:rPr>
                <w:sz w:val="16"/>
                <w:szCs w:val="16"/>
                <w:color w:val="auto"/>
              </w:rPr>
            </w:pPr>
          </w:p>
        </w:tc>
        <w:tc>
          <w:tcPr>
            <w:tcW w:w="56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5"/>
              </w:rPr>
              <w:t>99.1</w:t>
            </w:r>
          </w:p>
        </w:tc>
        <w:tc>
          <w:tcPr>
            <w:tcW w:w="640" w:type="dxa"/>
            <w:vAlign w:val="bottom"/>
          </w:tcPr>
          <w:p>
            <w:pPr>
              <w:spacing w:after="0"/>
              <w:rPr>
                <w:sz w:val="16"/>
                <w:szCs w:val="16"/>
                <w:color w:val="auto"/>
              </w:rPr>
            </w:pPr>
          </w:p>
        </w:tc>
        <w:tc>
          <w:tcPr>
            <w:tcW w:w="1022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Press Release dated January 30, 2007</w:t>
            </w:r>
          </w:p>
        </w:tc>
      </w:tr>
      <w:tr>
        <w:trPr>
          <w:trHeight w:val="275"/>
        </w:trPr>
        <w:tc>
          <w:tcPr>
            <w:tcW w:w="580" w:type="dxa"/>
            <w:vAlign w:val="bottom"/>
            <w:gridSpan w:val="2"/>
          </w:tcPr>
          <w:p>
            <w:pPr>
              <w:jc w:val="center"/>
              <w:spacing w:after="0"/>
              <w:rPr>
                <w:sz w:val="20"/>
                <w:szCs w:val="20"/>
                <w:color w:val="auto"/>
              </w:rPr>
            </w:pPr>
            <w:r>
              <w:rPr>
                <w:rFonts w:ascii="Arial" w:cs="Arial" w:eastAsia="Arial" w:hAnsi="Arial"/>
                <w:sz w:val="15"/>
                <w:szCs w:val="15"/>
                <w:color w:val="auto"/>
                <w:w w:val="95"/>
              </w:rPr>
              <w:t>99.2</w:t>
            </w:r>
          </w:p>
        </w:tc>
        <w:tc>
          <w:tcPr>
            <w:tcW w:w="640" w:type="dxa"/>
            <w:vAlign w:val="bottom"/>
          </w:tcPr>
          <w:p>
            <w:pPr>
              <w:spacing w:after="0"/>
              <w:rPr>
                <w:sz w:val="23"/>
                <w:szCs w:val="23"/>
                <w:color w:val="auto"/>
              </w:rPr>
            </w:pPr>
          </w:p>
        </w:tc>
        <w:tc>
          <w:tcPr>
            <w:tcW w:w="10220" w:type="dxa"/>
            <w:vAlign w:val="bottom"/>
          </w:tcPr>
          <w:p>
            <w:pPr>
              <w:spacing w:after="0"/>
              <w:rPr>
                <w:sz w:val="20"/>
                <w:szCs w:val="20"/>
                <w:color w:val="auto"/>
              </w:rPr>
            </w:pPr>
            <w:r>
              <w:rPr>
                <w:rFonts w:ascii="Arial" w:cs="Arial" w:eastAsia="Arial" w:hAnsi="Arial"/>
                <w:sz w:val="15"/>
                <w:szCs w:val="15"/>
                <w:color w:val="auto"/>
              </w:rPr>
              <w:t>Presentation materials for January 30, 2007 conference call</w:t>
            </w:r>
          </w:p>
        </w:tc>
      </w:tr>
      <w:tr>
        <w:trPr>
          <w:trHeight w:val="282"/>
        </w:trPr>
        <w:tc>
          <w:tcPr>
            <w:tcW w:w="580" w:type="dxa"/>
            <w:vAlign w:val="bottom"/>
            <w:gridSpan w:val="2"/>
          </w:tcPr>
          <w:p>
            <w:pPr>
              <w:jc w:val="center"/>
              <w:spacing w:after="0"/>
              <w:rPr>
                <w:sz w:val="20"/>
                <w:szCs w:val="20"/>
                <w:color w:val="auto"/>
              </w:rPr>
            </w:pPr>
            <w:r>
              <w:rPr>
                <w:rFonts w:ascii="Arial" w:cs="Arial" w:eastAsia="Arial" w:hAnsi="Arial"/>
                <w:sz w:val="15"/>
                <w:szCs w:val="15"/>
                <w:color w:val="auto"/>
                <w:w w:val="95"/>
              </w:rPr>
              <w:t>99.3</w:t>
            </w:r>
          </w:p>
        </w:tc>
        <w:tc>
          <w:tcPr>
            <w:tcW w:w="640" w:type="dxa"/>
            <w:vAlign w:val="bottom"/>
          </w:tcPr>
          <w:p>
            <w:pPr>
              <w:spacing w:after="0"/>
              <w:rPr>
                <w:sz w:val="24"/>
                <w:szCs w:val="24"/>
                <w:color w:val="auto"/>
              </w:rPr>
            </w:pPr>
          </w:p>
        </w:tc>
        <w:tc>
          <w:tcPr>
            <w:tcW w:w="10220" w:type="dxa"/>
            <w:vAlign w:val="bottom"/>
          </w:tcPr>
          <w:p>
            <w:pPr>
              <w:spacing w:after="0"/>
              <w:rPr>
                <w:sz w:val="20"/>
                <w:szCs w:val="20"/>
                <w:color w:val="auto"/>
              </w:rPr>
            </w:pPr>
            <w:r>
              <w:rPr>
                <w:rFonts w:ascii="Arial" w:cs="Arial" w:eastAsia="Arial" w:hAnsi="Arial"/>
                <w:sz w:val="15"/>
                <w:szCs w:val="15"/>
                <w:color w:val="auto"/>
                <w:w w:val="93"/>
              </w:rPr>
              <w:t>Results of Operations and Operating Unit Results reflecting the restatement for discontinued operations and reclassification of certain expenses and segment results.</w:t>
            </w:r>
          </w:p>
        </w:tc>
      </w:tr>
    </w:tbl>
    <w:p>
      <w:pPr>
        <w:spacing w:after="0"/>
        <w:rPr>
          <w:sz w:val="20"/>
          <w:szCs w:val="20"/>
          <w:color w:val="auto"/>
        </w:rPr>
        <w:sectPr>
          <w:pgSz w:w="11900" w:h="16838" w:orient="portrait"/>
          <w:cols w:equalWidth="0" w:num="1">
            <w:col w:w="11440"/>
          </w:cols>
          <w:pgMar w:left="240" w:top="258" w:right="219" w:bottom="1440" w:gutter="0" w:footer="0" w:header="0"/>
        </w:sect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5"/>
          <w:szCs w:val="15"/>
          <w:b w:val="1"/>
          <w:bCs w:val="1"/>
          <w:color w:val="auto"/>
        </w:rPr>
        <w:t>Exhibit 99.1</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color w:val="auto"/>
        </w:rPr>
        <w:t>[MANPOWER logo]</w:t>
      </w:r>
    </w:p>
    <w:p>
      <w:pPr>
        <w:spacing w:after="0" w:line="188" w:lineRule="exact"/>
        <w:rPr>
          <w:sz w:val="20"/>
          <w:szCs w:val="20"/>
          <w:color w:val="auto"/>
        </w:rPr>
      </w:pPr>
    </w:p>
    <w:p>
      <w:pPr>
        <w:spacing w:after="0"/>
        <w:tabs>
          <w:tab w:leader="none" w:pos="5920" w:val="left"/>
        </w:tabs>
        <w:rPr>
          <w:sz w:val="20"/>
          <w:szCs w:val="20"/>
          <w:color w:val="auto"/>
        </w:rPr>
      </w:pPr>
      <w:r>
        <w:rPr>
          <w:rFonts w:ascii="Arial" w:cs="Arial" w:eastAsia="Arial" w:hAnsi="Arial"/>
          <w:sz w:val="15"/>
          <w:szCs w:val="15"/>
          <w:b w:val="1"/>
          <w:bCs w:val="1"/>
          <w:color w:val="auto"/>
        </w:rPr>
        <w:t>FOR IMMEDIATE RELEASE</w:t>
      </w:r>
      <w:r>
        <w:rPr>
          <w:sz w:val="20"/>
          <w:szCs w:val="20"/>
          <w:color w:val="auto"/>
        </w:rPr>
        <w:tab/>
      </w:r>
      <w:r>
        <w:rPr>
          <w:rFonts w:ascii="Arial" w:cs="Arial" w:eastAsia="Arial" w:hAnsi="Arial"/>
          <w:sz w:val="14"/>
          <w:szCs w:val="14"/>
          <w:b w:val="1"/>
          <w:bCs w:val="1"/>
          <w:color w:val="auto"/>
        </w:rPr>
        <w:t>Contact:</w:t>
      </w:r>
    </w:p>
    <w:p>
      <w:pPr>
        <w:spacing w:after="0" w:line="114" w:lineRule="exact"/>
        <w:rPr>
          <w:sz w:val="20"/>
          <w:szCs w:val="20"/>
          <w:color w:val="auto"/>
        </w:rPr>
      </w:pPr>
    </w:p>
    <w:p>
      <w:pPr>
        <w:ind w:left="5940"/>
        <w:spacing w:after="0"/>
        <w:rPr>
          <w:sz w:val="20"/>
          <w:szCs w:val="20"/>
          <w:color w:val="auto"/>
        </w:rPr>
      </w:pPr>
      <w:r>
        <w:rPr>
          <w:rFonts w:ascii="Arial" w:cs="Arial" w:eastAsia="Arial" w:hAnsi="Arial"/>
          <w:sz w:val="15"/>
          <w:szCs w:val="15"/>
          <w:color w:val="auto"/>
        </w:rPr>
        <w:t>Mike Van Handel</w:t>
      </w:r>
    </w:p>
    <w:p>
      <w:pPr>
        <w:spacing w:after="0" w:line="22" w:lineRule="exact"/>
        <w:rPr>
          <w:sz w:val="20"/>
          <w:szCs w:val="20"/>
          <w:color w:val="auto"/>
        </w:rPr>
      </w:pPr>
    </w:p>
    <w:p>
      <w:pPr>
        <w:ind w:left="5940"/>
        <w:spacing w:after="0"/>
        <w:rPr>
          <w:sz w:val="20"/>
          <w:szCs w:val="20"/>
          <w:color w:val="auto"/>
        </w:rPr>
      </w:pPr>
      <w:r>
        <w:rPr>
          <w:rFonts w:ascii="Arial" w:cs="Arial" w:eastAsia="Arial" w:hAnsi="Arial"/>
          <w:sz w:val="15"/>
          <w:szCs w:val="15"/>
          <w:color w:val="auto"/>
        </w:rPr>
        <w:t>Manpower Inc.</w:t>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5"/>
          <w:szCs w:val="15"/>
          <w:color w:val="auto"/>
        </w:rPr>
        <w:t>+1.414.906.6305</w:t>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5"/>
          <w:szCs w:val="15"/>
          <w:u w:val="single" w:color="auto"/>
          <w:color w:val="auto"/>
        </w:rPr>
        <w:t>michael.vanhandel@manpower.com</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Manpower Reports 4</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Quarter and Full-Year 2006 Results</w:t>
      </w:r>
    </w:p>
    <w:p>
      <w:pPr>
        <w:spacing w:after="0" w:line="111" w:lineRule="exact"/>
        <w:rPr>
          <w:sz w:val="20"/>
          <w:szCs w:val="20"/>
          <w:color w:val="auto"/>
        </w:rPr>
      </w:pPr>
    </w:p>
    <w:p>
      <w:pPr>
        <w:ind w:right="40" w:firstLine="457"/>
        <w:spacing w:after="0" w:line="276" w:lineRule="auto"/>
        <w:rPr>
          <w:sz w:val="20"/>
          <w:szCs w:val="20"/>
          <w:color w:val="auto"/>
        </w:rPr>
      </w:pPr>
      <w:r>
        <w:rPr>
          <w:rFonts w:ascii="Arial" w:cs="Arial" w:eastAsia="Arial" w:hAnsi="Arial"/>
          <w:sz w:val="15"/>
          <w:szCs w:val="15"/>
          <w:color w:val="auto"/>
        </w:rPr>
        <w:t>MILWAUKEE, WI, USA, January 30, 2007 – Manpower Inc. (NYSE: MAN) today reported that net earnings per diluted share for the three months ended December 31, 2006 increased 88 percent to $1.90 from $1.01 in the prior year period. Net earnings in the quarter increased to $164.4 million from $89.1 million a year earlier. Revenues for the fourth quarter totaled $4.7 billion, an increase of 16 percent from the year-earlier period, or an increase of 9 percent in constant currency.</w:t>
      </w:r>
    </w:p>
    <w:p>
      <w:pPr>
        <w:spacing w:after="0" w:line="110" w:lineRule="exact"/>
        <w:rPr>
          <w:sz w:val="20"/>
          <w:szCs w:val="20"/>
          <w:color w:val="auto"/>
        </w:rPr>
      </w:pPr>
    </w:p>
    <w:p>
      <w:pPr>
        <w:ind w:right="200" w:firstLine="457"/>
        <w:spacing w:after="0" w:line="296" w:lineRule="auto"/>
        <w:rPr>
          <w:sz w:val="20"/>
          <w:szCs w:val="20"/>
          <w:color w:val="auto"/>
        </w:rPr>
      </w:pPr>
      <w:r>
        <w:rPr>
          <w:rFonts w:ascii="Arial" w:cs="Arial" w:eastAsia="Arial" w:hAnsi="Arial"/>
          <w:sz w:val="14"/>
          <w:szCs w:val="14"/>
          <w:color w:val="auto"/>
        </w:rPr>
        <w:t>Included in the fourth quarter results is net income from discontinued operations, primarily related to the sale of our Nordic facility management services, of $64.8 million or 75 cents per diluted share. Net earnings per diluted share from continuing operations in the fourth quarter were $1.15, an increase of 15 percent. Included in net earnings from continuing operations are severance costs related to Right Management of $6.9 million ($5.4 million net of income taxes or 6 cents per diluted share). Additionally, results from continuing operations in the fourth quarter were favorably impacted by 6 cents as foreign currencies were relatively stronger compared to the prior year period.</w:t>
      </w:r>
    </w:p>
    <w:p>
      <w:pPr>
        <w:spacing w:after="0" w:line="99" w:lineRule="exact"/>
        <w:rPr>
          <w:sz w:val="20"/>
          <w:szCs w:val="20"/>
          <w:color w:val="auto"/>
        </w:rPr>
      </w:pPr>
    </w:p>
    <w:p>
      <w:pPr>
        <w:ind w:right="100" w:firstLine="457"/>
        <w:spacing w:after="0" w:line="276" w:lineRule="auto"/>
        <w:rPr>
          <w:sz w:val="20"/>
          <w:szCs w:val="20"/>
          <w:color w:val="auto"/>
        </w:rPr>
      </w:pPr>
      <w:r>
        <w:rPr>
          <w:rFonts w:ascii="Arial" w:cs="Arial" w:eastAsia="Arial" w:hAnsi="Arial"/>
          <w:sz w:val="15"/>
          <w:szCs w:val="15"/>
          <w:color w:val="auto"/>
        </w:rPr>
        <w:t>Jeffrey A. Joerres, Manpower Chairman and Chief Executive Officer, said, “Manpower performed extremely well in the fourth quarter and for the full year. 2006 was a pivotal year for us as we executed very well to affect the present, and laid the groundwork for outstanding performance in the future. Our continued growth in Europe, emerging markets and our specialty service lines will fuel solid growth into 2007.</w:t>
      </w:r>
    </w:p>
    <w:p>
      <w:pPr>
        <w:spacing w:after="0" w:line="110" w:lineRule="exact"/>
        <w:rPr>
          <w:sz w:val="20"/>
          <w:szCs w:val="20"/>
          <w:color w:val="auto"/>
        </w:rPr>
      </w:pPr>
    </w:p>
    <w:p>
      <w:pPr>
        <w:ind w:right="60" w:firstLine="457"/>
        <w:spacing w:after="0" w:line="291" w:lineRule="auto"/>
        <w:rPr>
          <w:sz w:val="20"/>
          <w:szCs w:val="20"/>
          <w:color w:val="auto"/>
        </w:rPr>
      </w:pPr>
      <w:r>
        <w:rPr>
          <w:rFonts w:ascii="Arial" w:cs="Arial" w:eastAsia="Arial" w:hAnsi="Arial"/>
          <w:sz w:val="15"/>
          <w:szCs w:val="15"/>
          <w:color w:val="auto"/>
        </w:rPr>
        <w:t>“We are anticipating diluted net earnings per share for the first quarter of 2007 to be in the range of 57 to 61 cents. This includes an estimated favorable currency impact of 4 cents per diluted share.”</w:t>
      </w:r>
    </w:p>
    <w:p>
      <w:pPr>
        <w:spacing w:after="0" w:line="99" w:lineRule="exact"/>
        <w:rPr>
          <w:sz w:val="20"/>
          <w:szCs w:val="20"/>
          <w:color w:val="auto"/>
        </w:rPr>
      </w:pPr>
    </w:p>
    <w:p>
      <w:pPr>
        <w:ind w:right="40" w:firstLine="457"/>
        <w:spacing w:after="0" w:line="373" w:lineRule="auto"/>
        <w:rPr>
          <w:sz w:val="20"/>
          <w:szCs w:val="20"/>
          <w:color w:val="auto"/>
        </w:rPr>
      </w:pPr>
      <w:r>
        <w:rPr>
          <w:rFonts w:ascii="Arial" w:cs="Arial" w:eastAsia="Arial" w:hAnsi="Arial"/>
          <w:sz w:val="13"/>
          <w:szCs w:val="13"/>
          <w:color w:val="auto"/>
        </w:rPr>
        <w:t>Net earnings per diluted share for the year ended December 31, 2006 were $4.54, an increase of 58 percent from $2.87 per diluted share in 2005. Net earnings were $398.0 million compared to $260.1 million in the prior year. Revenues for the year were $17.6 billion, an increase of 11 percent from the prior year, or an increase of 10 percent in constant currency.</w:t>
      </w:r>
    </w:p>
    <w:p>
      <w:pPr>
        <w:spacing w:after="0" w:line="53" w:lineRule="exact"/>
        <w:rPr>
          <w:sz w:val="20"/>
          <w:szCs w:val="20"/>
          <w:color w:val="auto"/>
        </w:rPr>
      </w:pPr>
    </w:p>
    <w:p>
      <w:pPr>
        <w:ind w:right="40" w:firstLine="457"/>
        <w:spacing w:after="0" w:line="291" w:lineRule="auto"/>
        <w:rPr>
          <w:sz w:val="20"/>
          <w:szCs w:val="20"/>
          <w:color w:val="auto"/>
        </w:rPr>
      </w:pPr>
      <w:r>
        <w:rPr>
          <w:rFonts w:ascii="Arial" w:cs="Arial" w:eastAsia="Arial" w:hAnsi="Arial"/>
          <w:sz w:val="15"/>
          <w:szCs w:val="15"/>
          <w:color w:val="auto"/>
        </w:rPr>
        <w:t>Included in the full year 2006 results is net income from discontinued operations, primarily related to the sale of our Swedish payrolling business in the first quarter and our sale of the Nordic facility management services in the fourth quarter, of $92.3 million</w:t>
      </w:r>
    </w:p>
    <w:p>
      <w:pPr>
        <w:sectPr>
          <w:pgSz w:w="11900" w:h="16838" w:orient="portrait"/>
          <w:cols w:equalWidth="0" w:num="1">
            <w:col w:w="11440"/>
          </w:cols>
          <w:pgMar w:left="240" w:top="128" w:right="219" w:bottom="1440" w:gutter="0" w:footer="0" w:header="0"/>
        </w:sectPr>
      </w:pPr>
    </w:p>
    <w:bookmarkStart w:id="5" w:name="page6"/>
    <w:bookmarkEnd w:id="5"/>
    <w:p>
      <w:pPr>
        <w:ind w:right="80"/>
        <w:spacing w:after="0" w:line="27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4720" cy="24765"/>
                    </a:xfrm>
                    <a:prstGeom prst="rect">
                      <a:avLst/>
                    </a:prstGeom>
                    <a:noFill/>
                  </pic:spPr>
                </pic:pic>
              </a:graphicData>
            </a:graphic>
          </wp:anchor>
        </w:drawing>
        <w:t>or $1.06 per diluted share. Net earnings per diluted share from continuing operations for 2006 were $3.48, an increase of 23 percent. Included in net earnings from continuing operations are charges related to reorganization and a global cost reduction initiative totaling $26.8 million ($18.8 million net of income taxes or 22 cents per diluted share). Additionally, results from continuing operations were favorably impacted by 6 cents due to changes in foreign currencies compared to the prior year.</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 conjunction with its fourth quarter earnings release, Manpower will broadcast its conference call live over the Internet on January 30, 2007 at 7:30 a.m. CST (8:30 a.m. EST).</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Interested parties are invited to listen to the webcast by logging on to http://investor.manpower.com.</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Supplemental financial information referenced in the conference call can be found at http://investor.manpower.com.</w:t>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About Manpower Inc.</w:t>
      </w:r>
    </w:p>
    <w:p>
      <w:pPr>
        <w:spacing w:after="0" w:line="90" w:lineRule="exact"/>
        <w:rPr>
          <w:sz w:val="20"/>
          <w:szCs w:val="20"/>
          <w:color w:val="auto"/>
        </w:rPr>
      </w:pPr>
    </w:p>
    <w:p>
      <w:pPr>
        <w:ind w:right="40"/>
        <w:spacing w:after="0" w:line="266" w:lineRule="auto"/>
        <w:rPr>
          <w:sz w:val="20"/>
          <w:szCs w:val="20"/>
          <w:color w:val="auto"/>
        </w:rPr>
      </w:pPr>
      <w:r>
        <w:rPr>
          <w:rFonts w:ascii="Arial" w:cs="Arial" w:eastAsia="Arial" w:hAnsi="Arial"/>
          <w:sz w:val="15"/>
          <w:szCs w:val="15"/>
          <w:color w:val="auto"/>
        </w:rPr>
        <w:t>Manpower Inc. (NYSE: MAN) is a world leader in the employment services industry; creating and delivering services that enable its clients to win in the changing world of work. The $18 billion company offers employers a range of services for the entire employment and business cycle including permanent, temporary and contract recruitment; employee assessment and selection; training; outplacement; outsourcing and consulting. Manpower’s worldwide network of 4,400 offices in 73 countries and territories enables the company to meet the needs of its 400,000 clients per year, including small and medium size enterprises in all industry sectors, as well as the world’s largest multinational corporations. The focus of Manpower’s work is on raising productivity through improved quality, efficiency and cost-reduction across their total workforce, enabling clients to concentrate on their core business activities. Manpower Inc. operates under five brands: Manpower, Manpower Professional, Elan, Jefferson Wells and Right Management. More information on Manpower Inc. is available at www.manpower.com.</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Forward-Looking Statements</w:t>
      </w:r>
    </w:p>
    <w:p>
      <w:pPr>
        <w:spacing w:after="0" w:line="90" w:lineRule="exact"/>
        <w:rPr>
          <w:sz w:val="20"/>
          <w:szCs w:val="20"/>
          <w:color w:val="auto"/>
        </w:rPr>
      </w:pPr>
    </w:p>
    <w:p>
      <w:pPr>
        <w:spacing w:after="0" w:line="296" w:lineRule="auto"/>
        <w:rPr>
          <w:sz w:val="20"/>
          <w:szCs w:val="20"/>
          <w:color w:val="auto"/>
        </w:rPr>
      </w:pPr>
      <w:r>
        <w:rPr>
          <w:rFonts w:ascii="Arial" w:cs="Arial" w:eastAsia="Arial" w:hAnsi="Arial"/>
          <w:sz w:val="14"/>
          <w:szCs w:val="14"/>
          <w:color w:val="auto"/>
        </w:rPr>
        <w:t>This news release contains statements, including earning projections, that are forward-looking in nature and, accordingly, are subject to risks and uncertainties regarding the Company’s expected future results. The Company’s actual results may differ materially from those described or contemplated in the forward-looking statements. Factors that may cause the Company’s actual results to differ materially from those contained in the forward-looking statements can be found in the Company’s reports filed with the SEC, including the information under the heading ‘Risk Factors’ in its Annual Report on Form 10-K for the year ended December 31, 2005, which information is incorporated herein by reference.</w:t>
      </w:r>
    </w:p>
    <w:p>
      <w:pPr>
        <w:spacing w:after="0" w:line="95"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 ### -</w:t>
      </w:r>
    </w:p>
    <w:p>
      <w:pPr>
        <w:sectPr>
          <w:pgSz w:w="11900" w:h="16838" w:orient="portrait"/>
          <w:cols w:equalWidth="0" w:num="1">
            <w:col w:w="11380"/>
          </w:cols>
          <w:pgMar w:left="240" w:top="262" w:right="279" w:bottom="1440" w:gutter="0" w:footer="0" w:header="0"/>
        </w:sectPr>
      </w:pPr>
    </w:p>
    <w:bookmarkStart w:id="6" w:name="page7"/>
    <w:bookmarkEnd w:id="6"/>
    <w:p>
      <w:pPr>
        <w:jc w:val="center"/>
        <w:ind w:right="-5"/>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4720" cy="24765"/>
                    </a:xfrm>
                    <a:prstGeom prst="rect">
                      <a:avLst/>
                    </a:prstGeom>
                    <a:noFill/>
                  </pic:spPr>
                </pic:pic>
              </a:graphicData>
            </a:graphic>
          </wp:anchor>
        </w:drawing>
        <w:t>Manpower Inc.</w:t>
      </w:r>
    </w:p>
    <w:p>
      <w:pPr>
        <w:spacing w:after="0" w:line="22"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Results of Operations</w:t>
      </w:r>
    </w:p>
    <w:p>
      <w:pPr>
        <w:spacing w:after="0" w:line="16"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(In millions, except per share data)</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40"/>
        </w:trPr>
        <w:tc>
          <w:tcPr>
            <w:tcW w:w="94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gridSpan w:val="6"/>
          </w:tcPr>
          <w:p>
            <w:pPr>
              <w:jc w:val="center"/>
              <w:ind w:right="140"/>
              <w:spacing w:after="0"/>
              <w:rPr>
                <w:sz w:val="20"/>
                <w:szCs w:val="20"/>
                <w:color w:val="auto"/>
              </w:rPr>
            </w:pPr>
            <w:r>
              <w:rPr>
                <w:rFonts w:ascii="Arial" w:cs="Arial" w:eastAsia="Arial" w:hAnsi="Arial"/>
                <w:sz w:val="12"/>
                <w:szCs w:val="12"/>
                <w:b w:val="1"/>
                <w:bCs w:val="1"/>
                <w:color w:val="auto"/>
                <w:w w:val="89"/>
              </w:rPr>
              <w:t>Three Months Ended December 31</w:t>
            </w:r>
          </w:p>
        </w:tc>
        <w:tc>
          <w:tcPr>
            <w:tcW w:w="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940" w:type="dxa"/>
            <w:vAlign w:val="bottom"/>
          </w:tcPr>
          <w:p>
            <w:pPr>
              <w:spacing w:after="0"/>
              <w:rPr>
                <w:sz w:val="10"/>
                <w:szCs w:val="10"/>
                <w:color w:val="auto"/>
              </w:rPr>
            </w:pPr>
          </w:p>
        </w:tc>
        <w:tc>
          <w:tcPr>
            <w:tcW w:w="7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0" w:type="dxa"/>
            <w:vAlign w:val="bottom"/>
            <w:tcBorders>
              <w:bottom w:val="single" w:sz="8" w:color="auto"/>
            </w:tcBorders>
            <w:gridSpan w:val="3"/>
          </w:tcPr>
          <w:p>
            <w:pPr>
              <w:ind w:left="400"/>
              <w:spacing w:after="0" w:line="121" w:lineRule="exact"/>
              <w:rPr>
                <w:sz w:val="20"/>
                <w:szCs w:val="20"/>
                <w:color w:val="auto"/>
              </w:rPr>
            </w:pPr>
            <w:r>
              <w:rPr>
                <w:rFonts w:ascii="Arial" w:cs="Arial" w:eastAsia="Arial" w:hAnsi="Arial"/>
                <w:sz w:val="12"/>
                <w:szCs w:val="12"/>
                <w:b w:val="1"/>
                <w:bCs w:val="1"/>
                <w:color w:val="auto"/>
              </w:rPr>
              <w:t>% Variance</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940" w:type="dxa"/>
            <w:vAlign w:val="bottom"/>
          </w:tcPr>
          <w:p>
            <w:pPr>
              <w:spacing w:after="0"/>
              <w:rPr>
                <w:sz w:val="9"/>
                <w:szCs w:val="9"/>
                <w:color w:val="auto"/>
              </w:rPr>
            </w:pPr>
          </w:p>
        </w:tc>
        <w:tc>
          <w:tcPr>
            <w:tcW w:w="72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920" w:type="dxa"/>
            <w:vAlign w:val="bottom"/>
            <w:gridSpan w:val="2"/>
          </w:tcPr>
          <w:p>
            <w:pPr>
              <w:jc w:val="right"/>
              <w:ind w:right="480"/>
              <w:spacing w:after="0" w:line="110" w:lineRule="exact"/>
              <w:rPr>
                <w:sz w:val="20"/>
                <w:szCs w:val="20"/>
                <w:color w:val="auto"/>
              </w:rPr>
            </w:pPr>
            <w:r>
              <w:rPr>
                <w:rFonts w:ascii="Arial" w:cs="Arial" w:eastAsia="Arial" w:hAnsi="Arial"/>
                <w:sz w:val="12"/>
                <w:szCs w:val="12"/>
                <w:b w:val="1"/>
                <w:bCs w:val="1"/>
                <w:color w:val="auto"/>
                <w:w w:val="92"/>
              </w:rPr>
              <w:t>Amount</w:t>
            </w:r>
          </w:p>
        </w:tc>
        <w:tc>
          <w:tcPr>
            <w:tcW w:w="480" w:type="dxa"/>
            <w:vAlign w:val="bottom"/>
          </w:tcPr>
          <w:p>
            <w:pPr>
              <w:ind w:left="20"/>
              <w:spacing w:after="0" w:line="110" w:lineRule="exact"/>
              <w:rPr>
                <w:sz w:val="20"/>
                <w:szCs w:val="20"/>
                <w:color w:val="auto"/>
              </w:rPr>
            </w:pPr>
            <w:r>
              <w:rPr>
                <w:rFonts w:ascii="Arial" w:cs="Arial" w:eastAsia="Arial" w:hAnsi="Arial"/>
                <w:sz w:val="12"/>
                <w:szCs w:val="12"/>
                <w:b w:val="1"/>
                <w:bCs w:val="1"/>
                <w:color w:val="auto"/>
                <w:w w:val="84"/>
              </w:rPr>
              <w:t>Constant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94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84"/>
              <w:spacing w:after="0"/>
              <w:rPr>
                <w:sz w:val="20"/>
                <w:szCs w:val="20"/>
                <w:color w:val="auto"/>
              </w:rPr>
            </w:pPr>
            <w:r>
              <w:rPr>
                <w:rFonts w:ascii="Arial" w:cs="Arial" w:eastAsia="Arial" w:hAnsi="Arial"/>
                <w:sz w:val="12"/>
                <w:szCs w:val="12"/>
                <w:b w:val="1"/>
                <w:bCs w:val="1"/>
                <w:color w:val="auto"/>
              </w:rPr>
              <w:t>2006</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84"/>
              <w:spacing w:after="0"/>
              <w:rPr>
                <w:sz w:val="20"/>
                <w:szCs w:val="20"/>
                <w:color w:val="auto"/>
              </w:rPr>
            </w:pPr>
            <w:r>
              <w:rPr>
                <w:rFonts w:ascii="Arial" w:cs="Arial" w:eastAsia="Arial" w:hAnsi="Arial"/>
                <w:sz w:val="12"/>
                <w:szCs w:val="12"/>
                <w:b w:val="1"/>
                <w:bCs w:val="1"/>
                <w:color w:val="auto"/>
              </w:rPr>
              <w:t>2005</w:t>
            </w:r>
          </w:p>
        </w:tc>
        <w:tc>
          <w:tcPr>
            <w:tcW w:w="1240" w:type="dxa"/>
            <w:vAlign w:val="bottom"/>
            <w:gridSpan w:val="3"/>
          </w:tcPr>
          <w:p>
            <w:pPr>
              <w:jc w:val="right"/>
              <w:ind w:right="440"/>
              <w:spacing w:after="0"/>
              <w:rPr>
                <w:sz w:val="20"/>
                <w:szCs w:val="20"/>
                <w:color w:val="auto"/>
              </w:rPr>
            </w:pPr>
            <w:r>
              <w:rPr>
                <w:rFonts w:ascii="Arial" w:cs="Arial" w:eastAsia="Arial" w:hAnsi="Arial"/>
                <w:sz w:val="12"/>
                <w:szCs w:val="12"/>
                <w:b w:val="1"/>
                <w:bCs w:val="1"/>
                <w:color w:val="auto"/>
              </w:rPr>
              <w:t>Reported</w:t>
            </w:r>
          </w:p>
        </w:tc>
        <w:tc>
          <w:tcPr>
            <w:tcW w:w="62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87"/>
              </w:rPr>
              <w:t>Currency</w:t>
            </w:r>
          </w:p>
        </w:tc>
        <w:tc>
          <w:tcPr>
            <w:tcW w:w="0" w:type="dxa"/>
            <w:vAlign w:val="bottom"/>
          </w:tcPr>
          <w:p>
            <w:pPr>
              <w:spacing w:after="0"/>
              <w:rPr>
                <w:sz w:val="1"/>
                <w:szCs w:val="1"/>
                <w:color w:val="auto"/>
              </w:rPr>
            </w:pPr>
          </w:p>
        </w:tc>
      </w:tr>
      <w:tr>
        <w:trPr>
          <w:trHeight w:val="121"/>
        </w:trPr>
        <w:tc>
          <w:tcPr>
            <w:tcW w:w="940" w:type="dxa"/>
            <w:vAlign w:val="bottom"/>
          </w:tcPr>
          <w:p>
            <w:pPr>
              <w:spacing w:after="0"/>
              <w:rPr>
                <w:sz w:val="10"/>
                <w:szCs w:val="10"/>
                <w:color w:val="auto"/>
              </w:rPr>
            </w:pPr>
          </w:p>
        </w:tc>
        <w:tc>
          <w:tcPr>
            <w:tcW w:w="72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320" w:type="dxa"/>
            <w:vAlign w:val="bottom"/>
          </w:tcPr>
          <w:p>
            <w:pPr>
              <w:jc w:val="center"/>
              <w:spacing w:after="0"/>
              <w:rPr>
                <w:sz w:val="20"/>
                <w:szCs w:val="20"/>
                <w:color w:val="auto"/>
              </w:rPr>
            </w:pPr>
            <w:r>
              <w:rPr>
                <w:rFonts w:ascii="Arial" w:cs="Arial" w:eastAsia="Arial" w:hAnsi="Arial"/>
                <w:sz w:val="8"/>
                <w:szCs w:val="8"/>
                <w:b w:val="1"/>
                <w:bCs w:val="1"/>
                <w:color w:val="auto"/>
                <w:w w:val="71"/>
              </w:rPr>
              <w:t>(Unaudited)</w:t>
            </w:r>
          </w:p>
        </w:tc>
        <w:tc>
          <w:tcPr>
            <w:tcW w:w="48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81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Revenues from services (a)</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7"/>
              </w:rPr>
              <w:t>4,710.7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4,068.3</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15.8%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9.1%</w:t>
            </w:r>
          </w:p>
        </w:tc>
        <w:tc>
          <w:tcPr>
            <w:tcW w:w="0" w:type="dxa"/>
            <w:vAlign w:val="bottom"/>
          </w:tcPr>
          <w:p>
            <w:pPr>
              <w:spacing w:after="0"/>
              <w:rPr>
                <w:sz w:val="1"/>
                <w:szCs w:val="1"/>
                <w:color w:val="auto"/>
              </w:rPr>
            </w:pPr>
          </w:p>
        </w:tc>
      </w:tr>
      <w:tr>
        <w:trPr>
          <w:trHeight w:val="192"/>
        </w:trPr>
        <w:tc>
          <w:tcPr>
            <w:tcW w:w="8180" w:type="dxa"/>
            <w:vAlign w:val="bottom"/>
            <w:gridSpan w:val="2"/>
          </w:tcPr>
          <w:p>
            <w:pPr>
              <w:spacing w:after="0"/>
              <w:rPr>
                <w:sz w:val="20"/>
                <w:szCs w:val="20"/>
                <w:color w:val="auto"/>
              </w:rPr>
            </w:pPr>
            <w:r>
              <w:rPr>
                <w:rFonts w:ascii="Arial" w:cs="Arial" w:eastAsia="Arial" w:hAnsi="Arial"/>
                <w:sz w:val="15"/>
                <w:szCs w:val="15"/>
                <w:color w:val="auto"/>
              </w:rPr>
              <w:t>Cost of services (b)</w:t>
            </w: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7"/>
              </w:rPr>
              <w:t>3,844.9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7"/>
              </w:rPr>
              <w:t>3,321.9</w:t>
            </w:r>
          </w:p>
        </w:tc>
        <w:tc>
          <w:tcPr>
            <w:tcW w:w="1240" w:type="dxa"/>
            <w:vAlign w:val="bottom"/>
            <w:gridSpan w:val="3"/>
          </w:tcPr>
          <w:p>
            <w:pPr>
              <w:jc w:val="right"/>
              <w:ind w:right="320"/>
              <w:spacing w:after="0"/>
              <w:rPr>
                <w:sz w:val="20"/>
                <w:szCs w:val="20"/>
                <w:color w:val="auto"/>
              </w:rPr>
            </w:pPr>
            <w:r>
              <w:rPr>
                <w:rFonts w:ascii="Arial" w:cs="Arial" w:eastAsia="Arial" w:hAnsi="Arial"/>
                <w:sz w:val="15"/>
                <w:szCs w:val="15"/>
                <w:color w:val="auto"/>
              </w:rPr>
              <w:t>15.7%</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18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Gross profit</w:t>
            </w: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865.8</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746.4</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16.0%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9.6%</w:t>
            </w:r>
          </w:p>
        </w:tc>
        <w:tc>
          <w:tcPr>
            <w:tcW w:w="0" w:type="dxa"/>
            <w:vAlign w:val="bottom"/>
          </w:tcPr>
          <w:p>
            <w:pPr>
              <w:spacing w:after="0"/>
              <w:rPr>
                <w:sz w:val="1"/>
                <w:szCs w:val="1"/>
                <w:color w:val="auto"/>
              </w:rPr>
            </w:pPr>
          </w:p>
        </w:tc>
      </w:tr>
      <w:tr>
        <w:trPr>
          <w:trHeight w:val="192"/>
        </w:trPr>
        <w:tc>
          <w:tcPr>
            <w:tcW w:w="8180" w:type="dxa"/>
            <w:vAlign w:val="bottom"/>
            <w:gridSpan w:val="2"/>
          </w:tcPr>
          <w:p>
            <w:pPr>
              <w:spacing w:after="0"/>
              <w:rPr>
                <w:sz w:val="20"/>
                <w:szCs w:val="20"/>
                <w:color w:val="auto"/>
              </w:rPr>
            </w:pPr>
            <w:r>
              <w:rPr>
                <w:rFonts w:ascii="Arial" w:cs="Arial" w:eastAsia="Arial" w:hAnsi="Arial"/>
                <w:sz w:val="15"/>
                <w:szCs w:val="15"/>
                <w:color w:val="auto"/>
              </w:rPr>
              <w:t>Selling and administrative expenses (b)</w:t>
            </w: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696.0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615.6</w:t>
            </w:r>
          </w:p>
        </w:tc>
        <w:tc>
          <w:tcPr>
            <w:tcW w:w="1240" w:type="dxa"/>
            <w:vAlign w:val="bottom"/>
            <w:gridSpan w:val="3"/>
          </w:tcPr>
          <w:p>
            <w:pPr>
              <w:jc w:val="right"/>
              <w:ind w:right="320"/>
              <w:spacing w:after="0"/>
              <w:rPr>
                <w:sz w:val="20"/>
                <w:szCs w:val="20"/>
                <w:color w:val="auto"/>
              </w:rPr>
            </w:pPr>
            <w:r>
              <w:rPr>
                <w:rFonts w:ascii="Arial" w:cs="Arial" w:eastAsia="Arial" w:hAnsi="Arial"/>
                <w:sz w:val="15"/>
                <w:szCs w:val="15"/>
                <w:color w:val="auto"/>
              </w:rPr>
              <w:t>13.0%</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6.9%</w:t>
            </w:r>
          </w:p>
        </w:tc>
        <w:tc>
          <w:tcPr>
            <w:tcW w:w="0" w:type="dxa"/>
            <w:vAlign w:val="bottom"/>
          </w:tcPr>
          <w:p>
            <w:pPr>
              <w:spacing w:after="0"/>
              <w:rPr>
                <w:sz w:val="1"/>
                <w:szCs w:val="1"/>
                <w:color w:val="auto"/>
              </w:rPr>
            </w:pPr>
          </w:p>
        </w:tc>
      </w:tr>
      <w:tr>
        <w:trPr>
          <w:trHeight w:val="188"/>
        </w:trPr>
        <w:tc>
          <w:tcPr>
            <w:tcW w:w="818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Operating profit</w:t>
            </w: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169.8</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130.8</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29.8%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22.0%</w:t>
            </w:r>
          </w:p>
        </w:tc>
        <w:tc>
          <w:tcPr>
            <w:tcW w:w="0" w:type="dxa"/>
            <w:vAlign w:val="bottom"/>
          </w:tcPr>
          <w:p>
            <w:pPr>
              <w:spacing w:after="0"/>
              <w:rPr>
                <w:sz w:val="1"/>
                <w:szCs w:val="1"/>
                <w:color w:val="auto"/>
              </w:rPr>
            </w:pPr>
          </w:p>
        </w:tc>
      </w:tr>
      <w:tr>
        <w:trPr>
          <w:trHeight w:val="192"/>
        </w:trPr>
        <w:tc>
          <w:tcPr>
            <w:tcW w:w="8180" w:type="dxa"/>
            <w:vAlign w:val="bottom"/>
            <w:gridSpan w:val="2"/>
          </w:tcPr>
          <w:p>
            <w:pPr>
              <w:spacing w:after="0"/>
              <w:rPr>
                <w:sz w:val="20"/>
                <w:szCs w:val="20"/>
                <w:color w:val="auto"/>
              </w:rPr>
            </w:pPr>
            <w:r>
              <w:rPr>
                <w:rFonts w:ascii="Arial" w:cs="Arial" w:eastAsia="Arial" w:hAnsi="Arial"/>
                <w:sz w:val="15"/>
                <w:szCs w:val="15"/>
                <w:color w:val="auto"/>
              </w:rPr>
              <w:t>Interest and other expenses</w:t>
            </w: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w:t>
            </w:r>
          </w:p>
        </w:tc>
        <w:tc>
          <w:tcPr>
            <w:tcW w:w="320" w:type="dxa"/>
            <w:vAlign w:val="bottom"/>
          </w:tcPr>
          <w:p>
            <w:pPr>
              <w:spacing w:after="0"/>
              <w:rPr>
                <w:sz w:val="16"/>
                <w:szCs w:val="16"/>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5"/>
                <w:szCs w:val="15"/>
                <w:color w:val="auto"/>
              </w:rPr>
              <w:t>N/A</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18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Earnings before income taxes and discontinued operations</w:t>
            </w: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155.7</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123.8</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25.7%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19.3%</w:t>
            </w:r>
          </w:p>
        </w:tc>
        <w:tc>
          <w:tcPr>
            <w:tcW w:w="0" w:type="dxa"/>
            <w:vAlign w:val="bottom"/>
          </w:tcPr>
          <w:p>
            <w:pPr>
              <w:spacing w:after="0"/>
              <w:rPr>
                <w:sz w:val="1"/>
                <w:szCs w:val="1"/>
                <w:color w:val="auto"/>
              </w:rPr>
            </w:pPr>
          </w:p>
        </w:tc>
      </w:tr>
      <w:tr>
        <w:trPr>
          <w:trHeight w:val="192"/>
        </w:trPr>
        <w:tc>
          <w:tcPr>
            <w:tcW w:w="8180" w:type="dxa"/>
            <w:vAlign w:val="bottom"/>
            <w:gridSpan w:val="2"/>
          </w:tcPr>
          <w:p>
            <w:pPr>
              <w:spacing w:after="0"/>
              <w:rPr>
                <w:sz w:val="20"/>
                <w:szCs w:val="20"/>
                <w:color w:val="auto"/>
              </w:rPr>
            </w:pPr>
            <w:r>
              <w:rPr>
                <w:rFonts w:ascii="Arial" w:cs="Arial" w:eastAsia="Arial" w:hAnsi="Arial"/>
                <w:sz w:val="15"/>
                <w:szCs w:val="15"/>
                <w:color w:val="auto"/>
              </w:rPr>
              <w:t>Provision for income taxes</w:t>
            </w: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35.4</w:t>
            </w:r>
          </w:p>
        </w:tc>
        <w:tc>
          <w:tcPr>
            <w:tcW w:w="1240" w:type="dxa"/>
            <w:vAlign w:val="bottom"/>
            <w:gridSpan w:val="3"/>
          </w:tcPr>
          <w:p>
            <w:pPr>
              <w:jc w:val="right"/>
              <w:ind w:right="320"/>
              <w:spacing w:after="0"/>
              <w:rPr>
                <w:sz w:val="20"/>
                <w:szCs w:val="20"/>
                <w:color w:val="auto"/>
              </w:rPr>
            </w:pPr>
            <w:r>
              <w:rPr>
                <w:rFonts w:ascii="Arial" w:cs="Arial" w:eastAsia="Arial" w:hAnsi="Arial"/>
                <w:sz w:val="15"/>
                <w:szCs w:val="15"/>
                <w:color w:val="auto"/>
              </w:rPr>
              <w:t>58.6%</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18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Net earnings from continuing operations</w:t>
            </w: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99.6</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88.4</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12.6%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6.8%</w:t>
            </w:r>
          </w:p>
        </w:tc>
        <w:tc>
          <w:tcPr>
            <w:tcW w:w="0" w:type="dxa"/>
            <w:vAlign w:val="bottom"/>
          </w:tcPr>
          <w:p>
            <w:pPr>
              <w:spacing w:after="0"/>
              <w:rPr>
                <w:sz w:val="1"/>
                <w:szCs w:val="1"/>
                <w:color w:val="auto"/>
              </w:rPr>
            </w:pPr>
          </w:p>
        </w:tc>
      </w:tr>
      <w:tr>
        <w:trPr>
          <w:trHeight w:val="192"/>
        </w:trPr>
        <w:tc>
          <w:tcPr>
            <w:tcW w:w="8180" w:type="dxa"/>
            <w:vAlign w:val="bottom"/>
            <w:gridSpan w:val="2"/>
          </w:tcPr>
          <w:p>
            <w:pPr>
              <w:spacing w:after="0"/>
              <w:rPr>
                <w:sz w:val="20"/>
                <w:szCs w:val="20"/>
                <w:color w:val="auto"/>
              </w:rPr>
            </w:pPr>
            <w:r>
              <w:rPr>
                <w:rFonts w:ascii="Arial" w:cs="Arial" w:eastAsia="Arial" w:hAnsi="Arial"/>
                <w:sz w:val="15"/>
                <w:szCs w:val="15"/>
                <w:color w:val="auto"/>
              </w:rPr>
              <w:t>Income from discontinued operations, net of income taxes</w:t>
            </w: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0.7</w:t>
            </w:r>
          </w:p>
        </w:tc>
        <w:tc>
          <w:tcPr>
            <w:tcW w:w="320" w:type="dxa"/>
            <w:vAlign w:val="bottom"/>
          </w:tcPr>
          <w:p>
            <w:pPr>
              <w:spacing w:after="0"/>
              <w:rPr>
                <w:sz w:val="16"/>
                <w:szCs w:val="16"/>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5"/>
                <w:szCs w:val="15"/>
                <w:color w:val="auto"/>
              </w:rPr>
              <w:t>N/A</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18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Net earnings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164.4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89.1</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84.6%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69.4%</w:t>
            </w:r>
          </w:p>
        </w:tc>
        <w:tc>
          <w:tcPr>
            <w:tcW w:w="0" w:type="dxa"/>
            <w:vAlign w:val="bottom"/>
          </w:tcPr>
          <w:p>
            <w:pPr>
              <w:spacing w:after="0"/>
              <w:rPr>
                <w:sz w:val="1"/>
                <w:szCs w:val="1"/>
                <w:color w:val="auto"/>
              </w:rPr>
            </w:pPr>
          </w:p>
        </w:tc>
      </w:tr>
      <w:tr>
        <w:trPr>
          <w:trHeight w:val="20"/>
        </w:trPr>
        <w:tc>
          <w:tcPr>
            <w:tcW w:w="8180" w:type="dxa"/>
            <w:vAlign w:val="bottom"/>
            <w:gridSpan w:val="2"/>
            <w:vMerge w:val="restart"/>
          </w:tcPr>
          <w:p>
            <w:pPr>
              <w:spacing w:after="0"/>
              <w:rPr>
                <w:sz w:val="20"/>
                <w:szCs w:val="20"/>
                <w:color w:val="auto"/>
              </w:rPr>
            </w:pPr>
            <w:r>
              <w:rPr>
                <w:rFonts w:ascii="Arial" w:cs="Arial" w:eastAsia="Arial" w:hAnsi="Arial"/>
                <w:sz w:val="15"/>
                <w:szCs w:val="15"/>
                <w:color w:val="auto"/>
              </w:rPr>
              <w:t>Net earnings per share - basic:</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1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18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Continuing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1.17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15.8%</w:t>
            </w: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180" w:type="dxa"/>
            <w:vAlign w:val="bottom"/>
            <w:gridSpan w:val="2"/>
          </w:tcPr>
          <w:p>
            <w:pPr>
              <w:ind w:left="380"/>
              <w:spacing w:after="0"/>
              <w:rPr>
                <w:sz w:val="20"/>
                <w:szCs w:val="20"/>
                <w:color w:val="auto"/>
              </w:rPr>
            </w:pPr>
            <w:r>
              <w:rPr>
                <w:rFonts w:ascii="Arial" w:cs="Arial" w:eastAsia="Arial" w:hAnsi="Arial"/>
                <w:sz w:val="15"/>
                <w:szCs w:val="15"/>
                <w:color w:val="auto"/>
              </w:rPr>
              <w:t>Discontinued operations</w:t>
            </w: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0.77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0.01</w:t>
            </w:r>
          </w:p>
        </w:tc>
        <w:tc>
          <w:tcPr>
            <w:tcW w:w="320" w:type="dxa"/>
            <w:vAlign w:val="bottom"/>
          </w:tcPr>
          <w:p>
            <w:pPr>
              <w:spacing w:after="0"/>
              <w:rPr>
                <w:sz w:val="16"/>
                <w:szCs w:val="16"/>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5"/>
                <w:szCs w:val="15"/>
                <w:color w:val="auto"/>
              </w:rPr>
              <w:t>N/A</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18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1.94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90.2%</w:t>
            </w: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180" w:type="dxa"/>
            <w:vAlign w:val="bottom"/>
            <w:gridSpan w:val="2"/>
            <w:vMerge w:val="restart"/>
          </w:tcPr>
          <w:p>
            <w:pPr>
              <w:spacing w:after="0"/>
              <w:rPr>
                <w:sz w:val="20"/>
                <w:szCs w:val="20"/>
                <w:color w:val="auto"/>
              </w:rPr>
            </w:pPr>
            <w:r>
              <w:rPr>
                <w:rFonts w:ascii="Arial" w:cs="Arial" w:eastAsia="Arial" w:hAnsi="Arial"/>
                <w:sz w:val="15"/>
                <w:szCs w:val="15"/>
                <w:color w:val="auto"/>
              </w:rPr>
              <w:t>Net earnings per share - 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1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18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Continuing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1.15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15.0%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9.0%</w:t>
            </w:r>
          </w:p>
        </w:tc>
        <w:tc>
          <w:tcPr>
            <w:tcW w:w="0" w:type="dxa"/>
            <w:vAlign w:val="bottom"/>
          </w:tcPr>
          <w:p>
            <w:pPr>
              <w:spacing w:after="0"/>
              <w:rPr>
                <w:sz w:val="1"/>
                <w:szCs w:val="1"/>
                <w:color w:val="auto"/>
              </w:rPr>
            </w:pPr>
          </w:p>
        </w:tc>
      </w:tr>
      <w:tr>
        <w:trPr>
          <w:trHeight w:val="192"/>
        </w:trPr>
        <w:tc>
          <w:tcPr>
            <w:tcW w:w="8180" w:type="dxa"/>
            <w:vAlign w:val="bottom"/>
            <w:gridSpan w:val="2"/>
          </w:tcPr>
          <w:p>
            <w:pPr>
              <w:ind w:left="380"/>
              <w:spacing w:after="0"/>
              <w:rPr>
                <w:sz w:val="20"/>
                <w:szCs w:val="20"/>
                <w:color w:val="auto"/>
              </w:rPr>
            </w:pPr>
            <w:r>
              <w:rPr>
                <w:rFonts w:ascii="Arial" w:cs="Arial" w:eastAsia="Arial" w:hAnsi="Arial"/>
                <w:sz w:val="15"/>
                <w:szCs w:val="15"/>
                <w:color w:val="auto"/>
              </w:rPr>
              <w:t>Discontinued operations</w:t>
            </w: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0.75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0.01</w:t>
            </w:r>
          </w:p>
        </w:tc>
        <w:tc>
          <w:tcPr>
            <w:tcW w:w="320" w:type="dxa"/>
            <w:vAlign w:val="bottom"/>
          </w:tcPr>
          <w:p>
            <w:pPr>
              <w:spacing w:after="0"/>
              <w:rPr>
                <w:sz w:val="16"/>
                <w:szCs w:val="16"/>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5"/>
                <w:szCs w:val="15"/>
                <w:color w:val="auto"/>
              </w:rPr>
              <w:t>N/A</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18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1.90</w:t>
            </w:r>
          </w:p>
        </w:tc>
        <w:tc>
          <w:tcPr>
            <w:tcW w:w="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88.1%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73.3%</w:t>
            </w:r>
          </w:p>
        </w:tc>
        <w:tc>
          <w:tcPr>
            <w:tcW w:w="0" w:type="dxa"/>
            <w:vAlign w:val="bottom"/>
          </w:tcPr>
          <w:p>
            <w:pPr>
              <w:spacing w:after="0"/>
              <w:rPr>
                <w:sz w:val="1"/>
                <w:szCs w:val="1"/>
                <w:color w:val="auto"/>
              </w:rPr>
            </w:pPr>
          </w:p>
        </w:tc>
      </w:tr>
      <w:tr>
        <w:trPr>
          <w:trHeight w:val="20"/>
        </w:trPr>
        <w:tc>
          <w:tcPr>
            <w:tcW w:w="8180" w:type="dxa"/>
            <w:vAlign w:val="bottom"/>
            <w:gridSpan w:val="2"/>
            <w:vMerge w:val="restart"/>
          </w:tcPr>
          <w:p>
            <w:pPr>
              <w:spacing w:after="0"/>
              <w:rPr>
                <w:sz w:val="20"/>
                <w:szCs w:val="20"/>
                <w:color w:val="auto"/>
              </w:rPr>
            </w:pPr>
            <w:r>
              <w:rPr>
                <w:rFonts w:ascii="Arial" w:cs="Arial" w:eastAsia="Arial" w:hAnsi="Arial"/>
                <w:sz w:val="15"/>
                <w:szCs w:val="15"/>
                <w:color w:val="auto"/>
              </w:rPr>
              <w:t>Weighted average shares - basic</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gridSpan w:val="3"/>
            <w:vMerge w:val="restart"/>
          </w:tcPr>
          <w:p>
            <w:pPr>
              <w:jc w:val="right"/>
              <w:ind w:right="320"/>
              <w:spacing w:after="0"/>
              <w:rPr>
                <w:sz w:val="20"/>
                <w:szCs w:val="20"/>
                <w:color w:val="auto"/>
              </w:rPr>
            </w:pPr>
            <w:r>
              <w:rPr>
                <w:rFonts w:ascii="Arial" w:cs="Arial" w:eastAsia="Arial" w:hAnsi="Arial"/>
                <w:sz w:val="15"/>
                <w:szCs w:val="15"/>
                <w:color w:val="auto"/>
              </w:rPr>
              <w:t>-2.8%</w:t>
            </w: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1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rPr>
              <w:t>84.8</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87.2</w:t>
            </w:r>
          </w:p>
        </w:tc>
        <w:tc>
          <w:tcPr>
            <w:tcW w:w="1240" w:type="dxa"/>
            <w:vAlign w:val="bottom"/>
            <w:gridSpan w:val="3"/>
            <w:vMerge w:val="continue"/>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1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Weighted average shares - diluted</w:t>
            </w: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86.5</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88.5</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-2.3%</w:t>
            </w: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940" w:type="dxa"/>
            <w:vAlign w:val="bottom"/>
            <w:tcBorders>
              <w:bottom w:val="single" w:sz="8" w:color="auto"/>
            </w:tcBorders>
          </w:tcPr>
          <w:p>
            <w:pPr>
              <w:spacing w:after="0"/>
              <w:rPr>
                <w:sz w:val="7"/>
                <w:szCs w:val="7"/>
                <w:color w:val="auto"/>
              </w:rPr>
            </w:pPr>
          </w:p>
        </w:tc>
        <w:tc>
          <w:tcPr>
            <w:tcW w:w="724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446" w:right="160" w:hanging="446"/>
        <w:spacing w:after="0" w:line="264" w:lineRule="auto"/>
        <w:tabs>
          <w:tab w:leader="none" w:pos="446" w:val="left"/>
        </w:tabs>
        <w:numPr>
          <w:ilvl w:val="0"/>
          <w:numId w:val="2"/>
        </w:numPr>
        <w:rPr>
          <w:rFonts w:ascii="Arial" w:cs="Arial" w:eastAsia="Arial" w:hAnsi="Arial"/>
          <w:sz w:val="15"/>
          <w:szCs w:val="15"/>
          <w:color w:val="auto"/>
        </w:rPr>
      </w:pPr>
      <w:r>
        <w:rPr>
          <w:rFonts w:ascii="Arial" w:cs="Arial" w:eastAsia="Arial" w:hAnsi="Arial"/>
          <w:sz w:val="15"/>
          <w:szCs w:val="15"/>
          <w:color w:val="auto"/>
        </w:rPr>
        <w:t>Revenues from services include fees received from our franchise offices of $9.3 million and $9.1 million for the three months ended December 31, 2006 and 2005, respectively. These fees are primarily based on revenues generated by the franchise offices, which were $353.2 million and $388.6 million for the three months ended December 31, 2006 and 2005, respectively.</w:t>
      </w:r>
    </w:p>
    <w:p>
      <w:pPr>
        <w:spacing w:after="0" w:line="1" w:lineRule="exact"/>
        <w:rPr>
          <w:rFonts w:ascii="Arial" w:cs="Arial" w:eastAsia="Arial" w:hAnsi="Arial"/>
          <w:sz w:val="15"/>
          <w:szCs w:val="15"/>
          <w:color w:val="auto"/>
        </w:rPr>
      </w:pPr>
    </w:p>
    <w:p>
      <w:pPr>
        <w:jc w:val="both"/>
        <w:ind w:left="446" w:right="260" w:hanging="446"/>
        <w:spacing w:after="0" w:line="272" w:lineRule="auto"/>
        <w:tabs>
          <w:tab w:leader="none" w:pos="446" w:val="left"/>
        </w:tabs>
        <w:numPr>
          <w:ilvl w:val="0"/>
          <w:numId w:val="2"/>
        </w:numPr>
        <w:rPr>
          <w:rFonts w:ascii="Arial" w:cs="Arial" w:eastAsia="Arial" w:hAnsi="Arial"/>
          <w:sz w:val="15"/>
          <w:szCs w:val="15"/>
          <w:color w:val="auto"/>
        </w:rPr>
      </w:pPr>
      <w:r>
        <w:rPr>
          <w:rFonts w:ascii="Arial" w:cs="Arial" w:eastAsia="Arial" w:hAnsi="Arial"/>
          <w:sz w:val="15"/>
          <w:szCs w:val="15"/>
          <w:color w:val="auto"/>
        </w:rPr>
        <w:t>Our French business tax and profit sharing expenses, totaling $35.0 million and $19.7 million for the three months ended December 31, 2006 and 2005 respectively, previously reported as Selling and administrative expenses, are now reported in Cost of services as we believe this presentation is more appropriate given the nature of these expenses. All previously reported results have been revised to conform to the current year presentation.</w:t>
      </w:r>
    </w:p>
    <w:p>
      <w:pPr>
        <w:sectPr>
          <w:pgSz w:w="11900" w:h="16838" w:orient="portrait"/>
          <w:cols w:equalWidth="0" w:num="1">
            <w:col w:w="11446"/>
          </w:cols>
          <w:pgMar w:left="234" w:top="262" w:right="219" w:bottom="1440" w:gutter="0" w:footer="0" w:header="0"/>
        </w:sectPr>
      </w:pPr>
    </w:p>
    <w:bookmarkStart w:id="7" w:name="page8"/>
    <w:bookmarkEnd w:id="7"/>
    <w:p>
      <w:pPr>
        <w:jc w:val="center"/>
        <w:ind w:right="-5"/>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4720" cy="24765"/>
                    </a:xfrm>
                    <a:prstGeom prst="rect">
                      <a:avLst/>
                    </a:prstGeom>
                    <a:noFill/>
                  </pic:spPr>
                </pic:pic>
              </a:graphicData>
            </a:graphic>
          </wp:anchor>
        </w:drawing>
        <w:t>Manpower Inc.</w:t>
      </w:r>
    </w:p>
    <w:p>
      <w:pPr>
        <w:spacing w:after="0" w:line="22"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Operating Unit Results</w:t>
      </w:r>
    </w:p>
    <w:p>
      <w:pPr>
        <w:spacing w:after="0" w:line="16"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(In millions)</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40"/>
        </w:trPr>
        <w:tc>
          <w:tcPr>
            <w:tcW w:w="94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gridSpan w:val="6"/>
          </w:tcPr>
          <w:p>
            <w:pPr>
              <w:jc w:val="center"/>
              <w:ind w:right="140"/>
              <w:spacing w:after="0"/>
              <w:rPr>
                <w:sz w:val="20"/>
                <w:szCs w:val="20"/>
                <w:color w:val="auto"/>
              </w:rPr>
            </w:pPr>
            <w:r>
              <w:rPr>
                <w:rFonts w:ascii="Arial" w:cs="Arial" w:eastAsia="Arial" w:hAnsi="Arial"/>
                <w:sz w:val="12"/>
                <w:szCs w:val="12"/>
                <w:b w:val="1"/>
                <w:bCs w:val="1"/>
                <w:color w:val="auto"/>
                <w:w w:val="89"/>
              </w:rPr>
              <w:t>Three Months Ended December 31</w:t>
            </w:r>
          </w:p>
        </w:tc>
        <w:tc>
          <w:tcPr>
            <w:tcW w:w="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21"/>
        </w:trPr>
        <w:tc>
          <w:tcPr>
            <w:tcW w:w="940" w:type="dxa"/>
            <w:vAlign w:val="bottom"/>
          </w:tcPr>
          <w:p>
            <w:pPr>
              <w:spacing w:after="0"/>
              <w:rPr>
                <w:sz w:val="10"/>
                <w:szCs w:val="10"/>
                <w:color w:val="auto"/>
              </w:rPr>
            </w:pPr>
          </w:p>
        </w:tc>
        <w:tc>
          <w:tcPr>
            <w:tcW w:w="7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0" w:type="dxa"/>
            <w:vAlign w:val="bottom"/>
            <w:tcBorders>
              <w:bottom w:val="single" w:sz="8" w:color="auto"/>
            </w:tcBorders>
            <w:gridSpan w:val="3"/>
          </w:tcPr>
          <w:p>
            <w:pPr>
              <w:ind w:left="400"/>
              <w:spacing w:after="0" w:line="121" w:lineRule="exact"/>
              <w:rPr>
                <w:sz w:val="20"/>
                <w:szCs w:val="20"/>
                <w:color w:val="auto"/>
              </w:rPr>
            </w:pPr>
            <w:r>
              <w:rPr>
                <w:rFonts w:ascii="Arial" w:cs="Arial" w:eastAsia="Arial" w:hAnsi="Arial"/>
                <w:sz w:val="12"/>
                <w:szCs w:val="12"/>
                <w:b w:val="1"/>
                <w:bCs w:val="1"/>
                <w:color w:val="auto"/>
              </w:rPr>
              <w:t>% Variance</w:t>
            </w:r>
          </w:p>
        </w:tc>
        <w:tc>
          <w:tcPr>
            <w:tcW w:w="140" w:type="dxa"/>
            <w:vAlign w:val="bottom"/>
          </w:tcPr>
          <w:p>
            <w:pPr>
              <w:spacing w:after="0"/>
              <w:rPr>
                <w:sz w:val="10"/>
                <w:szCs w:val="10"/>
                <w:color w:val="auto"/>
              </w:rPr>
            </w:pPr>
          </w:p>
        </w:tc>
      </w:tr>
      <w:tr>
        <w:trPr>
          <w:trHeight w:val="110"/>
        </w:trPr>
        <w:tc>
          <w:tcPr>
            <w:tcW w:w="940" w:type="dxa"/>
            <w:vAlign w:val="bottom"/>
          </w:tcPr>
          <w:p>
            <w:pPr>
              <w:spacing w:after="0"/>
              <w:rPr>
                <w:sz w:val="9"/>
                <w:szCs w:val="9"/>
                <w:color w:val="auto"/>
              </w:rPr>
            </w:pPr>
          </w:p>
        </w:tc>
        <w:tc>
          <w:tcPr>
            <w:tcW w:w="72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920" w:type="dxa"/>
            <w:vAlign w:val="bottom"/>
            <w:gridSpan w:val="2"/>
          </w:tcPr>
          <w:p>
            <w:pPr>
              <w:jc w:val="right"/>
              <w:ind w:right="480"/>
              <w:spacing w:after="0" w:line="110" w:lineRule="exact"/>
              <w:rPr>
                <w:sz w:val="20"/>
                <w:szCs w:val="20"/>
                <w:color w:val="auto"/>
              </w:rPr>
            </w:pPr>
            <w:r>
              <w:rPr>
                <w:rFonts w:ascii="Arial" w:cs="Arial" w:eastAsia="Arial" w:hAnsi="Arial"/>
                <w:sz w:val="12"/>
                <w:szCs w:val="12"/>
                <w:b w:val="1"/>
                <w:bCs w:val="1"/>
                <w:color w:val="auto"/>
                <w:w w:val="92"/>
              </w:rPr>
              <w:t>Amount</w:t>
            </w:r>
          </w:p>
        </w:tc>
        <w:tc>
          <w:tcPr>
            <w:tcW w:w="480" w:type="dxa"/>
            <w:vAlign w:val="bottom"/>
          </w:tcPr>
          <w:p>
            <w:pPr>
              <w:ind w:left="20"/>
              <w:spacing w:after="0" w:line="110" w:lineRule="exact"/>
              <w:rPr>
                <w:sz w:val="20"/>
                <w:szCs w:val="20"/>
                <w:color w:val="auto"/>
              </w:rPr>
            </w:pPr>
            <w:r>
              <w:rPr>
                <w:rFonts w:ascii="Arial" w:cs="Arial" w:eastAsia="Arial" w:hAnsi="Arial"/>
                <w:sz w:val="12"/>
                <w:szCs w:val="12"/>
                <w:b w:val="1"/>
                <w:bCs w:val="1"/>
                <w:color w:val="auto"/>
                <w:w w:val="84"/>
              </w:rPr>
              <w:t>Constant</w:t>
            </w:r>
          </w:p>
        </w:tc>
        <w:tc>
          <w:tcPr>
            <w:tcW w:w="140" w:type="dxa"/>
            <w:vAlign w:val="bottom"/>
          </w:tcPr>
          <w:p>
            <w:pPr>
              <w:spacing w:after="0"/>
              <w:rPr>
                <w:sz w:val="9"/>
                <w:szCs w:val="9"/>
                <w:color w:val="auto"/>
              </w:rPr>
            </w:pPr>
          </w:p>
        </w:tc>
      </w:tr>
      <w:tr>
        <w:trPr>
          <w:trHeight w:val="140"/>
        </w:trPr>
        <w:tc>
          <w:tcPr>
            <w:tcW w:w="94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84"/>
              <w:spacing w:after="0"/>
              <w:rPr>
                <w:sz w:val="20"/>
                <w:szCs w:val="20"/>
                <w:color w:val="auto"/>
              </w:rPr>
            </w:pPr>
            <w:r>
              <w:rPr>
                <w:rFonts w:ascii="Arial" w:cs="Arial" w:eastAsia="Arial" w:hAnsi="Arial"/>
                <w:sz w:val="12"/>
                <w:szCs w:val="12"/>
                <w:b w:val="1"/>
                <w:bCs w:val="1"/>
                <w:color w:val="auto"/>
              </w:rPr>
              <w:t>2006</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84"/>
              <w:spacing w:after="0"/>
              <w:rPr>
                <w:sz w:val="20"/>
                <w:szCs w:val="20"/>
                <w:color w:val="auto"/>
              </w:rPr>
            </w:pPr>
            <w:r>
              <w:rPr>
                <w:rFonts w:ascii="Arial" w:cs="Arial" w:eastAsia="Arial" w:hAnsi="Arial"/>
                <w:sz w:val="12"/>
                <w:szCs w:val="12"/>
                <w:b w:val="1"/>
                <w:bCs w:val="1"/>
                <w:color w:val="auto"/>
              </w:rPr>
              <w:t>2005</w:t>
            </w:r>
          </w:p>
        </w:tc>
        <w:tc>
          <w:tcPr>
            <w:tcW w:w="1240" w:type="dxa"/>
            <w:vAlign w:val="bottom"/>
            <w:gridSpan w:val="3"/>
          </w:tcPr>
          <w:p>
            <w:pPr>
              <w:jc w:val="right"/>
              <w:ind w:right="440"/>
              <w:spacing w:after="0"/>
              <w:rPr>
                <w:sz w:val="20"/>
                <w:szCs w:val="20"/>
                <w:color w:val="auto"/>
              </w:rPr>
            </w:pPr>
            <w:r>
              <w:rPr>
                <w:rFonts w:ascii="Arial" w:cs="Arial" w:eastAsia="Arial" w:hAnsi="Arial"/>
                <w:sz w:val="12"/>
                <w:szCs w:val="12"/>
                <w:b w:val="1"/>
                <w:bCs w:val="1"/>
                <w:color w:val="auto"/>
              </w:rPr>
              <w:t>Reported</w:t>
            </w:r>
          </w:p>
        </w:tc>
        <w:tc>
          <w:tcPr>
            <w:tcW w:w="62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87"/>
              </w:rPr>
              <w:t>Currency</w:t>
            </w:r>
          </w:p>
        </w:tc>
      </w:tr>
      <w:tr>
        <w:trPr>
          <w:trHeight w:val="121"/>
        </w:trPr>
        <w:tc>
          <w:tcPr>
            <w:tcW w:w="940" w:type="dxa"/>
            <w:vAlign w:val="bottom"/>
          </w:tcPr>
          <w:p>
            <w:pPr>
              <w:spacing w:after="0"/>
              <w:rPr>
                <w:sz w:val="10"/>
                <w:szCs w:val="10"/>
                <w:color w:val="auto"/>
              </w:rPr>
            </w:pPr>
          </w:p>
        </w:tc>
        <w:tc>
          <w:tcPr>
            <w:tcW w:w="72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320" w:type="dxa"/>
            <w:vAlign w:val="bottom"/>
          </w:tcPr>
          <w:p>
            <w:pPr>
              <w:jc w:val="center"/>
              <w:spacing w:after="0"/>
              <w:rPr>
                <w:sz w:val="20"/>
                <w:szCs w:val="20"/>
                <w:color w:val="auto"/>
              </w:rPr>
            </w:pPr>
            <w:r>
              <w:rPr>
                <w:rFonts w:ascii="Arial" w:cs="Arial" w:eastAsia="Arial" w:hAnsi="Arial"/>
                <w:sz w:val="8"/>
                <w:szCs w:val="8"/>
                <w:b w:val="1"/>
                <w:bCs w:val="1"/>
                <w:color w:val="auto"/>
                <w:w w:val="71"/>
              </w:rPr>
              <w:t>(Unaudited)</w:t>
            </w:r>
          </w:p>
        </w:tc>
        <w:tc>
          <w:tcPr>
            <w:tcW w:w="48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r>
      <w:tr>
        <w:trPr>
          <w:trHeight w:val="188"/>
        </w:trPr>
        <w:tc>
          <w:tcPr>
            <w:tcW w:w="81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Revenues from Services: (a)</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8"/>
        </w:trPr>
        <w:tc>
          <w:tcPr>
            <w:tcW w:w="8180" w:type="dxa"/>
            <w:vAlign w:val="bottom"/>
            <w:gridSpan w:val="2"/>
          </w:tcPr>
          <w:p>
            <w:pPr>
              <w:ind w:left="380"/>
              <w:spacing w:after="0"/>
              <w:rPr>
                <w:sz w:val="20"/>
                <w:szCs w:val="20"/>
                <w:color w:val="auto"/>
              </w:rPr>
            </w:pPr>
            <w:r>
              <w:rPr>
                <w:rFonts w:ascii="Arial" w:cs="Arial" w:eastAsia="Arial" w:hAnsi="Arial"/>
                <w:sz w:val="15"/>
                <w:szCs w:val="15"/>
                <w:color w:val="auto"/>
              </w:rPr>
              <w:t>United States (b)</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rPr>
              <w:t>527.9</w:t>
            </w:r>
          </w:p>
        </w:tc>
        <w:tc>
          <w:tcPr>
            <w:tcW w:w="3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534.2</w:t>
            </w:r>
          </w:p>
        </w:tc>
        <w:tc>
          <w:tcPr>
            <w:tcW w:w="1240" w:type="dxa"/>
            <w:vAlign w:val="bottom"/>
            <w:gridSpan w:val="3"/>
          </w:tcPr>
          <w:p>
            <w:pPr>
              <w:jc w:val="right"/>
              <w:ind w:right="320"/>
              <w:spacing w:after="0"/>
              <w:rPr>
                <w:sz w:val="20"/>
                <w:szCs w:val="20"/>
                <w:color w:val="auto"/>
              </w:rPr>
            </w:pPr>
            <w:r>
              <w:rPr>
                <w:rFonts w:ascii="Arial" w:cs="Arial" w:eastAsia="Arial" w:hAnsi="Arial"/>
                <w:sz w:val="15"/>
                <w:szCs w:val="15"/>
                <w:color w:val="auto"/>
              </w:rPr>
              <w:t>-1.2%</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-1.2%</w:t>
            </w:r>
          </w:p>
        </w:tc>
      </w:tr>
      <w:tr>
        <w:trPr>
          <w:trHeight w:val="188"/>
        </w:trPr>
        <w:tc>
          <w:tcPr>
            <w:tcW w:w="818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France</w:t>
            </w: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7"/>
              </w:rPr>
              <w:t>1,589.0</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1,361.5</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16.7%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7.7%</w:t>
            </w:r>
          </w:p>
        </w:tc>
      </w:tr>
      <w:tr>
        <w:trPr>
          <w:trHeight w:val="188"/>
        </w:trPr>
        <w:tc>
          <w:tcPr>
            <w:tcW w:w="8180" w:type="dxa"/>
            <w:vAlign w:val="bottom"/>
            <w:gridSpan w:val="2"/>
          </w:tcPr>
          <w:p>
            <w:pPr>
              <w:ind w:left="380"/>
              <w:spacing w:after="0"/>
              <w:rPr>
                <w:sz w:val="20"/>
                <w:szCs w:val="20"/>
                <w:color w:val="auto"/>
              </w:rPr>
            </w:pPr>
            <w:r>
              <w:rPr>
                <w:rFonts w:ascii="Arial" w:cs="Arial" w:eastAsia="Arial" w:hAnsi="Arial"/>
                <w:sz w:val="15"/>
                <w:szCs w:val="15"/>
                <w:color w:val="auto"/>
              </w:rPr>
              <w:t>EMEA</w:t>
            </w:r>
          </w:p>
        </w:tc>
        <w:tc>
          <w:tcPr>
            <w:tcW w:w="8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w w:val="87"/>
              </w:rPr>
              <w:t>1,792.2</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87"/>
              </w:rPr>
              <w:t>1,444.7</w:t>
            </w:r>
          </w:p>
        </w:tc>
        <w:tc>
          <w:tcPr>
            <w:tcW w:w="1240" w:type="dxa"/>
            <w:vAlign w:val="bottom"/>
            <w:gridSpan w:val="3"/>
          </w:tcPr>
          <w:p>
            <w:pPr>
              <w:jc w:val="right"/>
              <w:ind w:right="320"/>
              <w:spacing w:after="0"/>
              <w:rPr>
                <w:sz w:val="20"/>
                <w:szCs w:val="20"/>
                <w:color w:val="auto"/>
              </w:rPr>
            </w:pPr>
            <w:r>
              <w:rPr>
                <w:rFonts w:ascii="Arial" w:cs="Arial" w:eastAsia="Arial" w:hAnsi="Arial"/>
                <w:sz w:val="15"/>
                <w:szCs w:val="15"/>
                <w:color w:val="auto"/>
              </w:rPr>
              <w:t>24.0%</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14.2%</w:t>
            </w:r>
          </w:p>
        </w:tc>
      </w:tr>
      <w:tr>
        <w:trPr>
          <w:trHeight w:val="188"/>
        </w:trPr>
        <w:tc>
          <w:tcPr>
            <w:tcW w:w="818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Jefferson Wells</w:t>
            </w: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84.8</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96.1</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-11.9%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-11.9%</w:t>
            </w:r>
          </w:p>
        </w:tc>
      </w:tr>
      <w:tr>
        <w:trPr>
          <w:trHeight w:val="188"/>
        </w:trPr>
        <w:tc>
          <w:tcPr>
            <w:tcW w:w="8180" w:type="dxa"/>
            <w:vAlign w:val="bottom"/>
            <w:gridSpan w:val="2"/>
          </w:tcPr>
          <w:p>
            <w:pPr>
              <w:ind w:left="380"/>
              <w:spacing w:after="0"/>
              <w:rPr>
                <w:sz w:val="20"/>
                <w:szCs w:val="20"/>
                <w:color w:val="auto"/>
              </w:rPr>
            </w:pPr>
            <w:r>
              <w:rPr>
                <w:rFonts w:ascii="Arial" w:cs="Arial" w:eastAsia="Arial" w:hAnsi="Arial"/>
                <w:sz w:val="15"/>
                <w:szCs w:val="15"/>
                <w:color w:val="auto"/>
              </w:rPr>
              <w:t>Right Management</w:t>
            </w:r>
          </w:p>
        </w:tc>
        <w:tc>
          <w:tcPr>
            <w:tcW w:w="8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rPr>
              <w:t>98.9</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96.6</w:t>
            </w:r>
          </w:p>
        </w:tc>
        <w:tc>
          <w:tcPr>
            <w:tcW w:w="1240" w:type="dxa"/>
            <w:vAlign w:val="bottom"/>
            <w:gridSpan w:val="3"/>
          </w:tcPr>
          <w:p>
            <w:pPr>
              <w:jc w:val="right"/>
              <w:ind w:right="320"/>
              <w:spacing w:after="0"/>
              <w:rPr>
                <w:sz w:val="20"/>
                <w:szCs w:val="20"/>
                <w:color w:val="auto"/>
              </w:rPr>
            </w:pPr>
            <w:r>
              <w:rPr>
                <w:rFonts w:ascii="Arial" w:cs="Arial" w:eastAsia="Arial" w:hAnsi="Arial"/>
                <w:sz w:val="15"/>
                <w:szCs w:val="15"/>
                <w:color w:val="auto"/>
              </w:rPr>
              <w:t>2.4%</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-1.8%</w:t>
            </w:r>
          </w:p>
        </w:tc>
      </w:tr>
      <w:tr>
        <w:trPr>
          <w:trHeight w:val="188"/>
        </w:trPr>
        <w:tc>
          <w:tcPr>
            <w:tcW w:w="818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Other Operations</w:t>
            </w:r>
          </w:p>
        </w:tc>
        <w:tc>
          <w:tcPr>
            <w:tcW w:w="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617.9</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535.2</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15.5%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14.7%</w:t>
            </w:r>
          </w:p>
        </w:tc>
      </w:tr>
      <w:tr>
        <w:trPr>
          <w:trHeight w:val="191"/>
        </w:trPr>
        <w:tc>
          <w:tcPr>
            <w:tcW w:w="940" w:type="dxa"/>
            <w:vAlign w:val="bottom"/>
          </w:tcPr>
          <w:p>
            <w:pPr>
              <w:spacing w:after="0"/>
              <w:rPr>
                <w:sz w:val="16"/>
                <w:szCs w:val="16"/>
                <w:color w:val="auto"/>
              </w:rPr>
            </w:pPr>
          </w:p>
        </w:tc>
        <w:tc>
          <w:tcPr>
            <w:tcW w:w="724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w w:val="87"/>
              </w:rPr>
              <w:t>4,710.7</w:t>
            </w:r>
          </w:p>
        </w:tc>
        <w:tc>
          <w:tcPr>
            <w:tcW w:w="32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w w:val="87"/>
              </w:rPr>
              <w:t>4,068.3</w:t>
            </w:r>
          </w:p>
        </w:tc>
        <w:tc>
          <w:tcPr>
            <w:tcW w:w="1240" w:type="dxa"/>
            <w:vAlign w:val="bottom"/>
            <w:gridSpan w:val="3"/>
          </w:tcPr>
          <w:p>
            <w:pPr>
              <w:jc w:val="right"/>
              <w:ind w:right="320"/>
              <w:spacing w:after="0"/>
              <w:rPr>
                <w:sz w:val="20"/>
                <w:szCs w:val="20"/>
                <w:color w:val="auto"/>
              </w:rPr>
            </w:pPr>
            <w:r>
              <w:rPr>
                <w:rFonts w:ascii="Arial" w:cs="Arial" w:eastAsia="Arial" w:hAnsi="Arial"/>
                <w:sz w:val="15"/>
                <w:szCs w:val="15"/>
                <w:color w:val="auto"/>
              </w:rPr>
              <w:t>15.8%</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9.1%</w:t>
            </w:r>
          </w:p>
        </w:tc>
      </w:tr>
      <w:tr>
        <w:trPr>
          <w:trHeight w:val="20"/>
        </w:trPr>
        <w:tc>
          <w:tcPr>
            <w:tcW w:w="9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6"/>
        </w:trPr>
        <w:tc>
          <w:tcPr>
            <w:tcW w:w="81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Operating Unit Profit: (a)</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8"/>
        </w:trPr>
        <w:tc>
          <w:tcPr>
            <w:tcW w:w="8180" w:type="dxa"/>
            <w:vAlign w:val="bottom"/>
            <w:gridSpan w:val="2"/>
          </w:tcPr>
          <w:p>
            <w:pPr>
              <w:ind w:left="380"/>
              <w:spacing w:after="0"/>
              <w:rPr>
                <w:sz w:val="20"/>
                <w:szCs w:val="20"/>
                <w:color w:val="auto"/>
              </w:rPr>
            </w:pPr>
            <w:r>
              <w:rPr>
                <w:rFonts w:ascii="Arial" w:cs="Arial" w:eastAsia="Arial" w:hAnsi="Arial"/>
                <w:sz w:val="15"/>
                <w:szCs w:val="15"/>
                <w:color w:val="auto"/>
              </w:rPr>
              <w:t>United States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rPr>
              <w:t>26.8</w:t>
            </w:r>
          </w:p>
        </w:tc>
        <w:tc>
          <w:tcPr>
            <w:tcW w:w="3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23.2</w:t>
            </w:r>
          </w:p>
        </w:tc>
        <w:tc>
          <w:tcPr>
            <w:tcW w:w="1240" w:type="dxa"/>
            <w:vAlign w:val="bottom"/>
            <w:gridSpan w:val="3"/>
          </w:tcPr>
          <w:p>
            <w:pPr>
              <w:jc w:val="right"/>
              <w:ind w:right="320"/>
              <w:spacing w:after="0"/>
              <w:rPr>
                <w:sz w:val="20"/>
                <w:szCs w:val="20"/>
                <w:color w:val="auto"/>
              </w:rPr>
            </w:pPr>
            <w:r>
              <w:rPr>
                <w:rFonts w:ascii="Arial" w:cs="Arial" w:eastAsia="Arial" w:hAnsi="Arial"/>
                <w:sz w:val="15"/>
                <w:szCs w:val="15"/>
                <w:color w:val="auto"/>
              </w:rPr>
              <w:t>15.2%</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15.2%</w:t>
            </w:r>
          </w:p>
        </w:tc>
      </w:tr>
      <w:tr>
        <w:trPr>
          <w:trHeight w:val="188"/>
        </w:trPr>
        <w:tc>
          <w:tcPr>
            <w:tcW w:w="818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France</w:t>
            </w: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61.2</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47.7</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28.3%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18.4%</w:t>
            </w:r>
          </w:p>
        </w:tc>
      </w:tr>
      <w:tr>
        <w:trPr>
          <w:trHeight w:val="188"/>
        </w:trPr>
        <w:tc>
          <w:tcPr>
            <w:tcW w:w="8180" w:type="dxa"/>
            <w:vAlign w:val="bottom"/>
            <w:gridSpan w:val="2"/>
          </w:tcPr>
          <w:p>
            <w:pPr>
              <w:ind w:left="380"/>
              <w:spacing w:after="0"/>
              <w:rPr>
                <w:sz w:val="20"/>
                <w:szCs w:val="20"/>
                <w:color w:val="auto"/>
              </w:rPr>
            </w:pPr>
            <w:r>
              <w:rPr>
                <w:rFonts w:ascii="Arial" w:cs="Arial" w:eastAsia="Arial" w:hAnsi="Arial"/>
                <w:sz w:val="15"/>
                <w:szCs w:val="15"/>
                <w:color w:val="auto"/>
              </w:rPr>
              <w:t>EMEA</w:t>
            </w:r>
          </w:p>
        </w:tc>
        <w:tc>
          <w:tcPr>
            <w:tcW w:w="8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rPr>
              <w:t>80.6</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51.9</w:t>
            </w:r>
          </w:p>
        </w:tc>
        <w:tc>
          <w:tcPr>
            <w:tcW w:w="1240" w:type="dxa"/>
            <w:vAlign w:val="bottom"/>
            <w:gridSpan w:val="3"/>
          </w:tcPr>
          <w:p>
            <w:pPr>
              <w:jc w:val="right"/>
              <w:ind w:right="320"/>
              <w:spacing w:after="0"/>
              <w:rPr>
                <w:sz w:val="20"/>
                <w:szCs w:val="20"/>
                <w:color w:val="auto"/>
              </w:rPr>
            </w:pPr>
            <w:r>
              <w:rPr>
                <w:rFonts w:ascii="Arial" w:cs="Arial" w:eastAsia="Arial" w:hAnsi="Arial"/>
                <w:sz w:val="15"/>
                <w:szCs w:val="15"/>
                <w:color w:val="auto"/>
              </w:rPr>
              <w:t>55.4%</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43.8%</w:t>
            </w:r>
          </w:p>
        </w:tc>
      </w:tr>
      <w:tr>
        <w:trPr>
          <w:trHeight w:val="188"/>
        </w:trPr>
        <w:tc>
          <w:tcPr>
            <w:tcW w:w="818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Jefferson Wells</w:t>
            </w: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6.2</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41.4%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41.4%</w:t>
            </w:r>
          </w:p>
        </w:tc>
      </w:tr>
      <w:tr>
        <w:trPr>
          <w:trHeight w:val="188"/>
        </w:trPr>
        <w:tc>
          <w:tcPr>
            <w:tcW w:w="8180" w:type="dxa"/>
            <w:vAlign w:val="bottom"/>
            <w:gridSpan w:val="2"/>
          </w:tcPr>
          <w:p>
            <w:pPr>
              <w:ind w:left="380"/>
              <w:spacing w:after="0"/>
              <w:rPr>
                <w:sz w:val="20"/>
                <w:szCs w:val="20"/>
                <w:color w:val="auto"/>
              </w:rPr>
            </w:pPr>
            <w:r>
              <w:rPr>
                <w:rFonts w:ascii="Arial" w:cs="Arial" w:eastAsia="Arial" w:hAnsi="Arial"/>
                <w:sz w:val="15"/>
                <w:szCs w:val="15"/>
                <w:color w:val="auto"/>
              </w:rPr>
              <w:t>Right Management</w:t>
            </w:r>
          </w:p>
        </w:tc>
        <w:tc>
          <w:tcPr>
            <w:tcW w:w="8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rPr>
              <w:t>0.4</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3.6</w:t>
            </w:r>
          </w:p>
        </w:tc>
        <w:tc>
          <w:tcPr>
            <w:tcW w:w="1240" w:type="dxa"/>
            <w:vAlign w:val="bottom"/>
            <w:gridSpan w:val="3"/>
          </w:tcPr>
          <w:p>
            <w:pPr>
              <w:jc w:val="right"/>
              <w:ind w:right="320"/>
              <w:spacing w:after="0"/>
              <w:rPr>
                <w:sz w:val="20"/>
                <w:szCs w:val="20"/>
                <w:color w:val="auto"/>
              </w:rPr>
            </w:pPr>
            <w:r>
              <w:rPr>
                <w:rFonts w:ascii="Arial" w:cs="Arial" w:eastAsia="Arial" w:hAnsi="Arial"/>
                <w:sz w:val="15"/>
                <w:szCs w:val="15"/>
                <w:color w:val="auto"/>
              </w:rPr>
              <w:t>-87.5%</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-74.1%</w:t>
            </w:r>
          </w:p>
        </w:tc>
      </w:tr>
      <w:tr>
        <w:trPr>
          <w:trHeight w:val="188"/>
        </w:trPr>
        <w:tc>
          <w:tcPr>
            <w:tcW w:w="818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Other Operations</w:t>
            </w:r>
          </w:p>
        </w:tc>
        <w:tc>
          <w:tcPr>
            <w:tcW w:w="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21.1</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19.2</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9.9%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10.3%</w:t>
            </w:r>
          </w:p>
        </w:tc>
      </w:tr>
      <w:tr>
        <w:trPr>
          <w:trHeight w:val="191"/>
        </w:trPr>
        <w:tc>
          <w:tcPr>
            <w:tcW w:w="940" w:type="dxa"/>
            <w:vAlign w:val="bottom"/>
          </w:tcPr>
          <w:p>
            <w:pPr>
              <w:spacing w:after="0"/>
              <w:rPr>
                <w:sz w:val="16"/>
                <w:szCs w:val="16"/>
                <w:color w:val="auto"/>
              </w:rPr>
            </w:pPr>
          </w:p>
        </w:tc>
        <w:tc>
          <w:tcPr>
            <w:tcW w:w="7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rPr>
              <w:t>196.3</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150.0</w:t>
            </w: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9"/>
        </w:trPr>
        <w:tc>
          <w:tcPr>
            <w:tcW w:w="81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Corporate expenses</w:t>
            </w: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23.2</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w:t>
            </w:r>
          </w:p>
        </w:tc>
        <w:tc>
          <w:tcPr>
            <w:tcW w:w="3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2"/>
        </w:trPr>
        <w:tc>
          <w:tcPr>
            <w:tcW w:w="8180" w:type="dxa"/>
            <w:vAlign w:val="bottom"/>
            <w:gridSpan w:val="2"/>
          </w:tcPr>
          <w:p>
            <w:pPr>
              <w:spacing w:after="0"/>
              <w:rPr>
                <w:sz w:val="20"/>
                <w:szCs w:val="20"/>
                <w:color w:val="auto"/>
              </w:rPr>
            </w:pPr>
            <w:r>
              <w:rPr>
                <w:rFonts w:ascii="Arial" w:cs="Arial" w:eastAsia="Arial" w:hAnsi="Arial"/>
                <w:sz w:val="15"/>
                <w:szCs w:val="15"/>
                <w:color w:val="auto"/>
              </w:rPr>
              <w:t>Amortization of intangible assets</w:t>
            </w: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w:t>
            </w: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8"/>
        </w:trPr>
        <w:tc>
          <w:tcPr>
            <w:tcW w:w="818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Operating profit</w:t>
            </w: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169.8</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130.8</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29.8%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22.0%</w:t>
            </w:r>
          </w:p>
        </w:tc>
      </w:tr>
      <w:tr>
        <w:trPr>
          <w:trHeight w:val="188"/>
        </w:trPr>
        <w:tc>
          <w:tcPr>
            <w:tcW w:w="8180" w:type="dxa"/>
            <w:vAlign w:val="bottom"/>
            <w:gridSpan w:val="2"/>
          </w:tcPr>
          <w:p>
            <w:pPr>
              <w:spacing w:after="0"/>
              <w:rPr>
                <w:sz w:val="20"/>
                <w:szCs w:val="20"/>
                <w:color w:val="auto"/>
              </w:rPr>
            </w:pPr>
            <w:r>
              <w:rPr>
                <w:rFonts w:ascii="Arial" w:cs="Arial" w:eastAsia="Arial" w:hAnsi="Arial"/>
                <w:sz w:val="15"/>
                <w:szCs w:val="15"/>
                <w:color w:val="auto"/>
              </w:rPr>
              <w:t>Interest and other expenses (c)</w:t>
            </w:r>
          </w:p>
        </w:tc>
        <w:tc>
          <w:tcPr>
            <w:tcW w:w="8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rPr>
              <w:t>14.1</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7.0</w:t>
            </w: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8"/>
        </w:trPr>
        <w:tc>
          <w:tcPr>
            <w:tcW w:w="818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Earnings before income taxes and discontinued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155.7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123.8</w:t>
            </w:r>
          </w:p>
        </w:tc>
        <w:tc>
          <w:tcPr>
            <w:tcW w:w="3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0"/>
        </w:trPr>
        <w:tc>
          <w:tcPr>
            <w:tcW w:w="9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81"/>
        </w:trPr>
        <w:tc>
          <w:tcPr>
            <w:tcW w:w="940" w:type="dxa"/>
            <w:vAlign w:val="bottom"/>
            <w:tcBorders>
              <w:bottom w:val="single" w:sz="8" w:color="auto"/>
            </w:tcBorders>
          </w:tcPr>
          <w:p>
            <w:pPr>
              <w:spacing w:after="0"/>
              <w:rPr>
                <w:sz w:val="7"/>
                <w:szCs w:val="7"/>
                <w:color w:val="auto"/>
              </w:rPr>
            </w:pPr>
          </w:p>
        </w:tc>
        <w:tc>
          <w:tcPr>
            <w:tcW w:w="724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r>
    </w:tbl>
    <w:p>
      <w:pPr>
        <w:spacing w:after="0" w:line="87" w:lineRule="exact"/>
        <w:rPr>
          <w:sz w:val="20"/>
          <w:szCs w:val="20"/>
          <w:color w:val="auto"/>
        </w:rPr>
      </w:pPr>
    </w:p>
    <w:p>
      <w:pPr>
        <w:ind w:left="446" w:right="40" w:hanging="446"/>
        <w:spacing w:after="0" w:line="264" w:lineRule="auto"/>
        <w:tabs>
          <w:tab w:leader="none" w:pos="446" w:val="left"/>
        </w:tabs>
        <w:numPr>
          <w:ilvl w:val="0"/>
          <w:numId w:val="3"/>
        </w:numPr>
        <w:rPr>
          <w:rFonts w:ascii="Arial" w:cs="Arial" w:eastAsia="Arial" w:hAnsi="Arial"/>
          <w:sz w:val="15"/>
          <w:szCs w:val="15"/>
          <w:color w:val="auto"/>
        </w:rPr>
      </w:pPr>
      <w:r>
        <w:rPr>
          <w:rFonts w:ascii="Arial" w:cs="Arial" w:eastAsia="Arial" w:hAnsi="Arial"/>
          <w:sz w:val="15"/>
          <w:szCs w:val="15"/>
          <w:color w:val="auto"/>
        </w:rPr>
        <w:t>Certain Eastern European countries previously reported in France, and our Russian operations previously reported in Other Operations, are now reported in EMEA due to a change in management structure. All previously reported results for France, EMEA, and Other Operations have been revised to conform to the current presentation. The impact of these revisions is not significant.</w:t>
      </w:r>
    </w:p>
    <w:p>
      <w:pPr>
        <w:spacing w:after="0" w:line="1" w:lineRule="exact"/>
        <w:rPr>
          <w:rFonts w:ascii="Arial" w:cs="Arial" w:eastAsia="Arial" w:hAnsi="Arial"/>
          <w:sz w:val="15"/>
          <w:szCs w:val="15"/>
          <w:color w:val="auto"/>
        </w:rPr>
      </w:pPr>
    </w:p>
    <w:p>
      <w:pPr>
        <w:ind w:left="446" w:right="180" w:hanging="446"/>
        <w:spacing w:after="0" w:line="261" w:lineRule="auto"/>
        <w:tabs>
          <w:tab w:leader="none" w:pos="446" w:val="left"/>
        </w:tabs>
        <w:numPr>
          <w:ilvl w:val="0"/>
          <w:numId w:val="3"/>
        </w:numPr>
        <w:rPr>
          <w:rFonts w:ascii="Arial" w:cs="Arial" w:eastAsia="Arial" w:hAnsi="Arial"/>
          <w:sz w:val="15"/>
          <w:szCs w:val="15"/>
          <w:color w:val="auto"/>
        </w:rPr>
      </w:pPr>
      <w:r>
        <w:rPr>
          <w:rFonts w:ascii="Arial" w:cs="Arial" w:eastAsia="Arial" w:hAnsi="Arial"/>
          <w:sz w:val="15"/>
          <w:szCs w:val="15"/>
          <w:color w:val="auto"/>
        </w:rPr>
        <w:t>In the United States, revenues from services include fees received from the related franchise offices of $6.5 million for the three months ended December 31, 2006 and 2005. These fees are primarily based on revenues generated by the franchise offices, which were $286.0 million and $311.8 million for the three months ended December 31, 2006 and 2005, respectively.</w:t>
      </w:r>
    </w:p>
    <w:p>
      <w:pPr>
        <w:spacing w:after="0" w:line="1" w:lineRule="exact"/>
        <w:rPr>
          <w:rFonts w:ascii="Arial" w:cs="Arial" w:eastAsia="Arial" w:hAnsi="Arial"/>
          <w:sz w:val="15"/>
          <w:szCs w:val="15"/>
          <w:color w:val="auto"/>
        </w:rPr>
      </w:pPr>
    </w:p>
    <w:p>
      <w:pPr>
        <w:ind w:left="446" w:hanging="446"/>
        <w:spacing w:after="0"/>
        <w:tabs>
          <w:tab w:leader="none" w:pos="446"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components of interest and other expenses were:</w:t>
      </w:r>
    </w:p>
    <w:p>
      <w:pPr>
        <w:spacing w:after="0" w:line="182" w:lineRule="exact"/>
        <w:rPr>
          <w:sz w:val="20"/>
          <w:szCs w:val="20"/>
          <w:color w:val="auto"/>
        </w:rPr>
      </w:pPr>
    </w:p>
    <w:tbl>
      <w:tblPr>
        <w:tblLayout w:type="fixed"/>
        <w:tblInd w:w="466" w:type="dxa"/>
        <w:tblCellMar>
          <w:top w:w="0" w:type="dxa"/>
          <w:left w:w="0" w:type="dxa"/>
          <w:bottom w:w="0" w:type="dxa"/>
          <w:right w:w="0" w:type="dxa"/>
        </w:tblCellMar>
      </w:tblPr>
      <w:tr>
        <w:trPr>
          <w:trHeight w:val="140"/>
        </w:trPr>
        <w:tc>
          <w:tcPr>
            <w:tcW w:w="9220" w:type="dxa"/>
            <w:vAlign w:val="bottom"/>
          </w:tcPr>
          <w:p>
            <w:pPr>
              <w:spacing w:after="0"/>
              <w:rPr>
                <w:sz w:val="12"/>
                <w:szCs w:val="12"/>
                <w:color w:val="auto"/>
              </w:rPr>
            </w:pPr>
          </w:p>
        </w:tc>
        <w:tc>
          <w:tcPr>
            <w:tcW w:w="380" w:type="dxa"/>
            <w:vAlign w:val="bottom"/>
            <w:tcBorders>
              <w:bottom w:val="single" w:sz="8" w:color="auto"/>
            </w:tcBorders>
          </w:tcPr>
          <w:p>
            <w:pPr>
              <w:jc w:val="right"/>
              <w:ind w:right="7"/>
              <w:spacing w:after="0"/>
              <w:rPr>
                <w:sz w:val="20"/>
                <w:szCs w:val="20"/>
                <w:color w:val="auto"/>
              </w:rPr>
            </w:pPr>
            <w:r>
              <w:rPr>
                <w:rFonts w:ascii="Arial" w:cs="Arial" w:eastAsia="Arial" w:hAnsi="Arial"/>
                <w:sz w:val="12"/>
                <w:szCs w:val="12"/>
                <w:b w:val="1"/>
                <w:bCs w:val="1"/>
                <w:color w:val="auto"/>
              </w:rPr>
              <w:t>2006</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ind w:right="7"/>
              <w:spacing w:after="0"/>
              <w:rPr>
                <w:sz w:val="20"/>
                <w:szCs w:val="20"/>
                <w:color w:val="auto"/>
              </w:rPr>
            </w:pPr>
            <w:r>
              <w:rPr>
                <w:rFonts w:ascii="Arial" w:cs="Arial" w:eastAsia="Arial" w:hAnsi="Arial"/>
                <w:sz w:val="12"/>
                <w:szCs w:val="12"/>
                <w:b w:val="1"/>
                <w:bCs w:val="1"/>
                <w:color w:val="auto"/>
                <w:w w:val="82"/>
              </w:rPr>
              <w:t>2005</w:t>
            </w:r>
          </w:p>
        </w:tc>
        <w:tc>
          <w:tcPr>
            <w:tcW w:w="60" w:type="dxa"/>
            <w:vAlign w:val="bottom"/>
          </w:tcPr>
          <w:p>
            <w:pPr>
              <w:spacing w:after="0"/>
              <w:rPr>
                <w:sz w:val="12"/>
                <w:szCs w:val="12"/>
                <w:color w:val="auto"/>
              </w:rPr>
            </w:pPr>
          </w:p>
        </w:tc>
      </w:tr>
      <w:tr>
        <w:trPr>
          <w:trHeight w:val="180"/>
        </w:trPr>
        <w:tc>
          <w:tcPr>
            <w:tcW w:w="922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w w:val="86"/>
              </w:rPr>
              <w:t>$ 15.0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w:t>
            </w:r>
          </w:p>
        </w:tc>
        <w:tc>
          <w:tcPr>
            <w:tcW w:w="60" w:type="dxa"/>
            <w:vAlign w:val="bottom"/>
            <w:shd w:val="clear" w:color="auto" w:fill="CCEEFF"/>
          </w:tcPr>
          <w:p>
            <w:pPr>
              <w:spacing w:after="0"/>
              <w:rPr>
                <w:sz w:val="15"/>
                <w:szCs w:val="15"/>
                <w:color w:val="auto"/>
              </w:rPr>
            </w:pPr>
          </w:p>
        </w:tc>
      </w:tr>
      <w:tr>
        <w:trPr>
          <w:trHeight w:val="188"/>
        </w:trPr>
        <w:tc>
          <w:tcPr>
            <w:tcW w:w="9220" w:type="dxa"/>
            <w:vAlign w:val="bottom"/>
          </w:tcPr>
          <w:p>
            <w:pPr>
              <w:spacing w:after="0"/>
              <w:rPr>
                <w:sz w:val="20"/>
                <w:szCs w:val="20"/>
                <w:color w:val="auto"/>
              </w:rPr>
            </w:pPr>
            <w:r>
              <w:rPr>
                <w:rFonts w:ascii="Arial" w:cs="Arial" w:eastAsia="Arial" w:hAnsi="Arial"/>
                <w:sz w:val="15"/>
                <w:szCs w:val="15"/>
                <w:color w:val="auto"/>
              </w:rPr>
              <w:t>Interest income</w:t>
            </w:r>
          </w:p>
        </w:tc>
        <w:tc>
          <w:tcPr>
            <w:tcW w:w="640" w:type="dxa"/>
            <w:vAlign w:val="bottom"/>
            <w:gridSpan w:val="2"/>
          </w:tcPr>
          <w:p>
            <w:pPr>
              <w:jc w:val="right"/>
              <w:ind w:right="220"/>
              <w:spacing w:after="0"/>
              <w:rPr>
                <w:sz w:val="20"/>
                <w:szCs w:val="20"/>
                <w:color w:val="auto"/>
              </w:rPr>
            </w:pPr>
            <w:r>
              <w:rPr>
                <w:rFonts w:ascii="Arial" w:cs="Arial" w:eastAsia="Arial" w:hAnsi="Arial"/>
                <w:sz w:val="15"/>
                <w:szCs w:val="15"/>
                <w:color w:val="auto"/>
              </w:rPr>
              <w:t>(6.8)</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5"/>
                <w:szCs w:val="15"/>
                <w:color w:val="auto"/>
              </w:rPr>
              <w:t>(3.4)</w:t>
            </w:r>
          </w:p>
        </w:tc>
      </w:tr>
      <w:tr>
        <w:trPr>
          <w:trHeight w:val="188"/>
        </w:trPr>
        <w:tc>
          <w:tcPr>
            <w:tcW w:w="9220" w:type="dxa"/>
            <w:vAlign w:val="bottom"/>
            <w:shd w:val="clear" w:color="auto" w:fill="CCEEFF"/>
          </w:tcPr>
          <w:p>
            <w:pPr>
              <w:spacing w:after="0"/>
              <w:rPr>
                <w:sz w:val="20"/>
                <w:szCs w:val="20"/>
                <w:color w:val="auto"/>
              </w:rPr>
            </w:pPr>
            <w:r>
              <w:rPr>
                <w:rFonts w:ascii="Arial" w:cs="Arial" w:eastAsia="Arial" w:hAnsi="Arial"/>
                <w:sz w:val="15"/>
                <w:szCs w:val="15"/>
                <w:color w:val="auto"/>
              </w:rPr>
              <w:t>Foreign exchange losses</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0.7</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192"/>
        </w:trPr>
        <w:tc>
          <w:tcPr>
            <w:tcW w:w="9220" w:type="dxa"/>
            <w:vAlign w:val="bottom"/>
          </w:tcPr>
          <w:p>
            <w:pPr>
              <w:spacing w:after="0"/>
              <w:rPr>
                <w:sz w:val="20"/>
                <w:szCs w:val="20"/>
                <w:color w:val="auto"/>
              </w:rPr>
            </w:pPr>
            <w:r>
              <w:rPr>
                <w:rFonts w:ascii="Arial" w:cs="Arial" w:eastAsia="Arial" w:hAnsi="Arial"/>
                <w:sz w:val="15"/>
                <w:szCs w:val="15"/>
                <w:color w:val="auto"/>
              </w:rPr>
              <w:t>Miscellaneous expense (income), net</w:t>
            </w:r>
          </w:p>
        </w:tc>
        <w:tc>
          <w:tcPr>
            <w:tcW w:w="380" w:type="dxa"/>
            <w:vAlign w:val="bottom"/>
          </w:tcPr>
          <w:p>
            <w:pPr>
              <w:jc w:val="right"/>
              <w:spacing w:after="0"/>
              <w:rPr>
                <w:sz w:val="20"/>
                <w:szCs w:val="20"/>
                <w:color w:val="auto"/>
              </w:rPr>
            </w:pPr>
            <w:r>
              <w:rPr>
                <w:rFonts w:ascii="Arial" w:cs="Arial" w:eastAsia="Arial" w:hAnsi="Arial"/>
                <w:sz w:val="15"/>
                <w:szCs w:val="15"/>
                <w:color w:val="auto"/>
              </w:rPr>
              <w:t>5.2</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5"/>
                <w:szCs w:val="15"/>
                <w:color w:val="auto"/>
              </w:rPr>
              <w:t>(1.6)</w:t>
            </w:r>
          </w:p>
        </w:tc>
      </w:tr>
      <w:tr>
        <w:trPr>
          <w:trHeight w:val="188"/>
        </w:trPr>
        <w:tc>
          <w:tcPr>
            <w:tcW w:w="9220" w:type="dxa"/>
            <w:vAlign w:val="bottom"/>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6"/>
              </w:rPr>
              <w:t>$ 14.1</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w:t>
            </w:r>
          </w:p>
        </w:tc>
        <w:tc>
          <w:tcPr>
            <w:tcW w:w="60" w:type="dxa"/>
            <w:vAlign w:val="bottom"/>
            <w:shd w:val="clear" w:color="auto" w:fill="CCEEFF"/>
          </w:tcPr>
          <w:p>
            <w:pPr>
              <w:spacing w:after="0"/>
              <w:rPr>
                <w:sz w:val="16"/>
                <w:szCs w:val="16"/>
                <w:color w:val="auto"/>
              </w:rPr>
            </w:pPr>
          </w:p>
        </w:tc>
      </w:tr>
      <w:tr>
        <w:trPr>
          <w:trHeight w:val="20"/>
        </w:trPr>
        <w:tc>
          <w:tcPr>
            <w:tcW w:w="9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1">
            <w:col w:w="11446"/>
          </w:cols>
          <w:pgMar w:left="234" w:top="262" w:right="219" w:bottom="1440" w:gutter="0" w:footer="0" w:header="0"/>
        </w:sectPr>
      </w:pPr>
    </w:p>
    <w:bookmarkStart w:id="8" w:name="page9"/>
    <w:bookmarkEnd w:id="8"/>
    <w:p>
      <w:pPr>
        <w:jc w:val="center"/>
        <w:ind w:right="-5"/>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4720" cy="24765"/>
                    </a:xfrm>
                    <a:prstGeom prst="rect">
                      <a:avLst/>
                    </a:prstGeom>
                    <a:noFill/>
                  </pic:spPr>
                </pic:pic>
              </a:graphicData>
            </a:graphic>
          </wp:anchor>
        </w:drawing>
        <w:t>Manpower Inc.</w:t>
      </w:r>
    </w:p>
    <w:p>
      <w:pPr>
        <w:spacing w:after="0" w:line="22"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Operating Unit Results</w:t>
      </w:r>
    </w:p>
    <w:p>
      <w:pPr>
        <w:spacing w:after="0" w:line="16"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(In millions)</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40"/>
        </w:trPr>
        <w:tc>
          <w:tcPr>
            <w:tcW w:w="94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2"/>
                <w:szCs w:val="12"/>
                <w:b w:val="1"/>
                <w:bCs w:val="1"/>
                <w:color w:val="auto"/>
                <w:w w:val="91"/>
              </w:rPr>
              <w:t>Year Ended December 31</w:t>
            </w:r>
          </w:p>
        </w:tc>
        <w:tc>
          <w:tcPr>
            <w:tcW w:w="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94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0" w:type="dxa"/>
            <w:vAlign w:val="bottom"/>
            <w:tcBorders>
              <w:bottom w:val="single" w:sz="8" w:color="auto"/>
            </w:tcBorders>
            <w:gridSpan w:val="3"/>
          </w:tcPr>
          <w:p>
            <w:pPr>
              <w:ind w:left="400"/>
              <w:spacing w:after="0" w:line="121" w:lineRule="exact"/>
              <w:rPr>
                <w:sz w:val="20"/>
                <w:szCs w:val="20"/>
                <w:color w:val="auto"/>
              </w:rPr>
            </w:pPr>
            <w:r>
              <w:rPr>
                <w:rFonts w:ascii="Arial" w:cs="Arial" w:eastAsia="Arial" w:hAnsi="Arial"/>
                <w:sz w:val="12"/>
                <w:szCs w:val="12"/>
                <w:b w:val="1"/>
                <w:bCs w:val="1"/>
                <w:color w:val="auto"/>
              </w:rPr>
              <w:t>% Variance</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940" w:type="dxa"/>
            <w:vAlign w:val="bottom"/>
          </w:tcPr>
          <w:p>
            <w:pPr>
              <w:spacing w:after="0"/>
              <w:rPr>
                <w:sz w:val="9"/>
                <w:szCs w:val="9"/>
                <w:color w:val="auto"/>
              </w:rPr>
            </w:pPr>
          </w:p>
        </w:tc>
        <w:tc>
          <w:tcPr>
            <w:tcW w:w="502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920" w:type="dxa"/>
            <w:vAlign w:val="bottom"/>
            <w:gridSpan w:val="2"/>
          </w:tcPr>
          <w:p>
            <w:pPr>
              <w:jc w:val="right"/>
              <w:ind w:right="480"/>
              <w:spacing w:after="0" w:line="110" w:lineRule="exact"/>
              <w:rPr>
                <w:sz w:val="20"/>
                <w:szCs w:val="20"/>
                <w:color w:val="auto"/>
              </w:rPr>
            </w:pPr>
            <w:r>
              <w:rPr>
                <w:rFonts w:ascii="Arial" w:cs="Arial" w:eastAsia="Arial" w:hAnsi="Arial"/>
                <w:sz w:val="12"/>
                <w:szCs w:val="12"/>
                <w:b w:val="1"/>
                <w:bCs w:val="1"/>
                <w:color w:val="auto"/>
                <w:w w:val="92"/>
              </w:rPr>
              <w:t>Amount</w:t>
            </w:r>
          </w:p>
        </w:tc>
        <w:tc>
          <w:tcPr>
            <w:tcW w:w="480" w:type="dxa"/>
            <w:vAlign w:val="bottom"/>
          </w:tcPr>
          <w:p>
            <w:pPr>
              <w:ind w:left="20"/>
              <w:spacing w:after="0" w:line="110" w:lineRule="exact"/>
              <w:rPr>
                <w:sz w:val="20"/>
                <w:szCs w:val="20"/>
                <w:color w:val="auto"/>
              </w:rPr>
            </w:pPr>
            <w:r>
              <w:rPr>
                <w:rFonts w:ascii="Arial" w:cs="Arial" w:eastAsia="Arial" w:hAnsi="Arial"/>
                <w:sz w:val="12"/>
                <w:szCs w:val="12"/>
                <w:b w:val="1"/>
                <w:bCs w:val="1"/>
                <w:color w:val="auto"/>
                <w:w w:val="84"/>
              </w:rPr>
              <w:t>Constant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94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124"/>
              <w:spacing w:after="0"/>
              <w:rPr>
                <w:sz w:val="20"/>
                <w:szCs w:val="20"/>
                <w:color w:val="auto"/>
              </w:rPr>
            </w:pPr>
            <w:r>
              <w:rPr>
                <w:rFonts w:ascii="Arial" w:cs="Arial" w:eastAsia="Arial" w:hAnsi="Arial"/>
                <w:sz w:val="12"/>
                <w:szCs w:val="12"/>
                <w:b w:val="1"/>
                <w:bCs w:val="1"/>
                <w:color w:val="auto"/>
              </w:rPr>
              <w:t>2006</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105"/>
              <w:spacing w:after="0"/>
              <w:rPr>
                <w:sz w:val="20"/>
                <w:szCs w:val="20"/>
                <w:color w:val="auto"/>
              </w:rPr>
            </w:pPr>
            <w:r>
              <w:rPr>
                <w:rFonts w:ascii="Arial" w:cs="Arial" w:eastAsia="Arial" w:hAnsi="Arial"/>
                <w:sz w:val="12"/>
                <w:szCs w:val="12"/>
                <w:b w:val="1"/>
                <w:bCs w:val="1"/>
                <w:color w:val="auto"/>
              </w:rPr>
              <w:t>2005</w:t>
            </w:r>
          </w:p>
        </w:tc>
        <w:tc>
          <w:tcPr>
            <w:tcW w:w="340" w:type="dxa"/>
            <w:vAlign w:val="bottom"/>
          </w:tcPr>
          <w:p>
            <w:pPr>
              <w:spacing w:after="0"/>
              <w:rPr>
                <w:sz w:val="12"/>
                <w:szCs w:val="12"/>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w w:val="83"/>
              </w:rPr>
              <w:t>Reported</w:t>
            </w:r>
          </w:p>
        </w:tc>
        <w:tc>
          <w:tcPr>
            <w:tcW w:w="62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87"/>
              </w:rPr>
              <w:t>Currency</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94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0" w:type="dxa"/>
            <w:vAlign w:val="bottom"/>
            <w:gridSpan w:val="4"/>
          </w:tcPr>
          <w:p>
            <w:pPr>
              <w:jc w:val="right"/>
              <w:ind w:right="860"/>
              <w:spacing w:after="0" w:line="121" w:lineRule="exact"/>
              <w:rPr>
                <w:sz w:val="20"/>
                <w:szCs w:val="20"/>
                <w:color w:val="auto"/>
              </w:rPr>
            </w:pPr>
            <w:r>
              <w:rPr>
                <w:rFonts w:ascii="Arial" w:cs="Arial" w:eastAsia="Arial" w:hAnsi="Arial"/>
                <w:sz w:val="12"/>
                <w:szCs w:val="12"/>
                <w:b w:val="1"/>
                <w:bCs w:val="1"/>
                <w:color w:val="auto"/>
              </w:rPr>
              <w:t>(Unaudited)</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59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Revenues from services (a)</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w w:val="88"/>
              </w:rPr>
              <w:t>17,562.5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w w:val="88"/>
              </w:rPr>
              <w:t>15,845.4</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10.8%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188"/>
        </w:trPr>
        <w:tc>
          <w:tcPr>
            <w:tcW w:w="5960" w:type="dxa"/>
            <w:vAlign w:val="bottom"/>
            <w:gridSpan w:val="2"/>
          </w:tcPr>
          <w:p>
            <w:pPr>
              <w:spacing w:after="0"/>
              <w:rPr>
                <w:sz w:val="20"/>
                <w:szCs w:val="20"/>
                <w:color w:val="auto"/>
              </w:rPr>
            </w:pPr>
            <w:r>
              <w:rPr>
                <w:rFonts w:ascii="Arial" w:cs="Arial" w:eastAsia="Arial" w:hAnsi="Arial"/>
                <w:sz w:val="15"/>
                <w:szCs w:val="15"/>
                <w:color w:val="auto"/>
              </w:rPr>
              <w:t>Cost of services (b)</w:t>
            </w: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w w:val="88"/>
              </w:rPr>
              <w:t>14,416.5</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5"/>
                <w:szCs w:val="15"/>
                <w:color w:val="auto"/>
                <w:w w:val="88"/>
              </w:rPr>
              <w:t>13,013.6</w:t>
            </w: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10.8%</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9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59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Gross profit</w:t>
            </w:r>
          </w:p>
        </w:tc>
        <w:tc>
          <w:tcPr>
            <w:tcW w:w="2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3,146.0</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2,831.8</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11.1%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10.3%</w:t>
            </w:r>
          </w:p>
        </w:tc>
        <w:tc>
          <w:tcPr>
            <w:tcW w:w="0" w:type="dxa"/>
            <w:vAlign w:val="bottom"/>
          </w:tcPr>
          <w:p>
            <w:pPr>
              <w:spacing w:after="0"/>
              <w:rPr>
                <w:sz w:val="1"/>
                <w:szCs w:val="1"/>
                <w:color w:val="auto"/>
              </w:rPr>
            </w:pPr>
          </w:p>
        </w:tc>
      </w:tr>
      <w:tr>
        <w:trPr>
          <w:trHeight w:val="188"/>
        </w:trPr>
        <w:tc>
          <w:tcPr>
            <w:tcW w:w="5960" w:type="dxa"/>
            <w:vAlign w:val="bottom"/>
            <w:gridSpan w:val="2"/>
          </w:tcPr>
          <w:p>
            <w:pPr>
              <w:spacing w:after="0"/>
              <w:rPr>
                <w:sz w:val="20"/>
                <w:szCs w:val="20"/>
                <w:color w:val="auto"/>
              </w:rPr>
            </w:pPr>
            <w:r>
              <w:rPr>
                <w:rFonts w:ascii="Arial" w:cs="Arial" w:eastAsia="Arial" w:hAnsi="Arial"/>
                <w:sz w:val="15"/>
                <w:szCs w:val="15"/>
                <w:color w:val="auto"/>
              </w:rPr>
              <w:t>Selling and administrative expenses (b)</w:t>
            </w: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2,613.9</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5"/>
                <w:szCs w:val="15"/>
                <w:color w:val="auto"/>
              </w:rPr>
              <w:t>2,403.0</w:t>
            </w: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8.8%</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8.2%</w:t>
            </w:r>
          </w:p>
        </w:tc>
        <w:tc>
          <w:tcPr>
            <w:tcW w:w="0" w:type="dxa"/>
            <w:vAlign w:val="bottom"/>
          </w:tcPr>
          <w:p>
            <w:pPr>
              <w:spacing w:after="0"/>
              <w:rPr>
                <w:sz w:val="1"/>
                <w:szCs w:val="1"/>
                <w:color w:val="auto"/>
              </w:rPr>
            </w:pPr>
          </w:p>
        </w:tc>
      </w:tr>
      <w:tr>
        <w:trPr>
          <w:trHeight w:val="24"/>
        </w:trPr>
        <w:tc>
          <w:tcPr>
            <w:tcW w:w="9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59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Operating profit</w:t>
            </w:r>
          </w:p>
        </w:tc>
        <w:tc>
          <w:tcPr>
            <w:tcW w:w="2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532.1</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428.8</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24.1%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21.9%</w:t>
            </w:r>
          </w:p>
        </w:tc>
        <w:tc>
          <w:tcPr>
            <w:tcW w:w="0" w:type="dxa"/>
            <w:vAlign w:val="bottom"/>
          </w:tcPr>
          <w:p>
            <w:pPr>
              <w:spacing w:after="0"/>
              <w:rPr>
                <w:sz w:val="1"/>
                <w:szCs w:val="1"/>
                <w:color w:val="auto"/>
              </w:rPr>
            </w:pPr>
          </w:p>
        </w:tc>
      </w:tr>
      <w:tr>
        <w:trPr>
          <w:trHeight w:val="188"/>
        </w:trPr>
        <w:tc>
          <w:tcPr>
            <w:tcW w:w="5960" w:type="dxa"/>
            <w:vAlign w:val="bottom"/>
            <w:gridSpan w:val="2"/>
          </w:tcPr>
          <w:p>
            <w:pPr>
              <w:spacing w:after="0"/>
              <w:rPr>
                <w:sz w:val="20"/>
                <w:szCs w:val="20"/>
                <w:color w:val="auto"/>
              </w:rPr>
            </w:pPr>
            <w:r>
              <w:rPr>
                <w:rFonts w:ascii="Arial" w:cs="Arial" w:eastAsia="Arial" w:hAnsi="Arial"/>
                <w:sz w:val="15"/>
                <w:szCs w:val="15"/>
                <w:color w:val="auto"/>
              </w:rPr>
              <w:t>Interest and other expenses</w:t>
            </w: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50.2</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5"/>
                <w:szCs w:val="15"/>
                <w:color w:val="auto"/>
              </w:rPr>
              <w:t>41.8</w:t>
            </w: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20.2%</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9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59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Earnings before income taxes and discontinued operations</w:t>
            </w:r>
          </w:p>
        </w:tc>
        <w:tc>
          <w:tcPr>
            <w:tcW w:w="2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481.9</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387.0</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24.5%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22.1%</w:t>
            </w:r>
          </w:p>
        </w:tc>
        <w:tc>
          <w:tcPr>
            <w:tcW w:w="0" w:type="dxa"/>
            <w:vAlign w:val="bottom"/>
          </w:tcPr>
          <w:p>
            <w:pPr>
              <w:spacing w:after="0"/>
              <w:rPr>
                <w:sz w:val="1"/>
                <w:szCs w:val="1"/>
                <w:color w:val="auto"/>
              </w:rPr>
            </w:pPr>
          </w:p>
        </w:tc>
      </w:tr>
      <w:tr>
        <w:trPr>
          <w:trHeight w:val="188"/>
        </w:trPr>
        <w:tc>
          <w:tcPr>
            <w:tcW w:w="5960" w:type="dxa"/>
            <w:vAlign w:val="bottom"/>
            <w:gridSpan w:val="2"/>
          </w:tcPr>
          <w:p>
            <w:pPr>
              <w:spacing w:after="0"/>
              <w:rPr>
                <w:sz w:val="20"/>
                <w:szCs w:val="20"/>
                <w:color w:val="auto"/>
              </w:rPr>
            </w:pPr>
            <w:r>
              <w:rPr>
                <w:rFonts w:ascii="Arial" w:cs="Arial" w:eastAsia="Arial" w:hAnsi="Arial"/>
                <w:sz w:val="15"/>
                <w:szCs w:val="15"/>
                <w:color w:val="auto"/>
              </w:rPr>
              <w:t>Provision for income taxes</w:t>
            </w: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176.2</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5"/>
                <w:szCs w:val="15"/>
                <w:color w:val="auto"/>
              </w:rPr>
              <w:t>131.9</w:t>
            </w: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33.6%</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9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59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Net earnings from continuing operations</w:t>
            </w:r>
          </w:p>
        </w:tc>
        <w:tc>
          <w:tcPr>
            <w:tcW w:w="2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305.7</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255.1</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19.8%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17.5%</w:t>
            </w:r>
          </w:p>
        </w:tc>
        <w:tc>
          <w:tcPr>
            <w:tcW w:w="0" w:type="dxa"/>
            <w:vAlign w:val="bottom"/>
          </w:tcPr>
          <w:p>
            <w:pPr>
              <w:spacing w:after="0"/>
              <w:rPr>
                <w:sz w:val="1"/>
                <w:szCs w:val="1"/>
                <w:color w:val="auto"/>
              </w:rPr>
            </w:pPr>
          </w:p>
        </w:tc>
      </w:tr>
      <w:tr>
        <w:trPr>
          <w:trHeight w:val="188"/>
        </w:trPr>
        <w:tc>
          <w:tcPr>
            <w:tcW w:w="5960" w:type="dxa"/>
            <w:vAlign w:val="bottom"/>
            <w:gridSpan w:val="2"/>
          </w:tcPr>
          <w:p>
            <w:pPr>
              <w:spacing w:after="0"/>
              <w:rPr>
                <w:sz w:val="20"/>
                <w:szCs w:val="20"/>
                <w:color w:val="auto"/>
              </w:rPr>
            </w:pPr>
            <w:r>
              <w:rPr>
                <w:rFonts w:ascii="Arial" w:cs="Arial" w:eastAsia="Arial" w:hAnsi="Arial"/>
                <w:sz w:val="15"/>
                <w:szCs w:val="15"/>
                <w:color w:val="auto"/>
              </w:rPr>
              <w:t>Income from discontinued operations, net of income taxes</w:t>
            </w: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92.3</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5"/>
                <w:szCs w:val="15"/>
                <w:color w:val="auto"/>
              </w:rPr>
              <w:t>5.0</w:t>
            </w:r>
          </w:p>
        </w:tc>
        <w:tc>
          <w:tcPr>
            <w:tcW w:w="920" w:type="dxa"/>
            <w:vAlign w:val="bottom"/>
            <w:gridSpan w:val="2"/>
          </w:tcPr>
          <w:p>
            <w:pPr>
              <w:jc w:val="right"/>
              <w:ind w:right="460"/>
              <w:spacing w:after="0"/>
              <w:rPr>
                <w:sz w:val="20"/>
                <w:szCs w:val="20"/>
                <w:color w:val="auto"/>
              </w:rPr>
            </w:pPr>
            <w:r>
              <w:rPr>
                <w:rFonts w:ascii="Arial" w:cs="Arial" w:eastAsia="Arial" w:hAnsi="Arial"/>
                <w:sz w:val="15"/>
                <w:szCs w:val="15"/>
                <w:color w:val="auto"/>
              </w:rPr>
              <w:t>N/A</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9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59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Net earnings</w:t>
            </w:r>
          </w:p>
        </w:tc>
        <w:tc>
          <w:tcPr>
            <w:tcW w:w="20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398.0</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260.1</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53.0%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48.2%</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5"/>
                <w:szCs w:val="15"/>
                <w:color w:val="auto"/>
              </w:rPr>
              <w:t>Net earnings per share - basic:</w:t>
            </w: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960" w:type="dxa"/>
            <w:vAlign w:val="bottom"/>
            <w:gridSpan w:val="2"/>
            <w:vMerge w:val="continue"/>
          </w:tcPr>
          <w:p>
            <w:pPr>
              <w:spacing w:after="0"/>
              <w:rPr>
                <w:sz w:val="15"/>
                <w:szCs w:val="15"/>
                <w:color w:val="auto"/>
              </w:rPr>
            </w:pP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Continuing operations</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3.55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2.89</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22.8%</w:t>
            </w: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960" w:type="dxa"/>
            <w:vAlign w:val="bottom"/>
            <w:gridSpan w:val="2"/>
          </w:tcPr>
          <w:p>
            <w:pPr>
              <w:ind w:left="380"/>
              <w:spacing w:after="0"/>
              <w:rPr>
                <w:sz w:val="20"/>
                <w:szCs w:val="20"/>
                <w:color w:val="auto"/>
              </w:rPr>
            </w:pPr>
            <w:r>
              <w:rPr>
                <w:rFonts w:ascii="Arial" w:cs="Arial" w:eastAsia="Arial" w:hAnsi="Arial"/>
                <w:sz w:val="15"/>
                <w:szCs w:val="15"/>
                <w:color w:val="auto"/>
              </w:rPr>
              <w:t>Discontinued operations</w:t>
            </w: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1.07</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5"/>
                <w:szCs w:val="15"/>
                <w:color w:val="auto"/>
              </w:rPr>
              <w:t>0.06</w:t>
            </w:r>
          </w:p>
        </w:tc>
        <w:tc>
          <w:tcPr>
            <w:tcW w:w="920" w:type="dxa"/>
            <w:vAlign w:val="bottom"/>
            <w:gridSpan w:val="2"/>
          </w:tcPr>
          <w:p>
            <w:pPr>
              <w:jc w:val="right"/>
              <w:ind w:right="460"/>
              <w:spacing w:after="0"/>
              <w:rPr>
                <w:sz w:val="20"/>
                <w:szCs w:val="20"/>
                <w:color w:val="auto"/>
              </w:rPr>
            </w:pPr>
            <w:r>
              <w:rPr>
                <w:rFonts w:ascii="Arial" w:cs="Arial" w:eastAsia="Arial" w:hAnsi="Arial"/>
                <w:sz w:val="15"/>
                <w:szCs w:val="15"/>
                <w:color w:val="auto"/>
              </w:rPr>
              <w:t>N/A</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9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596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Total</w:t>
            </w:r>
          </w:p>
        </w:tc>
        <w:tc>
          <w:tcPr>
            <w:tcW w:w="20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4.62</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2.95</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56.6%</w:t>
            </w: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5"/>
                <w:szCs w:val="15"/>
                <w:color w:val="auto"/>
              </w:rPr>
              <w:t>Net earnings per share - diluted:</w:t>
            </w: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960" w:type="dxa"/>
            <w:vAlign w:val="bottom"/>
            <w:gridSpan w:val="2"/>
            <w:vMerge w:val="continue"/>
          </w:tcPr>
          <w:p>
            <w:pPr>
              <w:spacing w:after="0"/>
              <w:rPr>
                <w:sz w:val="15"/>
                <w:szCs w:val="15"/>
                <w:color w:val="auto"/>
              </w:rPr>
            </w:pP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Continuing operations</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3.48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2.81</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23.8%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21.7%</w:t>
            </w:r>
          </w:p>
        </w:tc>
        <w:tc>
          <w:tcPr>
            <w:tcW w:w="0" w:type="dxa"/>
            <w:vAlign w:val="bottom"/>
          </w:tcPr>
          <w:p>
            <w:pPr>
              <w:spacing w:after="0"/>
              <w:rPr>
                <w:sz w:val="1"/>
                <w:szCs w:val="1"/>
                <w:color w:val="auto"/>
              </w:rPr>
            </w:pPr>
          </w:p>
        </w:tc>
      </w:tr>
      <w:tr>
        <w:trPr>
          <w:trHeight w:val="188"/>
        </w:trPr>
        <w:tc>
          <w:tcPr>
            <w:tcW w:w="5960" w:type="dxa"/>
            <w:vAlign w:val="bottom"/>
            <w:gridSpan w:val="2"/>
          </w:tcPr>
          <w:p>
            <w:pPr>
              <w:ind w:left="380"/>
              <w:spacing w:after="0"/>
              <w:rPr>
                <w:sz w:val="20"/>
                <w:szCs w:val="20"/>
                <w:color w:val="auto"/>
              </w:rPr>
            </w:pPr>
            <w:r>
              <w:rPr>
                <w:rFonts w:ascii="Arial" w:cs="Arial" w:eastAsia="Arial" w:hAnsi="Arial"/>
                <w:sz w:val="15"/>
                <w:szCs w:val="15"/>
                <w:color w:val="auto"/>
              </w:rPr>
              <w:t>Discontinued operations</w:t>
            </w: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1.06</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5"/>
                <w:szCs w:val="15"/>
                <w:color w:val="auto"/>
              </w:rPr>
              <w:t>0.06</w:t>
            </w:r>
          </w:p>
        </w:tc>
        <w:tc>
          <w:tcPr>
            <w:tcW w:w="920" w:type="dxa"/>
            <w:vAlign w:val="bottom"/>
            <w:gridSpan w:val="2"/>
          </w:tcPr>
          <w:p>
            <w:pPr>
              <w:jc w:val="right"/>
              <w:ind w:right="460"/>
              <w:spacing w:after="0"/>
              <w:rPr>
                <w:sz w:val="20"/>
                <w:szCs w:val="20"/>
                <w:color w:val="auto"/>
              </w:rPr>
            </w:pPr>
            <w:r>
              <w:rPr>
                <w:rFonts w:ascii="Arial" w:cs="Arial" w:eastAsia="Arial" w:hAnsi="Arial"/>
                <w:sz w:val="15"/>
                <w:szCs w:val="15"/>
                <w:color w:val="auto"/>
              </w:rPr>
              <w:t>N/A</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9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596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Total</w:t>
            </w:r>
          </w:p>
        </w:tc>
        <w:tc>
          <w:tcPr>
            <w:tcW w:w="20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4.54</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2.87</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58.2%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53.0%</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5"/>
                <w:szCs w:val="15"/>
                <w:color w:val="auto"/>
              </w:rPr>
              <w:t>Weighted average shares - basic</w:t>
            </w: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gridSpan w:val="2"/>
            <w:vMerge w:val="restart"/>
          </w:tcPr>
          <w:p>
            <w:pPr>
              <w:jc w:val="right"/>
              <w:ind w:right="320"/>
              <w:spacing w:after="0"/>
              <w:rPr>
                <w:sz w:val="20"/>
                <w:szCs w:val="20"/>
                <w:color w:val="auto"/>
              </w:rPr>
            </w:pPr>
            <w:r>
              <w:rPr>
                <w:rFonts w:ascii="Arial" w:cs="Arial" w:eastAsia="Arial" w:hAnsi="Arial"/>
                <w:sz w:val="15"/>
                <w:szCs w:val="15"/>
                <w:color w:val="auto"/>
              </w:rPr>
              <w:t>-2.2%</w:t>
            </w: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960" w:type="dxa"/>
            <w:vAlign w:val="bottom"/>
            <w:gridSpan w:val="2"/>
            <w:vMerge w:val="continue"/>
          </w:tcPr>
          <w:p>
            <w:pPr>
              <w:spacing w:after="0"/>
              <w:rPr>
                <w:sz w:val="15"/>
                <w:szCs w:val="15"/>
                <w:color w:val="auto"/>
              </w:rPr>
            </w:pP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5"/>
                <w:szCs w:val="15"/>
                <w:color w:val="auto"/>
              </w:rPr>
              <w:t>86.2</w:t>
            </w:r>
          </w:p>
        </w:tc>
        <w:tc>
          <w:tcPr>
            <w:tcW w:w="80" w:type="dxa"/>
            <w:vAlign w:val="bottom"/>
          </w:tcPr>
          <w:p>
            <w:pPr>
              <w:spacing w:after="0"/>
              <w:rPr>
                <w:sz w:val="15"/>
                <w:szCs w:val="15"/>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5"/>
                <w:szCs w:val="15"/>
                <w:color w:val="auto"/>
              </w:rPr>
              <w:t>88.1</w:t>
            </w:r>
          </w:p>
        </w:tc>
        <w:tc>
          <w:tcPr>
            <w:tcW w:w="92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9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Weighted average shares - diluted</w:t>
            </w:r>
          </w:p>
        </w:tc>
        <w:tc>
          <w:tcPr>
            <w:tcW w:w="2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87.7</w:t>
            </w: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91.1</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-3.7%</w:t>
            </w: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940" w:type="dxa"/>
            <w:vAlign w:val="bottom"/>
            <w:tcBorders>
              <w:bottom w:val="single" w:sz="8" w:color="auto"/>
            </w:tcBorders>
          </w:tcPr>
          <w:p>
            <w:pPr>
              <w:spacing w:after="0"/>
              <w:rPr>
                <w:sz w:val="7"/>
                <w:szCs w:val="7"/>
                <w:color w:val="auto"/>
              </w:rPr>
            </w:pPr>
          </w:p>
        </w:tc>
        <w:tc>
          <w:tcPr>
            <w:tcW w:w="502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446" w:right="200" w:hanging="446"/>
        <w:spacing w:after="0" w:line="264" w:lineRule="auto"/>
        <w:tabs>
          <w:tab w:leader="none" w:pos="446" w:val="left"/>
        </w:tabs>
        <w:numPr>
          <w:ilvl w:val="0"/>
          <w:numId w:val="4"/>
        </w:numPr>
        <w:rPr>
          <w:rFonts w:ascii="Arial" w:cs="Arial" w:eastAsia="Arial" w:hAnsi="Arial"/>
          <w:sz w:val="15"/>
          <w:szCs w:val="15"/>
          <w:color w:val="auto"/>
        </w:rPr>
      </w:pPr>
      <w:r>
        <w:rPr>
          <w:rFonts w:ascii="Arial" w:cs="Arial" w:eastAsia="Arial" w:hAnsi="Arial"/>
          <w:sz w:val="15"/>
          <w:szCs w:val="15"/>
          <w:color w:val="auto"/>
        </w:rPr>
        <w:t>Revenues from services include fees received from our franchise offices of $35.7 million and $35.8 million for the year ended December 31, 2006 and 2005, respectively. These fees are primarily based on revenues generated by the franchise offices, which were $1,497.0 million and $1,510.7 million for the year ended December 31, 2006 and 2005, respectively.</w:t>
      </w:r>
    </w:p>
    <w:p>
      <w:pPr>
        <w:spacing w:after="0" w:line="1" w:lineRule="exact"/>
        <w:rPr>
          <w:rFonts w:ascii="Arial" w:cs="Arial" w:eastAsia="Arial" w:hAnsi="Arial"/>
          <w:sz w:val="15"/>
          <w:szCs w:val="15"/>
          <w:color w:val="auto"/>
        </w:rPr>
      </w:pPr>
    </w:p>
    <w:p>
      <w:pPr>
        <w:ind w:left="446" w:right="20" w:hanging="446"/>
        <w:spacing w:after="0" w:line="272" w:lineRule="auto"/>
        <w:tabs>
          <w:tab w:leader="none" w:pos="446"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French business tax and profit sharing expenses, totaling $117.4 million and $94.9 million for the year ended December 31, 2006 and 2005 respectively, previously reported as Selling and administrative expenses, are now reported in Cost of services, as we believe this presentation is more appropriate given the nature of these expenses. All previously reported results have been revised to conform to the current year presentation.</w:t>
      </w:r>
    </w:p>
    <w:p>
      <w:pPr>
        <w:sectPr>
          <w:pgSz w:w="11900" w:h="16838" w:orient="portrait"/>
          <w:cols w:equalWidth="0" w:num="1">
            <w:col w:w="11446"/>
          </w:cols>
          <w:pgMar w:left="234" w:top="262" w:right="219" w:bottom="1440" w:gutter="0" w:footer="0" w:header="0"/>
        </w:sectPr>
      </w:pPr>
    </w:p>
    <w:bookmarkStart w:id="9" w:name="page10"/>
    <w:bookmarkEnd w:id="9"/>
    <w:p>
      <w:pPr>
        <w:jc w:val="center"/>
        <w:ind w:right="-5"/>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4720" cy="24765"/>
                    </a:xfrm>
                    <a:prstGeom prst="rect">
                      <a:avLst/>
                    </a:prstGeom>
                    <a:noFill/>
                  </pic:spPr>
                </pic:pic>
              </a:graphicData>
            </a:graphic>
          </wp:anchor>
        </w:drawing>
        <w:t>Manpower Inc.</w:t>
      </w:r>
    </w:p>
    <w:p>
      <w:pPr>
        <w:spacing w:after="0" w:line="22"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Operating Unit Results</w:t>
      </w:r>
    </w:p>
    <w:p>
      <w:pPr>
        <w:spacing w:after="0" w:line="16"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(In millions)</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40"/>
        </w:trPr>
        <w:tc>
          <w:tcPr>
            <w:tcW w:w="94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2"/>
                <w:szCs w:val="12"/>
                <w:b w:val="1"/>
                <w:bCs w:val="1"/>
                <w:color w:val="auto"/>
                <w:w w:val="91"/>
              </w:rPr>
              <w:t>Year Ended December 31</w:t>
            </w:r>
          </w:p>
        </w:tc>
        <w:tc>
          <w:tcPr>
            <w:tcW w:w="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94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0" w:type="dxa"/>
            <w:vAlign w:val="bottom"/>
            <w:tcBorders>
              <w:bottom w:val="single" w:sz="8" w:color="auto"/>
            </w:tcBorders>
            <w:gridSpan w:val="3"/>
          </w:tcPr>
          <w:p>
            <w:pPr>
              <w:ind w:left="400"/>
              <w:spacing w:after="0" w:line="121" w:lineRule="exact"/>
              <w:rPr>
                <w:sz w:val="20"/>
                <w:szCs w:val="20"/>
                <w:color w:val="auto"/>
              </w:rPr>
            </w:pPr>
            <w:r>
              <w:rPr>
                <w:rFonts w:ascii="Arial" w:cs="Arial" w:eastAsia="Arial" w:hAnsi="Arial"/>
                <w:sz w:val="12"/>
                <w:szCs w:val="12"/>
                <w:b w:val="1"/>
                <w:bCs w:val="1"/>
                <w:color w:val="auto"/>
              </w:rPr>
              <w:t>% Variance</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940" w:type="dxa"/>
            <w:vAlign w:val="bottom"/>
          </w:tcPr>
          <w:p>
            <w:pPr>
              <w:spacing w:after="0"/>
              <w:rPr>
                <w:sz w:val="9"/>
                <w:szCs w:val="9"/>
                <w:color w:val="auto"/>
              </w:rPr>
            </w:pPr>
          </w:p>
        </w:tc>
        <w:tc>
          <w:tcPr>
            <w:tcW w:w="502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920" w:type="dxa"/>
            <w:vAlign w:val="bottom"/>
            <w:gridSpan w:val="2"/>
          </w:tcPr>
          <w:p>
            <w:pPr>
              <w:jc w:val="right"/>
              <w:ind w:right="480"/>
              <w:spacing w:after="0" w:line="110" w:lineRule="exact"/>
              <w:rPr>
                <w:sz w:val="20"/>
                <w:szCs w:val="20"/>
                <w:color w:val="auto"/>
              </w:rPr>
            </w:pPr>
            <w:r>
              <w:rPr>
                <w:rFonts w:ascii="Arial" w:cs="Arial" w:eastAsia="Arial" w:hAnsi="Arial"/>
                <w:sz w:val="12"/>
                <w:szCs w:val="12"/>
                <w:b w:val="1"/>
                <w:bCs w:val="1"/>
                <w:color w:val="auto"/>
                <w:w w:val="92"/>
              </w:rPr>
              <w:t>Amount</w:t>
            </w:r>
          </w:p>
        </w:tc>
        <w:tc>
          <w:tcPr>
            <w:tcW w:w="480" w:type="dxa"/>
            <w:vAlign w:val="bottom"/>
          </w:tcPr>
          <w:p>
            <w:pPr>
              <w:ind w:left="20"/>
              <w:spacing w:after="0" w:line="110" w:lineRule="exact"/>
              <w:rPr>
                <w:sz w:val="20"/>
                <w:szCs w:val="20"/>
                <w:color w:val="auto"/>
              </w:rPr>
            </w:pPr>
            <w:r>
              <w:rPr>
                <w:rFonts w:ascii="Arial" w:cs="Arial" w:eastAsia="Arial" w:hAnsi="Arial"/>
                <w:sz w:val="12"/>
                <w:szCs w:val="12"/>
                <w:b w:val="1"/>
                <w:bCs w:val="1"/>
                <w:color w:val="auto"/>
                <w:w w:val="84"/>
              </w:rPr>
              <w:t>Constant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94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124"/>
              <w:spacing w:after="0"/>
              <w:rPr>
                <w:sz w:val="20"/>
                <w:szCs w:val="20"/>
                <w:color w:val="auto"/>
              </w:rPr>
            </w:pPr>
            <w:r>
              <w:rPr>
                <w:rFonts w:ascii="Arial" w:cs="Arial" w:eastAsia="Arial" w:hAnsi="Arial"/>
                <w:sz w:val="12"/>
                <w:szCs w:val="12"/>
                <w:b w:val="1"/>
                <w:bCs w:val="1"/>
                <w:color w:val="auto"/>
              </w:rPr>
              <w:t>2006</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105"/>
              <w:spacing w:after="0"/>
              <w:rPr>
                <w:sz w:val="20"/>
                <w:szCs w:val="20"/>
                <w:color w:val="auto"/>
              </w:rPr>
            </w:pPr>
            <w:r>
              <w:rPr>
                <w:rFonts w:ascii="Arial" w:cs="Arial" w:eastAsia="Arial" w:hAnsi="Arial"/>
                <w:sz w:val="12"/>
                <w:szCs w:val="12"/>
                <w:b w:val="1"/>
                <w:bCs w:val="1"/>
                <w:color w:val="auto"/>
              </w:rPr>
              <w:t>2005</w:t>
            </w:r>
          </w:p>
        </w:tc>
        <w:tc>
          <w:tcPr>
            <w:tcW w:w="340" w:type="dxa"/>
            <w:vAlign w:val="bottom"/>
          </w:tcPr>
          <w:p>
            <w:pPr>
              <w:spacing w:after="0"/>
              <w:rPr>
                <w:sz w:val="12"/>
                <w:szCs w:val="12"/>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w w:val="83"/>
              </w:rPr>
              <w:t>Reported</w:t>
            </w:r>
          </w:p>
        </w:tc>
        <w:tc>
          <w:tcPr>
            <w:tcW w:w="62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87"/>
              </w:rPr>
              <w:t>Currency</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94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0" w:type="dxa"/>
            <w:vAlign w:val="bottom"/>
            <w:gridSpan w:val="4"/>
          </w:tcPr>
          <w:p>
            <w:pPr>
              <w:jc w:val="right"/>
              <w:ind w:right="860"/>
              <w:spacing w:after="0" w:line="121" w:lineRule="exact"/>
              <w:rPr>
                <w:sz w:val="20"/>
                <w:szCs w:val="20"/>
                <w:color w:val="auto"/>
              </w:rPr>
            </w:pPr>
            <w:r>
              <w:rPr>
                <w:rFonts w:ascii="Arial" w:cs="Arial" w:eastAsia="Arial" w:hAnsi="Arial"/>
                <w:sz w:val="12"/>
                <w:szCs w:val="12"/>
                <w:b w:val="1"/>
                <w:bCs w:val="1"/>
                <w:color w:val="auto"/>
              </w:rPr>
              <w:t>(Unaudited)</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59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Revenues from Services: (a)</w:t>
            </w:r>
          </w:p>
        </w:tc>
        <w:tc>
          <w:tcPr>
            <w:tcW w:w="2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960" w:type="dxa"/>
            <w:vAlign w:val="bottom"/>
            <w:gridSpan w:val="2"/>
          </w:tcPr>
          <w:p>
            <w:pPr>
              <w:ind w:left="380"/>
              <w:spacing w:after="0"/>
              <w:rPr>
                <w:sz w:val="20"/>
                <w:szCs w:val="20"/>
                <w:color w:val="auto"/>
              </w:rPr>
            </w:pPr>
            <w:r>
              <w:rPr>
                <w:rFonts w:ascii="Arial" w:cs="Arial" w:eastAsia="Arial" w:hAnsi="Arial"/>
                <w:sz w:val="15"/>
                <w:szCs w:val="15"/>
                <w:color w:val="auto"/>
              </w:rPr>
              <w:t>United States (b)</w:t>
            </w:r>
          </w:p>
        </w:tc>
        <w:tc>
          <w:tcPr>
            <w:tcW w:w="2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5"/>
                <w:szCs w:val="15"/>
                <w:color w:val="auto"/>
              </w:rPr>
              <w:t>2,114.9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40"/>
              <w:spacing w:after="0"/>
              <w:rPr>
                <w:sz w:val="20"/>
                <w:szCs w:val="20"/>
                <w:color w:val="auto"/>
              </w:rPr>
            </w:pPr>
            <w:r>
              <w:rPr>
                <w:rFonts w:ascii="Arial" w:cs="Arial" w:eastAsia="Arial" w:hAnsi="Arial"/>
                <w:sz w:val="15"/>
                <w:szCs w:val="15"/>
                <w:color w:val="auto"/>
              </w:rPr>
              <w:t>2,048.3</w:t>
            </w: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3.2%</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188"/>
        </w:trPr>
        <w:tc>
          <w:tcPr>
            <w:tcW w:w="59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France</w:t>
            </w:r>
          </w:p>
        </w:tc>
        <w:tc>
          <w:tcPr>
            <w:tcW w:w="2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6,019.1</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5,475.8</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9.9%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8.4%</w:t>
            </w:r>
          </w:p>
        </w:tc>
        <w:tc>
          <w:tcPr>
            <w:tcW w:w="0" w:type="dxa"/>
            <w:vAlign w:val="bottom"/>
          </w:tcPr>
          <w:p>
            <w:pPr>
              <w:spacing w:after="0"/>
              <w:rPr>
                <w:sz w:val="1"/>
                <w:szCs w:val="1"/>
                <w:color w:val="auto"/>
              </w:rPr>
            </w:pPr>
          </w:p>
        </w:tc>
      </w:tr>
      <w:tr>
        <w:trPr>
          <w:trHeight w:val="188"/>
        </w:trPr>
        <w:tc>
          <w:tcPr>
            <w:tcW w:w="5960" w:type="dxa"/>
            <w:vAlign w:val="bottom"/>
            <w:gridSpan w:val="2"/>
          </w:tcPr>
          <w:p>
            <w:pPr>
              <w:ind w:left="380"/>
              <w:spacing w:after="0"/>
              <w:rPr>
                <w:sz w:val="20"/>
                <w:szCs w:val="20"/>
                <w:color w:val="auto"/>
              </w:rPr>
            </w:pPr>
            <w:r>
              <w:rPr>
                <w:rFonts w:ascii="Arial" w:cs="Arial" w:eastAsia="Arial" w:hAnsi="Arial"/>
                <w:sz w:val="15"/>
                <w:szCs w:val="15"/>
                <w:color w:val="auto"/>
              </w:rPr>
              <w:t>EMEA</w:t>
            </w: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5"/>
                <w:szCs w:val="15"/>
                <w:color w:val="auto"/>
              </w:rPr>
              <w:t>6,363.3</w:t>
            </w:r>
          </w:p>
        </w:tc>
        <w:tc>
          <w:tcPr>
            <w:tcW w:w="80" w:type="dxa"/>
            <w:vAlign w:val="bottom"/>
          </w:tcPr>
          <w:p>
            <w:pPr>
              <w:spacing w:after="0"/>
              <w:rPr>
                <w:sz w:val="16"/>
                <w:szCs w:val="16"/>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5"/>
                <w:szCs w:val="15"/>
                <w:color w:val="auto"/>
              </w:rPr>
              <w:t>5,471.2</w:t>
            </w: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16.3%</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14.7%</w:t>
            </w:r>
          </w:p>
        </w:tc>
        <w:tc>
          <w:tcPr>
            <w:tcW w:w="0" w:type="dxa"/>
            <w:vAlign w:val="bottom"/>
          </w:tcPr>
          <w:p>
            <w:pPr>
              <w:spacing w:after="0"/>
              <w:rPr>
                <w:sz w:val="1"/>
                <w:szCs w:val="1"/>
                <w:color w:val="auto"/>
              </w:rPr>
            </w:pPr>
          </w:p>
        </w:tc>
      </w:tr>
      <w:tr>
        <w:trPr>
          <w:trHeight w:val="188"/>
        </w:trPr>
        <w:tc>
          <w:tcPr>
            <w:tcW w:w="59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Jefferson Wells</w:t>
            </w:r>
          </w:p>
        </w:tc>
        <w:tc>
          <w:tcPr>
            <w:tcW w:w="2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373.0</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386.2</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-3.4%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0" w:type="dxa"/>
            <w:vAlign w:val="bottom"/>
          </w:tcPr>
          <w:p>
            <w:pPr>
              <w:spacing w:after="0"/>
              <w:rPr>
                <w:sz w:val="1"/>
                <w:szCs w:val="1"/>
                <w:color w:val="auto"/>
              </w:rPr>
            </w:pPr>
          </w:p>
        </w:tc>
      </w:tr>
      <w:tr>
        <w:trPr>
          <w:trHeight w:val="188"/>
        </w:trPr>
        <w:tc>
          <w:tcPr>
            <w:tcW w:w="5960" w:type="dxa"/>
            <w:vAlign w:val="bottom"/>
            <w:gridSpan w:val="2"/>
          </w:tcPr>
          <w:p>
            <w:pPr>
              <w:ind w:left="380"/>
              <w:spacing w:after="0"/>
              <w:rPr>
                <w:sz w:val="20"/>
                <w:szCs w:val="20"/>
                <w:color w:val="auto"/>
              </w:rPr>
            </w:pPr>
            <w:r>
              <w:rPr>
                <w:rFonts w:ascii="Arial" w:cs="Arial" w:eastAsia="Arial" w:hAnsi="Arial"/>
                <w:sz w:val="15"/>
                <w:szCs w:val="15"/>
                <w:color w:val="auto"/>
              </w:rPr>
              <w:t>Right Management</w:t>
            </w: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5"/>
                <w:szCs w:val="15"/>
                <w:color w:val="auto"/>
              </w:rPr>
              <w:t>387.3</w:t>
            </w:r>
          </w:p>
        </w:tc>
        <w:tc>
          <w:tcPr>
            <w:tcW w:w="80" w:type="dxa"/>
            <w:vAlign w:val="bottom"/>
          </w:tcPr>
          <w:p>
            <w:pPr>
              <w:spacing w:after="0"/>
              <w:rPr>
                <w:sz w:val="16"/>
                <w:szCs w:val="16"/>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5"/>
                <w:szCs w:val="15"/>
                <w:color w:val="auto"/>
              </w:rPr>
              <w:t>401.8</w:t>
            </w: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-3.6%</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-4.2%</w:t>
            </w:r>
          </w:p>
        </w:tc>
        <w:tc>
          <w:tcPr>
            <w:tcW w:w="0" w:type="dxa"/>
            <w:vAlign w:val="bottom"/>
          </w:tcPr>
          <w:p>
            <w:pPr>
              <w:spacing w:after="0"/>
              <w:rPr>
                <w:sz w:val="1"/>
                <w:szCs w:val="1"/>
                <w:color w:val="auto"/>
              </w:rPr>
            </w:pPr>
          </w:p>
        </w:tc>
      </w:tr>
      <w:tr>
        <w:trPr>
          <w:trHeight w:val="188"/>
        </w:trPr>
        <w:tc>
          <w:tcPr>
            <w:tcW w:w="59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Other Operations</w:t>
            </w:r>
          </w:p>
        </w:tc>
        <w:tc>
          <w:tcPr>
            <w:tcW w:w="2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2,304.9</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2,062.1</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11.8%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13.8%</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gridSpan w:val="2"/>
            <w:vMerge w:val="restart"/>
          </w:tcPr>
          <w:p>
            <w:pPr>
              <w:jc w:val="right"/>
              <w:ind w:right="320"/>
              <w:spacing w:after="0"/>
              <w:rPr>
                <w:sz w:val="20"/>
                <w:szCs w:val="20"/>
                <w:color w:val="auto"/>
              </w:rPr>
            </w:pPr>
            <w:r>
              <w:rPr>
                <w:rFonts w:ascii="Arial" w:cs="Arial" w:eastAsia="Arial" w:hAnsi="Arial"/>
                <w:sz w:val="15"/>
                <w:szCs w:val="15"/>
                <w:color w:val="auto"/>
              </w:rPr>
              <w:t>10.8%</w:t>
            </w:r>
          </w:p>
        </w:tc>
        <w:tc>
          <w:tcPr>
            <w:tcW w:w="620" w:type="dxa"/>
            <w:vAlign w:val="bottom"/>
            <w:gridSpan w:val="2"/>
            <w:vMerge w:val="restart"/>
          </w:tcPr>
          <w:p>
            <w:pPr>
              <w:jc w:val="right"/>
              <w:spacing w:after="0"/>
              <w:rPr>
                <w:sz w:val="20"/>
                <w:szCs w:val="20"/>
                <w:color w:val="auto"/>
              </w:rPr>
            </w:pPr>
            <w:r>
              <w:rPr>
                <w:rFonts w:ascii="Arial" w:cs="Arial" w:eastAsia="Arial" w:hAnsi="Arial"/>
                <w:sz w:val="15"/>
                <w:szCs w:val="15"/>
                <w:color w:val="auto"/>
              </w:rPr>
              <w:t>10.0%</w:t>
            </w:r>
          </w:p>
        </w:tc>
        <w:tc>
          <w:tcPr>
            <w:tcW w:w="0" w:type="dxa"/>
            <w:vAlign w:val="bottom"/>
          </w:tcPr>
          <w:p>
            <w:pPr>
              <w:spacing w:after="0" w:line="20" w:lineRule="exact"/>
              <w:rPr>
                <w:sz w:val="1"/>
                <w:szCs w:val="1"/>
                <w:color w:val="auto"/>
              </w:rPr>
            </w:pPr>
          </w:p>
        </w:tc>
      </w:tr>
      <w:tr>
        <w:trPr>
          <w:trHeight w:val="191"/>
        </w:trPr>
        <w:tc>
          <w:tcPr>
            <w:tcW w:w="94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Pr>
          <w:p>
            <w:pPr>
              <w:jc w:val="right"/>
              <w:spacing w:after="0"/>
              <w:rPr>
                <w:sz w:val="20"/>
                <w:szCs w:val="20"/>
                <w:color w:val="auto"/>
              </w:rPr>
            </w:pPr>
            <w:r>
              <w:rPr>
                <w:rFonts w:ascii="Arial" w:cs="Arial" w:eastAsia="Arial" w:hAnsi="Arial"/>
                <w:sz w:val="15"/>
                <w:szCs w:val="15"/>
                <w:color w:val="auto"/>
                <w:w w:val="88"/>
              </w:rPr>
              <w:t>17,562.5</w:t>
            </w:r>
          </w:p>
        </w:tc>
        <w:tc>
          <w:tcPr>
            <w:tcW w:w="3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gridSpan w:val="2"/>
          </w:tcPr>
          <w:p>
            <w:pPr>
              <w:jc w:val="right"/>
              <w:ind w:right="340"/>
              <w:spacing w:after="0"/>
              <w:rPr>
                <w:sz w:val="20"/>
                <w:szCs w:val="20"/>
                <w:color w:val="auto"/>
              </w:rPr>
            </w:pPr>
            <w:r>
              <w:rPr>
                <w:rFonts w:ascii="Arial" w:cs="Arial" w:eastAsia="Arial" w:hAnsi="Arial"/>
                <w:sz w:val="15"/>
                <w:szCs w:val="15"/>
                <w:color w:val="auto"/>
                <w:w w:val="88"/>
              </w:rPr>
              <w:t>15,845.4</w:t>
            </w:r>
          </w:p>
        </w:tc>
        <w:tc>
          <w:tcPr>
            <w:tcW w:w="920" w:type="dxa"/>
            <w:vAlign w:val="bottom"/>
            <w:gridSpan w:val="2"/>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9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Operating Unit Profit: (a)</w:t>
            </w:r>
          </w:p>
        </w:tc>
        <w:tc>
          <w:tcPr>
            <w:tcW w:w="2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960" w:type="dxa"/>
            <w:vAlign w:val="bottom"/>
            <w:gridSpan w:val="2"/>
          </w:tcPr>
          <w:p>
            <w:pPr>
              <w:ind w:left="380"/>
              <w:spacing w:after="0"/>
              <w:rPr>
                <w:sz w:val="20"/>
                <w:szCs w:val="20"/>
                <w:color w:val="auto"/>
              </w:rPr>
            </w:pPr>
            <w:r>
              <w:rPr>
                <w:rFonts w:ascii="Arial" w:cs="Arial" w:eastAsia="Arial" w:hAnsi="Arial"/>
                <w:sz w:val="15"/>
                <w:szCs w:val="15"/>
                <w:color w:val="auto"/>
              </w:rPr>
              <w:t>United States</w:t>
            </w:r>
          </w:p>
        </w:tc>
        <w:tc>
          <w:tcPr>
            <w:tcW w:w="2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5"/>
                <w:szCs w:val="15"/>
                <w:color w:val="auto"/>
              </w:rPr>
              <w:t>87.4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40"/>
              <w:spacing w:after="0"/>
              <w:rPr>
                <w:sz w:val="20"/>
                <w:szCs w:val="20"/>
                <w:color w:val="auto"/>
              </w:rPr>
            </w:pPr>
            <w:r>
              <w:rPr>
                <w:rFonts w:ascii="Arial" w:cs="Arial" w:eastAsia="Arial" w:hAnsi="Arial"/>
                <w:sz w:val="15"/>
                <w:szCs w:val="15"/>
                <w:color w:val="auto"/>
              </w:rPr>
              <w:t>68.7</w:t>
            </w: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27.2%</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27.2%</w:t>
            </w:r>
          </w:p>
        </w:tc>
        <w:tc>
          <w:tcPr>
            <w:tcW w:w="0" w:type="dxa"/>
            <w:vAlign w:val="bottom"/>
          </w:tcPr>
          <w:p>
            <w:pPr>
              <w:spacing w:after="0"/>
              <w:rPr>
                <w:sz w:val="1"/>
                <w:szCs w:val="1"/>
                <w:color w:val="auto"/>
              </w:rPr>
            </w:pPr>
          </w:p>
        </w:tc>
      </w:tr>
      <w:tr>
        <w:trPr>
          <w:trHeight w:val="188"/>
        </w:trPr>
        <w:tc>
          <w:tcPr>
            <w:tcW w:w="59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France</w:t>
            </w:r>
          </w:p>
        </w:tc>
        <w:tc>
          <w:tcPr>
            <w:tcW w:w="2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203.3</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168.7</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20.5%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17.6%</w:t>
            </w:r>
          </w:p>
        </w:tc>
        <w:tc>
          <w:tcPr>
            <w:tcW w:w="0" w:type="dxa"/>
            <w:vAlign w:val="bottom"/>
          </w:tcPr>
          <w:p>
            <w:pPr>
              <w:spacing w:after="0"/>
              <w:rPr>
                <w:sz w:val="1"/>
                <w:szCs w:val="1"/>
                <w:color w:val="auto"/>
              </w:rPr>
            </w:pPr>
          </w:p>
        </w:tc>
      </w:tr>
      <w:tr>
        <w:trPr>
          <w:trHeight w:val="188"/>
        </w:trPr>
        <w:tc>
          <w:tcPr>
            <w:tcW w:w="5960" w:type="dxa"/>
            <w:vAlign w:val="bottom"/>
            <w:gridSpan w:val="2"/>
          </w:tcPr>
          <w:p>
            <w:pPr>
              <w:ind w:left="380"/>
              <w:spacing w:after="0"/>
              <w:rPr>
                <w:sz w:val="20"/>
                <w:szCs w:val="20"/>
                <w:color w:val="auto"/>
              </w:rPr>
            </w:pPr>
            <w:r>
              <w:rPr>
                <w:rFonts w:ascii="Arial" w:cs="Arial" w:eastAsia="Arial" w:hAnsi="Arial"/>
                <w:sz w:val="15"/>
                <w:szCs w:val="15"/>
                <w:color w:val="auto"/>
              </w:rPr>
              <w:t>EMEA</w:t>
            </w: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5"/>
                <w:szCs w:val="15"/>
                <w:color w:val="auto"/>
              </w:rPr>
              <w:t>220.2</w:t>
            </w:r>
          </w:p>
        </w:tc>
        <w:tc>
          <w:tcPr>
            <w:tcW w:w="80" w:type="dxa"/>
            <w:vAlign w:val="bottom"/>
          </w:tcPr>
          <w:p>
            <w:pPr>
              <w:spacing w:after="0"/>
              <w:rPr>
                <w:sz w:val="16"/>
                <w:szCs w:val="16"/>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5"/>
                <w:szCs w:val="15"/>
                <w:color w:val="auto"/>
              </w:rPr>
              <w:t>144.1</w:t>
            </w: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52.9%</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48.1%</w:t>
            </w:r>
          </w:p>
        </w:tc>
        <w:tc>
          <w:tcPr>
            <w:tcW w:w="0" w:type="dxa"/>
            <w:vAlign w:val="bottom"/>
          </w:tcPr>
          <w:p>
            <w:pPr>
              <w:spacing w:after="0"/>
              <w:rPr>
                <w:sz w:val="1"/>
                <w:szCs w:val="1"/>
                <w:color w:val="auto"/>
              </w:rPr>
            </w:pPr>
          </w:p>
        </w:tc>
      </w:tr>
      <w:tr>
        <w:trPr>
          <w:trHeight w:val="188"/>
        </w:trPr>
        <w:tc>
          <w:tcPr>
            <w:tcW w:w="59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Jefferson Wells</w:t>
            </w:r>
          </w:p>
        </w:tc>
        <w:tc>
          <w:tcPr>
            <w:tcW w:w="2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31.9</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33.3</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-4.2%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-4.2%</w:t>
            </w:r>
          </w:p>
        </w:tc>
        <w:tc>
          <w:tcPr>
            <w:tcW w:w="0" w:type="dxa"/>
            <w:vAlign w:val="bottom"/>
          </w:tcPr>
          <w:p>
            <w:pPr>
              <w:spacing w:after="0"/>
              <w:rPr>
                <w:sz w:val="1"/>
                <w:szCs w:val="1"/>
                <w:color w:val="auto"/>
              </w:rPr>
            </w:pPr>
          </w:p>
        </w:tc>
      </w:tr>
      <w:tr>
        <w:trPr>
          <w:trHeight w:val="188"/>
        </w:trPr>
        <w:tc>
          <w:tcPr>
            <w:tcW w:w="5960" w:type="dxa"/>
            <w:vAlign w:val="bottom"/>
            <w:gridSpan w:val="2"/>
          </w:tcPr>
          <w:p>
            <w:pPr>
              <w:ind w:left="380"/>
              <w:spacing w:after="0"/>
              <w:rPr>
                <w:sz w:val="20"/>
                <w:szCs w:val="20"/>
                <w:color w:val="auto"/>
              </w:rPr>
            </w:pPr>
            <w:r>
              <w:rPr>
                <w:rFonts w:ascii="Arial" w:cs="Arial" w:eastAsia="Arial" w:hAnsi="Arial"/>
                <w:sz w:val="15"/>
                <w:szCs w:val="15"/>
                <w:color w:val="auto"/>
              </w:rPr>
              <w:t>Right Management</w:t>
            </w: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5"/>
                <w:szCs w:val="15"/>
                <w:color w:val="auto"/>
              </w:rPr>
              <w:t>18.3</w:t>
            </w:r>
          </w:p>
        </w:tc>
        <w:tc>
          <w:tcPr>
            <w:tcW w:w="80" w:type="dxa"/>
            <w:vAlign w:val="bottom"/>
          </w:tcPr>
          <w:p>
            <w:pPr>
              <w:spacing w:after="0"/>
              <w:rPr>
                <w:sz w:val="16"/>
                <w:szCs w:val="16"/>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5"/>
                <w:szCs w:val="15"/>
                <w:color w:val="auto"/>
              </w:rPr>
              <w:t>25.7</w:t>
            </w: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-28.8%</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-28.2%</w:t>
            </w:r>
          </w:p>
        </w:tc>
        <w:tc>
          <w:tcPr>
            <w:tcW w:w="0" w:type="dxa"/>
            <w:vAlign w:val="bottom"/>
          </w:tcPr>
          <w:p>
            <w:pPr>
              <w:spacing w:after="0"/>
              <w:rPr>
                <w:sz w:val="1"/>
                <w:szCs w:val="1"/>
                <w:color w:val="auto"/>
              </w:rPr>
            </w:pPr>
          </w:p>
        </w:tc>
      </w:tr>
      <w:tr>
        <w:trPr>
          <w:trHeight w:val="188"/>
        </w:trPr>
        <w:tc>
          <w:tcPr>
            <w:tcW w:w="59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Other Operations</w:t>
            </w:r>
          </w:p>
        </w:tc>
        <w:tc>
          <w:tcPr>
            <w:tcW w:w="2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69.9</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60.4</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16.0%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19.6%</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94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631.0</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5"/>
                <w:szCs w:val="15"/>
                <w:color w:val="auto"/>
              </w:rPr>
              <w:t>500.9</w:t>
            </w: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Corporate expenses</w:t>
            </w:r>
          </w:p>
        </w:tc>
        <w:tc>
          <w:tcPr>
            <w:tcW w:w="2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85.8</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59.0</w:t>
            </w:r>
          </w:p>
        </w:tc>
        <w:tc>
          <w:tcPr>
            <w:tcW w:w="4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960" w:type="dxa"/>
            <w:vAlign w:val="bottom"/>
            <w:gridSpan w:val="2"/>
          </w:tcPr>
          <w:p>
            <w:pPr>
              <w:spacing w:after="0"/>
              <w:rPr>
                <w:sz w:val="20"/>
                <w:szCs w:val="20"/>
                <w:color w:val="auto"/>
              </w:rPr>
            </w:pPr>
            <w:r>
              <w:rPr>
                <w:rFonts w:ascii="Arial" w:cs="Arial" w:eastAsia="Arial" w:hAnsi="Arial"/>
                <w:sz w:val="15"/>
                <w:szCs w:val="15"/>
                <w:color w:val="auto"/>
              </w:rPr>
              <w:t>Amortization of intangible assets</w:t>
            </w: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13.1</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5"/>
                <w:szCs w:val="15"/>
                <w:color w:val="auto"/>
              </w:rPr>
              <w:t>13.1</w:t>
            </w: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9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59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Operating profit</w:t>
            </w:r>
          </w:p>
        </w:tc>
        <w:tc>
          <w:tcPr>
            <w:tcW w:w="2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532.1</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428.8</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24.1%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21.9%</w:t>
            </w:r>
          </w:p>
        </w:tc>
        <w:tc>
          <w:tcPr>
            <w:tcW w:w="0" w:type="dxa"/>
            <w:vAlign w:val="bottom"/>
          </w:tcPr>
          <w:p>
            <w:pPr>
              <w:spacing w:after="0"/>
              <w:rPr>
                <w:sz w:val="1"/>
                <w:szCs w:val="1"/>
                <w:color w:val="auto"/>
              </w:rPr>
            </w:pPr>
          </w:p>
        </w:tc>
      </w:tr>
      <w:tr>
        <w:trPr>
          <w:trHeight w:val="188"/>
        </w:trPr>
        <w:tc>
          <w:tcPr>
            <w:tcW w:w="5960" w:type="dxa"/>
            <w:vAlign w:val="bottom"/>
            <w:gridSpan w:val="2"/>
          </w:tcPr>
          <w:p>
            <w:pPr>
              <w:spacing w:after="0"/>
              <w:rPr>
                <w:sz w:val="20"/>
                <w:szCs w:val="20"/>
                <w:color w:val="auto"/>
              </w:rPr>
            </w:pPr>
            <w:r>
              <w:rPr>
                <w:rFonts w:ascii="Arial" w:cs="Arial" w:eastAsia="Arial" w:hAnsi="Arial"/>
                <w:sz w:val="15"/>
                <w:szCs w:val="15"/>
                <w:color w:val="auto"/>
              </w:rPr>
              <w:t>Interest and other expenses (c)</w:t>
            </w: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5"/>
                <w:szCs w:val="15"/>
                <w:color w:val="auto"/>
              </w:rPr>
              <w:t>50.2</w:t>
            </w:r>
          </w:p>
        </w:tc>
        <w:tc>
          <w:tcPr>
            <w:tcW w:w="80" w:type="dxa"/>
            <w:vAlign w:val="bottom"/>
          </w:tcPr>
          <w:p>
            <w:pPr>
              <w:spacing w:after="0"/>
              <w:rPr>
                <w:sz w:val="16"/>
                <w:szCs w:val="16"/>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5"/>
                <w:szCs w:val="15"/>
                <w:color w:val="auto"/>
              </w:rPr>
              <w:t>41.8</w:t>
            </w: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9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Earnings before income taxes and discontinued operations</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481.9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387.0</w:t>
            </w:r>
          </w:p>
        </w:tc>
        <w:tc>
          <w:tcPr>
            <w:tcW w:w="4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940" w:type="dxa"/>
            <w:vAlign w:val="bottom"/>
            <w:tcBorders>
              <w:bottom w:val="single" w:sz="8" w:color="auto"/>
            </w:tcBorders>
          </w:tcPr>
          <w:p>
            <w:pPr>
              <w:spacing w:after="0"/>
              <w:rPr>
                <w:sz w:val="7"/>
                <w:szCs w:val="7"/>
                <w:color w:val="auto"/>
              </w:rPr>
            </w:pPr>
          </w:p>
        </w:tc>
        <w:tc>
          <w:tcPr>
            <w:tcW w:w="502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446" w:right="40" w:hanging="446"/>
        <w:spacing w:after="0" w:line="264" w:lineRule="auto"/>
        <w:tabs>
          <w:tab w:leader="none" w:pos="446" w:val="left"/>
        </w:tabs>
        <w:numPr>
          <w:ilvl w:val="0"/>
          <w:numId w:val="5"/>
        </w:numPr>
        <w:rPr>
          <w:rFonts w:ascii="Arial" w:cs="Arial" w:eastAsia="Arial" w:hAnsi="Arial"/>
          <w:sz w:val="15"/>
          <w:szCs w:val="15"/>
          <w:color w:val="auto"/>
        </w:rPr>
      </w:pPr>
      <w:r>
        <w:rPr>
          <w:rFonts w:ascii="Arial" w:cs="Arial" w:eastAsia="Arial" w:hAnsi="Arial"/>
          <w:sz w:val="15"/>
          <w:szCs w:val="15"/>
          <w:color w:val="auto"/>
        </w:rPr>
        <w:t>Certain Eastern European countries previously reported in France, and our Russian operations previously reported in Other Operations, are now reported in EMEA due to a change in management structure. All previously reported results for France, EMEA, and Other Operations have been revised to conform to the current presentation. The impact of these revisions is not significant.</w:t>
      </w:r>
    </w:p>
    <w:p>
      <w:pPr>
        <w:spacing w:after="0" w:line="1" w:lineRule="exact"/>
        <w:rPr>
          <w:rFonts w:ascii="Arial" w:cs="Arial" w:eastAsia="Arial" w:hAnsi="Arial"/>
          <w:sz w:val="15"/>
          <w:szCs w:val="15"/>
          <w:color w:val="auto"/>
        </w:rPr>
      </w:pPr>
    </w:p>
    <w:p>
      <w:pPr>
        <w:ind w:left="446" w:right="120" w:hanging="446"/>
        <w:spacing w:after="0" w:line="261" w:lineRule="auto"/>
        <w:tabs>
          <w:tab w:leader="none" w:pos="446" w:val="left"/>
        </w:tabs>
        <w:numPr>
          <w:ilvl w:val="0"/>
          <w:numId w:val="5"/>
        </w:numPr>
        <w:rPr>
          <w:rFonts w:ascii="Arial" w:cs="Arial" w:eastAsia="Arial" w:hAnsi="Arial"/>
          <w:sz w:val="15"/>
          <w:szCs w:val="15"/>
          <w:color w:val="auto"/>
        </w:rPr>
      </w:pPr>
      <w:r>
        <w:rPr>
          <w:rFonts w:ascii="Arial" w:cs="Arial" w:eastAsia="Arial" w:hAnsi="Arial"/>
          <w:sz w:val="15"/>
          <w:szCs w:val="15"/>
          <w:color w:val="auto"/>
        </w:rPr>
        <w:t>In the United States, revenues from services include fees received from the related franchise offices of $24.4 million and $24.9 million for the year ended December 31, 2006 and 2005, respectively. These fees are primarily based on revenues generated by the franchise offices, which were $1,146.1 million and $1,196.9 million for the year ended December 31, 2006 and 2005, respectively.</w:t>
      </w:r>
    </w:p>
    <w:p>
      <w:pPr>
        <w:spacing w:after="0" w:line="1" w:lineRule="exact"/>
        <w:rPr>
          <w:rFonts w:ascii="Arial" w:cs="Arial" w:eastAsia="Arial" w:hAnsi="Arial"/>
          <w:sz w:val="15"/>
          <w:szCs w:val="15"/>
          <w:color w:val="auto"/>
        </w:rPr>
      </w:pPr>
    </w:p>
    <w:p>
      <w:pPr>
        <w:ind w:left="446" w:hanging="446"/>
        <w:spacing w:after="0"/>
        <w:tabs>
          <w:tab w:leader="none" w:pos="446"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components of interest and other expenses were:</w:t>
      </w:r>
    </w:p>
    <w:p>
      <w:pPr>
        <w:spacing w:after="0" w:line="182" w:lineRule="exact"/>
        <w:rPr>
          <w:sz w:val="20"/>
          <w:szCs w:val="20"/>
          <w:color w:val="auto"/>
        </w:rPr>
      </w:pPr>
    </w:p>
    <w:tbl>
      <w:tblPr>
        <w:tblLayout w:type="fixed"/>
        <w:tblInd w:w="466" w:type="dxa"/>
        <w:tblCellMar>
          <w:top w:w="0" w:type="dxa"/>
          <w:left w:w="0" w:type="dxa"/>
          <w:bottom w:w="0" w:type="dxa"/>
          <w:right w:w="0" w:type="dxa"/>
        </w:tblCellMar>
      </w:tblPr>
      <w:tr>
        <w:trPr>
          <w:trHeight w:val="140"/>
        </w:trPr>
        <w:tc>
          <w:tcPr>
            <w:tcW w:w="54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ind w:right="7"/>
              <w:spacing w:after="0"/>
              <w:rPr>
                <w:sz w:val="20"/>
                <w:szCs w:val="20"/>
                <w:color w:val="auto"/>
              </w:rPr>
            </w:pPr>
            <w:r>
              <w:rPr>
                <w:rFonts w:ascii="Arial" w:cs="Arial" w:eastAsia="Arial" w:hAnsi="Arial"/>
                <w:sz w:val="12"/>
                <w:szCs w:val="12"/>
                <w:b w:val="1"/>
                <w:bCs w:val="1"/>
                <w:color w:val="auto"/>
                <w:w w:val="89"/>
              </w:rPr>
              <w:t>2006</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Borders>
              <w:bottom w:val="single" w:sz="8" w:color="auto"/>
            </w:tcBorders>
          </w:tcPr>
          <w:p>
            <w:pPr>
              <w:jc w:val="right"/>
              <w:ind w:right="9"/>
              <w:spacing w:after="0"/>
              <w:rPr>
                <w:sz w:val="20"/>
                <w:szCs w:val="20"/>
                <w:color w:val="auto"/>
              </w:rPr>
            </w:pPr>
            <w:r>
              <w:rPr>
                <w:rFonts w:ascii="Arial" w:cs="Arial" w:eastAsia="Arial" w:hAnsi="Arial"/>
                <w:sz w:val="12"/>
                <w:szCs w:val="12"/>
                <w:b w:val="1"/>
                <w:bCs w:val="1"/>
                <w:color w:val="auto"/>
              </w:rPr>
              <w:t>2005</w:t>
            </w:r>
          </w:p>
        </w:tc>
        <w:tc>
          <w:tcPr>
            <w:tcW w:w="60" w:type="dxa"/>
            <w:vAlign w:val="bottom"/>
          </w:tcPr>
          <w:p>
            <w:pPr>
              <w:spacing w:after="0"/>
              <w:rPr>
                <w:sz w:val="12"/>
                <w:szCs w:val="12"/>
                <w:color w:val="auto"/>
              </w:rPr>
            </w:pPr>
          </w:p>
        </w:tc>
      </w:tr>
      <w:tr>
        <w:trPr>
          <w:trHeight w:val="180"/>
        </w:trPr>
        <w:tc>
          <w:tcPr>
            <w:tcW w:w="542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54.1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$ 46.7</w:t>
            </w:r>
          </w:p>
        </w:tc>
        <w:tc>
          <w:tcPr>
            <w:tcW w:w="60" w:type="dxa"/>
            <w:vAlign w:val="bottom"/>
            <w:shd w:val="clear" w:color="auto" w:fill="CCEEFF"/>
          </w:tcPr>
          <w:p>
            <w:pPr>
              <w:spacing w:after="0"/>
              <w:rPr>
                <w:sz w:val="15"/>
                <w:szCs w:val="15"/>
                <w:color w:val="auto"/>
              </w:rPr>
            </w:pPr>
          </w:p>
        </w:tc>
      </w:tr>
      <w:tr>
        <w:trPr>
          <w:trHeight w:val="188"/>
        </w:trPr>
        <w:tc>
          <w:tcPr>
            <w:tcW w:w="5420" w:type="dxa"/>
            <w:vAlign w:val="bottom"/>
          </w:tcPr>
          <w:p>
            <w:pPr>
              <w:spacing w:after="0"/>
              <w:rPr>
                <w:sz w:val="20"/>
                <w:szCs w:val="20"/>
                <w:color w:val="auto"/>
              </w:rPr>
            </w:pPr>
            <w:r>
              <w:rPr>
                <w:rFonts w:ascii="Arial" w:cs="Arial" w:eastAsia="Arial" w:hAnsi="Arial"/>
                <w:sz w:val="15"/>
                <w:szCs w:val="15"/>
                <w:color w:val="auto"/>
              </w:rPr>
              <w:t>Interest income</w:t>
            </w:r>
          </w:p>
        </w:tc>
        <w:tc>
          <w:tcPr>
            <w:tcW w:w="3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5"/>
                <w:szCs w:val="15"/>
                <w:color w:val="auto"/>
                <w:w w:val="91"/>
              </w:rPr>
              <w:t>(18.3)</w:t>
            </w:r>
          </w:p>
        </w:tc>
        <w:tc>
          <w:tcPr>
            <w:tcW w:w="660" w:type="dxa"/>
            <w:vAlign w:val="bottom"/>
            <w:gridSpan w:val="3"/>
          </w:tcPr>
          <w:p>
            <w:pPr>
              <w:jc w:val="right"/>
              <w:ind w:right="20"/>
              <w:spacing w:after="0"/>
              <w:rPr>
                <w:sz w:val="20"/>
                <w:szCs w:val="20"/>
                <w:color w:val="auto"/>
              </w:rPr>
            </w:pPr>
            <w:r>
              <w:rPr>
                <w:rFonts w:ascii="Arial" w:cs="Arial" w:eastAsia="Arial" w:hAnsi="Arial"/>
                <w:sz w:val="15"/>
                <w:szCs w:val="15"/>
                <w:color w:val="auto"/>
              </w:rPr>
              <w:t>(9.8)</w:t>
            </w:r>
          </w:p>
        </w:tc>
      </w:tr>
      <w:tr>
        <w:trPr>
          <w:trHeight w:val="188"/>
        </w:trPr>
        <w:tc>
          <w:tcPr>
            <w:tcW w:w="5420" w:type="dxa"/>
            <w:vAlign w:val="bottom"/>
            <w:shd w:val="clear" w:color="auto" w:fill="CCEEFF"/>
          </w:tcPr>
          <w:p>
            <w:pPr>
              <w:spacing w:after="0"/>
              <w:rPr>
                <w:sz w:val="20"/>
                <w:szCs w:val="20"/>
                <w:color w:val="auto"/>
              </w:rPr>
            </w:pPr>
            <w:r>
              <w:rPr>
                <w:rFonts w:ascii="Arial" w:cs="Arial" w:eastAsia="Arial" w:hAnsi="Arial"/>
                <w:sz w:val="15"/>
                <w:szCs w:val="15"/>
                <w:color w:val="auto"/>
              </w:rPr>
              <w:t>Foreign exchange losses</w:t>
            </w:r>
          </w:p>
        </w:tc>
        <w:tc>
          <w:tcPr>
            <w:tcW w:w="3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3.2</w:t>
            </w:r>
          </w:p>
        </w:tc>
        <w:tc>
          <w:tcPr>
            <w:tcW w:w="20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192"/>
        </w:trPr>
        <w:tc>
          <w:tcPr>
            <w:tcW w:w="5420" w:type="dxa"/>
            <w:vAlign w:val="bottom"/>
          </w:tcPr>
          <w:p>
            <w:pPr>
              <w:spacing w:after="0"/>
              <w:rPr>
                <w:sz w:val="20"/>
                <w:szCs w:val="20"/>
                <w:color w:val="auto"/>
              </w:rPr>
            </w:pPr>
            <w:r>
              <w:rPr>
                <w:rFonts w:ascii="Arial" w:cs="Arial" w:eastAsia="Arial" w:hAnsi="Arial"/>
                <w:sz w:val="15"/>
                <w:szCs w:val="15"/>
                <w:color w:val="auto"/>
              </w:rPr>
              <w:t>Miscellaneous expense, net</w:t>
            </w:r>
          </w:p>
        </w:tc>
        <w:tc>
          <w:tcPr>
            <w:tcW w:w="37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11.2</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w:t>
            </w:r>
          </w:p>
        </w:tc>
        <w:tc>
          <w:tcPr>
            <w:tcW w:w="60" w:type="dxa"/>
            <w:vAlign w:val="bottom"/>
          </w:tcPr>
          <w:p>
            <w:pPr>
              <w:spacing w:after="0"/>
              <w:rPr>
                <w:sz w:val="16"/>
                <w:szCs w:val="16"/>
                <w:color w:val="auto"/>
              </w:rPr>
            </w:pPr>
          </w:p>
        </w:tc>
      </w:tr>
      <w:tr>
        <w:trPr>
          <w:trHeight w:val="188"/>
        </w:trPr>
        <w:tc>
          <w:tcPr>
            <w:tcW w:w="5420" w:type="dxa"/>
            <w:vAlign w:val="bottom"/>
            <w:shd w:val="clear" w:color="auto" w:fill="CCEEFF"/>
          </w:tcPr>
          <w:p>
            <w:pPr>
              <w:spacing w:after="0"/>
              <w:rPr>
                <w:sz w:val="16"/>
                <w:szCs w:val="16"/>
                <w:color w:val="auto"/>
              </w:rPr>
            </w:pP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50.2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$ 41.8</w:t>
            </w:r>
          </w:p>
        </w:tc>
        <w:tc>
          <w:tcPr>
            <w:tcW w:w="60" w:type="dxa"/>
            <w:vAlign w:val="bottom"/>
            <w:shd w:val="clear" w:color="auto" w:fill="CCEEFF"/>
          </w:tcPr>
          <w:p>
            <w:pPr>
              <w:spacing w:after="0"/>
              <w:rPr>
                <w:sz w:val="16"/>
                <w:szCs w:val="16"/>
                <w:color w:val="auto"/>
              </w:rPr>
            </w:pPr>
          </w:p>
        </w:tc>
      </w:tr>
      <w:tr>
        <w:trPr>
          <w:trHeight w:val="20"/>
        </w:trPr>
        <w:tc>
          <w:tcPr>
            <w:tcW w:w="54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1">
            <w:col w:w="11446"/>
          </w:cols>
          <w:pgMar w:left="234" w:top="262" w:right="21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4720" cy="24765"/>
                    </a:xfrm>
                    <a:prstGeom prst="rect">
                      <a:avLst/>
                    </a:prstGeom>
                    <a:noFill/>
                  </pic:spPr>
                </pic:pic>
              </a:graphicData>
            </a:graphic>
          </wp:anchor>
        </w:drawing>
        <w:t>Manpower Inc.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Consolidated Balance Sheets</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0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w w:val="80"/>
              </w:rPr>
              <w:t>Dec. 31</w:t>
            </w:r>
          </w:p>
        </w:tc>
        <w:tc>
          <w:tcPr>
            <w:tcW w:w="80" w:type="dxa"/>
            <w:vAlign w:val="bottom"/>
          </w:tcPr>
          <w:p>
            <w:pPr>
              <w:spacing w:after="0"/>
              <w:rPr>
                <w:sz w:val="12"/>
                <w:szCs w:val="12"/>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w w:val="80"/>
              </w:rPr>
              <w:t>Dec. 31</w:t>
            </w:r>
          </w:p>
        </w:tc>
      </w:tr>
      <w:tr>
        <w:trPr>
          <w:trHeight w:val="140"/>
        </w:trPr>
        <w:tc>
          <w:tcPr>
            <w:tcW w:w="100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85"/>
              <w:spacing w:after="0"/>
              <w:rPr>
                <w:sz w:val="20"/>
                <w:szCs w:val="20"/>
                <w:color w:val="auto"/>
              </w:rPr>
            </w:pPr>
            <w:r>
              <w:rPr>
                <w:rFonts w:ascii="Arial" w:cs="Arial" w:eastAsia="Arial" w:hAnsi="Arial"/>
                <w:sz w:val="12"/>
                <w:szCs w:val="12"/>
                <w:b w:val="1"/>
                <w:bCs w:val="1"/>
                <w:color w:val="auto"/>
              </w:rPr>
              <w:t>2006</w:t>
            </w:r>
          </w:p>
        </w:tc>
        <w:tc>
          <w:tcPr>
            <w:tcW w:w="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85"/>
              <w:spacing w:after="0"/>
              <w:rPr>
                <w:sz w:val="20"/>
                <w:szCs w:val="20"/>
                <w:color w:val="auto"/>
              </w:rPr>
            </w:pPr>
            <w:r>
              <w:rPr>
                <w:rFonts w:ascii="Arial" w:cs="Arial" w:eastAsia="Arial" w:hAnsi="Arial"/>
                <w:sz w:val="12"/>
                <w:szCs w:val="12"/>
                <w:b w:val="1"/>
                <w:bCs w:val="1"/>
                <w:color w:val="auto"/>
              </w:rPr>
              <w:t>2005</w:t>
            </w:r>
          </w:p>
        </w:tc>
        <w:tc>
          <w:tcPr>
            <w:tcW w:w="60" w:type="dxa"/>
            <w:vAlign w:val="bottom"/>
          </w:tcPr>
          <w:p>
            <w:pPr>
              <w:spacing w:after="0"/>
              <w:rPr>
                <w:sz w:val="12"/>
                <w:szCs w:val="12"/>
                <w:color w:val="auto"/>
              </w:rPr>
            </w:pPr>
          </w:p>
        </w:tc>
      </w:tr>
      <w:tr>
        <w:trPr>
          <w:trHeight w:val="121"/>
        </w:trPr>
        <w:tc>
          <w:tcPr>
            <w:tcW w:w="10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gridSpan w:val="5"/>
          </w:tcPr>
          <w:p>
            <w:pPr>
              <w:jc w:val="right"/>
              <w:ind w:right="440"/>
              <w:spacing w:after="0" w:line="121" w:lineRule="exact"/>
              <w:rPr>
                <w:sz w:val="20"/>
                <w:szCs w:val="20"/>
                <w:color w:val="auto"/>
              </w:rPr>
            </w:pPr>
            <w:r>
              <w:rPr>
                <w:rFonts w:ascii="Arial" w:cs="Arial" w:eastAsia="Arial" w:hAnsi="Arial"/>
                <w:sz w:val="12"/>
                <w:szCs w:val="12"/>
                <w:b w:val="1"/>
                <w:bCs w:val="1"/>
                <w:color w:val="auto"/>
              </w:rPr>
              <w:t>(Unaudited)</w:t>
            </w:r>
          </w:p>
        </w:tc>
      </w:tr>
      <w:tr>
        <w:trPr>
          <w:trHeight w:val="188"/>
        </w:trPr>
        <w:tc>
          <w:tcPr>
            <w:tcW w:w="100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8"/>
        </w:trPr>
        <w:tc>
          <w:tcPr>
            <w:tcW w:w="10020" w:type="dxa"/>
            <w:vAlign w:val="bottom"/>
          </w:tcPr>
          <w:p>
            <w:pPr>
              <w:spacing w:after="0"/>
              <w:rPr>
                <w:sz w:val="20"/>
                <w:szCs w:val="20"/>
                <w:color w:val="auto"/>
              </w:rPr>
            </w:pPr>
            <w:r>
              <w:rPr>
                <w:rFonts w:ascii="Arial" w:cs="Arial" w:eastAsia="Arial" w:hAnsi="Arial"/>
                <w:sz w:val="15"/>
                <w:szCs w:val="15"/>
                <w:b w:val="1"/>
                <w:bCs w:val="1"/>
                <w:color w:val="auto"/>
              </w:rPr>
              <w:t>Current assets:</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8"/>
        </w:trPr>
        <w:tc>
          <w:tcPr>
            <w:tcW w:w="100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687.9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454.9</w:t>
            </w:r>
          </w:p>
        </w:tc>
      </w:tr>
      <w:tr>
        <w:trPr>
          <w:trHeight w:val="188"/>
        </w:trPr>
        <w:tc>
          <w:tcPr>
            <w:tcW w:w="10020" w:type="dxa"/>
            <w:vAlign w:val="bottom"/>
          </w:tcPr>
          <w:p>
            <w:pPr>
              <w:ind w:left="380"/>
              <w:spacing w:after="0"/>
              <w:rPr>
                <w:sz w:val="20"/>
                <w:szCs w:val="20"/>
                <w:color w:val="auto"/>
              </w:rPr>
            </w:pPr>
            <w:r>
              <w:rPr>
                <w:rFonts w:ascii="Arial" w:cs="Arial" w:eastAsia="Arial" w:hAnsi="Arial"/>
                <w:sz w:val="15"/>
                <w:szCs w:val="15"/>
                <w:color w:val="auto"/>
              </w:rPr>
              <w:t>Accounts receivable, net</w:t>
            </w:r>
          </w:p>
        </w:tc>
        <w:tc>
          <w:tcPr>
            <w:tcW w:w="80" w:type="dxa"/>
            <w:vAlign w:val="bottom"/>
          </w:tcPr>
          <w:p>
            <w:pPr>
              <w:spacing w:after="0"/>
              <w:rPr>
                <w:sz w:val="16"/>
                <w:szCs w:val="16"/>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5"/>
                <w:szCs w:val="15"/>
                <w:color w:val="auto"/>
                <w:w w:val="87"/>
              </w:rPr>
              <w:t>3,837.2</w:t>
            </w:r>
          </w:p>
        </w:tc>
        <w:tc>
          <w:tcPr>
            <w:tcW w:w="8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5"/>
                <w:szCs w:val="15"/>
                <w:color w:val="auto"/>
                <w:w w:val="87"/>
              </w:rPr>
              <w:t>3,208.2</w:t>
            </w:r>
          </w:p>
        </w:tc>
      </w:tr>
      <w:tr>
        <w:trPr>
          <w:trHeight w:val="188"/>
        </w:trPr>
        <w:tc>
          <w:tcPr>
            <w:tcW w:w="100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Prepaid expenses and other assets</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90.5</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107.5</w:t>
            </w:r>
          </w:p>
        </w:tc>
      </w:tr>
      <w:tr>
        <w:trPr>
          <w:trHeight w:val="192"/>
        </w:trPr>
        <w:tc>
          <w:tcPr>
            <w:tcW w:w="10020" w:type="dxa"/>
            <w:vAlign w:val="bottom"/>
          </w:tcPr>
          <w:p>
            <w:pPr>
              <w:ind w:left="380"/>
              <w:spacing w:after="0"/>
              <w:rPr>
                <w:sz w:val="20"/>
                <w:szCs w:val="20"/>
                <w:color w:val="auto"/>
              </w:rPr>
            </w:pPr>
            <w:r>
              <w:rPr>
                <w:rFonts w:ascii="Arial" w:cs="Arial" w:eastAsia="Arial" w:hAnsi="Arial"/>
                <w:sz w:val="15"/>
                <w:szCs w:val="15"/>
                <w:color w:val="auto"/>
              </w:rPr>
              <w:t>Future income tax benefits</w:t>
            </w: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66.4</w:t>
            </w:r>
          </w:p>
        </w:tc>
        <w:tc>
          <w:tcPr>
            <w:tcW w:w="2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71.1</w:t>
            </w:r>
          </w:p>
        </w:tc>
        <w:tc>
          <w:tcPr>
            <w:tcW w:w="60" w:type="dxa"/>
            <w:vAlign w:val="bottom"/>
          </w:tcPr>
          <w:p>
            <w:pPr>
              <w:spacing w:after="0"/>
              <w:rPr>
                <w:sz w:val="16"/>
                <w:szCs w:val="16"/>
                <w:color w:val="auto"/>
              </w:rPr>
            </w:pPr>
          </w:p>
        </w:tc>
      </w:tr>
      <w:tr>
        <w:trPr>
          <w:trHeight w:val="188"/>
        </w:trPr>
        <w:tc>
          <w:tcPr>
            <w:tcW w:w="10020" w:type="dxa"/>
            <w:vAlign w:val="bottom"/>
            <w:shd w:val="clear" w:color="auto" w:fill="CCEEFF"/>
          </w:tcPr>
          <w:p>
            <w:pPr>
              <w:ind w:left="740"/>
              <w:spacing w:after="0"/>
              <w:rPr>
                <w:sz w:val="20"/>
                <w:szCs w:val="20"/>
                <w:color w:val="auto"/>
              </w:rPr>
            </w:pPr>
            <w:r>
              <w:rPr>
                <w:rFonts w:ascii="Arial" w:cs="Arial" w:eastAsia="Arial" w:hAnsi="Arial"/>
                <w:sz w:val="15"/>
                <w:szCs w:val="15"/>
                <w:color w:val="auto"/>
              </w:rPr>
              <w:t>Total current assets</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w w:val="87"/>
              </w:rPr>
              <w:t>4,682.0</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7"/>
              </w:rPr>
              <w:t>3,841.7</w:t>
            </w:r>
          </w:p>
        </w:tc>
      </w:tr>
      <w:tr>
        <w:trPr>
          <w:trHeight w:val="282"/>
        </w:trPr>
        <w:tc>
          <w:tcPr>
            <w:tcW w:w="10020" w:type="dxa"/>
            <w:vAlign w:val="bottom"/>
          </w:tcPr>
          <w:p>
            <w:pPr>
              <w:spacing w:after="0"/>
              <w:rPr>
                <w:sz w:val="20"/>
                <w:szCs w:val="20"/>
                <w:color w:val="auto"/>
              </w:rPr>
            </w:pPr>
            <w:r>
              <w:rPr>
                <w:rFonts w:ascii="Arial" w:cs="Arial" w:eastAsia="Arial" w:hAnsi="Arial"/>
                <w:sz w:val="15"/>
                <w:szCs w:val="15"/>
                <w:b w:val="1"/>
                <w:bCs w:val="1"/>
                <w:color w:val="auto"/>
              </w:rPr>
              <w:t>Other assets:</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9"/>
        </w:trPr>
        <w:tc>
          <w:tcPr>
            <w:tcW w:w="100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Goodwill and other intangible assets, net</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w w:val="87"/>
              </w:rPr>
              <w:t>1,293.6</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7"/>
              </w:rPr>
              <w:t>1,256.5</w:t>
            </w:r>
          </w:p>
        </w:tc>
      </w:tr>
      <w:tr>
        <w:trPr>
          <w:trHeight w:val="192"/>
        </w:trPr>
        <w:tc>
          <w:tcPr>
            <w:tcW w:w="10020" w:type="dxa"/>
            <w:vAlign w:val="bottom"/>
          </w:tcPr>
          <w:p>
            <w:pPr>
              <w:ind w:left="380"/>
              <w:spacing w:after="0"/>
              <w:rPr>
                <w:sz w:val="20"/>
                <w:szCs w:val="20"/>
                <w:color w:val="auto"/>
              </w:rPr>
            </w:pPr>
            <w:r>
              <w:rPr>
                <w:rFonts w:ascii="Arial" w:cs="Arial" w:eastAsia="Arial" w:hAnsi="Arial"/>
                <w:sz w:val="15"/>
                <w:szCs w:val="15"/>
                <w:color w:val="auto"/>
              </w:rPr>
              <w:t>Other assets</w:t>
            </w: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336.4</w:t>
            </w:r>
          </w:p>
        </w:tc>
        <w:tc>
          <w:tcPr>
            <w:tcW w:w="2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273.8</w:t>
            </w:r>
          </w:p>
        </w:tc>
        <w:tc>
          <w:tcPr>
            <w:tcW w:w="60" w:type="dxa"/>
            <w:vAlign w:val="bottom"/>
          </w:tcPr>
          <w:p>
            <w:pPr>
              <w:spacing w:after="0"/>
              <w:rPr>
                <w:sz w:val="16"/>
                <w:szCs w:val="16"/>
                <w:color w:val="auto"/>
              </w:rPr>
            </w:pPr>
          </w:p>
        </w:tc>
      </w:tr>
      <w:tr>
        <w:trPr>
          <w:trHeight w:val="188"/>
        </w:trPr>
        <w:tc>
          <w:tcPr>
            <w:tcW w:w="10020" w:type="dxa"/>
            <w:vAlign w:val="bottom"/>
            <w:shd w:val="clear" w:color="auto" w:fill="CCEEFF"/>
          </w:tcPr>
          <w:p>
            <w:pPr>
              <w:ind w:left="740"/>
              <w:spacing w:after="0"/>
              <w:rPr>
                <w:sz w:val="20"/>
                <w:szCs w:val="20"/>
                <w:color w:val="auto"/>
              </w:rPr>
            </w:pPr>
            <w:r>
              <w:rPr>
                <w:rFonts w:ascii="Arial" w:cs="Arial" w:eastAsia="Arial" w:hAnsi="Arial"/>
                <w:sz w:val="15"/>
                <w:szCs w:val="15"/>
                <w:color w:val="auto"/>
              </w:rPr>
              <w:t>Total other assets</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w w:val="87"/>
              </w:rPr>
              <w:t>1,630.0</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7"/>
              </w:rPr>
              <w:t>1,530.3</w:t>
            </w:r>
          </w:p>
        </w:tc>
      </w:tr>
      <w:tr>
        <w:trPr>
          <w:trHeight w:val="282"/>
        </w:trPr>
        <w:tc>
          <w:tcPr>
            <w:tcW w:w="10020" w:type="dxa"/>
            <w:vAlign w:val="bottom"/>
          </w:tcPr>
          <w:p>
            <w:pPr>
              <w:spacing w:after="0"/>
              <w:rPr>
                <w:sz w:val="20"/>
                <w:szCs w:val="20"/>
                <w:color w:val="auto"/>
              </w:rPr>
            </w:pPr>
            <w:r>
              <w:rPr>
                <w:rFonts w:ascii="Arial" w:cs="Arial" w:eastAsia="Arial" w:hAnsi="Arial"/>
                <w:sz w:val="15"/>
                <w:szCs w:val="15"/>
                <w:b w:val="1"/>
                <w:bCs w:val="1"/>
                <w:color w:val="auto"/>
              </w:rPr>
              <w:t>Property and equipment:</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9"/>
        </w:trPr>
        <w:tc>
          <w:tcPr>
            <w:tcW w:w="100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Land, buildings, leasehold improvements and equipment</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693.2</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642.4</w:t>
            </w:r>
          </w:p>
        </w:tc>
      </w:tr>
      <w:tr>
        <w:trPr>
          <w:trHeight w:val="192"/>
        </w:trPr>
        <w:tc>
          <w:tcPr>
            <w:tcW w:w="10020" w:type="dxa"/>
            <w:vAlign w:val="bottom"/>
          </w:tcPr>
          <w:p>
            <w:pPr>
              <w:ind w:left="380"/>
              <w:spacing w:after="0"/>
              <w:rPr>
                <w:sz w:val="20"/>
                <w:szCs w:val="20"/>
                <w:color w:val="auto"/>
              </w:rPr>
            </w:pPr>
            <w:r>
              <w:rPr>
                <w:rFonts w:ascii="Arial" w:cs="Arial" w:eastAsia="Arial" w:hAnsi="Arial"/>
                <w:sz w:val="15"/>
                <w:szCs w:val="15"/>
                <w:color w:val="auto"/>
              </w:rPr>
              <w:t>Less: accumulated depreciation and amortization</w:t>
            </w: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491.1</w:t>
            </w:r>
          </w:p>
        </w:tc>
        <w:tc>
          <w:tcPr>
            <w:tcW w:w="2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446.0</w:t>
            </w:r>
          </w:p>
        </w:tc>
        <w:tc>
          <w:tcPr>
            <w:tcW w:w="60" w:type="dxa"/>
            <w:vAlign w:val="bottom"/>
          </w:tcPr>
          <w:p>
            <w:pPr>
              <w:spacing w:after="0"/>
              <w:rPr>
                <w:sz w:val="16"/>
                <w:szCs w:val="16"/>
                <w:color w:val="auto"/>
              </w:rPr>
            </w:pPr>
          </w:p>
        </w:tc>
      </w:tr>
      <w:tr>
        <w:trPr>
          <w:trHeight w:val="188"/>
        </w:trPr>
        <w:tc>
          <w:tcPr>
            <w:tcW w:w="10020" w:type="dxa"/>
            <w:vAlign w:val="bottom"/>
            <w:shd w:val="clear" w:color="auto" w:fill="CCEEFF"/>
          </w:tcPr>
          <w:p>
            <w:pPr>
              <w:ind w:left="740"/>
              <w:spacing w:after="0"/>
              <w:rPr>
                <w:sz w:val="20"/>
                <w:szCs w:val="20"/>
                <w:color w:val="auto"/>
              </w:rPr>
            </w:pPr>
            <w:r>
              <w:rPr>
                <w:rFonts w:ascii="Arial" w:cs="Arial" w:eastAsia="Arial" w:hAnsi="Arial"/>
                <w:sz w:val="15"/>
                <w:szCs w:val="15"/>
                <w:color w:val="auto"/>
              </w:rPr>
              <w:t>Net property and equipment</w:t>
            </w:r>
          </w:p>
        </w:tc>
        <w:tc>
          <w:tcPr>
            <w:tcW w:w="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202.1</w:t>
            </w:r>
          </w:p>
        </w:tc>
        <w:tc>
          <w:tcPr>
            <w:tcW w:w="2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196.4</w:t>
            </w:r>
          </w:p>
        </w:tc>
        <w:tc>
          <w:tcPr>
            <w:tcW w:w="60" w:type="dxa"/>
            <w:vAlign w:val="bottom"/>
            <w:shd w:val="clear" w:color="auto" w:fill="CCEEFF"/>
          </w:tcPr>
          <w:p>
            <w:pPr>
              <w:spacing w:after="0"/>
              <w:rPr>
                <w:sz w:val="16"/>
                <w:szCs w:val="16"/>
                <w:color w:val="auto"/>
              </w:rPr>
            </w:pPr>
          </w:p>
        </w:tc>
      </w:tr>
      <w:tr>
        <w:trPr>
          <w:trHeight w:val="191"/>
        </w:trPr>
        <w:tc>
          <w:tcPr>
            <w:tcW w:w="100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740" w:type="dxa"/>
            <w:vAlign w:val="bottom"/>
            <w:gridSpan w:val="2"/>
          </w:tcPr>
          <w:p>
            <w:pPr>
              <w:jc w:val="right"/>
              <w:ind w:right="280"/>
              <w:spacing w:after="0"/>
              <w:rPr>
                <w:sz w:val="20"/>
                <w:szCs w:val="20"/>
                <w:color w:val="auto"/>
              </w:rPr>
            </w:pPr>
            <w:r>
              <w:rPr>
                <w:rFonts w:ascii="Arial" w:cs="Arial" w:eastAsia="Arial" w:hAnsi="Arial"/>
                <w:sz w:val="15"/>
                <w:szCs w:val="15"/>
                <w:color w:val="auto"/>
                <w:w w:val="87"/>
              </w:rPr>
              <w:t>6,514.1</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gridSpan w:val="2"/>
          </w:tcPr>
          <w:p>
            <w:pPr>
              <w:jc w:val="right"/>
              <w:ind w:right="60"/>
              <w:spacing w:after="0"/>
              <w:rPr>
                <w:sz w:val="20"/>
                <w:szCs w:val="20"/>
                <w:color w:val="auto"/>
              </w:rPr>
            </w:pPr>
            <w:r>
              <w:rPr>
                <w:rFonts w:ascii="Arial" w:cs="Arial" w:eastAsia="Arial" w:hAnsi="Arial"/>
                <w:sz w:val="15"/>
                <w:szCs w:val="15"/>
                <w:color w:val="auto"/>
                <w:w w:val="87"/>
              </w:rPr>
              <w:t>5,568.4</w:t>
            </w:r>
          </w:p>
        </w:tc>
      </w:tr>
      <w:tr>
        <w:trPr>
          <w:trHeight w:val="20"/>
        </w:trPr>
        <w:tc>
          <w:tcPr>
            <w:tcW w:w="10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100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LIABILITIES AND SHAREHOLDERS’ EQUITY</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8"/>
        </w:trPr>
        <w:tc>
          <w:tcPr>
            <w:tcW w:w="10020" w:type="dxa"/>
            <w:vAlign w:val="bottom"/>
          </w:tcPr>
          <w:p>
            <w:pPr>
              <w:spacing w:after="0"/>
              <w:rPr>
                <w:sz w:val="20"/>
                <w:szCs w:val="20"/>
                <w:color w:val="auto"/>
              </w:rPr>
            </w:pPr>
            <w:r>
              <w:rPr>
                <w:rFonts w:ascii="Arial" w:cs="Arial" w:eastAsia="Arial" w:hAnsi="Arial"/>
                <w:sz w:val="15"/>
                <w:szCs w:val="15"/>
                <w:b w:val="1"/>
                <w:bCs w:val="1"/>
                <w:color w:val="auto"/>
              </w:rPr>
              <w:t>Current liabilities:</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8"/>
        </w:trPr>
        <w:tc>
          <w:tcPr>
            <w:tcW w:w="100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889.9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685.4</w:t>
            </w:r>
          </w:p>
        </w:tc>
      </w:tr>
      <w:tr>
        <w:trPr>
          <w:trHeight w:val="188"/>
        </w:trPr>
        <w:tc>
          <w:tcPr>
            <w:tcW w:w="10020" w:type="dxa"/>
            <w:vAlign w:val="bottom"/>
          </w:tcPr>
          <w:p>
            <w:pPr>
              <w:ind w:left="380"/>
              <w:spacing w:after="0"/>
              <w:rPr>
                <w:sz w:val="20"/>
                <w:szCs w:val="20"/>
                <w:color w:val="auto"/>
              </w:rPr>
            </w:pPr>
            <w:r>
              <w:rPr>
                <w:rFonts w:ascii="Arial" w:cs="Arial" w:eastAsia="Arial" w:hAnsi="Arial"/>
                <w:sz w:val="15"/>
                <w:szCs w:val="15"/>
                <w:color w:val="auto"/>
              </w:rPr>
              <w:t>Employee compensation payable</w:t>
            </w:r>
          </w:p>
        </w:tc>
        <w:tc>
          <w:tcPr>
            <w:tcW w:w="80" w:type="dxa"/>
            <w:vAlign w:val="bottom"/>
          </w:tcPr>
          <w:p>
            <w:pPr>
              <w:spacing w:after="0"/>
              <w:rPr>
                <w:sz w:val="16"/>
                <w:szCs w:val="16"/>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5"/>
                <w:szCs w:val="15"/>
                <w:color w:val="auto"/>
              </w:rPr>
              <w:t>180.7</w:t>
            </w:r>
          </w:p>
        </w:tc>
        <w:tc>
          <w:tcPr>
            <w:tcW w:w="8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5"/>
                <w:szCs w:val="15"/>
                <w:color w:val="auto"/>
              </w:rPr>
              <w:t>150.6</w:t>
            </w:r>
          </w:p>
        </w:tc>
      </w:tr>
      <w:tr>
        <w:trPr>
          <w:trHeight w:val="188"/>
        </w:trPr>
        <w:tc>
          <w:tcPr>
            <w:tcW w:w="100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Accrued liabilities</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562.1</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435.4</w:t>
            </w:r>
          </w:p>
        </w:tc>
      </w:tr>
      <w:tr>
        <w:trPr>
          <w:trHeight w:val="188"/>
        </w:trPr>
        <w:tc>
          <w:tcPr>
            <w:tcW w:w="10020" w:type="dxa"/>
            <w:vAlign w:val="bottom"/>
          </w:tcPr>
          <w:p>
            <w:pPr>
              <w:ind w:left="380"/>
              <w:spacing w:after="0"/>
              <w:rPr>
                <w:sz w:val="20"/>
                <w:szCs w:val="20"/>
                <w:color w:val="auto"/>
              </w:rPr>
            </w:pPr>
            <w:r>
              <w:rPr>
                <w:rFonts w:ascii="Arial" w:cs="Arial" w:eastAsia="Arial" w:hAnsi="Arial"/>
                <w:sz w:val="15"/>
                <w:szCs w:val="15"/>
                <w:color w:val="auto"/>
              </w:rPr>
              <w:t>Accrued payroll taxes and insurance</w:t>
            </w:r>
          </w:p>
        </w:tc>
        <w:tc>
          <w:tcPr>
            <w:tcW w:w="80" w:type="dxa"/>
            <w:vAlign w:val="bottom"/>
          </w:tcPr>
          <w:p>
            <w:pPr>
              <w:spacing w:after="0"/>
              <w:rPr>
                <w:sz w:val="16"/>
                <w:szCs w:val="16"/>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5"/>
                <w:szCs w:val="15"/>
                <w:color w:val="auto"/>
              </w:rPr>
              <w:t>699.9</w:t>
            </w:r>
          </w:p>
        </w:tc>
        <w:tc>
          <w:tcPr>
            <w:tcW w:w="8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5"/>
                <w:szCs w:val="15"/>
                <w:color w:val="auto"/>
              </w:rPr>
              <w:t>607.2</w:t>
            </w:r>
          </w:p>
        </w:tc>
      </w:tr>
      <w:tr>
        <w:trPr>
          <w:trHeight w:val="188"/>
        </w:trPr>
        <w:tc>
          <w:tcPr>
            <w:tcW w:w="100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Value added taxes payable</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517.0</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441.9</w:t>
            </w:r>
          </w:p>
        </w:tc>
      </w:tr>
      <w:tr>
        <w:trPr>
          <w:trHeight w:val="192"/>
        </w:trPr>
        <w:tc>
          <w:tcPr>
            <w:tcW w:w="10020" w:type="dxa"/>
            <w:vAlign w:val="bottom"/>
          </w:tcPr>
          <w:p>
            <w:pPr>
              <w:ind w:left="380"/>
              <w:spacing w:after="0"/>
              <w:rPr>
                <w:sz w:val="20"/>
                <w:szCs w:val="20"/>
                <w:color w:val="auto"/>
              </w:rPr>
            </w:pPr>
            <w:r>
              <w:rPr>
                <w:rFonts w:ascii="Arial" w:cs="Arial" w:eastAsia="Arial" w:hAnsi="Arial"/>
                <w:sz w:val="15"/>
                <w:szCs w:val="15"/>
                <w:color w:val="auto"/>
              </w:rPr>
              <w:t>Short-term borrowings and current maturities of long-term debt</w:t>
            </w: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32.0</w:t>
            </w:r>
          </w:p>
        </w:tc>
        <w:tc>
          <w:tcPr>
            <w:tcW w:w="2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260.0</w:t>
            </w:r>
          </w:p>
        </w:tc>
        <w:tc>
          <w:tcPr>
            <w:tcW w:w="60" w:type="dxa"/>
            <w:vAlign w:val="bottom"/>
          </w:tcPr>
          <w:p>
            <w:pPr>
              <w:spacing w:after="0"/>
              <w:rPr>
                <w:sz w:val="16"/>
                <w:szCs w:val="16"/>
                <w:color w:val="auto"/>
              </w:rPr>
            </w:pPr>
          </w:p>
        </w:tc>
      </w:tr>
      <w:tr>
        <w:trPr>
          <w:trHeight w:val="188"/>
        </w:trPr>
        <w:tc>
          <w:tcPr>
            <w:tcW w:w="10020" w:type="dxa"/>
            <w:vAlign w:val="bottom"/>
            <w:shd w:val="clear" w:color="auto" w:fill="CCEEFF"/>
          </w:tcPr>
          <w:p>
            <w:pPr>
              <w:ind w:left="740"/>
              <w:spacing w:after="0"/>
              <w:rPr>
                <w:sz w:val="20"/>
                <w:szCs w:val="20"/>
                <w:color w:val="auto"/>
              </w:rPr>
            </w:pPr>
            <w:r>
              <w:rPr>
                <w:rFonts w:ascii="Arial" w:cs="Arial" w:eastAsia="Arial" w:hAnsi="Arial"/>
                <w:sz w:val="15"/>
                <w:szCs w:val="15"/>
                <w:color w:val="auto"/>
              </w:rPr>
              <w:t>Total current liabilities</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w w:val="87"/>
              </w:rPr>
              <w:t>2,881.6</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7"/>
              </w:rPr>
              <w:t>2,580.5</w:t>
            </w:r>
          </w:p>
        </w:tc>
      </w:tr>
      <w:tr>
        <w:trPr>
          <w:trHeight w:val="282"/>
        </w:trPr>
        <w:tc>
          <w:tcPr>
            <w:tcW w:w="10020" w:type="dxa"/>
            <w:vAlign w:val="bottom"/>
          </w:tcPr>
          <w:p>
            <w:pPr>
              <w:spacing w:after="0"/>
              <w:rPr>
                <w:sz w:val="20"/>
                <w:szCs w:val="20"/>
                <w:color w:val="auto"/>
              </w:rPr>
            </w:pPr>
            <w:r>
              <w:rPr>
                <w:rFonts w:ascii="Arial" w:cs="Arial" w:eastAsia="Arial" w:hAnsi="Arial"/>
                <w:sz w:val="15"/>
                <w:szCs w:val="15"/>
                <w:b w:val="1"/>
                <w:bCs w:val="1"/>
                <w:color w:val="auto"/>
              </w:rPr>
              <w:t>Other liabilities:</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9"/>
        </w:trPr>
        <w:tc>
          <w:tcPr>
            <w:tcW w:w="100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Long-term debt</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791.2</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475.0</w:t>
            </w:r>
          </w:p>
        </w:tc>
      </w:tr>
      <w:tr>
        <w:trPr>
          <w:trHeight w:val="192"/>
        </w:trPr>
        <w:tc>
          <w:tcPr>
            <w:tcW w:w="10020" w:type="dxa"/>
            <w:vAlign w:val="bottom"/>
          </w:tcPr>
          <w:p>
            <w:pPr>
              <w:ind w:left="380"/>
              <w:spacing w:after="0"/>
              <w:rPr>
                <w:sz w:val="20"/>
                <w:szCs w:val="20"/>
                <w:color w:val="auto"/>
              </w:rPr>
            </w:pPr>
            <w:r>
              <w:rPr>
                <w:rFonts w:ascii="Arial" w:cs="Arial" w:eastAsia="Arial" w:hAnsi="Arial"/>
                <w:sz w:val="15"/>
                <w:szCs w:val="15"/>
                <w:color w:val="auto"/>
              </w:rPr>
              <w:t>Other long-term liabilities</w:t>
            </w: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367.1</w:t>
            </w:r>
          </w:p>
        </w:tc>
        <w:tc>
          <w:tcPr>
            <w:tcW w:w="2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366.3</w:t>
            </w:r>
          </w:p>
        </w:tc>
        <w:tc>
          <w:tcPr>
            <w:tcW w:w="60" w:type="dxa"/>
            <w:vAlign w:val="bottom"/>
          </w:tcPr>
          <w:p>
            <w:pPr>
              <w:spacing w:after="0"/>
              <w:rPr>
                <w:sz w:val="16"/>
                <w:szCs w:val="16"/>
                <w:color w:val="auto"/>
              </w:rPr>
            </w:pPr>
          </w:p>
        </w:tc>
      </w:tr>
      <w:tr>
        <w:trPr>
          <w:trHeight w:val="188"/>
        </w:trPr>
        <w:tc>
          <w:tcPr>
            <w:tcW w:w="10020" w:type="dxa"/>
            <w:vAlign w:val="bottom"/>
            <w:shd w:val="clear" w:color="auto" w:fill="CCEEFF"/>
          </w:tcPr>
          <w:p>
            <w:pPr>
              <w:ind w:left="740"/>
              <w:spacing w:after="0"/>
              <w:rPr>
                <w:sz w:val="20"/>
                <w:szCs w:val="20"/>
                <w:color w:val="auto"/>
              </w:rPr>
            </w:pPr>
            <w:r>
              <w:rPr>
                <w:rFonts w:ascii="Arial" w:cs="Arial" w:eastAsia="Arial" w:hAnsi="Arial"/>
                <w:sz w:val="15"/>
                <w:szCs w:val="15"/>
                <w:color w:val="auto"/>
              </w:rPr>
              <w:t>Total other liabilities</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w w:val="87"/>
              </w:rPr>
              <w:t>1,158.3</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841.3</w:t>
            </w:r>
          </w:p>
        </w:tc>
      </w:tr>
      <w:tr>
        <w:trPr>
          <w:trHeight w:val="282"/>
        </w:trPr>
        <w:tc>
          <w:tcPr>
            <w:tcW w:w="10020" w:type="dxa"/>
            <w:vAlign w:val="bottom"/>
          </w:tcPr>
          <w:p>
            <w:pPr>
              <w:spacing w:after="0"/>
              <w:rPr>
                <w:sz w:val="20"/>
                <w:szCs w:val="20"/>
                <w:color w:val="auto"/>
              </w:rPr>
            </w:pPr>
            <w:r>
              <w:rPr>
                <w:rFonts w:ascii="Arial" w:cs="Arial" w:eastAsia="Arial" w:hAnsi="Arial"/>
                <w:sz w:val="15"/>
                <w:szCs w:val="15"/>
                <w:b w:val="1"/>
                <w:bCs w:val="1"/>
                <w:color w:val="auto"/>
              </w:rPr>
              <w:t>Shareholders’ equity:</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9"/>
        </w:trPr>
        <w:tc>
          <w:tcPr>
            <w:tcW w:w="100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Common stock</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1.0</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1.0</w:t>
            </w:r>
          </w:p>
        </w:tc>
      </w:tr>
      <w:tr>
        <w:trPr>
          <w:trHeight w:val="188"/>
        </w:trPr>
        <w:tc>
          <w:tcPr>
            <w:tcW w:w="10020" w:type="dxa"/>
            <w:vAlign w:val="bottom"/>
          </w:tcPr>
          <w:p>
            <w:pPr>
              <w:ind w:left="380"/>
              <w:spacing w:after="0"/>
              <w:rPr>
                <w:sz w:val="20"/>
                <w:szCs w:val="20"/>
                <w:color w:val="auto"/>
              </w:rPr>
            </w:pPr>
            <w:r>
              <w:rPr>
                <w:rFonts w:ascii="Arial" w:cs="Arial" w:eastAsia="Arial" w:hAnsi="Arial"/>
                <w:sz w:val="15"/>
                <w:szCs w:val="15"/>
                <w:color w:val="auto"/>
              </w:rPr>
              <w:t>Capital in excess of par value</w:t>
            </w:r>
          </w:p>
        </w:tc>
        <w:tc>
          <w:tcPr>
            <w:tcW w:w="80" w:type="dxa"/>
            <w:vAlign w:val="bottom"/>
          </w:tcPr>
          <w:p>
            <w:pPr>
              <w:spacing w:after="0"/>
              <w:rPr>
                <w:sz w:val="16"/>
                <w:szCs w:val="16"/>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5"/>
                <w:szCs w:val="15"/>
                <w:color w:val="auto"/>
                <w:w w:val="87"/>
              </w:rPr>
              <w:t>2,420.7</w:t>
            </w:r>
          </w:p>
        </w:tc>
        <w:tc>
          <w:tcPr>
            <w:tcW w:w="8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5"/>
                <w:szCs w:val="15"/>
                <w:color w:val="auto"/>
                <w:w w:val="87"/>
              </w:rPr>
              <w:t>2,346.7</w:t>
            </w:r>
          </w:p>
        </w:tc>
      </w:tr>
      <w:tr>
        <w:trPr>
          <w:trHeight w:val="188"/>
        </w:trPr>
        <w:tc>
          <w:tcPr>
            <w:tcW w:w="100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Retained earnings</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617.0</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269.9</w:t>
            </w:r>
          </w:p>
        </w:tc>
      </w:tr>
      <w:tr>
        <w:trPr>
          <w:trHeight w:val="188"/>
        </w:trPr>
        <w:tc>
          <w:tcPr>
            <w:tcW w:w="10020" w:type="dxa"/>
            <w:vAlign w:val="bottom"/>
          </w:tcPr>
          <w:p>
            <w:pPr>
              <w:ind w:left="380"/>
              <w:spacing w:after="0"/>
              <w:rPr>
                <w:sz w:val="20"/>
                <w:szCs w:val="20"/>
                <w:color w:val="auto"/>
              </w:rPr>
            </w:pPr>
            <w:r>
              <w:rPr>
                <w:rFonts w:ascii="Arial" w:cs="Arial" w:eastAsia="Arial" w:hAnsi="Arial"/>
                <w:sz w:val="15"/>
                <w:szCs w:val="15"/>
                <w:color w:val="auto"/>
              </w:rPr>
              <w:t>Accumulated other comprehensive income (loss)</w:t>
            </w:r>
          </w:p>
        </w:tc>
        <w:tc>
          <w:tcPr>
            <w:tcW w:w="80" w:type="dxa"/>
            <w:vAlign w:val="bottom"/>
          </w:tcPr>
          <w:p>
            <w:pPr>
              <w:spacing w:after="0"/>
              <w:rPr>
                <w:sz w:val="16"/>
                <w:szCs w:val="16"/>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5"/>
                <w:szCs w:val="15"/>
                <w:color w:val="auto"/>
              </w:rPr>
              <w:t>120.6</w:t>
            </w:r>
          </w:p>
        </w:tc>
        <w:tc>
          <w:tcPr>
            <w:tcW w:w="80" w:type="dxa"/>
            <w:vAlign w:val="bottom"/>
          </w:tcPr>
          <w:p>
            <w:pPr>
              <w:spacing w:after="0"/>
              <w:rPr>
                <w:sz w:val="16"/>
                <w:szCs w:val="16"/>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5"/>
                <w:szCs w:val="15"/>
                <w:color w:val="auto"/>
              </w:rPr>
              <w:t>(11.0)</w:t>
            </w:r>
          </w:p>
        </w:tc>
      </w:tr>
      <w:tr>
        <w:trPr>
          <w:trHeight w:val="188"/>
        </w:trPr>
        <w:tc>
          <w:tcPr>
            <w:tcW w:w="100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Treasury stock, at cost</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(685.1)</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(460.0)</w:t>
            </w:r>
          </w:p>
        </w:tc>
      </w:tr>
      <w:tr>
        <w:trPr>
          <w:trHeight w:val="195"/>
        </w:trPr>
        <w:tc>
          <w:tcPr>
            <w:tcW w:w="10020" w:type="dxa"/>
            <w:vAlign w:val="bottom"/>
          </w:tcPr>
          <w:p>
            <w:pPr>
              <w:ind w:left="740"/>
              <w:spacing w:after="0"/>
              <w:rPr>
                <w:sz w:val="20"/>
                <w:szCs w:val="20"/>
                <w:color w:val="auto"/>
              </w:rPr>
            </w:pPr>
            <w:r>
              <w:rPr>
                <w:rFonts w:ascii="Arial" w:cs="Arial" w:eastAsia="Arial" w:hAnsi="Arial"/>
                <w:sz w:val="15"/>
                <w:szCs w:val="15"/>
                <w:color w:val="auto"/>
              </w:rPr>
              <w:t>Total shareholders’ equity</w:t>
            </w:r>
          </w:p>
        </w:tc>
        <w:tc>
          <w:tcPr>
            <w:tcW w:w="80" w:type="dxa"/>
            <w:vAlign w:val="bottom"/>
            <w:tcBorders>
              <w:top w:val="single" w:sz="8" w:color="auto"/>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87"/>
              </w:rPr>
              <w:t>2,474.2</w:t>
            </w:r>
          </w:p>
        </w:tc>
        <w:tc>
          <w:tcPr>
            <w:tcW w:w="28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87"/>
              </w:rPr>
              <w:t>2,146.6</w:t>
            </w:r>
          </w:p>
        </w:tc>
        <w:tc>
          <w:tcPr>
            <w:tcW w:w="60" w:type="dxa"/>
            <w:vAlign w:val="bottom"/>
          </w:tcPr>
          <w:p>
            <w:pPr>
              <w:spacing w:after="0"/>
              <w:rPr>
                <w:sz w:val="16"/>
                <w:szCs w:val="16"/>
                <w:color w:val="auto"/>
              </w:rPr>
            </w:pPr>
          </w:p>
        </w:tc>
      </w:tr>
      <w:tr>
        <w:trPr>
          <w:trHeight w:val="188"/>
        </w:trPr>
        <w:tc>
          <w:tcPr>
            <w:tcW w:w="10020" w:type="dxa"/>
            <w:vAlign w:val="bottom"/>
            <w:shd w:val="clear" w:color="auto" w:fill="CCEEFF"/>
          </w:tcPr>
          <w:p>
            <w:pPr>
              <w:ind w:left="1120"/>
              <w:spacing w:after="0"/>
              <w:rPr>
                <w:sz w:val="20"/>
                <w:szCs w:val="20"/>
                <w:color w:val="auto"/>
              </w:rPr>
            </w:pPr>
            <w:r>
              <w:rPr>
                <w:rFonts w:ascii="Arial" w:cs="Arial" w:eastAsia="Arial" w:hAnsi="Arial"/>
                <w:sz w:val="15"/>
                <w:szCs w:val="15"/>
                <w:color w:val="auto"/>
              </w:rPr>
              <w:t>Total liabilities and shareholders’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w w:val="87"/>
              </w:rPr>
              <w:t>6,514.1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7"/>
              </w:rPr>
              <w:t>5,568.4</w:t>
            </w:r>
          </w:p>
        </w:tc>
      </w:tr>
      <w:tr>
        <w:trPr>
          <w:trHeight w:val="20"/>
        </w:trPr>
        <w:tc>
          <w:tcPr>
            <w:tcW w:w="10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1">
            <w:col w:w="11440"/>
          </w:cols>
          <w:pgMar w:left="240" w:top="262" w:right="21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4720" cy="24765"/>
                    </a:xfrm>
                    <a:prstGeom prst="rect">
                      <a:avLst/>
                    </a:prstGeom>
                    <a:noFill/>
                  </pic:spPr>
                </pic:pic>
              </a:graphicData>
            </a:graphic>
          </wp:anchor>
        </w:drawing>
        <w:t>Manpower Inc.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Consolidated Statements of Cash Flows</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(In millions)</w:t>
      </w:r>
    </w:p>
    <w:p>
      <w:pPr>
        <w:spacing w:after="0" w:line="182" w:lineRule="exact"/>
        <w:rPr>
          <w:sz w:val="20"/>
          <w:szCs w:val="20"/>
          <w:color w:val="auto"/>
        </w:rPr>
      </w:pPr>
    </w:p>
    <w:p>
      <w:pPr>
        <w:jc w:val="center"/>
        <w:ind w:left="9960"/>
        <w:spacing w:after="0"/>
        <w:rPr>
          <w:sz w:val="20"/>
          <w:szCs w:val="20"/>
          <w:color w:val="auto"/>
        </w:rPr>
      </w:pPr>
      <w:r>
        <w:rPr>
          <w:rFonts w:ascii="Arial" w:cs="Arial" w:eastAsia="Arial" w:hAnsi="Arial"/>
          <w:sz w:val="12"/>
          <w:szCs w:val="12"/>
          <w:b w:val="1"/>
          <w:bCs w:val="1"/>
          <w:color w:val="auto"/>
        </w:rPr>
        <w:t>Year Ended</w:t>
      </w:r>
    </w:p>
    <w:p>
      <w:pPr>
        <w:spacing w:after="0" w:line="3" w:lineRule="exact"/>
        <w:rPr>
          <w:sz w:val="20"/>
          <w:szCs w:val="20"/>
          <w:color w:val="auto"/>
        </w:rPr>
      </w:pPr>
    </w:p>
    <w:p>
      <w:pPr>
        <w:jc w:val="center"/>
        <w:ind w:left="9960"/>
        <w:spacing w:after="0"/>
        <w:rPr>
          <w:sz w:val="20"/>
          <w:szCs w:val="20"/>
          <w:color w:val="auto"/>
        </w:rPr>
      </w:pPr>
      <w:r>
        <w:rPr>
          <w:rFonts w:ascii="Arial" w:cs="Arial" w:eastAsia="Arial" w:hAnsi="Arial"/>
          <w:sz w:val="12"/>
          <w:szCs w:val="12"/>
          <w:b w:val="1"/>
          <w:bCs w:val="1"/>
          <w:color w:val="auto"/>
        </w:rPr>
        <w:t>Dec.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10000" w:type="dxa"/>
            <w:vAlign w:val="bottom"/>
          </w:tcPr>
          <w:p>
            <w:pPr>
              <w:spacing w:after="0"/>
              <w:rPr>
                <w:sz w:val="10"/>
                <w:szCs w:val="10"/>
                <w:color w:val="auto"/>
              </w:rPr>
            </w:pPr>
          </w:p>
        </w:tc>
        <w:tc>
          <w:tcPr>
            <w:tcW w:w="480" w:type="dxa"/>
            <w:vAlign w:val="bottom"/>
            <w:tcBorders>
              <w:top w:val="single" w:sz="8" w:color="auto"/>
              <w:bottom w:val="single" w:sz="8" w:color="auto"/>
            </w:tcBorders>
          </w:tcPr>
          <w:p>
            <w:pPr>
              <w:jc w:val="right"/>
              <w:ind w:right="44"/>
              <w:spacing w:after="0" w:line="122" w:lineRule="exact"/>
              <w:rPr>
                <w:sz w:val="20"/>
                <w:szCs w:val="20"/>
                <w:color w:val="auto"/>
              </w:rPr>
            </w:pPr>
            <w:r>
              <w:rPr>
                <w:rFonts w:ascii="Arial" w:cs="Arial" w:eastAsia="Arial" w:hAnsi="Arial"/>
                <w:sz w:val="12"/>
                <w:szCs w:val="12"/>
                <w:b w:val="1"/>
                <w:bCs w:val="1"/>
                <w:color w:val="auto"/>
              </w:rPr>
              <w:t>2006</w:t>
            </w:r>
          </w:p>
        </w:tc>
        <w:tc>
          <w:tcPr>
            <w:tcW w:w="400" w:type="dxa"/>
            <w:vAlign w:val="bottom"/>
            <w:tcBorders>
              <w:top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jc w:val="right"/>
              <w:ind w:right="44"/>
              <w:spacing w:after="0" w:line="122" w:lineRule="exact"/>
              <w:rPr>
                <w:sz w:val="20"/>
                <w:szCs w:val="20"/>
                <w:color w:val="auto"/>
              </w:rPr>
            </w:pPr>
            <w:r>
              <w:rPr>
                <w:rFonts w:ascii="Arial" w:cs="Arial" w:eastAsia="Arial" w:hAnsi="Arial"/>
                <w:sz w:val="12"/>
                <w:szCs w:val="12"/>
                <w:b w:val="1"/>
                <w:bCs w:val="1"/>
                <w:color w:val="auto"/>
              </w:rPr>
              <w:t>2005</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9"/>
                <w:szCs w:val="9"/>
                <w:b w:val="1"/>
                <w:bCs w:val="1"/>
                <w:color w:val="auto"/>
                <w:w w:val="75"/>
              </w:rPr>
              <w:t>(Unaudited)</w:t>
            </w: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Cash Flows from Operating Activities:</w:t>
            </w:r>
          </w:p>
        </w:tc>
        <w:tc>
          <w:tcPr>
            <w:tcW w:w="4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tcPr>
          <w:p>
            <w:pPr>
              <w:ind w:left="360"/>
              <w:spacing w:after="0"/>
              <w:rPr>
                <w:sz w:val="20"/>
                <w:szCs w:val="20"/>
                <w:color w:val="auto"/>
              </w:rPr>
            </w:pPr>
            <w:r>
              <w:rPr>
                <w:rFonts w:ascii="Arial" w:cs="Arial" w:eastAsia="Arial" w:hAnsi="Arial"/>
                <w:sz w:val="15"/>
                <w:szCs w:val="15"/>
                <w:color w:val="auto"/>
              </w:rPr>
              <w:t>Net earnings</w:t>
            </w:r>
          </w:p>
        </w:tc>
        <w:tc>
          <w:tcPr>
            <w:tcW w:w="880" w:type="dxa"/>
            <w:vAlign w:val="bottom"/>
            <w:gridSpan w:val="2"/>
          </w:tcPr>
          <w:p>
            <w:pPr>
              <w:jc w:val="right"/>
              <w:ind w:right="353"/>
              <w:spacing w:after="0"/>
              <w:rPr>
                <w:sz w:val="20"/>
                <w:szCs w:val="20"/>
                <w:color w:val="auto"/>
              </w:rPr>
            </w:pPr>
            <w:r>
              <w:rPr>
                <w:rFonts w:ascii="Arial" w:cs="Arial" w:eastAsia="Arial" w:hAnsi="Arial"/>
                <w:sz w:val="15"/>
                <w:szCs w:val="15"/>
                <w:color w:val="auto"/>
                <w:w w:val="91"/>
              </w:rPr>
              <w:t>$ 398.0</w:t>
            </w: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w w:val="91"/>
              </w:rPr>
              <w:t>$ 260.1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Adjustments to reconcile net earnings to net cash provided by operating activities:</w:t>
            </w:r>
          </w:p>
        </w:tc>
        <w:tc>
          <w:tcPr>
            <w:tcW w:w="4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tcPr>
          <w:p>
            <w:pPr>
              <w:ind w:left="720"/>
              <w:spacing w:after="0"/>
              <w:rPr>
                <w:sz w:val="20"/>
                <w:szCs w:val="20"/>
                <w:color w:val="auto"/>
              </w:rPr>
            </w:pPr>
            <w:r>
              <w:rPr>
                <w:rFonts w:ascii="Arial" w:cs="Arial" w:eastAsia="Arial" w:hAnsi="Arial"/>
                <w:sz w:val="15"/>
                <w:szCs w:val="15"/>
                <w:color w:val="auto"/>
              </w:rPr>
              <w:t>Gain on sale of businesses</w:t>
            </w:r>
          </w:p>
        </w:tc>
        <w:tc>
          <w:tcPr>
            <w:tcW w:w="880" w:type="dxa"/>
            <w:vAlign w:val="bottom"/>
            <w:gridSpan w:val="2"/>
          </w:tcPr>
          <w:p>
            <w:pPr>
              <w:jc w:val="right"/>
              <w:ind w:right="313"/>
              <w:spacing w:after="0"/>
              <w:rPr>
                <w:sz w:val="20"/>
                <w:szCs w:val="20"/>
                <w:color w:val="auto"/>
              </w:rPr>
            </w:pPr>
            <w:r>
              <w:rPr>
                <w:rFonts w:ascii="Arial" w:cs="Arial" w:eastAsia="Arial" w:hAnsi="Arial"/>
                <w:sz w:val="15"/>
                <w:szCs w:val="15"/>
                <w:color w:val="auto"/>
              </w:rPr>
              <w:t>(121.8)</w:t>
            </w:r>
          </w:p>
        </w:tc>
        <w:tc>
          <w:tcPr>
            <w:tcW w:w="540" w:type="dxa"/>
            <w:vAlign w:val="bottom"/>
            <w:gridSpan w:val="2"/>
          </w:tcPr>
          <w:p>
            <w:pPr>
              <w:jc w:val="right"/>
              <w:ind w:right="20"/>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ind w:left="720"/>
              <w:spacing w:after="0"/>
              <w:rPr>
                <w:sz w:val="20"/>
                <w:szCs w:val="20"/>
                <w:color w:val="auto"/>
              </w:rPr>
            </w:pPr>
            <w:r>
              <w:rPr>
                <w:rFonts w:ascii="Arial" w:cs="Arial" w:eastAsia="Arial" w:hAnsi="Arial"/>
                <w:sz w:val="15"/>
                <w:szCs w:val="15"/>
                <w:color w:val="auto"/>
              </w:rPr>
              <w:t>Depreciation and amortization</w:t>
            </w:r>
          </w:p>
        </w:tc>
        <w:tc>
          <w:tcPr>
            <w:tcW w:w="880" w:type="dxa"/>
            <w:vAlign w:val="bottom"/>
            <w:gridSpan w:val="2"/>
            <w:shd w:val="clear" w:color="auto" w:fill="CCEEFF"/>
          </w:tcPr>
          <w:p>
            <w:pPr>
              <w:jc w:val="right"/>
              <w:ind w:right="353"/>
              <w:spacing w:after="0"/>
              <w:rPr>
                <w:sz w:val="20"/>
                <w:szCs w:val="20"/>
                <w:color w:val="auto"/>
              </w:rPr>
            </w:pPr>
            <w:r>
              <w:rPr>
                <w:rFonts w:ascii="Arial" w:cs="Arial" w:eastAsia="Arial" w:hAnsi="Arial"/>
                <w:sz w:val="15"/>
                <w:szCs w:val="15"/>
                <w:color w:val="auto"/>
              </w:rPr>
              <w:t>88.8</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92.9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tcPr>
          <w:p>
            <w:pPr>
              <w:ind w:left="720"/>
              <w:spacing w:after="0"/>
              <w:rPr>
                <w:sz w:val="20"/>
                <w:szCs w:val="20"/>
                <w:color w:val="auto"/>
              </w:rPr>
            </w:pPr>
            <w:r>
              <w:rPr>
                <w:rFonts w:ascii="Arial" w:cs="Arial" w:eastAsia="Arial" w:hAnsi="Arial"/>
                <w:sz w:val="15"/>
                <w:szCs w:val="15"/>
                <w:color w:val="auto"/>
              </w:rPr>
              <w:t>Amortization of discount on convertible debentures</w:t>
            </w:r>
          </w:p>
        </w:tc>
        <w:tc>
          <w:tcPr>
            <w:tcW w:w="880" w:type="dxa"/>
            <w:vAlign w:val="bottom"/>
            <w:gridSpan w:val="2"/>
          </w:tcPr>
          <w:p>
            <w:pPr>
              <w:jc w:val="right"/>
              <w:ind w:right="433"/>
              <w:spacing w:after="0"/>
              <w:rPr>
                <w:sz w:val="20"/>
                <w:szCs w:val="20"/>
                <w:color w:val="auto"/>
              </w:rPr>
            </w:pPr>
            <w:r>
              <w:rPr>
                <w:rFonts w:ascii="Arial" w:cs="Arial" w:eastAsia="Arial" w:hAnsi="Arial"/>
                <w:sz w:val="15"/>
                <w:szCs w:val="15"/>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ind w:left="720"/>
              <w:spacing w:after="0"/>
              <w:rPr>
                <w:sz w:val="20"/>
                <w:szCs w:val="20"/>
                <w:color w:val="auto"/>
              </w:rPr>
            </w:pPr>
            <w:r>
              <w:rPr>
                <w:rFonts w:ascii="Arial" w:cs="Arial" w:eastAsia="Arial" w:hAnsi="Arial"/>
                <w:sz w:val="15"/>
                <w:szCs w:val="15"/>
                <w:color w:val="auto"/>
              </w:rPr>
              <w:t>Deferred income taxes</w:t>
            </w:r>
          </w:p>
        </w:tc>
        <w:tc>
          <w:tcPr>
            <w:tcW w:w="880" w:type="dxa"/>
            <w:vAlign w:val="bottom"/>
            <w:gridSpan w:val="2"/>
            <w:shd w:val="clear" w:color="auto" w:fill="CCEEFF"/>
          </w:tcPr>
          <w:p>
            <w:pPr>
              <w:jc w:val="right"/>
              <w:ind w:right="313"/>
              <w:spacing w:after="0"/>
              <w:rPr>
                <w:sz w:val="20"/>
                <w:szCs w:val="20"/>
                <w:color w:val="auto"/>
              </w:rPr>
            </w:pPr>
            <w:r>
              <w:rPr>
                <w:rFonts w:ascii="Arial" w:cs="Arial" w:eastAsia="Arial" w:hAnsi="Arial"/>
                <w:sz w:val="15"/>
                <w:szCs w:val="15"/>
                <w:color w:val="auto"/>
              </w:rPr>
              <w:t>(37.3)</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49.1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tcPr>
          <w:p>
            <w:pPr>
              <w:ind w:left="720"/>
              <w:spacing w:after="0"/>
              <w:rPr>
                <w:sz w:val="20"/>
                <w:szCs w:val="20"/>
                <w:color w:val="auto"/>
              </w:rPr>
            </w:pPr>
            <w:r>
              <w:rPr>
                <w:rFonts w:ascii="Arial" w:cs="Arial" w:eastAsia="Arial" w:hAnsi="Arial"/>
                <w:sz w:val="15"/>
                <w:szCs w:val="15"/>
                <w:color w:val="auto"/>
              </w:rPr>
              <w:t>Provision for doubtful accounts</w:t>
            </w:r>
          </w:p>
        </w:tc>
        <w:tc>
          <w:tcPr>
            <w:tcW w:w="880" w:type="dxa"/>
            <w:vAlign w:val="bottom"/>
            <w:gridSpan w:val="2"/>
          </w:tcPr>
          <w:p>
            <w:pPr>
              <w:jc w:val="right"/>
              <w:ind w:right="353"/>
              <w:spacing w:after="0"/>
              <w:rPr>
                <w:sz w:val="20"/>
                <w:szCs w:val="20"/>
                <w:color w:val="auto"/>
              </w:rPr>
            </w:pPr>
            <w:r>
              <w:rPr>
                <w:rFonts w:ascii="Arial" w:cs="Arial" w:eastAsia="Arial" w:hAnsi="Arial"/>
                <w:sz w:val="15"/>
                <w:szCs w:val="15"/>
                <w:color w:val="auto"/>
              </w:rPr>
              <w:t>27.4</w:t>
            </w: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22.9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ind w:left="720"/>
              <w:spacing w:after="0"/>
              <w:rPr>
                <w:sz w:val="20"/>
                <w:szCs w:val="20"/>
                <w:color w:val="auto"/>
              </w:rPr>
            </w:pPr>
            <w:r>
              <w:rPr>
                <w:rFonts w:ascii="Arial" w:cs="Arial" w:eastAsia="Arial" w:hAnsi="Arial"/>
                <w:sz w:val="15"/>
                <w:szCs w:val="15"/>
                <w:color w:val="auto"/>
              </w:rPr>
              <w:t>Stock based compensation</w:t>
            </w:r>
          </w:p>
        </w:tc>
        <w:tc>
          <w:tcPr>
            <w:tcW w:w="880" w:type="dxa"/>
            <w:vAlign w:val="bottom"/>
            <w:gridSpan w:val="2"/>
            <w:shd w:val="clear" w:color="auto" w:fill="CCEEFF"/>
          </w:tcPr>
          <w:p>
            <w:pPr>
              <w:jc w:val="right"/>
              <w:ind w:right="353"/>
              <w:spacing w:after="0"/>
              <w:rPr>
                <w:sz w:val="20"/>
                <w:szCs w:val="20"/>
                <w:color w:val="auto"/>
              </w:rPr>
            </w:pPr>
            <w:r>
              <w:rPr>
                <w:rFonts w:ascii="Arial" w:cs="Arial" w:eastAsia="Arial" w:hAnsi="Arial"/>
                <w:sz w:val="15"/>
                <w:szCs w:val="15"/>
                <w:color w:val="auto"/>
              </w:rPr>
              <w:t>22.5</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tcPr>
          <w:p>
            <w:pPr>
              <w:ind w:left="720"/>
              <w:spacing w:after="0"/>
              <w:rPr>
                <w:sz w:val="20"/>
                <w:szCs w:val="20"/>
                <w:color w:val="auto"/>
              </w:rPr>
            </w:pPr>
            <w:r>
              <w:rPr>
                <w:rFonts w:ascii="Arial" w:cs="Arial" w:eastAsia="Arial" w:hAnsi="Arial"/>
                <w:sz w:val="15"/>
                <w:szCs w:val="15"/>
                <w:color w:val="auto"/>
              </w:rPr>
              <w:t>Excess tax benefit on exercise of stock options</w:t>
            </w:r>
          </w:p>
        </w:tc>
        <w:tc>
          <w:tcPr>
            <w:tcW w:w="880" w:type="dxa"/>
            <w:vAlign w:val="bottom"/>
            <w:gridSpan w:val="2"/>
          </w:tcPr>
          <w:p>
            <w:pPr>
              <w:jc w:val="right"/>
              <w:ind w:right="313"/>
              <w:spacing w:after="0"/>
              <w:rPr>
                <w:sz w:val="20"/>
                <w:szCs w:val="20"/>
                <w:color w:val="auto"/>
              </w:rPr>
            </w:pPr>
            <w:r>
              <w:rPr>
                <w:rFonts w:ascii="Arial" w:cs="Arial" w:eastAsia="Arial" w:hAnsi="Arial"/>
                <w:sz w:val="15"/>
                <w:szCs w:val="15"/>
                <w:color w:val="auto"/>
              </w:rPr>
              <w:t>(8.2)</w:t>
            </w:r>
          </w:p>
        </w:tc>
        <w:tc>
          <w:tcPr>
            <w:tcW w:w="5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ind w:left="720"/>
              <w:spacing w:after="0"/>
              <w:rPr>
                <w:sz w:val="20"/>
                <w:szCs w:val="20"/>
                <w:color w:val="auto"/>
              </w:rPr>
            </w:pPr>
            <w:r>
              <w:rPr>
                <w:rFonts w:ascii="Arial" w:cs="Arial" w:eastAsia="Arial" w:hAnsi="Arial"/>
                <w:sz w:val="15"/>
                <w:szCs w:val="15"/>
                <w:color w:val="auto"/>
              </w:rPr>
              <w:t>Changes in operating assets and liabilities excluding the impact of acquisitions:</w:t>
            </w:r>
          </w:p>
        </w:tc>
        <w:tc>
          <w:tcPr>
            <w:tcW w:w="4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tcPr>
          <w:p>
            <w:pPr>
              <w:ind w:left="1100"/>
              <w:spacing w:after="0"/>
              <w:rPr>
                <w:sz w:val="20"/>
                <w:szCs w:val="20"/>
                <w:color w:val="auto"/>
              </w:rPr>
            </w:pPr>
            <w:r>
              <w:rPr>
                <w:rFonts w:ascii="Arial" w:cs="Arial" w:eastAsia="Arial" w:hAnsi="Arial"/>
                <w:sz w:val="15"/>
                <w:szCs w:val="15"/>
                <w:color w:val="auto"/>
              </w:rPr>
              <w:t>Accounts receivable</w:t>
            </w:r>
          </w:p>
        </w:tc>
        <w:tc>
          <w:tcPr>
            <w:tcW w:w="880" w:type="dxa"/>
            <w:vAlign w:val="bottom"/>
            <w:gridSpan w:val="2"/>
          </w:tcPr>
          <w:p>
            <w:pPr>
              <w:jc w:val="right"/>
              <w:ind w:right="313"/>
              <w:spacing w:after="0"/>
              <w:rPr>
                <w:sz w:val="20"/>
                <w:szCs w:val="20"/>
                <w:color w:val="auto"/>
              </w:rPr>
            </w:pPr>
            <w:r>
              <w:rPr>
                <w:rFonts w:ascii="Arial" w:cs="Arial" w:eastAsia="Arial" w:hAnsi="Arial"/>
                <w:sz w:val="15"/>
                <w:szCs w:val="15"/>
                <w:color w:val="auto"/>
              </w:rPr>
              <w:t>(381.0)</w:t>
            </w:r>
          </w:p>
        </w:tc>
        <w:tc>
          <w:tcPr>
            <w:tcW w:w="540" w:type="dxa"/>
            <w:vAlign w:val="bottom"/>
            <w:gridSpan w:val="2"/>
          </w:tcPr>
          <w:p>
            <w:pPr>
              <w:jc w:val="right"/>
              <w:ind w:right="20"/>
              <w:spacing w:after="0"/>
              <w:rPr>
                <w:sz w:val="20"/>
                <w:szCs w:val="20"/>
                <w:color w:val="auto"/>
              </w:rPr>
            </w:pPr>
            <w:r>
              <w:rPr>
                <w:rFonts w:ascii="Arial" w:cs="Arial" w:eastAsia="Arial" w:hAnsi="Arial"/>
                <w:sz w:val="15"/>
                <w:szCs w:val="15"/>
                <w:color w:val="auto"/>
              </w:rPr>
              <w:t>(350.4)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ind w:left="1100"/>
              <w:spacing w:after="0"/>
              <w:rPr>
                <w:sz w:val="20"/>
                <w:szCs w:val="20"/>
                <w:color w:val="auto"/>
              </w:rPr>
            </w:pPr>
            <w:r>
              <w:rPr>
                <w:rFonts w:ascii="Arial" w:cs="Arial" w:eastAsia="Arial" w:hAnsi="Arial"/>
                <w:sz w:val="15"/>
                <w:szCs w:val="15"/>
                <w:color w:val="auto"/>
              </w:rPr>
              <w:t>Other assets</w:t>
            </w:r>
          </w:p>
        </w:tc>
        <w:tc>
          <w:tcPr>
            <w:tcW w:w="880" w:type="dxa"/>
            <w:vAlign w:val="bottom"/>
            <w:gridSpan w:val="2"/>
            <w:shd w:val="clear" w:color="auto" w:fill="CCEEFF"/>
          </w:tcPr>
          <w:p>
            <w:pPr>
              <w:jc w:val="right"/>
              <w:ind w:right="353"/>
              <w:spacing w:after="0"/>
              <w:rPr>
                <w:sz w:val="20"/>
                <w:szCs w:val="20"/>
                <w:color w:val="auto"/>
              </w:rPr>
            </w:pPr>
            <w:r>
              <w:rPr>
                <w:rFonts w:ascii="Arial" w:cs="Arial" w:eastAsia="Arial" w:hAnsi="Arial"/>
                <w:sz w:val="15"/>
                <w:szCs w:val="15"/>
                <w:color w:val="auto"/>
              </w:rPr>
              <w:t>35.1</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(46.1)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00" w:type="dxa"/>
            <w:vAlign w:val="bottom"/>
          </w:tcPr>
          <w:p>
            <w:pPr>
              <w:ind w:left="1100"/>
              <w:spacing w:after="0"/>
              <w:rPr>
                <w:sz w:val="20"/>
                <w:szCs w:val="20"/>
                <w:color w:val="auto"/>
              </w:rPr>
            </w:pPr>
            <w:r>
              <w:rPr>
                <w:rFonts w:ascii="Arial" w:cs="Arial" w:eastAsia="Arial" w:hAnsi="Arial"/>
                <w:sz w:val="15"/>
                <w:szCs w:val="15"/>
                <w:color w:val="auto"/>
              </w:rPr>
              <w:t>Other liabilities</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335.6</w:t>
            </w:r>
          </w:p>
        </w:tc>
        <w:tc>
          <w:tcPr>
            <w:tcW w:w="400" w:type="dxa"/>
            <w:vAlign w:val="bottom"/>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239.3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ind w:left="1480"/>
              <w:spacing w:after="0"/>
              <w:rPr>
                <w:sz w:val="20"/>
                <w:szCs w:val="20"/>
                <w:color w:val="auto"/>
              </w:rPr>
            </w:pPr>
            <w:r>
              <w:rPr>
                <w:rFonts w:ascii="Arial" w:cs="Arial" w:eastAsia="Arial" w:hAnsi="Arial"/>
                <w:sz w:val="15"/>
                <w:szCs w:val="15"/>
                <w:color w:val="auto"/>
              </w:rPr>
              <w:t>Cash provided by operating activities</w:t>
            </w:r>
          </w:p>
        </w:tc>
        <w:tc>
          <w:tcPr>
            <w:tcW w:w="880" w:type="dxa"/>
            <w:vAlign w:val="bottom"/>
            <w:gridSpan w:val="2"/>
            <w:shd w:val="clear" w:color="auto" w:fill="CCEEFF"/>
          </w:tcPr>
          <w:p>
            <w:pPr>
              <w:jc w:val="right"/>
              <w:ind w:right="353"/>
              <w:spacing w:after="0"/>
              <w:rPr>
                <w:sz w:val="20"/>
                <w:szCs w:val="20"/>
                <w:color w:val="auto"/>
              </w:rPr>
            </w:pPr>
            <w:r>
              <w:rPr>
                <w:rFonts w:ascii="Arial" w:cs="Arial" w:eastAsia="Arial" w:hAnsi="Arial"/>
                <w:sz w:val="15"/>
                <w:szCs w:val="15"/>
                <w:color w:val="auto"/>
              </w:rPr>
              <w:t>359.1</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268.8</w:t>
            </w:r>
          </w:p>
        </w:tc>
        <w:tc>
          <w:tcPr>
            <w:tcW w:w="0" w:type="dxa"/>
            <w:vAlign w:val="bottom"/>
          </w:tcPr>
          <w:p>
            <w:pPr>
              <w:spacing w:after="0"/>
              <w:rPr>
                <w:sz w:val="1"/>
                <w:szCs w:val="1"/>
                <w:color w:val="auto"/>
              </w:rPr>
            </w:pPr>
          </w:p>
        </w:tc>
      </w:tr>
      <w:tr>
        <w:trPr>
          <w:trHeight w:val="191"/>
        </w:trPr>
        <w:tc>
          <w:tcPr>
            <w:tcW w:w="10020" w:type="dxa"/>
            <w:vAlign w:val="bottom"/>
            <w:gridSpan w:val="2"/>
          </w:tcPr>
          <w:p>
            <w:pPr>
              <w:spacing w:after="0"/>
              <w:rPr>
                <w:sz w:val="20"/>
                <w:szCs w:val="20"/>
                <w:color w:val="auto"/>
              </w:rPr>
            </w:pPr>
            <w:r>
              <w:rPr>
                <w:rFonts w:ascii="Arial" w:cs="Arial" w:eastAsia="Arial" w:hAnsi="Arial"/>
                <w:sz w:val="15"/>
                <w:szCs w:val="15"/>
                <w:b w:val="1"/>
                <w:bCs w:val="1"/>
                <w:color w:val="auto"/>
              </w:rPr>
              <w:t>Cash Flows from Investing Activities:</w:t>
            </w:r>
          </w:p>
        </w:tc>
        <w:tc>
          <w:tcPr>
            <w:tcW w:w="480" w:type="dxa"/>
            <w:vAlign w:val="bottom"/>
            <w:tcBorders>
              <w:top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Capital expenditures</w:t>
            </w:r>
          </w:p>
        </w:tc>
        <w:tc>
          <w:tcPr>
            <w:tcW w:w="880" w:type="dxa"/>
            <w:vAlign w:val="bottom"/>
            <w:gridSpan w:val="2"/>
            <w:shd w:val="clear" w:color="auto" w:fill="CCEEFF"/>
          </w:tcPr>
          <w:p>
            <w:pPr>
              <w:jc w:val="right"/>
              <w:ind w:right="313"/>
              <w:spacing w:after="0"/>
              <w:rPr>
                <w:sz w:val="20"/>
                <w:szCs w:val="20"/>
                <w:color w:val="auto"/>
              </w:rPr>
            </w:pPr>
            <w:r>
              <w:rPr>
                <w:rFonts w:ascii="Arial" w:cs="Arial" w:eastAsia="Arial" w:hAnsi="Arial"/>
                <w:sz w:val="15"/>
                <w:szCs w:val="15"/>
                <w:color w:val="auto"/>
              </w:rPr>
              <w:t>(80.0)</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(77.6)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tcPr>
          <w:p>
            <w:pPr>
              <w:ind w:left="360"/>
              <w:spacing w:after="0"/>
              <w:rPr>
                <w:sz w:val="20"/>
                <w:szCs w:val="20"/>
                <w:color w:val="auto"/>
              </w:rPr>
            </w:pPr>
            <w:r>
              <w:rPr>
                <w:rFonts w:ascii="Arial" w:cs="Arial" w:eastAsia="Arial" w:hAnsi="Arial"/>
                <w:sz w:val="15"/>
                <w:szCs w:val="15"/>
                <w:color w:val="auto"/>
              </w:rPr>
              <w:t>Acquisitions of businesses, net of cash acquired</w:t>
            </w:r>
          </w:p>
        </w:tc>
        <w:tc>
          <w:tcPr>
            <w:tcW w:w="880" w:type="dxa"/>
            <w:vAlign w:val="bottom"/>
            <w:gridSpan w:val="2"/>
          </w:tcPr>
          <w:p>
            <w:pPr>
              <w:jc w:val="right"/>
              <w:ind w:right="313"/>
              <w:spacing w:after="0"/>
              <w:rPr>
                <w:sz w:val="20"/>
                <w:szCs w:val="20"/>
                <w:color w:val="auto"/>
              </w:rPr>
            </w:pPr>
            <w:r>
              <w:rPr>
                <w:rFonts w:ascii="Arial" w:cs="Arial" w:eastAsia="Arial" w:hAnsi="Arial"/>
                <w:sz w:val="15"/>
                <w:szCs w:val="15"/>
                <w:color w:val="auto"/>
              </w:rPr>
              <w:t>(13.0)</w:t>
            </w:r>
          </w:p>
        </w:tc>
        <w:tc>
          <w:tcPr>
            <w:tcW w:w="540" w:type="dxa"/>
            <w:vAlign w:val="bottom"/>
            <w:gridSpan w:val="2"/>
          </w:tcPr>
          <w:p>
            <w:pPr>
              <w:jc w:val="right"/>
              <w:ind w:right="20"/>
              <w:spacing w:after="0"/>
              <w:rPr>
                <w:sz w:val="20"/>
                <w:szCs w:val="20"/>
                <w:color w:val="auto"/>
              </w:rPr>
            </w:pPr>
            <w:r>
              <w:rPr>
                <w:rFonts w:ascii="Arial" w:cs="Arial" w:eastAsia="Arial" w:hAnsi="Arial"/>
                <w:sz w:val="15"/>
                <w:szCs w:val="15"/>
                <w:color w:val="auto"/>
              </w:rPr>
              <w:t>(12.9)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Proceeds from sale of businesses</w:t>
            </w:r>
          </w:p>
        </w:tc>
        <w:tc>
          <w:tcPr>
            <w:tcW w:w="880" w:type="dxa"/>
            <w:vAlign w:val="bottom"/>
            <w:gridSpan w:val="2"/>
            <w:shd w:val="clear" w:color="auto" w:fill="CCEEFF"/>
          </w:tcPr>
          <w:p>
            <w:pPr>
              <w:jc w:val="right"/>
              <w:ind w:right="353"/>
              <w:spacing w:after="0"/>
              <w:rPr>
                <w:sz w:val="20"/>
                <w:szCs w:val="20"/>
                <w:color w:val="auto"/>
              </w:rPr>
            </w:pPr>
            <w:r>
              <w:rPr>
                <w:rFonts w:ascii="Arial" w:cs="Arial" w:eastAsia="Arial" w:hAnsi="Arial"/>
                <w:sz w:val="15"/>
                <w:szCs w:val="15"/>
                <w:color w:val="auto"/>
              </w:rPr>
              <w:t>123.9</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tcPr>
          <w:p>
            <w:pPr>
              <w:ind w:left="360"/>
              <w:spacing w:after="0"/>
              <w:rPr>
                <w:sz w:val="20"/>
                <w:szCs w:val="20"/>
                <w:color w:val="auto"/>
              </w:rPr>
            </w:pPr>
            <w:r>
              <w:rPr>
                <w:rFonts w:ascii="Arial" w:cs="Arial" w:eastAsia="Arial" w:hAnsi="Arial"/>
                <w:sz w:val="15"/>
                <w:szCs w:val="15"/>
                <w:color w:val="auto"/>
              </w:rPr>
              <w:t>Proceeds from sale of an equity interest</w:t>
            </w:r>
          </w:p>
        </w:tc>
        <w:tc>
          <w:tcPr>
            <w:tcW w:w="880" w:type="dxa"/>
            <w:vAlign w:val="bottom"/>
            <w:gridSpan w:val="2"/>
          </w:tcPr>
          <w:p>
            <w:pPr>
              <w:jc w:val="right"/>
              <w:ind w:right="353"/>
              <w:spacing w:after="0"/>
              <w:rPr>
                <w:sz w:val="20"/>
                <w:szCs w:val="20"/>
                <w:color w:val="auto"/>
              </w:rPr>
            </w:pPr>
            <w:r>
              <w:rPr>
                <w:rFonts w:ascii="Arial" w:cs="Arial" w:eastAsia="Arial" w:hAnsi="Arial"/>
                <w:sz w:val="15"/>
                <w:szCs w:val="15"/>
                <w:color w:val="auto"/>
              </w:rPr>
              <w:t>8.8</w:t>
            </w:r>
          </w:p>
        </w:tc>
        <w:tc>
          <w:tcPr>
            <w:tcW w:w="5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Proceeds from the sale of property and equipment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w:t>
            </w:r>
          </w:p>
        </w:tc>
        <w:tc>
          <w:tcPr>
            <w:tcW w:w="4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000" w:type="dxa"/>
            <w:vAlign w:val="bottom"/>
          </w:tcPr>
          <w:p>
            <w:pPr>
              <w:ind w:left="1480"/>
              <w:spacing w:after="0"/>
              <w:rPr>
                <w:sz w:val="20"/>
                <w:szCs w:val="20"/>
                <w:color w:val="auto"/>
              </w:rPr>
            </w:pPr>
            <w:r>
              <w:rPr>
                <w:rFonts w:ascii="Arial" w:cs="Arial" w:eastAsia="Arial" w:hAnsi="Arial"/>
                <w:sz w:val="15"/>
                <w:szCs w:val="15"/>
                <w:color w:val="auto"/>
              </w:rPr>
              <w:t>Cash provided (used) by investing activities</w:t>
            </w:r>
          </w:p>
        </w:tc>
        <w:tc>
          <w:tcPr>
            <w:tcW w:w="880" w:type="dxa"/>
            <w:vAlign w:val="bottom"/>
            <w:gridSpan w:val="2"/>
          </w:tcPr>
          <w:p>
            <w:pPr>
              <w:jc w:val="right"/>
              <w:ind w:right="353"/>
              <w:spacing w:after="0"/>
              <w:rPr>
                <w:sz w:val="20"/>
                <w:szCs w:val="20"/>
                <w:color w:val="auto"/>
              </w:rPr>
            </w:pPr>
            <w:r>
              <w:rPr>
                <w:rFonts w:ascii="Arial" w:cs="Arial" w:eastAsia="Arial" w:hAnsi="Arial"/>
                <w:sz w:val="15"/>
                <w:szCs w:val="15"/>
                <w:color w:val="auto"/>
              </w:rPr>
              <w:t>45.0</w:t>
            </w:r>
          </w:p>
        </w:tc>
        <w:tc>
          <w:tcPr>
            <w:tcW w:w="540" w:type="dxa"/>
            <w:vAlign w:val="bottom"/>
            <w:gridSpan w:val="2"/>
          </w:tcPr>
          <w:p>
            <w:pPr>
              <w:jc w:val="right"/>
              <w:ind w:right="20"/>
              <w:spacing w:after="0"/>
              <w:rPr>
                <w:sz w:val="20"/>
                <w:szCs w:val="20"/>
                <w:color w:val="auto"/>
              </w:rPr>
            </w:pPr>
            <w:r>
              <w:rPr>
                <w:rFonts w:ascii="Arial" w:cs="Arial" w:eastAsia="Arial" w:hAnsi="Arial"/>
                <w:sz w:val="15"/>
                <w:szCs w:val="15"/>
                <w:color w:val="auto"/>
              </w:rPr>
              <w:t>(85.7)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Cash Flows from Financing Activities:</w:t>
            </w:r>
          </w:p>
        </w:tc>
        <w:tc>
          <w:tcPr>
            <w:tcW w:w="48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tcPr>
          <w:p>
            <w:pPr>
              <w:ind w:left="360"/>
              <w:spacing w:after="0"/>
              <w:rPr>
                <w:sz w:val="20"/>
                <w:szCs w:val="20"/>
                <w:color w:val="auto"/>
              </w:rPr>
            </w:pPr>
            <w:r>
              <w:rPr>
                <w:rFonts w:ascii="Arial" w:cs="Arial" w:eastAsia="Arial" w:hAnsi="Arial"/>
                <w:sz w:val="15"/>
                <w:szCs w:val="15"/>
                <w:color w:val="auto"/>
              </w:rPr>
              <w:t>Net borrowings of short-term facilities and long-term debt</w:t>
            </w:r>
          </w:p>
        </w:tc>
        <w:tc>
          <w:tcPr>
            <w:tcW w:w="880" w:type="dxa"/>
            <w:vAlign w:val="bottom"/>
            <w:gridSpan w:val="2"/>
          </w:tcPr>
          <w:p>
            <w:pPr>
              <w:jc w:val="right"/>
              <w:ind w:right="353"/>
              <w:spacing w:after="0"/>
              <w:rPr>
                <w:sz w:val="20"/>
                <w:szCs w:val="20"/>
                <w:color w:val="auto"/>
              </w:rPr>
            </w:pPr>
            <w:r>
              <w:rPr>
                <w:rFonts w:ascii="Arial" w:cs="Arial" w:eastAsia="Arial" w:hAnsi="Arial"/>
                <w:sz w:val="15"/>
                <w:szCs w:val="15"/>
                <w:color w:val="auto"/>
              </w:rPr>
              <w:t>2.1</w:t>
            </w: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174.8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Cash paid to settle convertible debentures</w:t>
            </w:r>
          </w:p>
        </w:tc>
        <w:tc>
          <w:tcPr>
            <w:tcW w:w="880" w:type="dxa"/>
            <w:vAlign w:val="bottom"/>
            <w:gridSpan w:val="2"/>
            <w:shd w:val="clear" w:color="auto" w:fill="CCEEFF"/>
          </w:tcPr>
          <w:p>
            <w:pPr>
              <w:jc w:val="right"/>
              <w:ind w:right="433"/>
              <w:spacing w:after="0"/>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(206.6)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tcPr>
          <w:p>
            <w:pPr>
              <w:ind w:left="360"/>
              <w:spacing w:after="0"/>
              <w:rPr>
                <w:sz w:val="20"/>
                <w:szCs w:val="20"/>
                <w:color w:val="auto"/>
              </w:rPr>
            </w:pPr>
            <w:r>
              <w:rPr>
                <w:rFonts w:ascii="Arial" w:cs="Arial" w:eastAsia="Arial" w:hAnsi="Arial"/>
                <w:sz w:val="15"/>
                <w:szCs w:val="15"/>
                <w:color w:val="auto"/>
              </w:rPr>
              <w:t>Proceeds from settlement of swap agreements</w:t>
            </w:r>
          </w:p>
        </w:tc>
        <w:tc>
          <w:tcPr>
            <w:tcW w:w="880" w:type="dxa"/>
            <w:vAlign w:val="bottom"/>
            <w:gridSpan w:val="2"/>
          </w:tcPr>
          <w:p>
            <w:pPr>
              <w:jc w:val="right"/>
              <w:ind w:right="433"/>
              <w:spacing w:after="0"/>
              <w:rPr>
                <w:sz w:val="20"/>
                <w:szCs w:val="20"/>
                <w:color w:val="auto"/>
              </w:rPr>
            </w:pPr>
            <w:r>
              <w:rPr>
                <w:rFonts w:ascii="Arial" w:cs="Arial" w:eastAsia="Arial" w:hAnsi="Arial"/>
                <w:sz w:val="15"/>
                <w:szCs w:val="15"/>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50.7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Proceeds from stock option and purchase plans</w:t>
            </w:r>
          </w:p>
        </w:tc>
        <w:tc>
          <w:tcPr>
            <w:tcW w:w="880" w:type="dxa"/>
            <w:vAlign w:val="bottom"/>
            <w:gridSpan w:val="2"/>
            <w:shd w:val="clear" w:color="auto" w:fill="CCEEFF"/>
          </w:tcPr>
          <w:p>
            <w:pPr>
              <w:jc w:val="right"/>
              <w:ind w:right="353"/>
              <w:spacing w:after="0"/>
              <w:rPr>
                <w:sz w:val="20"/>
                <w:szCs w:val="20"/>
                <w:color w:val="auto"/>
              </w:rPr>
            </w:pPr>
            <w:r>
              <w:rPr>
                <w:rFonts w:ascii="Arial" w:cs="Arial" w:eastAsia="Arial" w:hAnsi="Arial"/>
                <w:sz w:val="15"/>
                <w:szCs w:val="15"/>
                <w:color w:val="auto"/>
              </w:rPr>
              <w:t>54.0</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28.0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tcPr>
          <w:p>
            <w:pPr>
              <w:ind w:left="360"/>
              <w:spacing w:after="0"/>
              <w:rPr>
                <w:sz w:val="20"/>
                <w:szCs w:val="20"/>
                <w:color w:val="auto"/>
              </w:rPr>
            </w:pPr>
            <w:r>
              <w:rPr>
                <w:rFonts w:ascii="Arial" w:cs="Arial" w:eastAsia="Arial" w:hAnsi="Arial"/>
                <w:sz w:val="15"/>
                <w:szCs w:val="15"/>
                <w:color w:val="auto"/>
              </w:rPr>
              <w:t>Excess tax benefit on exercise of stock options</w:t>
            </w:r>
          </w:p>
        </w:tc>
        <w:tc>
          <w:tcPr>
            <w:tcW w:w="880" w:type="dxa"/>
            <w:vAlign w:val="bottom"/>
            <w:gridSpan w:val="2"/>
          </w:tcPr>
          <w:p>
            <w:pPr>
              <w:jc w:val="right"/>
              <w:ind w:right="353"/>
              <w:spacing w:after="0"/>
              <w:rPr>
                <w:sz w:val="20"/>
                <w:szCs w:val="20"/>
                <w:color w:val="auto"/>
              </w:rPr>
            </w:pPr>
            <w:r>
              <w:rPr>
                <w:rFonts w:ascii="Arial" w:cs="Arial" w:eastAsia="Arial" w:hAnsi="Arial"/>
                <w:sz w:val="15"/>
                <w:szCs w:val="15"/>
                <w:color w:val="auto"/>
              </w:rPr>
              <w:t>8.2</w:t>
            </w:r>
          </w:p>
        </w:tc>
        <w:tc>
          <w:tcPr>
            <w:tcW w:w="5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Repurchases of common stock</w:t>
            </w:r>
          </w:p>
        </w:tc>
        <w:tc>
          <w:tcPr>
            <w:tcW w:w="880" w:type="dxa"/>
            <w:vAlign w:val="bottom"/>
            <w:gridSpan w:val="2"/>
            <w:shd w:val="clear" w:color="auto" w:fill="CCEEFF"/>
          </w:tcPr>
          <w:p>
            <w:pPr>
              <w:jc w:val="right"/>
              <w:ind w:right="313"/>
              <w:spacing w:after="0"/>
              <w:rPr>
                <w:sz w:val="20"/>
                <w:szCs w:val="20"/>
                <w:color w:val="auto"/>
              </w:rPr>
            </w:pPr>
            <w:r>
              <w:rPr>
                <w:rFonts w:ascii="Arial" w:cs="Arial" w:eastAsia="Arial" w:hAnsi="Arial"/>
                <w:sz w:val="15"/>
                <w:szCs w:val="15"/>
                <w:color w:val="auto"/>
              </w:rPr>
              <w:t>(235.9)</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(217.6)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tcPr>
          <w:p>
            <w:pPr>
              <w:ind w:left="360"/>
              <w:spacing w:after="0"/>
              <w:rPr>
                <w:sz w:val="20"/>
                <w:szCs w:val="20"/>
                <w:color w:val="auto"/>
              </w:rPr>
            </w:pPr>
            <w:r>
              <w:rPr>
                <w:rFonts w:ascii="Arial" w:cs="Arial" w:eastAsia="Arial" w:hAnsi="Arial"/>
                <w:sz w:val="15"/>
                <w:szCs w:val="15"/>
                <w:color w:val="auto"/>
              </w:rPr>
              <w:t>Dividends paid</w:t>
            </w:r>
          </w:p>
        </w:tc>
        <w:tc>
          <w:tcPr>
            <w:tcW w:w="880" w:type="dxa"/>
            <w:vAlign w:val="bottom"/>
            <w:gridSpan w:val="2"/>
          </w:tcPr>
          <w:p>
            <w:pPr>
              <w:jc w:val="right"/>
              <w:ind w:right="313"/>
              <w:spacing w:after="0"/>
              <w:rPr>
                <w:sz w:val="20"/>
                <w:szCs w:val="20"/>
                <w:color w:val="auto"/>
              </w:rPr>
            </w:pPr>
            <w:r>
              <w:rPr>
                <w:rFonts w:ascii="Arial" w:cs="Arial" w:eastAsia="Arial" w:hAnsi="Arial"/>
                <w:sz w:val="15"/>
                <w:szCs w:val="15"/>
                <w:color w:val="auto"/>
              </w:rPr>
              <w:t>(50.8)</w:t>
            </w:r>
          </w:p>
        </w:tc>
        <w:tc>
          <w:tcPr>
            <w:tcW w:w="540" w:type="dxa"/>
            <w:vAlign w:val="bottom"/>
            <w:gridSpan w:val="2"/>
          </w:tcPr>
          <w:p>
            <w:pPr>
              <w:jc w:val="right"/>
              <w:ind w:right="20"/>
              <w:spacing w:after="0"/>
              <w:rPr>
                <w:sz w:val="20"/>
                <w:szCs w:val="20"/>
                <w:color w:val="auto"/>
              </w:rPr>
            </w:pPr>
            <w:r>
              <w:rPr>
                <w:rFonts w:ascii="Arial" w:cs="Arial" w:eastAsia="Arial" w:hAnsi="Arial"/>
                <w:sz w:val="15"/>
                <w:szCs w:val="15"/>
                <w:color w:val="auto"/>
              </w:rPr>
              <w:t>(41.2)</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00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ind w:left="1480"/>
              <w:spacing w:after="0"/>
              <w:rPr>
                <w:sz w:val="20"/>
                <w:szCs w:val="20"/>
                <w:color w:val="auto"/>
              </w:rPr>
            </w:pPr>
            <w:r>
              <w:rPr>
                <w:rFonts w:ascii="Arial" w:cs="Arial" w:eastAsia="Arial" w:hAnsi="Arial"/>
                <w:sz w:val="15"/>
                <w:szCs w:val="15"/>
                <w:color w:val="auto"/>
              </w:rPr>
              <w:t>Cash used by financing activities</w:t>
            </w:r>
          </w:p>
        </w:tc>
        <w:tc>
          <w:tcPr>
            <w:tcW w:w="880" w:type="dxa"/>
            <w:vAlign w:val="bottom"/>
            <w:gridSpan w:val="2"/>
            <w:shd w:val="clear" w:color="auto" w:fill="CCEEFF"/>
          </w:tcPr>
          <w:p>
            <w:pPr>
              <w:jc w:val="right"/>
              <w:ind w:right="313"/>
              <w:spacing w:after="0"/>
              <w:rPr>
                <w:sz w:val="20"/>
                <w:szCs w:val="20"/>
                <w:color w:val="auto"/>
              </w:rPr>
            </w:pPr>
            <w:r>
              <w:rPr>
                <w:rFonts w:ascii="Arial" w:cs="Arial" w:eastAsia="Arial" w:hAnsi="Arial"/>
                <w:sz w:val="15"/>
                <w:szCs w:val="15"/>
                <w:color w:val="auto"/>
              </w:rPr>
              <w:t>(222.4)</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(211.9)</w:t>
            </w:r>
          </w:p>
        </w:tc>
        <w:tc>
          <w:tcPr>
            <w:tcW w:w="0" w:type="dxa"/>
            <w:vAlign w:val="bottom"/>
          </w:tcPr>
          <w:p>
            <w:pPr>
              <w:spacing w:after="0"/>
              <w:rPr>
                <w:sz w:val="1"/>
                <w:szCs w:val="1"/>
                <w:color w:val="auto"/>
              </w:rPr>
            </w:pPr>
          </w:p>
        </w:tc>
      </w:tr>
      <w:tr>
        <w:trPr>
          <w:trHeight w:val="20"/>
        </w:trPr>
        <w:tc>
          <w:tcPr>
            <w:tcW w:w="10020" w:type="dxa"/>
            <w:vAlign w:val="bottom"/>
            <w:gridSpan w:val="2"/>
            <w:vMerge w:val="restart"/>
          </w:tcPr>
          <w:p>
            <w:pPr>
              <w:spacing w:after="0"/>
              <w:rPr>
                <w:sz w:val="20"/>
                <w:szCs w:val="20"/>
                <w:color w:val="auto"/>
              </w:rPr>
            </w:pPr>
            <w:r>
              <w:rPr>
                <w:rFonts w:ascii="Arial" w:cs="Arial" w:eastAsia="Arial" w:hAnsi="Arial"/>
                <w:sz w:val="15"/>
                <w:szCs w:val="15"/>
                <w:color w:val="auto"/>
              </w:rPr>
              <w:t>Effect of exchange rate changes on cash</w:t>
            </w: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0020" w:type="dxa"/>
            <w:vAlign w:val="bottom"/>
            <w:gridSpan w:val="2"/>
            <w:vMerge w:val="continue"/>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51.3</w:t>
            </w:r>
          </w:p>
        </w:tc>
        <w:tc>
          <w:tcPr>
            <w:tcW w:w="400" w:type="dxa"/>
            <w:vAlign w:val="bottom"/>
          </w:tcPr>
          <w:p>
            <w:pPr>
              <w:spacing w:after="0"/>
              <w:rPr>
                <w:sz w:val="16"/>
                <w:szCs w:val="16"/>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5"/>
                <w:szCs w:val="15"/>
                <w:color w:val="auto"/>
              </w:rPr>
              <w:t>(48.1)</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100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5"/>
                <w:szCs w:val="15"/>
                <w:color w:val="auto"/>
              </w:rPr>
              <w:t>Change in cash and cash equivalents</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233.0</w:t>
            </w:r>
          </w:p>
        </w:tc>
        <w:tc>
          <w:tcPr>
            <w:tcW w:w="4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(76.9)</w:t>
            </w:r>
          </w:p>
        </w:tc>
        <w:tc>
          <w:tcPr>
            <w:tcW w:w="0" w:type="dxa"/>
            <w:vAlign w:val="bottom"/>
          </w:tcPr>
          <w:p>
            <w:pPr>
              <w:spacing w:after="0"/>
              <w:rPr>
                <w:sz w:val="1"/>
                <w:szCs w:val="1"/>
                <w:color w:val="auto"/>
              </w:rPr>
            </w:pPr>
          </w:p>
        </w:tc>
      </w:tr>
      <w:tr>
        <w:trPr>
          <w:trHeight w:val="286"/>
        </w:trPr>
        <w:tc>
          <w:tcPr>
            <w:tcW w:w="10020" w:type="dxa"/>
            <w:vAlign w:val="bottom"/>
            <w:gridSpan w:val="2"/>
          </w:tcPr>
          <w:p>
            <w:pPr>
              <w:spacing w:after="0"/>
              <w:rPr>
                <w:sz w:val="20"/>
                <w:szCs w:val="20"/>
                <w:color w:val="auto"/>
              </w:rPr>
            </w:pPr>
            <w:r>
              <w:rPr>
                <w:rFonts w:ascii="Arial" w:cs="Arial" w:eastAsia="Arial" w:hAnsi="Arial"/>
                <w:sz w:val="15"/>
                <w:szCs w:val="15"/>
                <w:color w:val="auto"/>
              </w:rPr>
              <w:t>Cash and cash equivalents, beginning of period</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454.9</w:t>
            </w:r>
          </w:p>
        </w:tc>
        <w:tc>
          <w:tcPr>
            <w:tcW w:w="400" w:type="dxa"/>
            <w:vAlign w:val="bottom"/>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531.8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5"/>
                <w:szCs w:val="15"/>
                <w:color w:val="auto"/>
              </w:rPr>
              <w:t>Cash and cash equivalents, end of period</w:t>
            </w:r>
          </w:p>
        </w:tc>
        <w:tc>
          <w:tcPr>
            <w:tcW w:w="880" w:type="dxa"/>
            <w:vAlign w:val="bottom"/>
            <w:gridSpan w:val="2"/>
            <w:shd w:val="clear" w:color="auto" w:fill="CCEEFF"/>
          </w:tcPr>
          <w:p>
            <w:pPr>
              <w:jc w:val="right"/>
              <w:ind w:right="353"/>
              <w:spacing w:after="0"/>
              <w:rPr>
                <w:sz w:val="20"/>
                <w:szCs w:val="20"/>
                <w:color w:val="auto"/>
              </w:rPr>
            </w:pPr>
            <w:r>
              <w:rPr>
                <w:rFonts w:ascii="Arial" w:cs="Arial" w:eastAsia="Arial" w:hAnsi="Arial"/>
                <w:sz w:val="15"/>
                <w:szCs w:val="15"/>
                <w:color w:val="auto"/>
                <w:w w:val="91"/>
              </w:rPr>
              <w:t>$ 687.9</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1"/>
              </w:rPr>
              <w:t>$ 454.9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40"/>
          </w:cols>
          <w:pgMar w:left="240" w:top="262" w:right="219" w:bottom="1440" w:gutter="0" w:footer="0" w:header="0"/>
        </w:sectPr>
      </w:pPr>
    </w:p>
    <w:bookmarkStart w:id="12" w:name="page13"/>
    <w:bookmarkEnd w:id="12"/>
    <w:p>
      <w:pPr>
        <w:spacing w:after="0" w:line="314" w:lineRule="exact"/>
        <w:rPr>
          <w:sz w:val="20"/>
          <w:szCs w:val="20"/>
          <w:color w:val="auto"/>
        </w:rPr>
      </w:pPr>
    </w:p>
    <w:p>
      <w:pPr>
        <w:spacing w:after="0"/>
        <w:rPr>
          <w:sz w:val="20"/>
          <w:szCs w:val="20"/>
          <w:color w:val="auto"/>
        </w:rPr>
      </w:pPr>
      <w:r>
        <w:rPr>
          <w:rFonts w:ascii="Arial" w:cs="Arial" w:eastAsia="Arial" w:hAnsi="Arial"/>
          <w:sz w:val="28"/>
          <w:szCs w:val="28"/>
          <w:b w:val="1"/>
          <w:bCs w:val="1"/>
          <w:color w:val="6698C2"/>
        </w:rPr>
        <w:t>Manpower Inc.</w:t>
      </w:r>
    </w:p>
    <w:p>
      <w:pPr>
        <w:spacing w:after="0" w:line="26" w:lineRule="exact"/>
        <w:rPr>
          <w:sz w:val="20"/>
          <w:szCs w:val="20"/>
          <w:color w:val="auto"/>
        </w:rPr>
      </w:pPr>
    </w:p>
    <w:p>
      <w:pPr>
        <w:spacing w:after="0"/>
        <w:rPr>
          <w:sz w:val="20"/>
          <w:szCs w:val="20"/>
          <w:color w:val="auto"/>
        </w:rPr>
      </w:pPr>
      <w:r>
        <w:rPr>
          <w:rFonts w:ascii="Arial" w:cs="Arial" w:eastAsia="Arial" w:hAnsi="Arial"/>
          <w:sz w:val="28"/>
          <w:szCs w:val="28"/>
          <w:b w:val="1"/>
          <w:bCs w:val="1"/>
          <w:color w:val="6698C2"/>
        </w:rPr>
        <w:t>2006 4</w:t>
      </w:r>
      <w:r>
        <w:rPr>
          <w:rFonts w:ascii="Arial" w:cs="Arial" w:eastAsia="Arial" w:hAnsi="Arial"/>
          <w:sz w:val="37"/>
          <w:szCs w:val="37"/>
          <w:b w:val="1"/>
          <w:bCs w:val="1"/>
          <w:color w:val="6698C2"/>
          <w:vertAlign w:val="superscript"/>
        </w:rPr>
        <w:t>th</w:t>
      </w:r>
      <w:r>
        <w:rPr>
          <w:rFonts w:ascii="Arial" w:cs="Arial" w:eastAsia="Arial" w:hAnsi="Arial"/>
          <w:sz w:val="28"/>
          <w:szCs w:val="28"/>
          <w:b w:val="1"/>
          <w:bCs w:val="1"/>
          <w:color w:val="6698C2"/>
        </w:rPr>
        <w:t xml:space="preserve"> Quarter Results</w:t>
      </w:r>
    </w:p>
    <w:p>
      <w:pPr>
        <w:spacing w:after="0"/>
        <w:rPr>
          <w:sz w:val="20"/>
          <w:szCs w:val="20"/>
          <w:color w:val="auto"/>
        </w:rPr>
      </w:pPr>
      <w:r>
        <w:rPr>
          <w:rFonts w:ascii="Arial" w:cs="Arial" w:eastAsia="Arial" w:hAnsi="Arial"/>
          <w:sz w:val="25"/>
          <w:szCs w:val="25"/>
          <w:color w:val="auto"/>
        </w:rPr>
        <w:t>January 30,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ind w:right="380"/>
        <w:spacing w:after="0"/>
        <w:rPr>
          <w:sz w:val="20"/>
          <w:szCs w:val="20"/>
          <w:color w:val="auto"/>
        </w:rPr>
      </w:pPr>
      <w:r>
        <w:rPr>
          <w:rFonts w:ascii="Arial" w:cs="Arial" w:eastAsia="Arial" w:hAnsi="Arial"/>
          <w:sz w:val="79"/>
          <w:szCs w:val="79"/>
          <w:color w:val="auto"/>
        </w:rPr>
        <w:t>Now</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9"/>
          <w:szCs w:val="19"/>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-1097280</wp:posOffset>
            </wp:positionH>
            <wp:positionV relativeFrom="paragraph">
              <wp:posOffset>492125</wp:posOffset>
            </wp:positionV>
            <wp:extent cx="4128770" cy="43154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128770" cy="431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18"/>
          <w:szCs w:val="118"/>
          <w:color w:val="auto"/>
        </w:rPr>
        <w:t>Next</w:t>
      </w:r>
    </w:p>
    <w:p>
      <w:pPr>
        <w:sectPr>
          <w:pgSz w:w="11900" w:h="16838" w:orient="portrait"/>
          <w:cols w:equalWidth="0" w:num="2">
            <w:col w:w="4340" w:space="720"/>
            <w:col w:w="5060"/>
          </w:cols>
          <w:pgMar w:left="360" w:top="204" w:right="1419" w:bottom="1440" w:gutter="0" w:footer="0" w:header="0"/>
        </w:sectPr>
      </w:pPr>
    </w:p>
    <w:bookmarkStart w:id="13" w:name="page14"/>
    <w:bookmarkEnd w:id="13"/>
    <w:tbl>
      <w:tblPr>
        <w:tblLayout w:type="fixed"/>
        <w:tblInd w:w="20" w:type="dxa"/>
        <w:tblCellMar>
          <w:top w:w="0" w:type="dxa"/>
          <w:left w:w="0" w:type="dxa"/>
          <w:bottom w:w="0" w:type="dxa"/>
          <w:right w:w="0" w:type="dxa"/>
        </w:tblCellMar>
      </w:tblPr>
      <w:tr>
        <w:trPr>
          <w:trHeight w:val="361"/>
        </w:trPr>
        <w:tc>
          <w:tcPr>
            <w:tcW w:w="6840" w:type="dxa"/>
            <w:vAlign w:val="bottom"/>
          </w:tcPr>
          <w:p>
            <w:pPr>
              <w:spacing w:after="0"/>
              <w:rPr>
                <w:sz w:val="20"/>
                <w:szCs w:val="20"/>
                <w:color w:val="auto"/>
              </w:rPr>
            </w:pPr>
            <w:r>
              <w:rPr>
                <w:rFonts w:ascii="Arial" w:cs="Arial" w:eastAsia="Arial" w:hAnsi="Arial"/>
                <w:sz w:val="22"/>
                <w:szCs w:val="22"/>
                <w:color w:val="FFFFFF"/>
              </w:rPr>
              <w:t>Manpower Inc. 2006 4</w:t>
            </w:r>
            <w:r>
              <w:rPr>
                <w:rFonts w:ascii="Arial" w:cs="Arial" w:eastAsia="Arial" w:hAnsi="Arial"/>
                <w:sz w:val="28"/>
                <w:szCs w:val="28"/>
                <w:color w:val="FFFFFF"/>
                <w:vertAlign w:val="superscript"/>
              </w:rPr>
              <w:t>th</w:t>
            </w:r>
            <w:r>
              <w:rPr>
                <w:rFonts w:ascii="Arial" w:cs="Arial" w:eastAsia="Arial" w:hAnsi="Arial"/>
                <w:sz w:val="22"/>
                <w:szCs w:val="22"/>
                <w:color w:val="FFFFFF"/>
              </w:rPr>
              <w:t xml:space="preserve"> Quarter Results</w:t>
            </w:r>
          </w:p>
        </w:tc>
        <w:tc>
          <w:tcPr>
            <w:tcW w:w="3020" w:type="dxa"/>
            <w:vAlign w:val="bottom"/>
          </w:tcPr>
          <w:p>
            <w:pPr>
              <w:jc w:val="right"/>
              <w:spacing w:after="0"/>
              <w:rPr>
                <w:sz w:val="20"/>
                <w:szCs w:val="20"/>
                <w:color w:val="auto"/>
              </w:rPr>
            </w:pPr>
            <w:r>
              <w:rPr>
                <w:rFonts w:ascii="Arial" w:cs="Arial" w:eastAsia="Arial" w:hAnsi="Arial"/>
                <w:sz w:val="22"/>
                <w:szCs w:val="22"/>
                <w:color w:val="FFFFFF"/>
              </w:rPr>
              <w:t>2</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20"/>
        <w:spacing w:after="0"/>
        <w:rPr>
          <w:sz w:val="20"/>
          <w:szCs w:val="20"/>
          <w:color w:val="auto"/>
        </w:rPr>
      </w:pPr>
      <w:r>
        <w:rPr>
          <w:rFonts w:ascii="Arial" w:cs="Arial" w:eastAsia="Arial" w:hAnsi="Arial"/>
          <w:sz w:val="47"/>
          <w:szCs w:val="47"/>
          <w:color w:val="5F81AA"/>
        </w:rPr>
        <w:t>Forward Looking Statement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440"/>
        <w:spacing w:after="0" w:line="246" w:lineRule="auto"/>
        <w:rPr>
          <w:sz w:val="20"/>
          <w:szCs w:val="20"/>
          <w:color w:val="auto"/>
        </w:rPr>
      </w:pPr>
      <w:r>
        <w:rPr>
          <w:rFonts w:ascii="Arial" w:cs="Arial" w:eastAsia="Arial" w:hAnsi="Arial"/>
          <w:sz w:val="32"/>
          <w:szCs w:val="32"/>
          <w:color w:val="auto"/>
        </w:rPr>
        <w:t>This presentation includes forward-looking statements which are subject to risks and uncertainties. Actual results might differ materially from those projected in the forward-looking statements. Forward-looking statements can be identified by words such as “expect,” “plan,” “may,” “will,” and similar expressions. Additional information concerning factors that could cause actual results to materially differ from those in the forward-looking statements is contained in the Company’s Annual Report on Form 10-K dated December 31, 2005, which information is incorporated herein by reference, and such other factors as may be described from time to time in the Company’s SEC filings.</w:t>
      </w:r>
    </w:p>
    <w:p>
      <w:pPr>
        <w:sectPr>
          <w:pgSz w:w="11900" w:h="16838" w:orient="portrait"/>
          <w:cols w:equalWidth="0" w:num="1">
            <w:col w:w="9880"/>
          </w:cols>
          <w:pgMar w:left="1200" w:top="459" w:right="819" w:bottom="1440" w:gutter="0" w:footer="0" w:header="0"/>
        </w:sectPr>
      </w:pPr>
    </w:p>
    <w:bookmarkStart w:id="14" w:name="page15"/>
    <w:bookmarkEnd w:id="14"/>
    <w:tbl>
      <w:tblPr>
        <w:tblLayout w:type="fixed"/>
        <w:tblInd w:w="10" w:type="dxa"/>
        <w:tblCellMar>
          <w:top w:w="0" w:type="dxa"/>
          <w:left w:w="0" w:type="dxa"/>
          <w:bottom w:w="0" w:type="dxa"/>
          <w:right w:w="0" w:type="dxa"/>
        </w:tblCellMar>
      </w:tblPr>
      <w:tr>
        <w:trPr>
          <w:trHeight w:val="361"/>
        </w:trPr>
        <w:tc>
          <w:tcPr>
            <w:tcW w:w="6840" w:type="dxa"/>
            <w:vAlign w:val="bottom"/>
          </w:tcPr>
          <w:p>
            <w:pPr>
              <w:spacing w:after="0"/>
              <w:rPr>
                <w:sz w:val="20"/>
                <w:szCs w:val="20"/>
                <w:color w:val="auto"/>
              </w:rPr>
            </w:pPr>
            <w:r>
              <w:rPr>
                <w:rFonts w:ascii="Arial" w:cs="Arial" w:eastAsia="Arial" w:hAnsi="Arial"/>
                <w:sz w:val="22"/>
                <w:szCs w:val="22"/>
                <w:color w:val="FFFFFF"/>
              </w:rPr>
              <w:t>Manpower Inc. 2006 4</w:t>
            </w:r>
            <w:r>
              <w:rPr>
                <w:rFonts w:ascii="Arial" w:cs="Arial" w:eastAsia="Arial" w:hAnsi="Arial"/>
                <w:sz w:val="28"/>
                <w:szCs w:val="28"/>
                <w:color w:val="FFFFFF"/>
                <w:vertAlign w:val="superscript"/>
              </w:rPr>
              <w:t>th</w:t>
            </w:r>
            <w:r>
              <w:rPr>
                <w:rFonts w:ascii="Arial" w:cs="Arial" w:eastAsia="Arial" w:hAnsi="Arial"/>
                <w:sz w:val="22"/>
                <w:szCs w:val="22"/>
                <w:color w:val="FFFFFF"/>
              </w:rPr>
              <w:t xml:space="preserve"> Quarter Results</w:t>
            </w:r>
          </w:p>
        </w:tc>
        <w:tc>
          <w:tcPr>
            <w:tcW w:w="3020" w:type="dxa"/>
            <w:vAlign w:val="bottom"/>
          </w:tcPr>
          <w:p>
            <w:pPr>
              <w:jc w:val="right"/>
              <w:spacing w:after="0"/>
              <w:rPr>
                <w:sz w:val="20"/>
                <w:szCs w:val="20"/>
                <w:color w:val="auto"/>
              </w:rPr>
            </w:pPr>
            <w:r>
              <w:rPr>
                <w:rFonts w:ascii="Arial" w:cs="Arial" w:eastAsia="Arial" w:hAnsi="Arial"/>
                <w:sz w:val="22"/>
                <w:szCs w:val="22"/>
                <w:color w:val="FFFFFF"/>
              </w:rPr>
              <w:t>3</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10"/>
        <w:spacing w:after="0"/>
        <w:rPr>
          <w:sz w:val="20"/>
          <w:szCs w:val="20"/>
          <w:color w:val="auto"/>
        </w:rPr>
      </w:pPr>
      <w:r>
        <w:rPr>
          <w:rFonts w:ascii="Arial" w:cs="Arial" w:eastAsia="Arial" w:hAnsi="Arial"/>
          <w:sz w:val="47"/>
          <w:szCs w:val="47"/>
          <w:color w:val="6698C2"/>
        </w:rPr>
        <w:t>Consolidated Financial Highlights</w:t>
      </w:r>
    </w:p>
    <w:p>
      <w:pPr>
        <w:spacing w:after="0" w:line="168" w:lineRule="exact"/>
        <w:rPr>
          <w:sz w:val="20"/>
          <w:szCs w:val="20"/>
          <w:color w:val="auto"/>
        </w:rPr>
      </w:pPr>
    </w:p>
    <w:tbl>
      <w:tblPr>
        <w:tblLayout w:type="fixed"/>
        <w:tblInd w:w="290" w:type="dxa"/>
        <w:tblCellMar>
          <w:top w:w="0" w:type="dxa"/>
          <w:left w:w="0" w:type="dxa"/>
          <w:bottom w:w="0" w:type="dxa"/>
          <w:right w:w="0" w:type="dxa"/>
        </w:tblCellMar>
      </w:tblPr>
      <w:tr>
        <w:trPr>
          <w:trHeight w:val="548"/>
        </w:trPr>
        <w:tc>
          <w:tcPr>
            <w:tcW w:w="1480" w:type="dxa"/>
            <w:vAlign w:val="bottom"/>
          </w:tcPr>
          <w:p>
            <w:pPr>
              <w:spacing w:after="0"/>
              <w:rPr>
                <w:sz w:val="24"/>
                <w:szCs w:val="24"/>
                <w:color w:val="auto"/>
              </w:rPr>
            </w:pPr>
          </w:p>
        </w:tc>
        <w:tc>
          <w:tcPr>
            <w:tcW w:w="7620" w:type="dxa"/>
            <w:vAlign w:val="bottom"/>
          </w:tcPr>
          <w:p>
            <w:pPr>
              <w:ind w:left="2000"/>
              <w:spacing w:after="0"/>
              <w:rPr>
                <w:sz w:val="20"/>
                <w:szCs w:val="20"/>
                <w:color w:val="auto"/>
              </w:rPr>
            </w:pPr>
            <w:r>
              <w:rPr>
                <w:rFonts w:ascii="Arial" w:cs="Arial" w:eastAsia="Arial" w:hAnsi="Arial"/>
                <w:sz w:val="41"/>
                <w:szCs w:val="41"/>
                <w:b w:val="1"/>
                <w:bCs w:val="1"/>
                <w:color w:val="auto"/>
              </w:rPr>
              <w:t>Q4 Highlights</w:t>
            </w:r>
          </w:p>
        </w:tc>
        <w:tc>
          <w:tcPr>
            <w:tcW w:w="0" w:type="dxa"/>
            <w:vAlign w:val="bottom"/>
          </w:tcPr>
          <w:p>
            <w:pPr>
              <w:spacing w:after="0"/>
              <w:rPr>
                <w:sz w:val="1"/>
                <w:szCs w:val="1"/>
                <w:color w:val="auto"/>
              </w:rPr>
            </w:pPr>
          </w:p>
        </w:tc>
      </w:tr>
      <w:tr>
        <w:trPr>
          <w:trHeight w:val="582"/>
        </w:trPr>
        <w:tc>
          <w:tcPr>
            <w:tcW w:w="1480" w:type="dxa"/>
            <w:vAlign w:val="bottom"/>
          </w:tcPr>
          <w:p>
            <w:pPr>
              <w:ind w:left="240"/>
              <w:spacing w:after="0"/>
              <w:rPr>
                <w:sz w:val="20"/>
                <w:szCs w:val="20"/>
                <w:color w:val="auto"/>
              </w:rPr>
            </w:pPr>
            <w:r>
              <w:rPr>
                <w:rFonts w:ascii="Arial" w:cs="Arial" w:eastAsia="Arial" w:hAnsi="Arial"/>
                <w:sz w:val="38"/>
                <w:szCs w:val="38"/>
                <w:color w:val="auto"/>
              </w:rPr>
              <w:t>16%</w:t>
            </w:r>
          </w:p>
        </w:tc>
        <w:tc>
          <w:tcPr>
            <w:tcW w:w="7620" w:type="dxa"/>
            <w:vAlign w:val="bottom"/>
            <w:vMerge w:val="restart"/>
          </w:tcPr>
          <w:p>
            <w:pPr>
              <w:ind w:left="180"/>
              <w:spacing w:after="0"/>
              <w:rPr>
                <w:sz w:val="20"/>
                <w:szCs w:val="20"/>
                <w:color w:val="auto"/>
              </w:rPr>
            </w:pPr>
            <w:r>
              <w:rPr>
                <w:rFonts w:ascii="Arial" w:cs="Arial" w:eastAsia="Arial" w:hAnsi="Arial"/>
                <w:sz w:val="41"/>
                <w:szCs w:val="41"/>
                <w:b w:val="1"/>
                <w:bCs w:val="1"/>
                <w:color w:val="auto"/>
              </w:rPr>
              <w:t xml:space="preserve">Revenue </w:t>
            </w:r>
            <w:r>
              <w:rPr>
                <w:rFonts w:ascii="Arial" w:cs="Arial" w:eastAsia="Arial" w:hAnsi="Arial"/>
                <w:sz w:val="43"/>
                <w:szCs w:val="43"/>
                <w:b w:val="1"/>
                <w:bCs w:val="1"/>
                <w:color w:val="6698C2"/>
              </w:rPr>
              <w:t>$4.7B</w:t>
            </w:r>
          </w:p>
        </w:tc>
        <w:tc>
          <w:tcPr>
            <w:tcW w:w="0" w:type="dxa"/>
            <w:vAlign w:val="bottom"/>
          </w:tcPr>
          <w:p>
            <w:pPr>
              <w:spacing w:after="0"/>
              <w:rPr>
                <w:sz w:val="1"/>
                <w:szCs w:val="1"/>
                <w:color w:val="auto"/>
              </w:rPr>
            </w:pPr>
          </w:p>
        </w:tc>
      </w:tr>
      <w:tr>
        <w:trPr>
          <w:trHeight w:val="452"/>
        </w:trPr>
        <w:tc>
          <w:tcPr>
            <w:tcW w:w="1480" w:type="dxa"/>
            <w:vAlign w:val="bottom"/>
          </w:tcPr>
          <w:p>
            <w:pPr>
              <w:ind w:left="180"/>
              <w:spacing w:after="0"/>
              <w:rPr>
                <w:sz w:val="20"/>
                <w:szCs w:val="20"/>
                <w:color w:val="auto"/>
              </w:rPr>
            </w:pPr>
            <w:r>
              <w:rPr>
                <w:rFonts w:ascii="Arial" w:cs="Arial" w:eastAsia="Arial" w:hAnsi="Arial"/>
                <w:sz w:val="38"/>
                <w:szCs w:val="38"/>
                <w:color w:val="auto"/>
              </w:rPr>
              <w:t>9% CC</w:t>
            </w:r>
          </w:p>
        </w:tc>
        <w:tc>
          <w:tcPr>
            <w:tcW w:w="76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94"/>
        </w:trPr>
        <w:tc>
          <w:tcPr>
            <w:tcW w:w="9100" w:type="dxa"/>
            <w:vAlign w:val="bottom"/>
            <w:gridSpan w:val="2"/>
          </w:tcPr>
          <w:p>
            <w:pPr>
              <w:ind w:left="80"/>
              <w:spacing w:after="0"/>
              <w:rPr>
                <w:sz w:val="20"/>
                <w:szCs w:val="20"/>
                <w:color w:val="auto"/>
              </w:rPr>
            </w:pPr>
            <w:r>
              <w:rPr>
                <w:rFonts w:ascii="Arial" w:cs="Arial" w:eastAsia="Arial" w:hAnsi="Arial"/>
                <w:sz w:val="38"/>
                <w:szCs w:val="38"/>
                <w:color w:val="auto"/>
              </w:rPr>
              <w:t xml:space="preserve">3 bps    </w:t>
            </w:r>
            <w:r>
              <w:rPr>
                <w:rFonts w:ascii="Arial" w:cs="Arial" w:eastAsia="Arial" w:hAnsi="Arial"/>
                <w:sz w:val="41"/>
                <w:szCs w:val="41"/>
                <w:b w:val="1"/>
                <w:bCs w:val="1"/>
                <w:color w:val="auto"/>
              </w:rPr>
              <w:t>Gross Margin</w:t>
            </w:r>
            <w:r>
              <w:rPr>
                <w:rFonts w:ascii="Arial" w:cs="Arial" w:eastAsia="Arial" w:hAnsi="Arial"/>
                <w:sz w:val="38"/>
                <w:szCs w:val="38"/>
                <w:color w:val="auto"/>
              </w:rPr>
              <w:t xml:space="preserve"> </w:t>
            </w:r>
            <w:r>
              <w:rPr>
                <w:rFonts w:ascii="Arial" w:cs="Arial" w:eastAsia="Arial" w:hAnsi="Arial"/>
                <w:sz w:val="43"/>
                <w:szCs w:val="43"/>
                <w:b w:val="1"/>
                <w:bCs w:val="1"/>
                <w:color w:val="6698C2"/>
              </w:rPr>
              <w:t>18.4%</w:t>
            </w:r>
          </w:p>
        </w:tc>
        <w:tc>
          <w:tcPr>
            <w:tcW w:w="0" w:type="dxa"/>
            <w:vAlign w:val="bottom"/>
          </w:tcPr>
          <w:p>
            <w:pPr>
              <w:spacing w:after="0"/>
              <w:rPr>
                <w:sz w:val="1"/>
                <w:szCs w:val="1"/>
                <w:color w:val="auto"/>
              </w:rPr>
            </w:pPr>
          </w:p>
        </w:tc>
      </w:tr>
      <w:tr>
        <w:trPr>
          <w:trHeight w:val="711"/>
        </w:trPr>
        <w:tc>
          <w:tcPr>
            <w:tcW w:w="1480" w:type="dxa"/>
            <w:vAlign w:val="bottom"/>
          </w:tcPr>
          <w:p>
            <w:pPr>
              <w:ind w:left="260"/>
              <w:spacing w:after="0"/>
              <w:rPr>
                <w:sz w:val="20"/>
                <w:szCs w:val="20"/>
                <w:color w:val="auto"/>
              </w:rPr>
            </w:pPr>
            <w:r>
              <w:rPr>
                <w:rFonts w:ascii="Arial" w:cs="Arial" w:eastAsia="Arial" w:hAnsi="Arial"/>
                <w:sz w:val="38"/>
                <w:szCs w:val="38"/>
                <w:color w:val="auto"/>
              </w:rPr>
              <w:t>30%</w:t>
            </w:r>
          </w:p>
        </w:tc>
        <w:tc>
          <w:tcPr>
            <w:tcW w:w="7620" w:type="dxa"/>
            <w:vAlign w:val="bottom"/>
            <w:vMerge w:val="restart"/>
          </w:tcPr>
          <w:p>
            <w:pPr>
              <w:ind w:left="200"/>
              <w:spacing w:after="0"/>
              <w:rPr>
                <w:sz w:val="20"/>
                <w:szCs w:val="20"/>
                <w:color w:val="auto"/>
              </w:rPr>
            </w:pPr>
            <w:r>
              <w:rPr>
                <w:rFonts w:ascii="Arial" w:cs="Arial" w:eastAsia="Arial" w:hAnsi="Arial"/>
                <w:sz w:val="41"/>
                <w:szCs w:val="41"/>
                <w:b w:val="1"/>
                <w:bCs w:val="1"/>
                <w:color w:val="auto"/>
              </w:rPr>
              <w:t xml:space="preserve">Operating Profit </w:t>
            </w:r>
            <w:r>
              <w:rPr>
                <w:rFonts w:ascii="Arial" w:cs="Arial" w:eastAsia="Arial" w:hAnsi="Arial"/>
                <w:sz w:val="43"/>
                <w:szCs w:val="43"/>
                <w:b w:val="1"/>
                <w:bCs w:val="1"/>
                <w:color w:val="6698C2"/>
              </w:rPr>
              <w:t>$170M</w:t>
            </w:r>
          </w:p>
        </w:tc>
        <w:tc>
          <w:tcPr>
            <w:tcW w:w="0" w:type="dxa"/>
            <w:vAlign w:val="bottom"/>
          </w:tcPr>
          <w:p>
            <w:pPr>
              <w:spacing w:after="0"/>
              <w:rPr>
                <w:sz w:val="1"/>
                <w:szCs w:val="1"/>
                <w:color w:val="auto"/>
              </w:rPr>
            </w:pPr>
          </w:p>
        </w:tc>
      </w:tr>
      <w:tr>
        <w:trPr>
          <w:trHeight w:val="452"/>
        </w:trPr>
        <w:tc>
          <w:tcPr>
            <w:tcW w:w="1480" w:type="dxa"/>
            <w:vAlign w:val="bottom"/>
          </w:tcPr>
          <w:p>
            <w:pPr>
              <w:spacing w:after="0"/>
              <w:rPr>
                <w:sz w:val="20"/>
                <w:szCs w:val="20"/>
                <w:color w:val="auto"/>
              </w:rPr>
            </w:pPr>
            <w:r>
              <w:rPr>
                <w:rFonts w:ascii="Arial" w:cs="Arial" w:eastAsia="Arial" w:hAnsi="Arial"/>
                <w:sz w:val="38"/>
                <w:szCs w:val="38"/>
                <w:color w:val="auto"/>
              </w:rPr>
              <w:t>22% CC</w:t>
            </w:r>
          </w:p>
        </w:tc>
        <w:tc>
          <w:tcPr>
            <w:tcW w:w="76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741"/>
        </w:trPr>
        <w:tc>
          <w:tcPr>
            <w:tcW w:w="1480" w:type="dxa"/>
            <w:vAlign w:val="bottom"/>
          </w:tcPr>
          <w:p>
            <w:pPr>
              <w:spacing w:after="0"/>
              <w:rPr>
                <w:sz w:val="20"/>
                <w:szCs w:val="20"/>
                <w:color w:val="auto"/>
              </w:rPr>
            </w:pPr>
            <w:r>
              <w:rPr>
                <w:rFonts w:ascii="Arial" w:cs="Arial" w:eastAsia="Arial" w:hAnsi="Arial"/>
                <w:sz w:val="38"/>
                <w:szCs w:val="38"/>
                <w:color w:val="auto"/>
              </w:rPr>
              <w:t>40 bps</w:t>
            </w:r>
          </w:p>
        </w:tc>
        <w:tc>
          <w:tcPr>
            <w:tcW w:w="7620" w:type="dxa"/>
            <w:vAlign w:val="bottom"/>
          </w:tcPr>
          <w:p>
            <w:pPr>
              <w:ind w:left="200"/>
              <w:spacing w:after="0"/>
              <w:rPr>
                <w:sz w:val="20"/>
                <w:szCs w:val="20"/>
                <w:color w:val="auto"/>
              </w:rPr>
            </w:pPr>
            <w:r>
              <w:rPr>
                <w:rFonts w:ascii="Arial" w:cs="Arial" w:eastAsia="Arial" w:hAnsi="Arial"/>
                <w:sz w:val="41"/>
                <w:szCs w:val="41"/>
                <w:b w:val="1"/>
                <w:bCs w:val="1"/>
                <w:color w:val="auto"/>
              </w:rPr>
              <w:t xml:space="preserve">OP Margin </w:t>
            </w:r>
            <w:r>
              <w:rPr>
                <w:rFonts w:ascii="Arial" w:cs="Arial" w:eastAsia="Arial" w:hAnsi="Arial"/>
                <w:sz w:val="43"/>
                <w:szCs w:val="43"/>
                <w:b w:val="1"/>
                <w:bCs w:val="1"/>
                <w:color w:val="6698C2"/>
              </w:rPr>
              <w:t>3.6%</w:t>
            </w:r>
          </w:p>
        </w:tc>
        <w:tc>
          <w:tcPr>
            <w:tcW w:w="0" w:type="dxa"/>
            <w:vAlign w:val="bottom"/>
          </w:tcPr>
          <w:p>
            <w:pPr>
              <w:spacing w:after="0"/>
              <w:rPr>
                <w:sz w:val="1"/>
                <w:szCs w:val="1"/>
                <w:color w:val="auto"/>
              </w:rPr>
            </w:pPr>
          </w:p>
        </w:tc>
      </w:tr>
      <w:tr>
        <w:trPr>
          <w:trHeight w:val="793"/>
        </w:trPr>
        <w:tc>
          <w:tcPr>
            <w:tcW w:w="1480" w:type="dxa"/>
            <w:vAlign w:val="bottom"/>
          </w:tcPr>
          <w:p>
            <w:pPr>
              <w:ind w:left="360"/>
              <w:spacing w:after="0"/>
              <w:rPr>
                <w:sz w:val="20"/>
                <w:szCs w:val="20"/>
                <w:color w:val="auto"/>
              </w:rPr>
            </w:pPr>
            <w:r>
              <w:rPr>
                <w:rFonts w:ascii="Arial" w:cs="Arial" w:eastAsia="Arial" w:hAnsi="Arial"/>
                <w:sz w:val="38"/>
                <w:szCs w:val="38"/>
                <w:color w:val="auto"/>
              </w:rPr>
              <w:t>15%</w:t>
            </w:r>
          </w:p>
        </w:tc>
        <w:tc>
          <w:tcPr>
            <w:tcW w:w="7620" w:type="dxa"/>
            <w:vAlign w:val="bottom"/>
          </w:tcPr>
          <w:p>
            <w:pPr>
              <w:ind w:left="80"/>
              <w:spacing w:after="0"/>
              <w:rPr>
                <w:sz w:val="20"/>
                <w:szCs w:val="20"/>
                <w:color w:val="auto"/>
              </w:rPr>
            </w:pPr>
            <w:r>
              <w:rPr>
                <w:rFonts w:ascii="Arial" w:cs="Arial" w:eastAsia="Arial" w:hAnsi="Arial"/>
                <w:sz w:val="41"/>
                <w:szCs w:val="41"/>
                <w:b w:val="1"/>
                <w:bCs w:val="1"/>
                <w:color w:val="auto"/>
                <w:w w:val="99"/>
              </w:rPr>
              <w:t xml:space="preserve">EPS from Continuing Operations </w:t>
            </w:r>
            <w:r>
              <w:rPr>
                <w:rFonts w:ascii="Arial" w:cs="Arial" w:eastAsia="Arial" w:hAnsi="Arial"/>
                <w:sz w:val="43"/>
                <w:szCs w:val="43"/>
                <w:b w:val="1"/>
                <w:bCs w:val="1"/>
                <w:color w:val="6698C2"/>
                <w:w w:val="99"/>
              </w:rPr>
              <w:t>$1.15</w:t>
            </w:r>
          </w:p>
        </w:tc>
        <w:tc>
          <w:tcPr>
            <w:tcW w:w="0" w:type="dxa"/>
            <w:vAlign w:val="bottom"/>
          </w:tcPr>
          <w:p>
            <w:pPr>
              <w:spacing w:after="0"/>
              <w:rPr>
                <w:sz w:val="1"/>
                <w:szCs w:val="1"/>
                <w:color w:val="auto"/>
              </w:rPr>
            </w:pPr>
          </w:p>
        </w:tc>
      </w:tr>
      <w:tr>
        <w:trPr>
          <w:trHeight w:val="452"/>
        </w:trPr>
        <w:tc>
          <w:tcPr>
            <w:tcW w:w="1480" w:type="dxa"/>
            <w:vAlign w:val="bottom"/>
          </w:tcPr>
          <w:p>
            <w:pPr>
              <w:ind w:left="180"/>
              <w:spacing w:after="0"/>
              <w:rPr>
                <w:sz w:val="20"/>
                <w:szCs w:val="20"/>
                <w:color w:val="auto"/>
              </w:rPr>
            </w:pPr>
            <w:r>
              <w:rPr>
                <w:rFonts w:ascii="Arial" w:cs="Arial" w:eastAsia="Arial" w:hAnsi="Arial"/>
                <w:sz w:val="38"/>
                <w:szCs w:val="38"/>
                <w:color w:val="auto"/>
              </w:rPr>
              <w:t>9% CC</w:t>
            </w:r>
          </w:p>
        </w:tc>
        <w:tc>
          <w:tcPr>
            <w:tcW w:w="7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10"/>
        <w:spacing w:after="0"/>
        <w:rPr>
          <w:sz w:val="20"/>
          <w:szCs w:val="20"/>
          <w:color w:val="auto"/>
        </w:rPr>
      </w:pPr>
      <w:r>
        <w:rPr>
          <w:rFonts w:ascii="Arial" w:cs="Arial" w:eastAsia="Arial" w:hAnsi="Arial"/>
          <w:sz w:val="19"/>
          <w:szCs w:val="19"/>
          <w:b w:val="1"/>
          <w:bCs w:val="1"/>
          <w:color w:val="auto"/>
        </w:rPr>
        <w:t>Throughout this presentation, the difference between reported variances and Constant Currency</w:t>
      </w:r>
    </w:p>
    <w:p>
      <w:pPr>
        <w:spacing w:after="0" w:line="29" w:lineRule="exact"/>
        <w:rPr>
          <w:sz w:val="20"/>
          <w:szCs w:val="20"/>
          <w:color w:val="auto"/>
        </w:rPr>
      </w:pPr>
    </w:p>
    <w:p>
      <w:pPr>
        <w:ind w:left="10" w:right="1340" w:hanging="10"/>
        <w:spacing w:after="0" w:line="266" w:lineRule="auto"/>
        <w:tabs>
          <w:tab w:leader="none" w:pos="459" w:val="left"/>
        </w:tabs>
        <w:numPr>
          <w:ilvl w:val="0"/>
          <w:numId w:val="6"/>
        </w:numPr>
        <w:rPr>
          <w:rFonts w:ascii="Arial" w:cs="Arial" w:eastAsia="Arial" w:hAnsi="Arial"/>
          <w:sz w:val="19"/>
          <w:szCs w:val="19"/>
          <w:b w:val="1"/>
          <w:bCs w:val="1"/>
          <w:color w:val="auto"/>
        </w:rPr>
      </w:pPr>
      <w:r>
        <w:rPr>
          <w:rFonts w:ascii="Arial" w:cs="Arial" w:eastAsia="Arial" w:hAnsi="Arial"/>
          <w:sz w:val="19"/>
          <w:szCs w:val="19"/>
          <w:b w:val="1"/>
          <w:bCs w:val="1"/>
          <w:color w:val="auto"/>
        </w:rPr>
        <w:t>variances represents the impact of currency on our financial results. Constant Currency is further explained on our Web site.</w:t>
      </w:r>
    </w:p>
    <w:p>
      <w:pPr>
        <w:sectPr>
          <w:pgSz w:w="11900" w:h="16838" w:orient="portrait"/>
          <w:cols w:equalWidth="0" w:num="1">
            <w:col w:w="9870"/>
          </w:cols>
          <w:pgMar w:left="1210" w:top="459" w:right="819" w:bottom="1440" w:gutter="0" w:footer="0" w:header="0"/>
        </w:sectPr>
      </w:pPr>
    </w:p>
    <w:bookmarkStart w:id="15" w:name="page16"/>
    <w:bookmarkEnd w:id="15"/>
    <w:tbl>
      <w:tblPr>
        <w:tblLayout w:type="fixed"/>
        <w:tblInd w:w="260" w:type="dxa"/>
        <w:tblCellMar>
          <w:top w:w="0" w:type="dxa"/>
          <w:left w:w="0" w:type="dxa"/>
          <w:bottom w:w="0" w:type="dxa"/>
          <w:right w:w="0" w:type="dxa"/>
        </w:tblCellMar>
      </w:tblPr>
      <w:tr>
        <w:trPr>
          <w:trHeight w:val="361"/>
        </w:trPr>
        <w:tc>
          <w:tcPr>
            <w:tcW w:w="6840" w:type="dxa"/>
            <w:vAlign w:val="bottom"/>
          </w:tcPr>
          <w:p>
            <w:pPr>
              <w:spacing w:after="0"/>
              <w:rPr>
                <w:sz w:val="20"/>
                <w:szCs w:val="20"/>
                <w:color w:val="auto"/>
              </w:rPr>
            </w:pPr>
            <w:r>
              <w:rPr>
                <w:rFonts w:ascii="Arial" w:cs="Arial" w:eastAsia="Arial" w:hAnsi="Arial"/>
                <w:sz w:val="22"/>
                <w:szCs w:val="22"/>
                <w:color w:val="FFFFFF"/>
              </w:rPr>
              <w:t>Manpower Inc. 2006 4</w:t>
            </w:r>
            <w:r>
              <w:rPr>
                <w:rFonts w:ascii="Arial" w:cs="Arial" w:eastAsia="Arial" w:hAnsi="Arial"/>
                <w:sz w:val="28"/>
                <w:szCs w:val="28"/>
                <w:color w:val="FFFFFF"/>
                <w:vertAlign w:val="superscript"/>
              </w:rPr>
              <w:t>th</w:t>
            </w:r>
            <w:r>
              <w:rPr>
                <w:rFonts w:ascii="Arial" w:cs="Arial" w:eastAsia="Arial" w:hAnsi="Arial"/>
                <w:sz w:val="22"/>
                <w:szCs w:val="22"/>
                <w:color w:val="FFFFFF"/>
              </w:rPr>
              <w:t xml:space="preserve"> Quarter Results</w:t>
            </w:r>
          </w:p>
        </w:tc>
        <w:tc>
          <w:tcPr>
            <w:tcW w:w="3020" w:type="dxa"/>
            <w:vAlign w:val="bottom"/>
          </w:tcPr>
          <w:p>
            <w:pPr>
              <w:jc w:val="right"/>
              <w:spacing w:after="0"/>
              <w:rPr>
                <w:sz w:val="20"/>
                <w:szCs w:val="20"/>
                <w:color w:val="auto"/>
              </w:rPr>
            </w:pPr>
            <w:r>
              <w:rPr>
                <w:rFonts w:ascii="Arial" w:cs="Arial" w:eastAsia="Arial" w:hAnsi="Arial"/>
                <w:sz w:val="22"/>
                <w:szCs w:val="22"/>
                <w:color w:val="FFFFFF"/>
              </w:rPr>
              <w:t>4</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60"/>
        <w:spacing w:after="0"/>
        <w:rPr>
          <w:sz w:val="20"/>
          <w:szCs w:val="20"/>
          <w:color w:val="auto"/>
        </w:rPr>
      </w:pPr>
      <w:r>
        <w:rPr>
          <w:rFonts w:ascii="Arial" w:cs="Arial" w:eastAsia="Arial" w:hAnsi="Arial"/>
          <w:sz w:val="47"/>
          <w:szCs w:val="47"/>
          <w:color w:val="7EA190"/>
        </w:rPr>
        <w:t>Consolidated Gross Profit Margin Change</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700" w:type="dxa"/>
            <w:vAlign w:val="bottom"/>
          </w:tcPr>
          <w:p>
            <w:pPr>
              <w:jc w:val="right"/>
              <w:ind w:right="200"/>
              <w:spacing w:after="0"/>
              <w:rPr>
                <w:sz w:val="20"/>
                <w:szCs w:val="20"/>
                <w:color w:val="auto"/>
              </w:rPr>
            </w:pPr>
            <w:r>
              <w:rPr>
                <w:rFonts w:ascii="Arial" w:cs="Arial" w:eastAsia="Arial" w:hAnsi="Arial"/>
                <w:sz w:val="20"/>
                <w:szCs w:val="20"/>
                <w:b w:val="1"/>
                <w:bCs w:val="1"/>
                <w:color w:val="auto"/>
                <w:w w:val="94"/>
              </w:rPr>
              <w:t>19%</w:t>
            </w:r>
          </w:p>
        </w:tc>
        <w:tc>
          <w:tcPr>
            <w:tcW w:w="14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0"/>
        </w:trPr>
        <w:tc>
          <w:tcPr>
            <w:tcW w:w="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180" w:type="dxa"/>
            <w:vAlign w:val="bottom"/>
          </w:tcPr>
          <w:p>
            <w:pPr>
              <w:jc w:val="right"/>
              <w:ind w:right="320"/>
              <w:spacing w:after="0"/>
              <w:rPr>
                <w:sz w:val="20"/>
                <w:szCs w:val="20"/>
                <w:color w:val="auto"/>
              </w:rPr>
            </w:pPr>
            <w:r>
              <w:rPr>
                <w:rFonts w:ascii="Arial" w:cs="Arial" w:eastAsia="Arial" w:hAnsi="Arial"/>
                <w:sz w:val="20"/>
                <w:szCs w:val="20"/>
                <w:b w:val="1"/>
                <w:bCs w:val="1"/>
                <w:color w:val="auto"/>
              </w:rPr>
              <w:t>+ 0.29%</w:t>
            </w:r>
          </w:p>
        </w:tc>
        <w:tc>
          <w:tcPr>
            <w:tcW w:w="2700" w:type="dxa"/>
            <w:vAlign w:val="bottom"/>
          </w:tcPr>
          <w:p>
            <w:pPr>
              <w:jc w:val="right"/>
              <w:ind w:right="1500"/>
              <w:spacing w:after="0"/>
              <w:rPr>
                <w:sz w:val="20"/>
                <w:szCs w:val="20"/>
                <w:color w:val="auto"/>
              </w:rPr>
            </w:pPr>
            <w:r>
              <w:rPr>
                <w:rFonts w:ascii="Arial" w:cs="Arial" w:eastAsia="Arial" w:hAnsi="Arial"/>
                <w:sz w:val="20"/>
                <w:szCs w:val="20"/>
                <w:b w:val="1"/>
                <w:bCs w:val="1"/>
                <w:color w:val="auto"/>
              </w:rPr>
              <w:t>- 0.32%</w:t>
            </w:r>
          </w:p>
        </w:tc>
        <w:tc>
          <w:tcPr>
            <w:tcW w:w="0" w:type="dxa"/>
            <w:vAlign w:val="bottom"/>
          </w:tcPr>
          <w:p>
            <w:pPr>
              <w:spacing w:after="0"/>
              <w:rPr>
                <w:sz w:val="1"/>
                <w:szCs w:val="1"/>
                <w:color w:val="auto"/>
              </w:rPr>
            </w:pPr>
          </w:p>
        </w:tc>
      </w:tr>
      <w:tr>
        <w:trPr>
          <w:trHeight w:val="388"/>
        </w:trPr>
        <w:tc>
          <w:tcPr>
            <w:tcW w:w="700" w:type="dxa"/>
            <w:vAlign w:val="bottom"/>
            <w:vMerge w:val="restart"/>
          </w:tcPr>
          <w:p>
            <w:pPr>
              <w:jc w:val="right"/>
              <w:ind w:right="200"/>
              <w:spacing w:after="0"/>
              <w:rPr>
                <w:sz w:val="20"/>
                <w:szCs w:val="20"/>
                <w:color w:val="auto"/>
              </w:rPr>
            </w:pPr>
            <w:r>
              <w:rPr>
                <w:rFonts w:ascii="Arial" w:cs="Arial" w:eastAsia="Arial" w:hAnsi="Arial"/>
                <w:sz w:val="20"/>
                <w:szCs w:val="20"/>
                <w:b w:val="1"/>
                <w:bCs w:val="1"/>
                <w:color w:val="auto"/>
                <w:w w:val="94"/>
              </w:rPr>
              <w:t>18%</w:t>
            </w:r>
          </w:p>
        </w:tc>
        <w:tc>
          <w:tcPr>
            <w:tcW w:w="1400" w:type="dxa"/>
            <w:vAlign w:val="bottom"/>
          </w:tcPr>
          <w:p>
            <w:pPr>
              <w:jc w:val="right"/>
              <w:ind w:right="320"/>
              <w:spacing w:after="0"/>
              <w:rPr>
                <w:sz w:val="20"/>
                <w:szCs w:val="20"/>
                <w:color w:val="auto"/>
              </w:rPr>
            </w:pPr>
            <w:r>
              <w:rPr>
                <w:rFonts w:ascii="Arial" w:cs="Arial" w:eastAsia="Arial" w:hAnsi="Arial"/>
                <w:sz w:val="20"/>
                <w:szCs w:val="20"/>
                <w:b w:val="1"/>
                <w:bCs w:val="1"/>
                <w:color w:val="FFFFFF"/>
              </w:rPr>
              <w:t>18.35%</w:t>
            </w:r>
          </w:p>
        </w:tc>
        <w:tc>
          <w:tcPr>
            <w:tcW w:w="1580" w:type="dxa"/>
            <w:vAlign w:val="bottom"/>
          </w:tcPr>
          <w:p>
            <w:pPr>
              <w:jc w:val="right"/>
              <w:ind w:right="380"/>
              <w:spacing w:after="0"/>
              <w:rPr>
                <w:sz w:val="20"/>
                <w:szCs w:val="20"/>
                <w:color w:val="auto"/>
              </w:rPr>
            </w:pPr>
            <w:r>
              <w:rPr>
                <w:rFonts w:ascii="Arial" w:cs="Arial" w:eastAsia="Arial" w:hAnsi="Arial"/>
                <w:sz w:val="20"/>
                <w:szCs w:val="20"/>
                <w:b w:val="1"/>
                <w:bCs w:val="1"/>
                <w:color w:val="auto"/>
              </w:rPr>
              <w:t>- 0.45%</w:t>
            </w:r>
          </w:p>
        </w:tc>
        <w:tc>
          <w:tcPr>
            <w:tcW w:w="3180" w:type="dxa"/>
            <w:vAlign w:val="bottom"/>
          </w:tcPr>
          <w:p>
            <w:pPr>
              <w:jc w:val="right"/>
              <w:ind w:right="1880"/>
              <w:spacing w:after="0"/>
              <w:rPr>
                <w:sz w:val="20"/>
                <w:szCs w:val="20"/>
                <w:color w:val="auto"/>
              </w:rPr>
            </w:pPr>
            <w:r>
              <w:rPr>
                <w:rFonts w:ascii="Arial" w:cs="Arial" w:eastAsia="Arial" w:hAnsi="Arial"/>
                <w:sz w:val="20"/>
                <w:szCs w:val="20"/>
                <w:b w:val="1"/>
                <w:bCs w:val="1"/>
                <w:color w:val="auto"/>
              </w:rPr>
              <w:t>+ 0.51%</w:t>
            </w:r>
          </w:p>
        </w:tc>
        <w:tc>
          <w:tcPr>
            <w:tcW w:w="2700" w:type="dxa"/>
            <w:vAlign w:val="bottom"/>
          </w:tcPr>
          <w:p>
            <w:pPr>
              <w:jc w:val="right"/>
              <w:spacing w:after="0"/>
              <w:rPr>
                <w:sz w:val="20"/>
                <w:szCs w:val="20"/>
                <w:color w:val="auto"/>
              </w:rPr>
            </w:pPr>
            <w:r>
              <w:rPr>
                <w:rFonts w:ascii="Arial" w:cs="Arial" w:eastAsia="Arial" w:hAnsi="Arial"/>
                <w:sz w:val="20"/>
                <w:szCs w:val="20"/>
                <w:b w:val="1"/>
                <w:bCs w:val="1"/>
                <w:color w:val="FFFFFF"/>
              </w:rPr>
              <w:t>18.38%</w:t>
            </w:r>
          </w:p>
        </w:tc>
        <w:tc>
          <w:tcPr>
            <w:tcW w:w="0" w:type="dxa"/>
            <w:vAlign w:val="bottom"/>
          </w:tcPr>
          <w:p>
            <w:pPr>
              <w:spacing w:after="0"/>
              <w:rPr>
                <w:sz w:val="1"/>
                <w:szCs w:val="1"/>
                <w:color w:val="auto"/>
              </w:rPr>
            </w:pPr>
          </w:p>
        </w:tc>
      </w:tr>
      <w:tr>
        <w:trPr>
          <w:trHeight w:val="129"/>
        </w:trPr>
        <w:tc>
          <w:tcPr>
            <w:tcW w:w="70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w:t>
      </w:r>
    </w:p>
    <w:p>
      <w:pPr>
        <w:spacing w:after="0" w:line="64" w:lineRule="exact"/>
        <w:rPr>
          <w:sz w:val="20"/>
          <w:szCs w:val="20"/>
          <w:color w:val="auto"/>
        </w:rPr>
      </w:pPr>
    </w:p>
    <w:tbl>
      <w:tblPr>
        <w:tblLayout w:type="fixed"/>
        <w:tblInd w:w="960" w:type="dxa"/>
        <w:tblCellMar>
          <w:top w:w="0" w:type="dxa"/>
          <w:left w:w="0" w:type="dxa"/>
          <w:bottom w:w="0" w:type="dxa"/>
          <w:right w:w="0" w:type="dxa"/>
        </w:tblCellMar>
      </w:tblPr>
      <w:tr>
        <w:trPr>
          <w:trHeight w:val="259"/>
        </w:trPr>
        <w:tc>
          <w:tcPr>
            <w:tcW w:w="1080" w:type="dxa"/>
            <w:vAlign w:val="bottom"/>
          </w:tcPr>
          <w:p>
            <w:pPr>
              <w:spacing w:after="0"/>
              <w:rPr>
                <w:sz w:val="20"/>
                <w:szCs w:val="20"/>
                <w:color w:val="auto"/>
              </w:rPr>
            </w:pPr>
            <w:r>
              <w:rPr>
                <w:rFonts w:ascii="Arial" w:cs="Arial" w:eastAsia="Arial" w:hAnsi="Arial"/>
                <w:sz w:val="20"/>
                <w:szCs w:val="20"/>
                <w:b w:val="1"/>
                <w:bCs w:val="1"/>
                <w:color w:val="auto"/>
              </w:rPr>
              <w:t>Q4 2005</w:t>
            </w:r>
          </w:p>
        </w:tc>
        <w:tc>
          <w:tcPr>
            <w:tcW w:w="1660" w:type="dxa"/>
            <w:vAlign w:val="bottom"/>
          </w:tcPr>
          <w:p>
            <w:pPr>
              <w:jc w:val="center"/>
              <w:spacing w:after="0"/>
              <w:rPr>
                <w:sz w:val="20"/>
                <w:szCs w:val="20"/>
                <w:color w:val="auto"/>
              </w:rPr>
            </w:pPr>
            <w:r>
              <w:rPr>
                <w:rFonts w:ascii="Arial" w:cs="Arial" w:eastAsia="Arial" w:hAnsi="Arial"/>
                <w:sz w:val="20"/>
                <w:szCs w:val="20"/>
                <w:b w:val="1"/>
                <w:bCs w:val="1"/>
                <w:color w:val="auto"/>
                <w:w w:val="98"/>
              </w:rPr>
              <w:t>2005 France</w:t>
            </w:r>
          </w:p>
        </w:tc>
        <w:tc>
          <w:tcPr>
            <w:tcW w:w="1600" w:type="dxa"/>
            <w:vAlign w:val="bottom"/>
          </w:tcPr>
          <w:p>
            <w:pPr>
              <w:jc w:val="center"/>
              <w:spacing w:after="0"/>
              <w:rPr>
                <w:sz w:val="20"/>
                <w:szCs w:val="20"/>
                <w:color w:val="auto"/>
              </w:rPr>
            </w:pPr>
            <w:r>
              <w:rPr>
                <w:rFonts w:ascii="Arial" w:cs="Arial" w:eastAsia="Arial" w:hAnsi="Arial"/>
                <w:sz w:val="20"/>
                <w:szCs w:val="20"/>
                <w:b w:val="1"/>
                <w:bCs w:val="1"/>
                <w:color w:val="auto"/>
                <w:w w:val="98"/>
              </w:rPr>
              <w:t>Temporary</w:t>
            </w:r>
          </w:p>
        </w:tc>
        <w:tc>
          <w:tcPr>
            <w:tcW w:w="1520" w:type="dxa"/>
            <w:vAlign w:val="bottom"/>
          </w:tcPr>
          <w:p>
            <w:pPr>
              <w:jc w:val="center"/>
              <w:spacing w:after="0"/>
              <w:rPr>
                <w:sz w:val="20"/>
                <w:szCs w:val="20"/>
                <w:color w:val="auto"/>
              </w:rPr>
            </w:pPr>
            <w:r>
              <w:rPr>
                <w:rFonts w:ascii="Arial" w:cs="Arial" w:eastAsia="Arial" w:hAnsi="Arial"/>
                <w:sz w:val="20"/>
                <w:szCs w:val="20"/>
                <w:b w:val="1"/>
                <w:bCs w:val="1"/>
                <w:color w:val="auto"/>
              </w:rPr>
              <w:t>Permanent</w:t>
            </w:r>
          </w:p>
        </w:tc>
        <w:tc>
          <w:tcPr>
            <w:tcW w:w="1780" w:type="dxa"/>
            <w:vAlign w:val="bottom"/>
          </w:tcPr>
          <w:p>
            <w:pPr>
              <w:ind w:left="140"/>
              <w:spacing w:after="0"/>
              <w:rPr>
                <w:sz w:val="20"/>
                <w:szCs w:val="20"/>
                <w:color w:val="auto"/>
              </w:rPr>
            </w:pPr>
            <w:r>
              <w:rPr>
                <w:rFonts w:ascii="Arial" w:cs="Arial" w:eastAsia="Arial" w:hAnsi="Arial"/>
                <w:sz w:val="20"/>
                <w:szCs w:val="20"/>
                <w:b w:val="1"/>
                <w:bCs w:val="1"/>
                <w:color w:val="auto"/>
              </w:rPr>
              <w:t>Mix - Specialty</w:t>
            </w:r>
          </w:p>
        </w:tc>
        <w:tc>
          <w:tcPr>
            <w:tcW w:w="1020" w:type="dxa"/>
            <w:vAlign w:val="bottom"/>
          </w:tcPr>
          <w:p>
            <w:pPr>
              <w:ind w:left="260"/>
              <w:spacing w:after="0"/>
              <w:rPr>
                <w:sz w:val="20"/>
                <w:szCs w:val="20"/>
                <w:color w:val="auto"/>
              </w:rPr>
            </w:pPr>
            <w:r>
              <w:rPr>
                <w:rFonts w:ascii="Arial" w:cs="Arial" w:eastAsia="Arial" w:hAnsi="Arial"/>
                <w:sz w:val="20"/>
                <w:szCs w:val="20"/>
                <w:b w:val="1"/>
                <w:bCs w:val="1"/>
                <w:color w:val="auto"/>
                <w:w w:val="96"/>
              </w:rPr>
              <w:t>Q4 2006</w:t>
            </w:r>
          </w:p>
        </w:tc>
      </w:tr>
      <w:tr>
        <w:trPr>
          <w:trHeight w:val="247"/>
        </w:trPr>
        <w:tc>
          <w:tcPr>
            <w:tcW w:w="1080" w:type="dxa"/>
            <w:vAlign w:val="bottom"/>
          </w:tcPr>
          <w:p>
            <w:pPr>
              <w:spacing w:after="0"/>
              <w:rPr>
                <w:sz w:val="21"/>
                <w:szCs w:val="21"/>
                <w:color w:val="auto"/>
              </w:rPr>
            </w:pPr>
          </w:p>
        </w:tc>
        <w:tc>
          <w:tcPr>
            <w:tcW w:w="1660" w:type="dxa"/>
            <w:vAlign w:val="bottom"/>
          </w:tcPr>
          <w:p>
            <w:pPr>
              <w:jc w:val="center"/>
              <w:spacing w:after="0"/>
              <w:rPr>
                <w:sz w:val="20"/>
                <w:szCs w:val="20"/>
                <w:color w:val="auto"/>
              </w:rPr>
            </w:pPr>
            <w:r>
              <w:rPr>
                <w:rFonts w:ascii="Arial" w:cs="Arial" w:eastAsia="Arial" w:hAnsi="Arial"/>
                <w:sz w:val="20"/>
                <w:szCs w:val="20"/>
                <w:b w:val="1"/>
                <w:bCs w:val="1"/>
                <w:color w:val="auto"/>
                <w:w w:val="99"/>
              </w:rPr>
              <w:t>Payroll Tax</w:t>
            </w:r>
          </w:p>
        </w:tc>
        <w:tc>
          <w:tcPr>
            <w:tcW w:w="1600" w:type="dxa"/>
            <w:vAlign w:val="bottom"/>
          </w:tcPr>
          <w:p>
            <w:pPr>
              <w:jc w:val="center"/>
              <w:spacing w:after="0"/>
              <w:rPr>
                <w:sz w:val="20"/>
                <w:szCs w:val="20"/>
                <w:color w:val="auto"/>
              </w:rPr>
            </w:pPr>
            <w:r>
              <w:rPr>
                <w:rFonts w:ascii="Arial" w:cs="Arial" w:eastAsia="Arial" w:hAnsi="Arial"/>
                <w:sz w:val="20"/>
                <w:szCs w:val="20"/>
                <w:b w:val="1"/>
                <w:bCs w:val="1"/>
                <w:color w:val="auto"/>
                <w:w w:val="99"/>
              </w:rPr>
              <w:t>Recruitment</w:t>
            </w:r>
          </w:p>
        </w:tc>
        <w:tc>
          <w:tcPr>
            <w:tcW w:w="1520" w:type="dxa"/>
            <w:vAlign w:val="bottom"/>
          </w:tcPr>
          <w:p>
            <w:pPr>
              <w:jc w:val="center"/>
              <w:spacing w:after="0"/>
              <w:rPr>
                <w:sz w:val="20"/>
                <w:szCs w:val="20"/>
                <w:color w:val="auto"/>
              </w:rPr>
            </w:pPr>
            <w:r>
              <w:rPr>
                <w:rFonts w:ascii="Arial" w:cs="Arial" w:eastAsia="Arial" w:hAnsi="Arial"/>
                <w:sz w:val="20"/>
                <w:szCs w:val="20"/>
                <w:b w:val="1"/>
                <w:bCs w:val="1"/>
                <w:color w:val="auto"/>
              </w:rPr>
              <w:t>Recruitment</w:t>
            </w:r>
          </w:p>
        </w:tc>
        <w:tc>
          <w:tcPr>
            <w:tcW w:w="17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59"/>
        </w:trPr>
        <w:tc>
          <w:tcPr>
            <w:tcW w:w="1080" w:type="dxa"/>
            <w:vAlign w:val="bottom"/>
          </w:tcPr>
          <w:p>
            <w:pPr>
              <w:spacing w:after="0"/>
              <w:rPr>
                <w:sz w:val="22"/>
                <w:szCs w:val="22"/>
                <w:color w:val="auto"/>
              </w:rPr>
            </w:pPr>
          </w:p>
        </w:tc>
        <w:tc>
          <w:tcPr>
            <w:tcW w:w="1660" w:type="dxa"/>
            <w:vAlign w:val="bottom"/>
          </w:tcPr>
          <w:p>
            <w:pPr>
              <w:ind w:left="640"/>
              <w:spacing w:after="0"/>
              <w:rPr>
                <w:sz w:val="20"/>
                <w:szCs w:val="20"/>
                <w:color w:val="auto"/>
              </w:rPr>
            </w:pPr>
            <w:r>
              <w:rPr>
                <w:rFonts w:ascii="Arial" w:cs="Arial" w:eastAsia="Arial" w:hAnsi="Arial"/>
                <w:sz w:val="20"/>
                <w:szCs w:val="20"/>
                <w:b w:val="1"/>
                <w:bCs w:val="1"/>
                <w:color w:val="auto"/>
              </w:rPr>
              <w:t>Audit</w:t>
            </w:r>
          </w:p>
        </w:tc>
        <w:tc>
          <w:tcPr>
            <w:tcW w:w="16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65"/>
        </w:trPr>
        <w:tc>
          <w:tcPr>
            <w:tcW w:w="1080" w:type="dxa"/>
            <w:vAlign w:val="bottom"/>
          </w:tcPr>
          <w:p>
            <w:pPr>
              <w:spacing w:after="0"/>
              <w:rPr>
                <w:sz w:val="23"/>
                <w:szCs w:val="23"/>
                <w:color w:val="auto"/>
              </w:rPr>
            </w:pPr>
          </w:p>
        </w:tc>
        <w:tc>
          <w:tcPr>
            <w:tcW w:w="1660" w:type="dxa"/>
            <w:vAlign w:val="bottom"/>
          </w:tcPr>
          <w:p>
            <w:pPr>
              <w:jc w:val="center"/>
              <w:ind w:left="20"/>
              <w:spacing w:after="0"/>
              <w:rPr>
                <w:sz w:val="20"/>
                <w:szCs w:val="20"/>
                <w:color w:val="auto"/>
              </w:rPr>
            </w:pPr>
            <w:r>
              <w:rPr>
                <w:rFonts w:ascii="Arial" w:cs="Arial" w:eastAsia="Arial" w:hAnsi="Arial"/>
                <w:sz w:val="20"/>
                <w:szCs w:val="20"/>
                <w:b w:val="1"/>
                <w:bCs w:val="1"/>
                <w:color w:val="auto"/>
                <w:w w:val="99"/>
              </w:rPr>
              <w:t>Settlement</w:t>
            </w:r>
          </w:p>
        </w:tc>
        <w:tc>
          <w:tcPr>
            <w:tcW w:w="16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20" w:type="dxa"/>
            <w:vAlign w:val="bottom"/>
          </w:tcPr>
          <w:p>
            <w:pPr>
              <w:spacing w:after="0"/>
              <w:rPr>
                <w:sz w:val="23"/>
                <w:szCs w:val="23"/>
                <w:color w:val="auto"/>
              </w:rPr>
            </w:pPr>
          </w:p>
        </w:tc>
      </w:tr>
    </w:tbl>
    <w:p>
      <w:pPr>
        <w:sectPr>
          <w:pgSz w:w="11900" w:h="16838" w:orient="portrait"/>
          <w:cols w:equalWidth="0" w:num="1">
            <w:col w:w="10120"/>
          </w:cols>
          <w:pgMar w:left="960" w:top="459" w:right="819" w:bottom="1440" w:gutter="0" w:footer="0" w:header="0"/>
        </w:sectPr>
      </w:pPr>
    </w:p>
    <w:bookmarkStart w:id="16" w:name="page17"/>
    <w:bookmarkEnd w:id="1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361"/>
        </w:trPr>
        <w:tc>
          <w:tcPr>
            <w:tcW w:w="6840" w:type="dxa"/>
            <w:vAlign w:val="bottom"/>
          </w:tcPr>
          <w:p>
            <w:pPr>
              <w:spacing w:after="0"/>
              <w:rPr>
                <w:sz w:val="20"/>
                <w:szCs w:val="20"/>
                <w:color w:val="auto"/>
              </w:rPr>
            </w:pPr>
            <w:r>
              <w:rPr>
                <w:rFonts w:ascii="Arial" w:cs="Arial" w:eastAsia="Arial" w:hAnsi="Arial"/>
                <w:sz w:val="22"/>
                <w:szCs w:val="22"/>
                <w:color w:val="FFFFFF"/>
              </w:rPr>
              <w:t>Manpower Inc. 2006 4</w:t>
            </w:r>
            <w:r>
              <w:rPr>
                <w:rFonts w:ascii="Arial" w:cs="Arial" w:eastAsia="Arial" w:hAnsi="Arial"/>
                <w:sz w:val="28"/>
                <w:szCs w:val="28"/>
                <w:color w:val="FFFFFF"/>
                <w:vertAlign w:val="superscript"/>
              </w:rPr>
              <w:t>th</w:t>
            </w:r>
            <w:r>
              <w:rPr>
                <w:rFonts w:ascii="Arial" w:cs="Arial" w:eastAsia="Arial" w:hAnsi="Arial"/>
                <w:sz w:val="22"/>
                <w:szCs w:val="22"/>
                <w:color w:val="FFFFFF"/>
              </w:rPr>
              <w:t xml:space="preserve"> Quarter Results</w:t>
            </w:r>
          </w:p>
        </w:tc>
        <w:tc>
          <w:tcPr>
            <w:tcW w:w="3020" w:type="dxa"/>
            <w:vAlign w:val="bottom"/>
          </w:tcPr>
          <w:p>
            <w:pPr>
              <w:jc w:val="right"/>
              <w:spacing w:after="0"/>
              <w:rPr>
                <w:sz w:val="20"/>
                <w:szCs w:val="20"/>
                <w:color w:val="auto"/>
              </w:rPr>
            </w:pPr>
            <w:r>
              <w:rPr>
                <w:rFonts w:ascii="Arial" w:cs="Arial" w:eastAsia="Arial" w:hAnsi="Arial"/>
                <w:sz w:val="22"/>
                <w:szCs w:val="22"/>
                <w:color w:val="FFFFFF"/>
              </w:rPr>
              <w:t>5</w:t>
            </w:r>
          </w:p>
        </w:tc>
      </w:tr>
    </w:tbl>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47"/>
          <w:szCs w:val="47"/>
          <w:color w:val="C8504F"/>
        </w:rPr>
        <w:t>United States Segment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60"/>
        <w:spacing w:after="0"/>
        <w:rPr>
          <w:sz w:val="20"/>
          <w:szCs w:val="20"/>
          <w:color w:val="auto"/>
        </w:rPr>
      </w:pPr>
      <w:r>
        <w:rPr>
          <w:rFonts w:ascii="Arial" w:cs="Arial" w:eastAsia="Arial" w:hAnsi="Arial"/>
          <w:sz w:val="41"/>
          <w:szCs w:val="41"/>
          <w:b w:val="1"/>
          <w:bCs w:val="1"/>
          <w:color w:val="auto"/>
        </w:rPr>
        <w:t>Q4 Financial Highlights</w:t>
      </w:r>
    </w:p>
    <w:p>
      <w:pPr>
        <w:spacing w:after="0" w:line="399" w:lineRule="exact"/>
        <w:rPr>
          <w:sz w:val="20"/>
          <w:szCs w:val="20"/>
          <w:color w:val="auto"/>
        </w:rPr>
      </w:pPr>
    </w:p>
    <w:p>
      <w:pPr>
        <w:ind w:left="2180"/>
        <w:spacing w:after="0"/>
        <w:tabs>
          <w:tab w:leader="none" w:pos="3400" w:val="left"/>
        </w:tabs>
        <w:rPr>
          <w:sz w:val="20"/>
          <w:szCs w:val="20"/>
          <w:color w:val="auto"/>
        </w:rPr>
      </w:pPr>
      <w:r>
        <w:rPr>
          <w:rFonts w:ascii="Arial" w:cs="Arial" w:eastAsia="Arial" w:hAnsi="Arial"/>
          <w:sz w:val="38"/>
          <w:szCs w:val="38"/>
          <w:color w:val="auto"/>
        </w:rPr>
        <w:t>1%</w:t>
      </w:r>
      <w:r>
        <w:rPr>
          <w:sz w:val="20"/>
          <w:szCs w:val="20"/>
          <w:color w:val="auto"/>
        </w:rPr>
        <w:tab/>
      </w:r>
      <w:r>
        <w:rPr>
          <w:rFonts w:ascii="Arial" w:cs="Arial" w:eastAsia="Arial" w:hAnsi="Arial"/>
          <w:sz w:val="41"/>
          <w:szCs w:val="41"/>
          <w:b w:val="1"/>
          <w:bCs w:val="1"/>
          <w:color w:val="auto"/>
        </w:rPr>
        <w:t xml:space="preserve">Revenue </w:t>
      </w:r>
      <w:r>
        <w:rPr>
          <w:rFonts w:ascii="Arial" w:cs="Arial" w:eastAsia="Arial" w:hAnsi="Arial"/>
          <w:sz w:val="43"/>
          <w:szCs w:val="43"/>
          <w:b w:val="1"/>
          <w:bCs w:val="1"/>
          <w:color w:val="C8504F"/>
        </w:rPr>
        <w:t>$528M</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100"/>
        <w:spacing w:after="0"/>
        <w:tabs>
          <w:tab w:leader="none" w:pos="3440" w:val="left"/>
        </w:tabs>
        <w:rPr>
          <w:sz w:val="20"/>
          <w:szCs w:val="20"/>
          <w:color w:val="auto"/>
        </w:rPr>
      </w:pPr>
      <w:r>
        <w:rPr>
          <w:rFonts w:ascii="Arial" w:cs="Arial" w:eastAsia="Arial" w:hAnsi="Arial"/>
          <w:sz w:val="38"/>
          <w:szCs w:val="38"/>
          <w:color w:val="auto"/>
        </w:rPr>
        <w:t>15%</w:t>
      </w:r>
      <w:r>
        <w:rPr>
          <w:sz w:val="20"/>
          <w:szCs w:val="20"/>
          <w:color w:val="auto"/>
        </w:rPr>
        <w:tab/>
      </w:r>
      <w:r>
        <w:rPr>
          <w:rFonts w:ascii="Arial" w:cs="Arial" w:eastAsia="Arial" w:hAnsi="Arial"/>
          <w:sz w:val="41"/>
          <w:szCs w:val="41"/>
          <w:b w:val="1"/>
          <w:bCs w:val="1"/>
          <w:color w:val="auto"/>
        </w:rPr>
        <w:t xml:space="preserve">OUP </w:t>
      </w:r>
      <w:r>
        <w:rPr>
          <w:rFonts w:ascii="Arial" w:cs="Arial" w:eastAsia="Arial" w:hAnsi="Arial"/>
          <w:sz w:val="43"/>
          <w:szCs w:val="43"/>
          <w:b w:val="1"/>
          <w:bCs w:val="1"/>
          <w:color w:val="C8504F"/>
        </w:rPr>
        <w:t>$27M</w:t>
      </w:r>
    </w:p>
    <w:p>
      <w:pPr>
        <w:spacing w:after="0" w:line="200" w:lineRule="exact"/>
        <w:rPr>
          <w:sz w:val="20"/>
          <w:szCs w:val="20"/>
          <w:color w:val="auto"/>
        </w:rPr>
      </w:pPr>
    </w:p>
    <w:p>
      <w:pPr>
        <w:spacing w:after="0" w:line="399" w:lineRule="exact"/>
        <w:rPr>
          <w:sz w:val="20"/>
          <w:szCs w:val="20"/>
          <w:color w:val="auto"/>
        </w:rPr>
      </w:pPr>
    </w:p>
    <w:p>
      <w:pPr>
        <w:ind w:left="1820"/>
        <w:spacing w:after="0"/>
        <w:tabs>
          <w:tab w:leader="none" w:pos="3420" w:val="left"/>
        </w:tabs>
        <w:rPr>
          <w:sz w:val="20"/>
          <w:szCs w:val="20"/>
          <w:color w:val="auto"/>
        </w:rPr>
      </w:pPr>
      <w:r>
        <w:rPr>
          <w:rFonts w:ascii="Arial" w:cs="Arial" w:eastAsia="Arial" w:hAnsi="Arial"/>
          <w:sz w:val="38"/>
          <w:szCs w:val="38"/>
          <w:color w:val="auto"/>
        </w:rPr>
        <w:t>80 bps</w:t>
      </w:r>
      <w:r>
        <w:rPr>
          <w:sz w:val="20"/>
          <w:szCs w:val="20"/>
          <w:color w:val="auto"/>
        </w:rPr>
        <w:tab/>
      </w:r>
      <w:r>
        <w:rPr>
          <w:rFonts w:ascii="Arial" w:cs="Arial" w:eastAsia="Arial" w:hAnsi="Arial"/>
          <w:sz w:val="41"/>
          <w:szCs w:val="41"/>
          <w:b w:val="1"/>
          <w:bCs w:val="1"/>
          <w:color w:val="auto"/>
        </w:rPr>
        <w:t xml:space="preserve">OUP Margin </w:t>
      </w:r>
      <w:r>
        <w:rPr>
          <w:rFonts w:ascii="Arial" w:cs="Arial" w:eastAsia="Arial" w:hAnsi="Arial"/>
          <w:sz w:val="43"/>
          <w:szCs w:val="43"/>
          <w:b w:val="1"/>
          <w:bCs w:val="1"/>
          <w:color w:val="C8504F"/>
        </w:rPr>
        <w:t>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0" w:right="1100"/>
        <w:spacing w:after="0" w:line="265" w:lineRule="auto"/>
        <w:rPr>
          <w:sz w:val="20"/>
          <w:szCs w:val="20"/>
          <w:color w:val="auto"/>
        </w:rPr>
      </w:pPr>
      <w:r>
        <w:rPr>
          <w:rFonts w:ascii="Arial" w:cs="Arial" w:eastAsia="Arial" w:hAnsi="Arial"/>
          <w:sz w:val="22"/>
          <w:szCs w:val="22"/>
          <w:b w:val="1"/>
          <w:bCs w:val="1"/>
          <w:color w:val="auto"/>
        </w:rPr>
        <w:t>Operating Unit Profit (OUP) is the measure that we use to evaluate segment performance. OUP is equal to segment revenues less direct costs and branch and national headquarters operating costs.</w:t>
      </w:r>
    </w:p>
    <w:p>
      <w:pPr>
        <w:sectPr>
          <w:pgSz w:w="11900" w:h="16838" w:orient="portrait"/>
          <w:cols w:equalWidth="0" w:num="1">
            <w:col w:w="9860"/>
          </w:cols>
          <w:pgMar w:left="1220" w:top="459" w:right="81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361"/>
        </w:trPr>
        <w:tc>
          <w:tcPr>
            <w:tcW w:w="6840" w:type="dxa"/>
            <w:vAlign w:val="bottom"/>
          </w:tcPr>
          <w:p>
            <w:pPr>
              <w:spacing w:after="0"/>
              <w:rPr>
                <w:sz w:val="20"/>
                <w:szCs w:val="20"/>
                <w:color w:val="auto"/>
              </w:rPr>
            </w:pPr>
            <w:r>
              <w:rPr>
                <w:rFonts w:ascii="Arial" w:cs="Arial" w:eastAsia="Arial" w:hAnsi="Arial"/>
                <w:sz w:val="22"/>
                <w:szCs w:val="22"/>
                <w:color w:val="FFFFFF"/>
              </w:rPr>
              <w:t>Manpower Inc. 2006 4</w:t>
            </w:r>
            <w:r>
              <w:rPr>
                <w:rFonts w:ascii="Arial" w:cs="Arial" w:eastAsia="Arial" w:hAnsi="Arial"/>
                <w:sz w:val="28"/>
                <w:szCs w:val="28"/>
                <w:color w:val="FFFFFF"/>
                <w:vertAlign w:val="superscript"/>
              </w:rPr>
              <w:t>th</w:t>
            </w:r>
            <w:r>
              <w:rPr>
                <w:rFonts w:ascii="Arial" w:cs="Arial" w:eastAsia="Arial" w:hAnsi="Arial"/>
                <w:sz w:val="22"/>
                <w:szCs w:val="22"/>
                <w:color w:val="FFFFFF"/>
              </w:rPr>
              <w:t xml:space="preserve"> Quarter Results</w:t>
            </w:r>
          </w:p>
        </w:tc>
        <w:tc>
          <w:tcPr>
            <w:tcW w:w="3020" w:type="dxa"/>
            <w:vAlign w:val="bottom"/>
          </w:tcPr>
          <w:p>
            <w:pPr>
              <w:jc w:val="right"/>
              <w:spacing w:after="0"/>
              <w:rPr>
                <w:sz w:val="20"/>
                <w:szCs w:val="20"/>
                <w:color w:val="auto"/>
              </w:rPr>
            </w:pPr>
            <w:r>
              <w:rPr>
                <w:rFonts w:ascii="Arial" w:cs="Arial" w:eastAsia="Arial" w:hAnsi="Arial"/>
                <w:sz w:val="22"/>
                <w:szCs w:val="22"/>
                <w:color w:val="FFFFFF"/>
              </w:rPr>
              <w:t>6</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47"/>
          <w:szCs w:val="47"/>
          <w:color w:val="D47C18"/>
        </w:rPr>
        <w:t>France Segment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460"/>
        <w:spacing w:after="0"/>
        <w:rPr>
          <w:sz w:val="20"/>
          <w:szCs w:val="20"/>
          <w:color w:val="auto"/>
        </w:rPr>
      </w:pPr>
      <w:r>
        <w:rPr>
          <w:rFonts w:ascii="Arial" w:cs="Arial" w:eastAsia="Arial" w:hAnsi="Arial"/>
          <w:sz w:val="41"/>
          <w:szCs w:val="41"/>
          <w:b w:val="1"/>
          <w:bCs w:val="1"/>
          <w:color w:val="auto"/>
        </w:rPr>
        <w:t>Q4 Financial Highlights</w:t>
      </w:r>
    </w:p>
    <w:p>
      <w:pPr>
        <w:ind w:left="2080"/>
        <w:spacing w:after="0" w:line="209" w:lineRule="auto"/>
        <w:tabs>
          <w:tab w:leader="none" w:pos="3400" w:val="left"/>
        </w:tabs>
        <w:rPr>
          <w:sz w:val="20"/>
          <w:szCs w:val="20"/>
          <w:color w:val="auto"/>
        </w:rPr>
      </w:pPr>
      <w:r>
        <w:rPr>
          <w:rFonts w:ascii="Arial" w:cs="Arial" w:eastAsia="Arial" w:hAnsi="Arial"/>
          <w:sz w:val="75"/>
          <w:szCs w:val="75"/>
          <w:color w:val="auto"/>
          <w:vertAlign w:val="superscript"/>
        </w:rPr>
        <w:t>17%</w:t>
      </w:r>
      <w:r>
        <w:rPr>
          <w:sz w:val="20"/>
          <w:szCs w:val="20"/>
          <w:color w:val="auto"/>
        </w:rPr>
        <w:tab/>
      </w:r>
      <w:r>
        <w:rPr>
          <w:rFonts w:ascii="Arial" w:cs="Arial" w:eastAsia="Arial" w:hAnsi="Arial"/>
          <w:sz w:val="41"/>
          <w:szCs w:val="41"/>
          <w:b w:val="1"/>
          <w:bCs w:val="1"/>
          <w:color w:val="auto"/>
        </w:rPr>
        <w:t xml:space="preserve">Revenue </w:t>
      </w:r>
      <w:r>
        <w:rPr>
          <w:rFonts w:ascii="Arial" w:cs="Arial" w:eastAsia="Arial" w:hAnsi="Arial"/>
          <w:sz w:val="43"/>
          <w:szCs w:val="43"/>
          <w:b w:val="1"/>
          <w:bCs w:val="1"/>
          <w:color w:val="D47C18"/>
        </w:rPr>
        <w:t>$1.6B</w:t>
      </w:r>
    </w:p>
    <w:p>
      <w:pPr>
        <w:spacing w:after="0" w:line="2" w:lineRule="exact"/>
        <w:rPr>
          <w:sz w:val="20"/>
          <w:szCs w:val="20"/>
          <w:color w:val="auto"/>
        </w:rPr>
      </w:pPr>
    </w:p>
    <w:p>
      <w:pPr>
        <w:ind w:left="1800"/>
        <w:spacing w:after="0"/>
        <w:rPr>
          <w:sz w:val="20"/>
          <w:szCs w:val="20"/>
          <w:color w:val="auto"/>
        </w:rPr>
      </w:pPr>
      <w:r>
        <w:rPr>
          <w:rFonts w:ascii="Arial" w:cs="Arial" w:eastAsia="Arial" w:hAnsi="Arial"/>
          <w:sz w:val="38"/>
          <w:szCs w:val="38"/>
          <w:color w:val="auto"/>
        </w:rPr>
        <w:t>8% CC</w:t>
      </w:r>
    </w:p>
    <w:p>
      <w:pPr>
        <w:ind w:left="2040"/>
        <w:spacing w:after="0" w:line="180" w:lineRule="auto"/>
        <w:tabs>
          <w:tab w:leader="none" w:pos="3440" w:val="left"/>
        </w:tabs>
        <w:rPr>
          <w:sz w:val="20"/>
          <w:szCs w:val="20"/>
          <w:color w:val="auto"/>
        </w:rPr>
      </w:pPr>
      <w:r>
        <w:rPr>
          <w:rFonts w:ascii="Arial" w:cs="Arial" w:eastAsia="Arial" w:hAnsi="Arial"/>
          <w:sz w:val="68"/>
          <w:szCs w:val="68"/>
          <w:color w:val="auto"/>
          <w:vertAlign w:val="superscript"/>
        </w:rPr>
        <w:t>28%</w:t>
      </w:r>
      <w:r>
        <w:rPr>
          <w:sz w:val="20"/>
          <w:szCs w:val="20"/>
          <w:color w:val="auto"/>
        </w:rPr>
        <w:tab/>
      </w:r>
      <w:r>
        <w:rPr>
          <w:rFonts w:ascii="Arial" w:cs="Arial" w:eastAsia="Arial" w:hAnsi="Arial"/>
          <w:sz w:val="38"/>
          <w:szCs w:val="38"/>
          <w:b w:val="1"/>
          <w:bCs w:val="1"/>
          <w:color w:val="auto"/>
        </w:rPr>
        <w:t xml:space="preserve">OUP </w:t>
      </w:r>
      <w:r>
        <w:rPr>
          <w:rFonts w:ascii="Arial" w:cs="Arial" w:eastAsia="Arial" w:hAnsi="Arial"/>
          <w:sz w:val="40"/>
          <w:szCs w:val="40"/>
          <w:b w:val="1"/>
          <w:bCs w:val="1"/>
          <w:color w:val="D47C18"/>
        </w:rPr>
        <w:t>$61M</w:t>
      </w:r>
    </w:p>
    <w:p>
      <w:pPr>
        <w:spacing w:after="0" w:line="94" w:lineRule="exact"/>
        <w:rPr>
          <w:sz w:val="20"/>
          <w:szCs w:val="20"/>
          <w:color w:val="auto"/>
        </w:rPr>
      </w:pPr>
    </w:p>
    <w:p>
      <w:pPr>
        <w:ind w:left="1700"/>
        <w:spacing w:after="0"/>
        <w:rPr>
          <w:sz w:val="20"/>
          <w:szCs w:val="20"/>
          <w:color w:val="auto"/>
        </w:rPr>
      </w:pPr>
      <w:r>
        <w:rPr>
          <w:rFonts w:ascii="Arial" w:cs="Arial" w:eastAsia="Arial" w:hAnsi="Arial"/>
          <w:sz w:val="38"/>
          <w:szCs w:val="38"/>
          <w:color w:val="auto"/>
        </w:rPr>
        <w:t>18% CC</w:t>
      </w:r>
    </w:p>
    <w:p>
      <w:pPr>
        <w:spacing w:after="0" w:line="361" w:lineRule="exact"/>
        <w:rPr>
          <w:sz w:val="20"/>
          <w:szCs w:val="20"/>
          <w:color w:val="auto"/>
        </w:rPr>
      </w:pPr>
    </w:p>
    <w:p>
      <w:pPr>
        <w:ind w:left="1820"/>
        <w:spacing w:after="0"/>
        <w:tabs>
          <w:tab w:leader="none" w:pos="3420" w:val="left"/>
        </w:tabs>
        <w:rPr>
          <w:sz w:val="20"/>
          <w:szCs w:val="20"/>
          <w:color w:val="auto"/>
        </w:rPr>
      </w:pPr>
      <w:r>
        <w:rPr>
          <w:rFonts w:ascii="Arial" w:cs="Arial" w:eastAsia="Arial" w:hAnsi="Arial"/>
          <w:sz w:val="38"/>
          <w:szCs w:val="38"/>
          <w:color w:val="auto"/>
        </w:rPr>
        <w:t>40 bps</w:t>
      </w:r>
      <w:r>
        <w:rPr>
          <w:sz w:val="20"/>
          <w:szCs w:val="20"/>
          <w:color w:val="auto"/>
        </w:rPr>
        <w:tab/>
      </w:r>
      <w:r>
        <w:rPr>
          <w:rFonts w:ascii="Arial" w:cs="Arial" w:eastAsia="Arial" w:hAnsi="Arial"/>
          <w:sz w:val="41"/>
          <w:szCs w:val="41"/>
          <w:b w:val="1"/>
          <w:bCs w:val="1"/>
          <w:color w:val="auto"/>
        </w:rPr>
        <w:t xml:space="preserve">OUP Margin </w:t>
      </w:r>
      <w:r>
        <w:rPr>
          <w:rFonts w:ascii="Arial" w:cs="Arial" w:eastAsia="Arial" w:hAnsi="Arial"/>
          <w:sz w:val="43"/>
          <w:szCs w:val="43"/>
          <w:b w:val="1"/>
          <w:bCs w:val="1"/>
          <w:color w:val="D47C18"/>
        </w:rPr>
        <w:t>3.9%</w:t>
      </w:r>
    </w:p>
    <w:p>
      <w:pPr>
        <w:sectPr>
          <w:pgSz w:w="11900" w:h="16838" w:orient="portrait"/>
          <w:cols w:equalWidth="0" w:num="1">
            <w:col w:w="9860"/>
          </w:cols>
          <w:pgMar w:left="1220" w:top="459" w:right="81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361"/>
        </w:trPr>
        <w:tc>
          <w:tcPr>
            <w:tcW w:w="6840" w:type="dxa"/>
            <w:vAlign w:val="bottom"/>
          </w:tcPr>
          <w:p>
            <w:pPr>
              <w:spacing w:after="0"/>
              <w:rPr>
                <w:sz w:val="20"/>
                <w:szCs w:val="20"/>
                <w:color w:val="auto"/>
              </w:rPr>
            </w:pPr>
            <w:r>
              <w:rPr>
                <w:rFonts w:ascii="Arial" w:cs="Arial" w:eastAsia="Arial" w:hAnsi="Arial"/>
                <w:sz w:val="22"/>
                <w:szCs w:val="22"/>
                <w:color w:val="FFFFFF"/>
              </w:rPr>
              <w:t>Manpower Inc. 2006 4</w:t>
            </w:r>
            <w:r>
              <w:rPr>
                <w:rFonts w:ascii="Arial" w:cs="Arial" w:eastAsia="Arial" w:hAnsi="Arial"/>
                <w:sz w:val="28"/>
                <w:szCs w:val="28"/>
                <w:color w:val="FFFFFF"/>
                <w:vertAlign w:val="superscript"/>
              </w:rPr>
              <w:t>th</w:t>
            </w:r>
            <w:r>
              <w:rPr>
                <w:rFonts w:ascii="Arial" w:cs="Arial" w:eastAsia="Arial" w:hAnsi="Arial"/>
                <w:sz w:val="22"/>
                <w:szCs w:val="22"/>
                <w:color w:val="FFFFFF"/>
              </w:rPr>
              <w:t xml:space="preserve"> Quarter Results</w:t>
            </w:r>
          </w:p>
        </w:tc>
        <w:tc>
          <w:tcPr>
            <w:tcW w:w="3020" w:type="dxa"/>
            <w:vAlign w:val="bottom"/>
          </w:tcPr>
          <w:p>
            <w:pPr>
              <w:jc w:val="right"/>
              <w:spacing w:after="0"/>
              <w:rPr>
                <w:sz w:val="20"/>
                <w:szCs w:val="20"/>
                <w:color w:val="auto"/>
              </w:rPr>
            </w:pPr>
            <w:r>
              <w:rPr>
                <w:rFonts w:ascii="Arial" w:cs="Arial" w:eastAsia="Arial" w:hAnsi="Arial"/>
                <w:sz w:val="22"/>
                <w:szCs w:val="22"/>
                <w:color w:val="FFFFFF"/>
              </w:rPr>
              <w:t>7</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47"/>
          <w:szCs w:val="47"/>
          <w:color w:val="5F81AA"/>
        </w:rPr>
        <w:t>EMEA Segment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60"/>
        <w:spacing w:after="0"/>
        <w:rPr>
          <w:sz w:val="20"/>
          <w:szCs w:val="20"/>
          <w:color w:val="auto"/>
        </w:rPr>
      </w:pPr>
      <w:r>
        <w:rPr>
          <w:rFonts w:ascii="Arial" w:cs="Arial" w:eastAsia="Arial" w:hAnsi="Arial"/>
          <w:sz w:val="41"/>
          <w:szCs w:val="41"/>
          <w:b w:val="1"/>
          <w:bCs w:val="1"/>
          <w:color w:val="auto"/>
        </w:rPr>
        <w:t>Q4 Financial Highlights</w:t>
      </w:r>
    </w:p>
    <w:p>
      <w:pPr>
        <w:ind w:left="2080"/>
        <w:spacing w:after="0" w:line="209" w:lineRule="auto"/>
        <w:tabs>
          <w:tab w:leader="none" w:pos="3400" w:val="left"/>
        </w:tabs>
        <w:rPr>
          <w:sz w:val="20"/>
          <w:szCs w:val="20"/>
          <w:color w:val="auto"/>
        </w:rPr>
      </w:pPr>
      <w:r>
        <w:rPr>
          <w:rFonts w:ascii="Arial" w:cs="Arial" w:eastAsia="Arial" w:hAnsi="Arial"/>
          <w:sz w:val="75"/>
          <w:szCs w:val="75"/>
          <w:color w:val="auto"/>
          <w:vertAlign w:val="superscript"/>
        </w:rPr>
        <w:t>24%</w:t>
      </w:r>
      <w:r>
        <w:rPr>
          <w:sz w:val="20"/>
          <w:szCs w:val="20"/>
          <w:color w:val="auto"/>
        </w:rPr>
        <w:tab/>
      </w:r>
      <w:r>
        <w:rPr>
          <w:rFonts w:ascii="Arial" w:cs="Arial" w:eastAsia="Arial" w:hAnsi="Arial"/>
          <w:sz w:val="41"/>
          <w:szCs w:val="41"/>
          <w:b w:val="1"/>
          <w:bCs w:val="1"/>
          <w:color w:val="auto"/>
        </w:rPr>
        <w:t xml:space="preserve">Revenue </w:t>
      </w:r>
      <w:r>
        <w:rPr>
          <w:rFonts w:ascii="Arial" w:cs="Arial" w:eastAsia="Arial" w:hAnsi="Arial"/>
          <w:sz w:val="43"/>
          <w:szCs w:val="43"/>
          <w:b w:val="1"/>
          <w:bCs w:val="1"/>
          <w:color w:val="5F81AA"/>
        </w:rPr>
        <w:t>$1.8B</w:t>
      </w:r>
    </w:p>
    <w:p>
      <w:pPr>
        <w:spacing w:after="0" w:line="2" w:lineRule="exact"/>
        <w:rPr>
          <w:sz w:val="20"/>
          <w:szCs w:val="20"/>
          <w:color w:val="auto"/>
        </w:rPr>
      </w:pPr>
    </w:p>
    <w:p>
      <w:pPr>
        <w:ind w:left="1700"/>
        <w:spacing w:after="0"/>
        <w:rPr>
          <w:sz w:val="20"/>
          <w:szCs w:val="20"/>
          <w:color w:val="auto"/>
        </w:rPr>
      </w:pPr>
      <w:r>
        <w:rPr>
          <w:rFonts w:ascii="Arial" w:cs="Arial" w:eastAsia="Arial" w:hAnsi="Arial"/>
          <w:sz w:val="38"/>
          <w:szCs w:val="38"/>
          <w:color w:val="auto"/>
        </w:rPr>
        <w:t>14% CC</w:t>
      </w:r>
    </w:p>
    <w:p>
      <w:pPr>
        <w:ind w:left="2120"/>
        <w:spacing w:after="0" w:line="180" w:lineRule="auto"/>
        <w:tabs>
          <w:tab w:leader="none" w:pos="3440" w:val="left"/>
        </w:tabs>
        <w:rPr>
          <w:sz w:val="20"/>
          <w:szCs w:val="20"/>
          <w:color w:val="auto"/>
        </w:rPr>
      </w:pPr>
      <w:r>
        <w:rPr>
          <w:rFonts w:ascii="Arial" w:cs="Arial" w:eastAsia="Arial" w:hAnsi="Arial"/>
          <w:sz w:val="68"/>
          <w:szCs w:val="68"/>
          <w:color w:val="auto"/>
          <w:vertAlign w:val="superscript"/>
        </w:rPr>
        <w:t>55%</w:t>
      </w:r>
      <w:r>
        <w:rPr>
          <w:sz w:val="20"/>
          <w:szCs w:val="20"/>
          <w:color w:val="auto"/>
        </w:rPr>
        <w:tab/>
      </w:r>
      <w:r>
        <w:rPr>
          <w:rFonts w:ascii="Arial" w:cs="Arial" w:eastAsia="Arial" w:hAnsi="Arial"/>
          <w:sz w:val="38"/>
          <w:szCs w:val="38"/>
          <w:b w:val="1"/>
          <w:bCs w:val="1"/>
          <w:color w:val="auto"/>
        </w:rPr>
        <w:t xml:space="preserve">OUP </w:t>
      </w:r>
      <w:r>
        <w:rPr>
          <w:rFonts w:ascii="Arial" w:cs="Arial" w:eastAsia="Arial" w:hAnsi="Arial"/>
          <w:sz w:val="40"/>
          <w:szCs w:val="40"/>
          <w:b w:val="1"/>
          <w:bCs w:val="1"/>
          <w:color w:val="5F81AA"/>
        </w:rPr>
        <w:t>$81M</w:t>
      </w:r>
    </w:p>
    <w:p>
      <w:pPr>
        <w:spacing w:after="0" w:line="94" w:lineRule="exact"/>
        <w:rPr>
          <w:sz w:val="20"/>
          <w:szCs w:val="20"/>
          <w:color w:val="auto"/>
        </w:rPr>
      </w:pPr>
    </w:p>
    <w:p>
      <w:pPr>
        <w:ind w:left="1700"/>
        <w:spacing w:after="0"/>
        <w:rPr>
          <w:sz w:val="20"/>
          <w:szCs w:val="20"/>
          <w:color w:val="auto"/>
        </w:rPr>
      </w:pPr>
      <w:r>
        <w:rPr>
          <w:rFonts w:ascii="Arial" w:cs="Arial" w:eastAsia="Arial" w:hAnsi="Arial"/>
          <w:sz w:val="38"/>
          <w:szCs w:val="38"/>
          <w:color w:val="auto"/>
        </w:rPr>
        <w:t>44% CC</w:t>
      </w:r>
    </w:p>
    <w:p>
      <w:pPr>
        <w:spacing w:after="0" w:line="361" w:lineRule="exact"/>
        <w:rPr>
          <w:sz w:val="20"/>
          <w:szCs w:val="20"/>
          <w:color w:val="auto"/>
        </w:rPr>
      </w:pPr>
    </w:p>
    <w:p>
      <w:pPr>
        <w:ind w:left="1820"/>
        <w:spacing w:after="0"/>
        <w:tabs>
          <w:tab w:leader="none" w:pos="3420" w:val="left"/>
        </w:tabs>
        <w:rPr>
          <w:sz w:val="20"/>
          <w:szCs w:val="20"/>
          <w:color w:val="auto"/>
        </w:rPr>
      </w:pPr>
      <w:r>
        <w:rPr>
          <w:rFonts w:ascii="Arial" w:cs="Arial" w:eastAsia="Arial" w:hAnsi="Arial"/>
          <w:sz w:val="38"/>
          <w:szCs w:val="38"/>
          <w:color w:val="auto"/>
        </w:rPr>
        <w:t>90 bps</w:t>
      </w:r>
      <w:r>
        <w:rPr>
          <w:sz w:val="20"/>
          <w:szCs w:val="20"/>
          <w:color w:val="auto"/>
        </w:rPr>
        <w:tab/>
      </w:r>
      <w:r>
        <w:rPr>
          <w:rFonts w:ascii="Arial" w:cs="Arial" w:eastAsia="Arial" w:hAnsi="Arial"/>
          <w:sz w:val="41"/>
          <w:szCs w:val="41"/>
          <w:b w:val="1"/>
          <w:bCs w:val="1"/>
          <w:color w:val="auto"/>
        </w:rPr>
        <w:t xml:space="preserve">OUP Margin </w:t>
      </w:r>
      <w:r>
        <w:rPr>
          <w:rFonts w:ascii="Arial" w:cs="Arial" w:eastAsia="Arial" w:hAnsi="Arial"/>
          <w:sz w:val="43"/>
          <w:szCs w:val="43"/>
          <w:b w:val="1"/>
          <w:bCs w:val="1"/>
          <w:color w:val="5F81AA"/>
        </w:rPr>
        <w:t>4.5%</w:t>
      </w:r>
    </w:p>
    <w:p>
      <w:pPr>
        <w:sectPr>
          <w:pgSz w:w="11900" w:h="16838" w:orient="portrait"/>
          <w:cols w:equalWidth="0" w:num="1">
            <w:col w:w="9860"/>
          </w:cols>
          <w:pgMar w:left="1220" w:top="459" w:right="819" w:bottom="1440" w:gutter="0" w:footer="0" w:header="0"/>
        </w:sectPr>
      </w:pPr>
    </w:p>
    <w:bookmarkStart w:id="19" w:name="page20"/>
    <w:bookmarkEnd w:id="19"/>
    <w:tbl>
      <w:tblPr>
        <w:tblLayout w:type="fixed"/>
        <w:tblInd w:w="10" w:type="dxa"/>
        <w:tblCellMar>
          <w:top w:w="0" w:type="dxa"/>
          <w:left w:w="0" w:type="dxa"/>
          <w:bottom w:w="0" w:type="dxa"/>
          <w:right w:w="0" w:type="dxa"/>
        </w:tblCellMar>
      </w:tblPr>
      <w:tr>
        <w:trPr>
          <w:trHeight w:val="361"/>
        </w:trPr>
        <w:tc>
          <w:tcPr>
            <w:tcW w:w="6840" w:type="dxa"/>
            <w:vAlign w:val="bottom"/>
          </w:tcPr>
          <w:p>
            <w:pPr>
              <w:spacing w:after="0"/>
              <w:rPr>
                <w:sz w:val="20"/>
                <w:szCs w:val="20"/>
                <w:color w:val="auto"/>
              </w:rPr>
            </w:pPr>
            <w:r>
              <w:rPr>
                <w:rFonts w:ascii="Arial" w:cs="Arial" w:eastAsia="Arial" w:hAnsi="Arial"/>
                <w:sz w:val="22"/>
                <w:szCs w:val="22"/>
                <w:color w:val="FFFFFF"/>
              </w:rPr>
              <w:t>Manpower Inc. 2006 4</w:t>
            </w:r>
            <w:r>
              <w:rPr>
                <w:rFonts w:ascii="Arial" w:cs="Arial" w:eastAsia="Arial" w:hAnsi="Arial"/>
                <w:sz w:val="28"/>
                <w:szCs w:val="28"/>
                <w:color w:val="FFFFFF"/>
                <w:vertAlign w:val="superscript"/>
              </w:rPr>
              <w:t>th</w:t>
            </w:r>
            <w:r>
              <w:rPr>
                <w:rFonts w:ascii="Arial" w:cs="Arial" w:eastAsia="Arial" w:hAnsi="Arial"/>
                <w:sz w:val="22"/>
                <w:szCs w:val="22"/>
                <w:color w:val="FFFFFF"/>
              </w:rPr>
              <w:t xml:space="preserve"> Quarter Results</w:t>
            </w:r>
          </w:p>
        </w:tc>
        <w:tc>
          <w:tcPr>
            <w:tcW w:w="3020" w:type="dxa"/>
            <w:vAlign w:val="bottom"/>
          </w:tcPr>
          <w:p>
            <w:pPr>
              <w:jc w:val="right"/>
              <w:spacing w:after="0"/>
              <w:rPr>
                <w:sz w:val="20"/>
                <w:szCs w:val="20"/>
                <w:color w:val="auto"/>
              </w:rPr>
            </w:pPr>
            <w:r>
              <w:rPr>
                <w:rFonts w:ascii="Arial" w:cs="Arial" w:eastAsia="Arial" w:hAnsi="Arial"/>
                <w:sz w:val="22"/>
                <w:szCs w:val="22"/>
                <w:color w:val="FFFFFF"/>
              </w:rPr>
              <w:t>8</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11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4720" cy="5271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0"/>
        <w:spacing w:after="0"/>
        <w:rPr>
          <w:sz w:val="20"/>
          <w:szCs w:val="20"/>
          <w:color w:val="auto"/>
        </w:rPr>
      </w:pPr>
      <w:r>
        <w:rPr>
          <w:rFonts w:ascii="Arial" w:cs="Arial" w:eastAsia="Arial" w:hAnsi="Arial"/>
          <w:sz w:val="47"/>
          <w:szCs w:val="47"/>
          <w:color w:val="6698C2"/>
        </w:rPr>
        <w:t>EMEA – Q4 Revenue Growth YoY</w:t>
      </w:r>
    </w:p>
    <w:p>
      <w:pPr>
        <w:sectPr>
          <w:pgSz w:w="11900" w:h="16838" w:orient="portrait"/>
          <w:cols w:equalWidth="0" w:num="1">
            <w:col w:w="9870"/>
          </w:cols>
          <w:pgMar w:left="1210" w:top="459" w:right="819" w:bottom="1440" w:gutter="0" w:footer="0" w:header="0"/>
        </w:sectPr>
      </w:pPr>
    </w:p>
    <w:p>
      <w:pPr>
        <w:spacing w:after="0" w:line="68" w:lineRule="exact"/>
        <w:rPr>
          <w:sz w:val="20"/>
          <w:szCs w:val="20"/>
          <w:color w:val="auto"/>
        </w:rPr>
      </w:pPr>
    </w:p>
    <w:p>
      <w:pPr>
        <w:ind w:left="10" w:right="1340" w:hanging="10"/>
        <w:spacing w:after="0" w:line="322" w:lineRule="auto"/>
        <w:tabs>
          <w:tab w:leader="none" w:pos="284"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of Segment Revenue</w:t>
      </w:r>
    </w:p>
    <w:p>
      <w:pPr>
        <w:spacing w:after="0" w:line="2" w:lineRule="exact"/>
        <w:rPr>
          <w:sz w:val="20"/>
          <w:szCs w:val="20"/>
          <w:color w:val="auto"/>
        </w:rPr>
      </w:pPr>
    </w:p>
    <w:p>
      <w:pPr>
        <w:ind w:left="50"/>
        <w:spacing w:after="0"/>
        <w:tabs>
          <w:tab w:leader="none" w:pos="2310" w:val="left"/>
        </w:tabs>
        <w:rPr>
          <w:sz w:val="20"/>
          <w:szCs w:val="20"/>
          <w:color w:val="auto"/>
        </w:rPr>
      </w:pPr>
      <w:r>
        <w:rPr>
          <w:rFonts w:ascii="Arial" w:cs="Arial" w:eastAsia="Arial" w:hAnsi="Arial"/>
          <w:sz w:val="28"/>
          <w:szCs w:val="28"/>
          <w:b w:val="1"/>
          <w:bCs w:val="1"/>
          <w:color w:val="D47C18"/>
        </w:rPr>
        <w:t>18%</w:t>
      </w:r>
      <w:r>
        <w:rPr>
          <w:sz w:val="20"/>
          <w:szCs w:val="20"/>
          <w:color w:val="auto"/>
        </w:rPr>
        <w:tab/>
      </w:r>
      <w:r>
        <w:rPr>
          <w:rFonts w:ascii="Arial" w:cs="Arial" w:eastAsia="Arial" w:hAnsi="Arial"/>
          <w:sz w:val="27"/>
          <w:szCs w:val="27"/>
          <w:b w:val="1"/>
          <w:bCs w:val="1"/>
          <w:color w:val="auto"/>
        </w:rPr>
        <w:t>Italy</w:t>
      </w:r>
    </w:p>
    <w:p>
      <w:pPr>
        <w:ind w:left="50"/>
        <w:spacing w:after="0" w:line="224" w:lineRule="auto"/>
        <w:tabs>
          <w:tab w:leader="none" w:pos="1790" w:val="left"/>
        </w:tabs>
        <w:rPr>
          <w:sz w:val="20"/>
          <w:szCs w:val="20"/>
          <w:color w:val="auto"/>
        </w:rPr>
      </w:pPr>
      <w:r>
        <w:rPr>
          <w:rFonts w:ascii="Arial" w:cs="Arial" w:eastAsia="Arial" w:hAnsi="Arial"/>
          <w:sz w:val="56"/>
          <w:szCs w:val="56"/>
          <w:b w:val="1"/>
          <w:bCs w:val="1"/>
          <w:color w:val="D47C18"/>
          <w:vertAlign w:val="superscript"/>
        </w:rPr>
        <w:t>16%</w:t>
      </w:r>
      <w:r>
        <w:rPr>
          <w:sz w:val="20"/>
          <w:szCs w:val="20"/>
          <w:color w:val="auto"/>
        </w:rPr>
        <w:tab/>
      </w:r>
      <w:r>
        <w:rPr>
          <w:rFonts w:ascii="Arial" w:cs="Arial" w:eastAsia="Arial" w:hAnsi="Arial"/>
          <w:sz w:val="27"/>
          <w:szCs w:val="27"/>
          <w:b w:val="1"/>
          <w:bCs w:val="1"/>
          <w:color w:val="auto"/>
        </w:rPr>
        <w:t>Nordics</w:t>
      </w:r>
    </w:p>
    <w:p>
      <w:pPr>
        <w:spacing w:after="0" w:line="277" w:lineRule="exact"/>
        <w:rPr>
          <w:sz w:val="20"/>
          <w:szCs w:val="20"/>
          <w:color w:val="auto"/>
        </w:rPr>
      </w:pPr>
    </w:p>
    <w:p>
      <w:pPr>
        <w:ind w:left="50"/>
        <w:spacing w:after="0"/>
        <w:rPr>
          <w:sz w:val="20"/>
          <w:szCs w:val="20"/>
          <w:color w:val="auto"/>
        </w:rPr>
      </w:pPr>
      <w:r>
        <w:rPr>
          <w:rFonts w:ascii="Arial" w:cs="Arial" w:eastAsia="Arial" w:hAnsi="Arial"/>
          <w:sz w:val="28"/>
          <w:szCs w:val="28"/>
          <w:b w:val="1"/>
          <w:bCs w:val="1"/>
          <w:color w:val="D47C18"/>
        </w:rPr>
        <w:t xml:space="preserve">14% </w:t>
      </w:r>
      <w:r>
        <w:rPr>
          <w:rFonts w:ascii="Arial" w:cs="Arial" w:eastAsia="Arial" w:hAnsi="Arial"/>
          <w:sz w:val="27"/>
          <w:szCs w:val="27"/>
          <w:b w:val="1"/>
          <w:bCs w:val="1"/>
          <w:color w:val="000000"/>
        </w:rPr>
        <w:t>UK - Manpower</w:t>
      </w:r>
    </w:p>
    <w:p>
      <w:pPr>
        <w:spacing w:after="0" w:line="242" w:lineRule="exact"/>
        <w:rPr>
          <w:sz w:val="20"/>
          <w:szCs w:val="20"/>
          <w:color w:val="auto"/>
        </w:rPr>
      </w:pPr>
    </w:p>
    <w:p>
      <w:pPr>
        <w:ind w:left="70"/>
        <w:spacing w:after="0"/>
        <w:tabs>
          <w:tab w:leader="none" w:pos="2250" w:val="left"/>
        </w:tabs>
        <w:rPr>
          <w:sz w:val="20"/>
          <w:szCs w:val="20"/>
          <w:color w:val="auto"/>
        </w:rPr>
      </w:pPr>
      <w:r>
        <w:rPr>
          <w:rFonts w:ascii="Arial" w:cs="Arial" w:eastAsia="Arial" w:hAnsi="Arial"/>
          <w:sz w:val="28"/>
          <w:szCs w:val="28"/>
          <w:b w:val="1"/>
          <w:bCs w:val="1"/>
          <w:color w:val="D47C18"/>
        </w:rPr>
        <w:t>13%</w:t>
      </w:r>
      <w:r>
        <w:rPr>
          <w:sz w:val="20"/>
          <w:szCs w:val="20"/>
          <w:color w:val="auto"/>
        </w:rPr>
        <w:tab/>
      </w:r>
      <w:r>
        <w:rPr>
          <w:rFonts w:ascii="Arial" w:cs="Arial" w:eastAsia="Arial" w:hAnsi="Arial"/>
          <w:sz w:val="27"/>
          <w:szCs w:val="27"/>
          <w:b w:val="1"/>
          <w:bCs w:val="1"/>
          <w:color w:val="auto"/>
        </w:rPr>
        <w:t>Elan</w:t>
      </w:r>
    </w:p>
    <w:p>
      <w:pPr>
        <w:spacing w:after="0" w:line="301" w:lineRule="exact"/>
        <w:rPr>
          <w:sz w:val="20"/>
          <w:szCs w:val="20"/>
          <w:color w:val="auto"/>
        </w:rPr>
      </w:pPr>
    </w:p>
    <w:p>
      <w:pPr>
        <w:ind w:left="230"/>
        <w:spacing w:after="0"/>
        <w:tabs>
          <w:tab w:leader="none" w:pos="1650" w:val="left"/>
        </w:tabs>
        <w:rPr>
          <w:sz w:val="20"/>
          <w:szCs w:val="20"/>
          <w:color w:val="auto"/>
        </w:rPr>
      </w:pPr>
      <w:r>
        <w:rPr>
          <w:rFonts w:ascii="Arial" w:cs="Arial" w:eastAsia="Arial" w:hAnsi="Arial"/>
          <w:sz w:val="28"/>
          <w:szCs w:val="28"/>
          <w:b w:val="1"/>
          <w:bCs w:val="1"/>
          <w:color w:val="D47C18"/>
        </w:rPr>
        <w:t>8%</w:t>
      </w:r>
      <w:r>
        <w:rPr>
          <w:sz w:val="20"/>
          <w:szCs w:val="20"/>
          <w:color w:val="auto"/>
        </w:rPr>
        <w:tab/>
      </w:r>
      <w:r>
        <w:rPr>
          <w:rFonts w:ascii="Arial" w:cs="Arial" w:eastAsia="Arial" w:hAnsi="Arial"/>
          <w:sz w:val="27"/>
          <w:szCs w:val="27"/>
          <w:b w:val="1"/>
          <w:bCs w:val="1"/>
          <w:color w:val="auto"/>
        </w:rPr>
        <w:t>Germany</w:t>
      </w:r>
    </w:p>
    <w:p>
      <w:pPr>
        <w:spacing w:after="0" w:line="254" w:lineRule="exact"/>
        <w:rPr>
          <w:sz w:val="20"/>
          <w:szCs w:val="20"/>
          <w:color w:val="auto"/>
        </w:rPr>
      </w:pPr>
    </w:p>
    <w:p>
      <w:pPr>
        <w:ind w:left="230"/>
        <w:spacing w:after="0"/>
        <w:tabs>
          <w:tab w:leader="none" w:pos="1170" w:val="left"/>
        </w:tabs>
        <w:rPr>
          <w:sz w:val="20"/>
          <w:szCs w:val="20"/>
          <w:color w:val="auto"/>
        </w:rPr>
      </w:pPr>
      <w:r>
        <w:rPr>
          <w:rFonts w:ascii="Arial" w:cs="Arial" w:eastAsia="Arial" w:hAnsi="Arial"/>
          <w:sz w:val="28"/>
          <w:szCs w:val="28"/>
          <w:b w:val="1"/>
          <w:bCs w:val="1"/>
          <w:color w:val="D47C18"/>
        </w:rPr>
        <w:t>7%</w:t>
      </w:r>
      <w:r>
        <w:rPr>
          <w:sz w:val="20"/>
          <w:szCs w:val="20"/>
          <w:color w:val="auto"/>
        </w:rPr>
        <w:tab/>
      </w:r>
      <w:r>
        <w:rPr>
          <w:rFonts w:ascii="Arial" w:cs="Arial" w:eastAsia="Arial" w:hAnsi="Arial"/>
          <w:sz w:val="27"/>
          <w:szCs w:val="27"/>
          <w:b w:val="1"/>
          <w:bCs w:val="1"/>
          <w:color w:val="auto"/>
        </w:rPr>
        <w:t>Netherlands</w:t>
      </w:r>
    </w:p>
    <w:p>
      <w:pPr>
        <w:spacing w:after="0" w:line="289" w:lineRule="exact"/>
        <w:rPr>
          <w:sz w:val="20"/>
          <w:szCs w:val="20"/>
          <w:color w:val="auto"/>
        </w:rPr>
      </w:pPr>
    </w:p>
    <w:p>
      <w:pPr>
        <w:ind w:left="230"/>
        <w:spacing w:after="0"/>
        <w:tabs>
          <w:tab w:leader="none" w:pos="2070" w:val="left"/>
        </w:tabs>
        <w:rPr>
          <w:sz w:val="20"/>
          <w:szCs w:val="20"/>
          <w:color w:val="auto"/>
        </w:rPr>
      </w:pPr>
      <w:r>
        <w:rPr>
          <w:rFonts w:ascii="Arial" w:cs="Arial" w:eastAsia="Arial" w:hAnsi="Arial"/>
          <w:sz w:val="28"/>
          <w:szCs w:val="28"/>
          <w:b w:val="1"/>
          <w:bCs w:val="1"/>
          <w:color w:val="D47C18"/>
        </w:rPr>
        <w:t>7%</w:t>
      </w:r>
      <w:r>
        <w:rPr>
          <w:sz w:val="20"/>
          <w:szCs w:val="20"/>
          <w:color w:val="auto"/>
        </w:rPr>
        <w:tab/>
      </w:r>
      <w:r>
        <w:rPr>
          <w:rFonts w:ascii="Arial" w:cs="Arial" w:eastAsia="Arial" w:hAnsi="Arial"/>
          <w:sz w:val="27"/>
          <w:szCs w:val="27"/>
          <w:b w:val="1"/>
          <w:bCs w:val="1"/>
          <w:color w:val="auto"/>
        </w:rPr>
        <w:t>Spain</w:t>
      </w:r>
    </w:p>
    <w:p>
      <w:pPr>
        <w:spacing w:after="0" w:line="278" w:lineRule="exact"/>
        <w:rPr>
          <w:sz w:val="20"/>
          <w:szCs w:val="20"/>
          <w:color w:val="auto"/>
        </w:rPr>
      </w:pPr>
    </w:p>
    <w:p>
      <w:pPr>
        <w:ind w:left="70"/>
        <w:spacing w:after="0"/>
        <w:tabs>
          <w:tab w:leader="none" w:pos="2090" w:val="left"/>
        </w:tabs>
        <w:rPr>
          <w:sz w:val="20"/>
          <w:szCs w:val="20"/>
          <w:color w:val="auto"/>
        </w:rPr>
      </w:pPr>
      <w:r>
        <w:rPr>
          <w:rFonts w:ascii="Arial" w:cs="Arial" w:eastAsia="Arial" w:hAnsi="Arial"/>
          <w:sz w:val="28"/>
          <w:szCs w:val="28"/>
          <w:b w:val="1"/>
          <w:bCs w:val="1"/>
          <w:color w:val="D47C18"/>
        </w:rPr>
        <w:t>17%</w:t>
      </w:r>
      <w:r>
        <w:rPr>
          <w:sz w:val="20"/>
          <w:szCs w:val="20"/>
          <w:color w:val="auto"/>
        </w:rPr>
        <w:tab/>
      </w:r>
      <w:r>
        <w:rPr>
          <w:rFonts w:ascii="Arial" w:cs="Arial" w:eastAsia="Arial" w:hAnsi="Arial"/>
          <w:sz w:val="27"/>
          <w:szCs w:val="27"/>
          <w:b w:val="1"/>
          <w:bCs w:val="1"/>
          <w:color w:val="auto"/>
        </w:rPr>
        <w:t>Other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2020" w:type="dxa"/>
            <w:vAlign w:val="bottom"/>
          </w:tcPr>
          <w:p>
            <w:pPr>
              <w:spacing w:after="0"/>
              <w:rPr>
                <w:sz w:val="21"/>
                <w:szCs w:val="21"/>
                <w:color w:val="auto"/>
              </w:rPr>
            </w:pPr>
          </w:p>
        </w:tc>
        <w:tc>
          <w:tcPr>
            <w:tcW w:w="4180" w:type="dxa"/>
            <w:vAlign w:val="bottom"/>
          </w:tcPr>
          <w:p>
            <w:pPr>
              <w:jc w:val="right"/>
              <w:ind w:right="588"/>
              <w:spacing w:after="0"/>
              <w:rPr>
                <w:sz w:val="20"/>
                <w:szCs w:val="20"/>
                <w:color w:val="auto"/>
              </w:rPr>
            </w:pPr>
            <w:r>
              <w:rPr>
                <w:rFonts w:ascii="Arial" w:cs="Arial" w:eastAsia="Arial" w:hAnsi="Arial"/>
                <w:sz w:val="22"/>
                <w:szCs w:val="22"/>
                <w:b w:val="1"/>
                <w:bCs w:val="1"/>
                <w:color w:val="FFFFFF"/>
              </w:rPr>
              <w:t>34%</w:t>
            </w:r>
          </w:p>
        </w:tc>
        <w:tc>
          <w:tcPr>
            <w:tcW w:w="0" w:type="dxa"/>
            <w:vAlign w:val="bottom"/>
          </w:tcPr>
          <w:p>
            <w:pPr>
              <w:spacing w:after="0"/>
              <w:rPr>
                <w:sz w:val="1"/>
                <w:szCs w:val="1"/>
                <w:color w:val="auto"/>
              </w:rPr>
            </w:pPr>
          </w:p>
        </w:tc>
      </w:tr>
      <w:tr>
        <w:trPr>
          <w:trHeight w:val="296"/>
        </w:trPr>
        <w:tc>
          <w:tcPr>
            <w:tcW w:w="2020" w:type="dxa"/>
            <w:vAlign w:val="bottom"/>
          </w:tcPr>
          <w:p>
            <w:pPr>
              <w:spacing w:after="0"/>
              <w:rPr>
                <w:sz w:val="24"/>
                <w:szCs w:val="24"/>
                <w:color w:val="auto"/>
              </w:rPr>
            </w:pPr>
          </w:p>
        </w:tc>
        <w:tc>
          <w:tcPr>
            <w:tcW w:w="4180" w:type="dxa"/>
            <w:vAlign w:val="bottom"/>
          </w:tcPr>
          <w:p>
            <w:pPr>
              <w:jc w:val="right"/>
              <w:ind w:right="1768"/>
              <w:spacing w:after="0"/>
              <w:rPr>
                <w:sz w:val="20"/>
                <w:szCs w:val="20"/>
                <w:color w:val="auto"/>
              </w:rPr>
            </w:pPr>
            <w:r>
              <w:rPr>
                <w:rFonts w:ascii="Arial" w:cs="Arial" w:eastAsia="Arial" w:hAnsi="Arial"/>
                <w:sz w:val="22"/>
                <w:szCs w:val="22"/>
                <w:b w:val="1"/>
                <w:bCs w:val="1"/>
                <w:color w:val="FFFFFF"/>
              </w:rPr>
              <w:t>24%</w:t>
            </w:r>
          </w:p>
        </w:tc>
        <w:tc>
          <w:tcPr>
            <w:tcW w:w="0" w:type="dxa"/>
            <w:vAlign w:val="bottom"/>
          </w:tcPr>
          <w:p>
            <w:pPr>
              <w:spacing w:after="0"/>
              <w:rPr>
                <w:sz w:val="1"/>
                <w:szCs w:val="1"/>
                <w:color w:val="auto"/>
              </w:rPr>
            </w:pPr>
          </w:p>
        </w:tc>
      </w:tr>
      <w:tr>
        <w:trPr>
          <w:trHeight w:val="303"/>
        </w:trPr>
        <w:tc>
          <w:tcPr>
            <w:tcW w:w="2020" w:type="dxa"/>
            <w:vAlign w:val="bottom"/>
          </w:tcPr>
          <w:p>
            <w:pPr>
              <w:spacing w:after="0"/>
              <w:rPr>
                <w:sz w:val="24"/>
                <w:szCs w:val="24"/>
                <w:color w:val="auto"/>
              </w:rPr>
            </w:pPr>
          </w:p>
        </w:tc>
        <w:tc>
          <w:tcPr>
            <w:tcW w:w="4180" w:type="dxa"/>
            <w:vAlign w:val="bottom"/>
          </w:tcPr>
          <w:p>
            <w:pPr>
              <w:jc w:val="right"/>
              <w:ind w:right="948"/>
              <w:spacing w:after="0"/>
              <w:rPr>
                <w:sz w:val="20"/>
                <w:szCs w:val="20"/>
                <w:color w:val="auto"/>
              </w:rPr>
            </w:pPr>
            <w:r>
              <w:rPr>
                <w:rFonts w:ascii="Arial" w:cs="Arial" w:eastAsia="Arial" w:hAnsi="Arial"/>
                <w:sz w:val="22"/>
                <w:szCs w:val="22"/>
                <w:b w:val="1"/>
                <w:bCs w:val="1"/>
                <w:color w:val="FFFFFF"/>
              </w:rPr>
              <w:t>31%</w:t>
            </w:r>
          </w:p>
        </w:tc>
        <w:tc>
          <w:tcPr>
            <w:tcW w:w="0" w:type="dxa"/>
            <w:vAlign w:val="bottom"/>
          </w:tcPr>
          <w:p>
            <w:pPr>
              <w:spacing w:after="0"/>
              <w:rPr>
                <w:sz w:val="1"/>
                <w:szCs w:val="1"/>
                <w:color w:val="auto"/>
              </w:rPr>
            </w:pPr>
          </w:p>
        </w:tc>
      </w:tr>
      <w:tr>
        <w:trPr>
          <w:trHeight w:val="296"/>
        </w:trPr>
        <w:tc>
          <w:tcPr>
            <w:tcW w:w="2020" w:type="dxa"/>
            <w:vAlign w:val="bottom"/>
          </w:tcPr>
          <w:p>
            <w:pPr>
              <w:spacing w:after="0"/>
              <w:rPr>
                <w:sz w:val="24"/>
                <w:szCs w:val="24"/>
                <w:color w:val="auto"/>
              </w:rPr>
            </w:pPr>
          </w:p>
        </w:tc>
        <w:tc>
          <w:tcPr>
            <w:tcW w:w="4180" w:type="dxa"/>
            <w:vAlign w:val="bottom"/>
          </w:tcPr>
          <w:p>
            <w:pPr>
              <w:jc w:val="right"/>
              <w:ind w:right="2108"/>
              <w:spacing w:after="0"/>
              <w:rPr>
                <w:sz w:val="20"/>
                <w:szCs w:val="20"/>
                <w:color w:val="auto"/>
              </w:rPr>
            </w:pPr>
            <w:r>
              <w:rPr>
                <w:rFonts w:ascii="Arial" w:cs="Arial" w:eastAsia="Arial" w:hAnsi="Arial"/>
                <w:sz w:val="22"/>
                <w:szCs w:val="22"/>
                <w:b w:val="1"/>
                <w:bCs w:val="1"/>
                <w:color w:val="FFFFFF"/>
              </w:rPr>
              <w:t>21%</w:t>
            </w:r>
          </w:p>
        </w:tc>
        <w:tc>
          <w:tcPr>
            <w:tcW w:w="0" w:type="dxa"/>
            <w:vAlign w:val="bottom"/>
          </w:tcPr>
          <w:p>
            <w:pPr>
              <w:spacing w:after="0"/>
              <w:rPr>
                <w:sz w:val="1"/>
                <w:szCs w:val="1"/>
                <w:color w:val="auto"/>
              </w:rPr>
            </w:pPr>
          </w:p>
        </w:tc>
      </w:tr>
      <w:tr>
        <w:trPr>
          <w:trHeight w:val="353"/>
        </w:trPr>
        <w:tc>
          <w:tcPr>
            <w:tcW w:w="2020" w:type="dxa"/>
            <w:vAlign w:val="bottom"/>
            <w:vMerge w:val="restart"/>
          </w:tcPr>
          <w:p>
            <w:pPr>
              <w:jc w:val="right"/>
              <w:ind w:right="528"/>
              <w:spacing w:after="0"/>
              <w:rPr>
                <w:sz w:val="20"/>
                <w:szCs w:val="20"/>
                <w:color w:val="auto"/>
              </w:rPr>
            </w:pPr>
            <w:r>
              <w:rPr>
                <w:rFonts w:ascii="Arial" w:cs="Arial" w:eastAsia="Arial" w:hAnsi="Arial"/>
                <w:sz w:val="22"/>
                <w:szCs w:val="22"/>
                <w:b w:val="1"/>
                <w:bCs w:val="1"/>
                <w:color w:val="auto"/>
              </w:rPr>
              <w:t>-1%</w:t>
            </w:r>
          </w:p>
        </w:tc>
        <w:tc>
          <w:tcPr>
            <w:tcW w:w="4180" w:type="dxa"/>
            <w:vAlign w:val="bottom"/>
          </w:tcPr>
          <w:p>
            <w:pPr>
              <w:jc w:val="right"/>
              <w:ind w:right="3208"/>
              <w:spacing w:after="0"/>
              <w:rPr>
                <w:sz w:val="20"/>
                <w:szCs w:val="20"/>
                <w:color w:val="auto"/>
              </w:rPr>
            </w:pPr>
            <w:r>
              <w:rPr>
                <w:rFonts w:ascii="Arial" w:cs="Arial" w:eastAsia="Arial" w:hAnsi="Arial"/>
                <w:sz w:val="22"/>
                <w:szCs w:val="22"/>
                <w:b w:val="1"/>
                <w:bCs w:val="1"/>
                <w:color w:val="auto"/>
              </w:rPr>
              <w:t>8%</w:t>
            </w:r>
          </w:p>
        </w:tc>
        <w:tc>
          <w:tcPr>
            <w:tcW w:w="0" w:type="dxa"/>
            <w:vAlign w:val="bottom"/>
          </w:tcPr>
          <w:p>
            <w:pPr>
              <w:spacing w:after="0"/>
              <w:rPr>
                <w:sz w:val="1"/>
                <w:szCs w:val="1"/>
                <w:color w:val="auto"/>
              </w:rPr>
            </w:pPr>
          </w:p>
        </w:tc>
      </w:tr>
      <w:tr>
        <w:trPr>
          <w:trHeight w:val="223"/>
        </w:trPr>
        <w:tc>
          <w:tcPr>
            <w:tcW w:w="2020" w:type="dxa"/>
            <w:vAlign w:val="bottom"/>
            <w:vMerge w:val="continue"/>
          </w:tcPr>
          <w:p>
            <w:pPr>
              <w:spacing w:after="0"/>
              <w:rPr>
                <w:sz w:val="19"/>
                <w:szCs w:val="19"/>
                <w:color w:val="auto"/>
              </w:rPr>
            </w:pPr>
          </w:p>
        </w:tc>
        <w:tc>
          <w:tcPr>
            <w:tcW w:w="4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5"/>
        </w:trPr>
        <w:tc>
          <w:tcPr>
            <w:tcW w:w="2020" w:type="dxa"/>
            <w:vAlign w:val="bottom"/>
          </w:tcPr>
          <w:p>
            <w:pPr>
              <w:spacing w:after="0"/>
              <w:rPr>
                <w:sz w:val="24"/>
                <w:szCs w:val="24"/>
                <w:color w:val="auto"/>
              </w:rPr>
            </w:pPr>
          </w:p>
        </w:tc>
        <w:tc>
          <w:tcPr>
            <w:tcW w:w="4180" w:type="dxa"/>
            <w:vAlign w:val="bottom"/>
          </w:tcPr>
          <w:p>
            <w:pPr>
              <w:jc w:val="right"/>
              <w:ind w:right="1308"/>
              <w:spacing w:after="0"/>
              <w:rPr>
                <w:sz w:val="20"/>
                <w:szCs w:val="20"/>
                <w:color w:val="auto"/>
              </w:rPr>
            </w:pPr>
            <w:r>
              <w:rPr>
                <w:rFonts w:ascii="Arial" w:cs="Arial" w:eastAsia="Arial" w:hAnsi="Arial"/>
                <w:sz w:val="22"/>
                <w:szCs w:val="22"/>
                <w:b w:val="1"/>
                <w:bCs w:val="1"/>
                <w:color w:val="FFFFFF"/>
              </w:rPr>
              <w:t>28%</w:t>
            </w:r>
          </w:p>
        </w:tc>
        <w:tc>
          <w:tcPr>
            <w:tcW w:w="0" w:type="dxa"/>
            <w:vAlign w:val="bottom"/>
          </w:tcPr>
          <w:p>
            <w:pPr>
              <w:spacing w:after="0"/>
              <w:rPr>
                <w:sz w:val="1"/>
                <w:szCs w:val="1"/>
                <w:color w:val="auto"/>
              </w:rPr>
            </w:pPr>
          </w:p>
        </w:tc>
      </w:tr>
      <w:tr>
        <w:trPr>
          <w:trHeight w:val="296"/>
        </w:trPr>
        <w:tc>
          <w:tcPr>
            <w:tcW w:w="2020" w:type="dxa"/>
            <w:vAlign w:val="bottom"/>
          </w:tcPr>
          <w:p>
            <w:pPr>
              <w:spacing w:after="0"/>
              <w:rPr>
                <w:sz w:val="24"/>
                <w:szCs w:val="24"/>
                <w:color w:val="auto"/>
              </w:rPr>
            </w:pPr>
          </w:p>
        </w:tc>
        <w:tc>
          <w:tcPr>
            <w:tcW w:w="4180" w:type="dxa"/>
            <w:vAlign w:val="bottom"/>
          </w:tcPr>
          <w:p>
            <w:pPr>
              <w:jc w:val="right"/>
              <w:ind w:right="2708"/>
              <w:spacing w:after="0"/>
              <w:rPr>
                <w:sz w:val="20"/>
                <w:szCs w:val="20"/>
                <w:color w:val="auto"/>
              </w:rPr>
            </w:pPr>
            <w:r>
              <w:rPr>
                <w:rFonts w:ascii="Arial" w:cs="Arial" w:eastAsia="Arial" w:hAnsi="Arial"/>
                <w:sz w:val="22"/>
                <w:szCs w:val="22"/>
                <w:b w:val="1"/>
                <w:bCs w:val="1"/>
                <w:color w:val="FFFFFF"/>
              </w:rPr>
              <w:t>16%</w:t>
            </w:r>
          </w:p>
        </w:tc>
        <w:tc>
          <w:tcPr>
            <w:tcW w:w="0" w:type="dxa"/>
            <w:vAlign w:val="bottom"/>
          </w:tcPr>
          <w:p>
            <w:pPr>
              <w:spacing w:after="0"/>
              <w:rPr>
                <w:sz w:val="1"/>
                <w:szCs w:val="1"/>
                <w:color w:val="auto"/>
              </w:rPr>
            </w:pPr>
          </w:p>
        </w:tc>
      </w:tr>
      <w:tr>
        <w:trPr>
          <w:trHeight w:val="315"/>
        </w:trPr>
        <w:tc>
          <w:tcPr>
            <w:tcW w:w="2020" w:type="dxa"/>
            <w:vAlign w:val="bottom"/>
          </w:tcPr>
          <w:p>
            <w:pPr>
              <w:spacing w:after="0"/>
              <w:rPr>
                <w:sz w:val="24"/>
                <w:szCs w:val="24"/>
                <w:color w:val="auto"/>
              </w:rPr>
            </w:pPr>
          </w:p>
        </w:tc>
        <w:tc>
          <w:tcPr>
            <w:tcW w:w="4180" w:type="dxa"/>
            <w:vAlign w:val="bottom"/>
          </w:tcPr>
          <w:p>
            <w:pPr>
              <w:jc w:val="right"/>
              <w:ind w:right="2248"/>
              <w:spacing w:after="0"/>
              <w:rPr>
                <w:sz w:val="20"/>
                <w:szCs w:val="20"/>
                <w:color w:val="auto"/>
              </w:rPr>
            </w:pPr>
            <w:r>
              <w:rPr>
                <w:rFonts w:ascii="Arial" w:cs="Arial" w:eastAsia="Arial" w:hAnsi="Arial"/>
                <w:sz w:val="22"/>
                <w:szCs w:val="22"/>
                <w:b w:val="1"/>
                <w:bCs w:val="1"/>
                <w:color w:val="FFFFFF"/>
              </w:rPr>
              <w:t>20%</w:t>
            </w:r>
          </w:p>
        </w:tc>
        <w:tc>
          <w:tcPr>
            <w:tcW w:w="0" w:type="dxa"/>
            <w:vAlign w:val="bottom"/>
          </w:tcPr>
          <w:p>
            <w:pPr>
              <w:spacing w:after="0"/>
              <w:rPr>
                <w:sz w:val="1"/>
                <w:szCs w:val="1"/>
                <w:color w:val="auto"/>
              </w:rPr>
            </w:pPr>
          </w:p>
        </w:tc>
      </w:tr>
      <w:tr>
        <w:trPr>
          <w:trHeight w:val="296"/>
        </w:trPr>
        <w:tc>
          <w:tcPr>
            <w:tcW w:w="2020" w:type="dxa"/>
            <w:vAlign w:val="bottom"/>
          </w:tcPr>
          <w:p>
            <w:pPr>
              <w:spacing w:after="0"/>
              <w:rPr>
                <w:sz w:val="24"/>
                <w:szCs w:val="24"/>
                <w:color w:val="auto"/>
              </w:rPr>
            </w:pPr>
          </w:p>
        </w:tc>
        <w:tc>
          <w:tcPr>
            <w:tcW w:w="4180" w:type="dxa"/>
            <w:vAlign w:val="bottom"/>
          </w:tcPr>
          <w:p>
            <w:pPr>
              <w:jc w:val="right"/>
              <w:ind w:right="3288"/>
              <w:spacing w:after="0"/>
              <w:rPr>
                <w:sz w:val="20"/>
                <w:szCs w:val="20"/>
                <w:color w:val="auto"/>
              </w:rPr>
            </w:pPr>
            <w:r>
              <w:rPr>
                <w:rFonts w:ascii="Arial" w:cs="Arial" w:eastAsia="Arial" w:hAnsi="Arial"/>
                <w:sz w:val="22"/>
                <w:szCs w:val="22"/>
                <w:b w:val="1"/>
                <w:bCs w:val="1"/>
                <w:color w:val="FFFFFF"/>
              </w:rPr>
              <w:t>11%</w:t>
            </w:r>
          </w:p>
        </w:tc>
        <w:tc>
          <w:tcPr>
            <w:tcW w:w="0" w:type="dxa"/>
            <w:vAlign w:val="bottom"/>
          </w:tcPr>
          <w:p>
            <w:pPr>
              <w:spacing w:after="0"/>
              <w:rPr>
                <w:sz w:val="1"/>
                <w:szCs w:val="1"/>
                <w:color w:val="auto"/>
              </w:rPr>
            </w:pPr>
          </w:p>
        </w:tc>
      </w:tr>
      <w:tr>
        <w:trPr>
          <w:trHeight w:val="303"/>
        </w:trPr>
        <w:tc>
          <w:tcPr>
            <w:tcW w:w="2020" w:type="dxa"/>
            <w:vAlign w:val="bottom"/>
          </w:tcPr>
          <w:p>
            <w:pPr>
              <w:spacing w:after="0"/>
              <w:rPr>
                <w:sz w:val="24"/>
                <w:szCs w:val="24"/>
                <w:color w:val="auto"/>
              </w:rPr>
            </w:pPr>
          </w:p>
        </w:tc>
        <w:tc>
          <w:tcPr>
            <w:tcW w:w="4180" w:type="dxa"/>
            <w:vAlign w:val="bottom"/>
          </w:tcPr>
          <w:p>
            <w:pPr>
              <w:jc w:val="right"/>
              <w:spacing w:after="0"/>
              <w:rPr>
                <w:sz w:val="20"/>
                <w:szCs w:val="20"/>
                <w:color w:val="auto"/>
              </w:rPr>
            </w:pPr>
            <w:r>
              <w:rPr>
                <w:rFonts w:ascii="Arial" w:cs="Arial" w:eastAsia="Arial" w:hAnsi="Arial"/>
                <w:sz w:val="22"/>
                <w:szCs w:val="22"/>
                <w:b w:val="1"/>
                <w:bCs w:val="1"/>
                <w:color w:val="FFFFFF"/>
              </w:rPr>
              <w:t>40%</w:t>
            </w:r>
          </w:p>
        </w:tc>
        <w:tc>
          <w:tcPr>
            <w:tcW w:w="0" w:type="dxa"/>
            <w:vAlign w:val="bottom"/>
          </w:tcPr>
          <w:p>
            <w:pPr>
              <w:spacing w:after="0"/>
              <w:rPr>
                <w:sz w:val="1"/>
                <w:szCs w:val="1"/>
                <w:color w:val="auto"/>
              </w:rPr>
            </w:pPr>
          </w:p>
        </w:tc>
      </w:tr>
      <w:tr>
        <w:trPr>
          <w:trHeight w:val="296"/>
        </w:trPr>
        <w:tc>
          <w:tcPr>
            <w:tcW w:w="2020" w:type="dxa"/>
            <w:vAlign w:val="bottom"/>
          </w:tcPr>
          <w:p>
            <w:pPr>
              <w:spacing w:after="0"/>
              <w:rPr>
                <w:sz w:val="24"/>
                <w:szCs w:val="24"/>
                <w:color w:val="auto"/>
              </w:rPr>
            </w:pPr>
          </w:p>
        </w:tc>
        <w:tc>
          <w:tcPr>
            <w:tcW w:w="4180" w:type="dxa"/>
            <w:vAlign w:val="bottom"/>
          </w:tcPr>
          <w:p>
            <w:pPr>
              <w:jc w:val="right"/>
              <w:ind w:right="1168"/>
              <w:spacing w:after="0"/>
              <w:rPr>
                <w:sz w:val="20"/>
                <w:szCs w:val="20"/>
                <w:color w:val="auto"/>
              </w:rPr>
            </w:pPr>
            <w:r>
              <w:rPr>
                <w:rFonts w:ascii="Arial" w:cs="Arial" w:eastAsia="Arial" w:hAnsi="Arial"/>
                <w:sz w:val="22"/>
                <w:szCs w:val="22"/>
                <w:b w:val="1"/>
                <w:bCs w:val="1"/>
                <w:color w:val="FFFFFF"/>
              </w:rPr>
              <w:t>29%</w:t>
            </w:r>
          </w:p>
        </w:tc>
        <w:tc>
          <w:tcPr>
            <w:tcW w:w="0" w:type="dxa"/>
            <w:vAlign w:val="bottom"/>
          </w:tcPr>
          <w:p>
            <w:pPr>
              <w:spacing w:after="0"/>
              <w:rPr>
                <w:sz w:val="1"/>
                <w:szCs w:val="1"/>
                <w:color w:val="auto"/>
              </w:rPr>
            </w:pPr>
          </w:p>
        </w:tc>
      </w:tr>
      <w:tr>
        <w:trPr>
          <w:trHeight w:val="303"/>
        </w:trPr>
        <w:tc>
          <w:tcPr>
            <w:tcW w:w="2020" w:type="dxa"/>
            <w:vAlign w:val="bottom"/>
          </w:tcPr>
          <w:p>
            <w:pPr>
              <w:spacing w:after="0"/>
              <w:rPr>
                <w:sz w:val="24"/>
                <w:szCs w:val="24"/>
                <w:color w:val="auto"/>
              </w:rPr>
            </w:pPr>
          </w:p>
        </w:tc>
        <w:tc>
          <w:tcPr>
            <w:tcW w:w="4180" w:type="dxa"/>
            <w:vAlign w:val="bottom"/>
          </w:tcPr>
          <w:p>
            <w:pPr>
              <w:jc w:val="right"/>
              <w:ind w:right="1768"/>
              <w:spacing w:after="0"/>
              <w:rPr>
                <w:sz w:val="20"/>
                <w:szCs w:val="20"/>
                <w:color w:val="auto"/>
              </w:rPr>
            </w:pPr>
            <w:r>
              <w:rPr>
                <w:rFonts w:ascii="Arial" w:cs="Arial" w:eastAsia="Arial" w:hAnsi="Arial"/>
                <w:sz w:val="22"/>
                <w:szCs w:val="22"/>
                <w:b w:val="1"/>
                <w:bCs w:val="1"/>
                <w:color w:val="FFFFFF"/>
              </w:rPr>
              <w:t>24%</w:t>
            </w:r>
          </w:p>
        </w:tc>
        <w:tc>
          <w:tcPr>
            <w:tcW w:w="0" w:type="dxa"/>
            <w:vAlign w:val="bottom"/>
          </w:tcPr>
          <w:p>
            <w:pPr>
              <w:spacing w:after="0"/>
              <w:rPr>
                <w:sz w:val="1"/>
                <w:szCs w:val="1"/>
                <w:color w:val="auto"/>
              </w:rPr>
            </w:pPr>
          </w:p>
        </w:tc>
      </w:tr>
      <w:tr>
        <w:trPr>
          <w:trHeight w:val="296"/>
        </w:trPr>
        <w:tc>
          <w:tcPr>
            <w:tcW w:w="2020" w:type="dxa"/>
            <w:vAlign w:val="bottom"/>
          </w:tcPr>
          <w:p>
            <w:pPr>
              <w:spacing w:after="0"/>
              <w:rPr>
                <w:sz w:val="24"/>
                <w:szCs w:val="24"/>
                <w:color w:val="auto"/>
              </w:rPr>
            </w:pPr>
          </w:p>
        </w:tc>
        <w:tc>
          <w:tcPr>
            <w:tcW w:w="4180" w:type="dxa"/>
            <w:vAlign w:val="bottom"/>
          </w:tcPr>
          <w:p>
            <w:pPr>
              <w:jc w:val="right"/>
              <w:ind w:right="2928"/>
              <w:spacing w:after="0"/>
              <w:rPr>
                <w:sz w:val="20"/>
                <w:szCs w:val="20"/>
                <w:color w:val="auto"/>
              </w:rPr>
            </w:pPr>
            <w:r>
              <w:rPr>
                <w:rFonts w:ascii="Arial" w:cs="Arial" w:eastAsia="Arial" w:hAnsi="Arial"/>
                <w:sz w:val="22"/>
                <w:szCs w:val="22"/>
                <w:b w:val="1"/>
                <w:bCs w:val="1"/>
                <w:color w:val="FFFFFF"/>
              </w:rPr>
              <w:t>14%</w:t>
            </w:r>
          </w:p>
        </w:tc>
        <w:tc>
          <w:tcPr>
            <w:tcW w:w="0" w:type="dxa"/>
            <w:vAlign w:val="bottom"/>
          </w:tcPr>
          <w:p>
            <w:pPr>
              <w:spacing w:after="0"/>
              <w:rPr>
                <w:sz w:val="1"/>
                <w:szCs w:val="1"/>
                <w:color w:val="auto"/>
              </w:rPr>
            </w:pPr>
          </w:p>
        </w:tc>
      </w:tr>
      <w:tr>
        <w:trPr>
          <w:trHeight w:val="292"/>
        </w:trPr>
        <w:tc>
          <w:tcPr>
            <w:tcW w:w="2020" w:type="dxa"/>
            <w:vAlign w:val="bottom"/>
          </w:tcPr>
          <w:p>
            <w:pPr>
              <w:spacing w:after="0"/>
              <w:rPr>
                <w:sz w:val="24"/>
                <w:szCs w:val="24"/>
                <w:color w:val="auto"/>
              </w:rPr>
            </w:pPr>
          </w:p>
        </w:tc>
        <w:tc>
          <w:tcPr>
            <w:tcW w:w="4180" w:type="dxa"/>
            <w:vAlign w:val="bottom"/>
          </w:tcPr>
          <w:p>
            <w:pPr>
              <w:jc w:val="right"/>
              <w:ind w:right="1188"/>
              <w:spacing w:after="0"/>
              <w:rPr>
                <w:sz w:val="20"/>
                <w:szCs w:val="20"/>
                <w:color w:val="auto"/>
              </w:rPr>
            </w:pPr>
            <w:r>
              <w:rPr>
                <w:rFonts w:ascii="Arial" w:cs="Arial" w:eastAsia="Arial" w:hAnsi="Arial"/>
                <w:sz w:val="22"/>
                <w:szCs w:val="22"/>
                <w:b w:val="1"/>
                <w:bCs w:val="1"/>
                <w:color w:val="FFFFFF"/>
              </w:rPr>
              <w:t>29%</w:t>
            </w:r>
          </w:p>
        </w:tc>
        <w:tc>
          <w:tcPr>
            <w:tcW w:w="0" w:type="dxa"/>
            <w:vAlign w:val="bottom"/>
          </w:tcPr>
          <w:p>
            <w:pPr>
              <w:spacing w:after="0"/>
              <w:rPr>
                <w:sz w:val="1"/>
                <w:szCs w:val="1"/>
                <w:color w:val="auto"/>
              </w:rPr>
            </w:pPr>
          </w:p>
        </w:tc>
      </w:tr>
      <w:tr>
        <w:trPr>
          <w:trHeight w:val="296"/>
        </w:trPr>
        <w:tc>
          <w:tcPr>
            <w:tcW w:w="2020" w:type="dxa"/>
            <w:vAlign w:val="bottom"/>
          </w:tcPr>
          <w:p>
            <w:pPr>
              <w:spacing w:after="0"/>
              <w:rPr>
                <w:sz w:val="24"/>
                <w:szCs w:val="24"/>
                <w:color w:val="auto"/>
              </w:rPr>
            </w:pPr>
          </w:p>
        </w:tc>
        <w:tc>
          <w:tcPr>
            <w:tcW w:w="4180" w:type="dxa"/>
            <w:vAlign w:val="bottom"/>
          </w:tcPr>
          <w:p>
            <w:pPr>
              <w:jc w:val="right"/>
              <w:ind w:right="2228"/>
              <w:spacing w:after="0"/>
              <w:rPr>
                <w:sz w:val="20"/>
                <w:szCs w:val="20"/>
                <w:color w:val="auto"/>
              </w:rPr>
            </w:pPr>
            <w:r>
              <w:rPr>
                <w:rFonts w:ascii="Arial" w:cs="Arial" w:eastAsia="Arial" w:hAnsi="Arial"/>
                <w:sz w:val="22"/>
                <w:szCs w:val="22"/>
                <w:b w:val="1"/>
                <w:bCs w:val="1"/>
                <w:color w:val="FFFFFF"/>
              </w:rPr>
              <w:t>20%</w:t>
            </w:r>
          </w:p>
        </w:tc>
        <w:tc>
          <w:tcPr>
            <w:tcW w:w="0" w:type="dxa"/>
            <w:vAlign w:val="bottom"/>
          </w:tcPr>
          <w:p>
            <w:pPr>
              <w:spacing w:after="0"/>
              <w:rPr>
                <w:sz w:val="1"/>
                <w:szCs w:val="1"/>
                <w:color w:val="auto"/>
              </w:rPr>
            </w:pPr>
          </w:p>
        </w:tc>
      </w:tr>
      <w:tr>
        <w:trPr>
          <w:trHeight w:val="494"/>
        </w:trPr>
        <w:tc>
          <w:tcPr>
            <w:tcW w:w="2020" w:type="dxa"/>
            <w:vAlign w:val="bottom"/>
          </w:tcPr>
          <w:p>
            <w:pPr>
              <w:jc w:val="right"/>
              <w:ind w:right="128"/>
              <w:spacing w:after="0"/>
              <w:rPr>
                <w:sz w:val="20"/>
                <w:szCs w:val="20"/>
                <w:color w:val="auto"/>
              </w:rPr>
            </w:pPr>
            <w:r>
              <w:rPr>
                <w:rFonts w:ascii="Arial" w:cs="Arial" w:eastAsia="Arial" w:hAnsi="Arial"/>
                <w:sz w:val="22"/>
                <w:szCs w:val="22"/>
                <w:b w:val="1"/>
                <w:bCs w:val="1"/>
                <w:color w:val="auto"/>
              </w:rPr>
              <w:t>Revenue Growth</w:t>
            </w:r>
          </w:p>
        </w:tc>
        <w:tc>
          <w:tcPr>
            <w:tcW w:w="4180" w:type="dxa"/>
            <w:vAlign w:val="bottom"/>
          </w:tcPr>
          <w:p>
            <w:pPr>
              <w:jc w:val="right"/>
              <w:ind w:right="1568"/>
              <w:spacing w:after="0"/>
              <w:rPr>
                <w:sz w:val="20"/>
                <w:szCs w:val="20"/>
                <w:color w:val="auto"/>
              </w:rPr>
            </w:pPr>
            <w:r>
              <w:rPr>
                <w:rFonts w:ascii="Arial" w:cs="Arial" w:eastAsia="Arial" w:hAnsi="Arial"/>
                <w:sz w:val="22"/>
                <w:szCs w:val="22"/>
                <w:b w:val="1"/>
                <w:bCs w:val="1"/>
                <w:color w:val="auto"/>
              </w:rPr>
              <w:t>Revenue Growth - CC</w:t>
            </w:r>
          </w:p>
        </w:tc>
        <w:tc>
          <w:tcPr>
            <w:tcW w:w="0" w:type="dxa"/>
            <w:vAlign w:val="bottom"/>
          </w:tcPr>
          <w:p>
            <w:pPr>
              <w:spacing w:after="0"/>
              <w:rPr>
                <w:sz w:val="1"/>
                <w:szCs w:val="1"/>
                <w:color w:val="auto"/>
              </w:rPr>
            </w:pPr>
          </w:p>
        </w:tc>
      </w:tr>
    </w:tbl>
    <w:p>
      <w:pPr>
        <w:sectPr>
          <w:pgSz w:w="11900" w:h="16838" w:orient="portrait"/>
          <w:cols w:equalWidth="0" w:num="2">
            <w:col w:w="2890" w:space="400"/>
            <w:col w:w="6580"/>
          </w:cols>
          <w:pgMar w:left="1210" w:top="459" w:right="819" w:bottom="1440" w:gutter="0" w:footer="0" w:header="0"/>
          <w:type w:val="continuous"/>
        </w:sectPr>
      </w:pPr>
    </w:p>
    <w:bookmarkStart w:id="20" w:name="page21"/>
    <w:bookmarkEnd w:id="20"/>
    <w:p>
      <w:pPr>
        <w:spacing w:after="0"/>
        <w:tabs>
          <w:tab w:leader="none" w:pos="9720" w:val="left"/>
        </w:tabs>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t>Manpower Inc. 2006 4</w:t>
      </w:r>
      <w:r>
        <w:rPr>
          <w:rFonts w:ascii="Arial" w:cs="Arial" w:eastAsia="Arial" w:hAnsi="Arial"/>
          <w:sz w:val="28"/>
          <w:szCs w:val="28"/>
          <w:color w:val="FFFFFF"/>
          <w:vertAlign w:val="superscript"/>
        </w:rPr>
        <w:t>th</w:t>
      </w:r>
      <w:r>
        <w:rPr>
          <w:rFonts w:ascii="Arial" w:cs="Arial" w:eastAsia="Arial" w:hAnsi="Arial"/>
          <w:sz w:val="22"/>
          <w:szCs w:val="22"/>
          <w:color w:val="FFFFFF"/>
        </w:rPr>
        <w:t xml:space="preserve"> Quarter Results</w:t>
      </w:r>
      <w:r>
        <w:rPr>
          <w:sz w:val="20"/>
          <w:szCs w:val="20"/>
          <w:color w:val="auto"/>
        </w:rPr>
        <w:tab/>
      </w:r>
      <w:r>
        <w:rPr>
          <w:rFonts w:ascii="Arial" w:cs="Arial" w:eastAsia="Arial" w:hAnsi="Arial"/>
          <w:sz w:val="21"/>
          <w:szCs w:val="21"/>
          <w:color w:val="FFFFFF"/>
        </w:rPr>
        <w:t>9</w:t>
      </w:r>
    </w:p>
    <w:p>
      <w:pPr>
        <w:sectPr>
          <w:pgSz w:w="11900" w:h="16838" w:orient="portrait"/>
          <w:cols w:equalWidth="0" w:num="1">
            <w:col w:w="9860"/>
          </w:cols>
          <w:pgMar w:left="1220" w:top="459"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rPr>
          <w:sz w:val="20"/>
          <w:szCs w:val="20"/>
          <w:color w:val="auto"/>
        </w:rPr>
      </w:pPr>
      <w:r>
        <w:rPr>
          <w:rFonts w:ascii="Arial" w:cs="Arial" w:eastAsia="Arial" w:hAnsi="Arial"/>
          <w:sz w:val="47"/>
          <w:szCs w:val="47"/>
          <w:color w:val="7EA190"/>
        </w:rPr>
        <w:t>Jefferson Wells Segment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460"/>
        <w:spacing w:after="0"/>
        <w:rPr>
          <w:sz w:val="20"/>
          <w:szCs w:val="20"/>
          <w:color w:val="auto"/>
        </w:rPr>
      </w:pPr>
      <w:r>
        <w:rPr>
          <w:rFonts w:ascii="Arial" w:cs="Arial" w:eastAsia="Arial" w:hAnsi="Arial"/>
          <w:sz w:val="41"/>
          <w:szCs w:val="41"/>
          <w:b w:val="1"/>
          <w:bCs w:val="1"/>
          <w:color w:val="auto"/>
        </w:rPr>
        <w:t>Q4 Financial Highlights</w:t>
      </w:r>
    </w:p>
    <w:p>
      <w:pPr>
        <w:spacing w:after="0" w:line="200" w:lineRule="exact"/>
        <w:rPr>
          <w:sz w:val="20"/>
          <w:szCs w:val="20"/>
          <w:color w:val="auto"/>
        </w:rPr>
      </w:pPr>
    </w:p>
    <w:p>
      <w:pPr>
        <w:spacing w:after="0" w:line="255" w:lineRule="exact"/>
        <w:rPr>
          <w:sz w:val="20"/>
          <w:szCs w:val="20"/>
          <w:color w:val="auto"/>
        </w:rPr>
      </w:pPr>
    </w:p>
    <w:p>
      <w:pPr>
        <w:ind w:left="2080"/>
        <w:spacing w:after="0"/>
        <w:tabs>
          <w:tab w:leader="none" w:pos="3400" w:val="left"/>
        </w:tabs>
        <w:rPr>
          <w:sz w:val="20"/>
          <w:szCs w:val="20"/>
          <w:color w:val="auto"/>
        </w:rPr>
      </w:pPr>
      <w:r>
        <w:rPr>
          <w:rFonts w:ascii="Arial" w:cs="Arial" w:eastAsia="Arial" w:hAnsi="Arial"/>
          <w:sz w:val="38"/>
          <w:szCs w:val="38"/>
          <w:color w:val="auto"/>
        </w:rPr>
        <w:t>12%</w:t>
      </w:r>
      <w:r>
        <w:rPr>
          <w:sz w:val="20"/>
          <w:szCs w:val="20"/>
          <w:color w:val="auto"/>
        </w:rPr>
        <w:tab/>
      </w:r>
      <w:r>
        <w:rPr>
          <w:rFonts w:ascii="Arial" w:cs="Arial" w:eastAsia="Arial" w:hAnsi="Arial"/>
          <w:sz w:val="41"/>
          <w:szCs w:val="41"/>
          <w:b w:val="1"/>
          <w:bCs w:val="1"/>
          <w:color w:val="auto"/>
        </w:rPr>
        <w:t xml:space="preserve">Revenue  </w:t>
      </w:r>
      <w:r>
        <w:rPr>
          <w:rFonts w:ascii="Arial" w:cs="Arial" w:eastAsia="Arial" w:hAnsi="Arial"/>
          <w:sz w:val="43"/>
          <w:szCs w:val="43"/>
          <w:b w:val="1"/>
          <w:bCs w:val="1"/>
          <w:color w:val="7EA190"/>
        </w:rPr>
        <w:t>$85M</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100"/>
        <w:spacing w:after="0"/>
        <w:tabs>
          <w:tab w:leader="none" w:pos="3440" w:val="left"/>
          <w:tab w:leader="none" w:pos="4740" w:val="left"/>
        </w:tabs>
        <w:rPr>
          <w:sz w:val="20"/>
          <w:szCs w:val="20"/>
          <w:color w:val="auto"/>
        </w:rPr>
      </w:pPr>
      <w:r>
        <w:rPr>
          <w:rFonts w:ascii="Arial" w:cs="Arial" w:eastAsia="Arial" w:hAnsi="Arial"/>
          <w:sz w:val="38"/>
          <w:szCs w:val="38"/>
          <w:color w:val="auto"/>
        </w:rPr>
        <w:t>41%</w:t>
      </w:r>
      <w:r>
        <w:rPr>
          <w:sz w:val="20"/>
          <w:szCs w:val="20"/>
          <w:color w:val="auto"/>
        </w:rPr>
        <w:tab/>
      </w:r>
      <w:r>
        <w:rPr>
          <w:rFonts w:ascii="Arial" w:cs="Arial" w:eastAsia="Arial" w:hAnsi="Arial"/>
          <w:sz w:val="41"/>
          <w:szCs w:val="41"/>
          <w:b w:val="1"/>
          <w:bCs w:val="1"/>
          <w:color w:val="auto"/>
        </w:rPr>
        <w:t>OUP</w:t>
      </w:r>
      <w:r>
        <w:rPr>
          <w:sz w:val="20"/>
          <w:szCs w:val="20"/>
          <w:color w:val="auto"/>
        </w:rPr>
        <w:tab/>
      </w:r>
      <w:r>
        <w:rPr>
          <w:rFonts w:ascii="Arial" w:cs="Arial" w:eastAsia="Arial" w:hAnsi="Arial"/>
          <w:sz w:val="42"/>
          <w:szCs w:val="42"/>
          <w:b w:val="1"/>
          <w:bCs w:val="1"/>
          <w:color w:val="7EA190"/>
        </w:rPr>
        <w:t>$6M</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720"/>
        <w:spacing w:after="0"/>
        <w:tabs>
          <w:tab w:leader="none" w:pos="3420" w:val="left"/>
        </w:tabs>
        <w:rPr>
          <w:sz w:val="20"/>
          <w:szCs w:val="20"/>
          <w:color w:val="auto"/>
        </w:rPr>
      </w:pPr>
      <w:r>
        <w:rPr>
          <w:rFonts w:ascii="Arial" w:cs="Arial" w:eastAsia="Arial" w:hAnsi="Arial"/>
          <w:sz w:val="38"/>
          <w:szCs w:val="38"/>
          <w:color w:val="auto"/>
        </w:rPr>
        <w:t>280 bps</w:t>
      </w:r>
      <w:r>
        <w:rPr>
          <w:sz w:val="20"/>
          <w:szCs w:val="20"/>
          <w:color w:val="auto"/>
        </w:rPr>
        <w:tab/>
      </w:r>
      <w:r>
        <w:rPr>
          <w:rFonts w:ascii="Arial" w:cs="Arial" w:eastAsia="Arial" w:hAnsi="Arial"/>
          <w:sz w:val="41"/>
          <w:szCs w:val="41"/>
          <w:b w:val="1"/>
          <w:bCs w:val="1"/>
          <w:color w:val="auto"/>
        </w:rPr>
        <w:t xml:space="preserve">OUP Margin  </w:t>
      </w:r>
      <w:r>
        <w:rPr>
          <w:rFonts w:ascii="Arial" w:cs="Arial" w:eastAsia="Arial" w:hAnsi="Arial"/>
          <w:sz w:val="43"/>
          <w:szCs w:val="43"/>
          <w:b w:val="1"/>
          <w:bCs w:val="1"/>
          <w:color w:val="7EA190"/>
        </w:rPr>
        <w:t>7.4%</w:t>
      </w:r>
    </w:p>
    <w:p>
      <w:pPr>
        <w:sectPr>
          <w:pgSz w:w="11900" w:h="16838" w:orient="portrait"/>
          <w:cols w:equalWidth="0" w:num="1">
            <w:col w:w="9860"/>
          </w:cols>
          <w:pgMar w:left="1220" w:top="459" w:right="819" w:bottom="1440" w:gutter="0" w:footer="0" w:header="0"/>
          <w:type w:val="continuous"/>
        </w:sectPr>
      </w:pPr>
    </w:p>
    <w:bookmarkStart w:id="21" w:name="page22"/>
    <w:bookmarkEnd w:id="21"/>
    <w:p>
      <w:pPr>
        <w:spacing w:after="0"/>
        <w:tabs>
          <w:tab w:leader="none" w:pos="9580" w:val="left"/>
        </w:tabs>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t>Manpower Inc. 2006 4</w:t>
      </w:r>
      <w:r>
        <w:rPr>
          <w:rFonts w:ascii="Arial" w:cs="Arial" w:eastAsia="Arial" w:hAnsi="Arial"/>
          <w:sz w:val="28"/>
          <w:szCs w:val="28"/>
          <w:color w:val="FFFFFF"/>
          <w:vertAlign w:val="superscript"/>
        </w:rPr>
        <w:t>th</w:t>
      </w:r>
      <w:r>
        <w:rPr>
          <w:rFonts w:ascii="Arial" w:cs="Arial" w:eastAsia="Arial" w:hAnsi="Arial"/>
          <w:sz w:val="22"/>
          <w:szCs w:val="22"/>
          <w:color w:val="FFFFFF"/>
        </w:rPr>
        <w:t xml:space="preserve"> Quarter Results</w:t>
      </w:r>
      <w:r>
        <w:rPr>
          <w:sz w:val="20"/>
          <w:szCs w:val="20"/>
          <w:color w:val="auto"/>
        </w:rPr>
        <w:tab/>
      </w:r>
      <w:r>
        <w:rPr>
          <w:rFonts w:ascii="Arial" w:cs="Arial" w:eastAsia="Arial" w:hAnsi="Arial"/>
          <w:sz w:val="22"/>
          <w:szCs w:val="22"/>
          <w:color w:val="FFFFFF"/>
        </w:rPr>
        <w:t>10</w:t>
      </w:r>
    </w:p>
    <w:p>
      <w:pPr>
        <w:sectPr>
          <w:pgSz w:w="11900" w:h="16838" w:orient="portrait"/>
          <w:cols w:equalWidth="0" w:num="1">
            <w:col w:w="9860"/>
          </w:cols>
          <w:pgMar w:left="1220" w:top="459"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47"/>
          <w:szCs w:val="47"/>
          <w:color w:val="C8504F"/>
        </w:rPr>
        <w:t>Right Management Segment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460"/>
        <w:spacing w:after="0"/>
        <w:rPr>
          <w:sz w:val="20"/>
          <w:szCs w:val="20"/>
          <w:color w:val="auto"/>
        </w:rPr>
      </w:pPr>
      <w:r>
        <w:rPr>
          <w:rFonts w:ascii="Arial" w:cs="Arial" w:eastAsia="Arial" w:hAnsi="Arial"/>
          <w:sz w:val="41"/>
          <w:szCs w:val="41"/>
          <w:b w:val="1"/>
          <w:bCs w:val="1"/>
          <w:color w:val="auto"/>
        </w:rPr>
        <w:t>Q4 Financial Highlights</w:t>
      </w:r>
    </w:p>
    <w:p>
      <w:pPr>
        <w:ind w:left="2240"/>
        <w:spacing w:after="0" w:line="209" w:lineRule="auto"/>
        <w:tabs>
          <w:tab w:leader="none" w:pos="3400" w:val="left"/>
        </w:tabs>
        <w:rPr>
          <w:sz w:val="20"/>
          <w:szCs w:val="20"/>
          <w:color w:val="auto"/>
        </w:rPr>
      </w:pPr>
      <w:r>
        <w:rPr>
          <w:rFonts w:ascii="Arial" w:cs="Arial" w:eastAsia="Arial" w:hAnsi="Arial"/>
          <w:sz w:val="75"/>
          <w:szCs w:val="75"/>
          <w:color w:val="auto"/>
          <w:vertAlign w:val="superscript"/>
        </w:rPr>
        <w:t>2%</w:t>
      </w:r>
      <w:r>
        <w:rPr>
          <w:sz w:val="20"/>
          <w:szCs w:val="20"/>
          <w:color w:val="auto"/>
        </w:rPr>
        <w:tab/>
      </w:r>
      <w:r>
        <w:rPr>
          <w:rFonts w:ascii="Arial" w:cs="Arial" w:eastAsia="Arial" w:hAnsi="Arial"/>
          <w:sz w:val="41"/>
          <w:szCs w:val="41"/>
          <w:b w:val="1"/>
          <w:bCs w:val="1"/>
          <w:color w:val="auto"/>
        </w:rPr>
        <w:t xml:space="preserve">Revenue </w:t>
      </w:r>
      <w:r>
        <w:rPr>
          <w:rFonts w:ascii="Arial" w:cs="Arial" w:eastAsia="Arial" w:hAnsi="Arial"/>
          <w:sz w:val="43"/>
          <w:szCs w:val="43"/>
          <w:b w:val="1"/>
          <w:bCs w:val="1"/>
          <w:color w:val="C8504F"/>
        </w:rPr>
        <w:t>$99M</w:t>
      </w:r>
    </w:p>
    <w:p>
      <w:pPr>
        <w:spacing w:after="0" w:line="2" w:lineRule="exact"/>
        <w:rPr>
          <w:sz w:val="20"/>
          <w:szCs w:val="20"/>
          <w:color w:val="auto"/>
        </w:rPr>
      </w:pPr>
    </w:p>
    <w:p>
      <w:pPr>
        <w:ind w:left="1800"/>
        <w:spacing w:after="0"/>
        <w:rPr>
          <w:sz w:val="20"/>
          <w:szCs w:val="20"/>
          <w:color w:val="auto"/>
        </w:rPr>
      </w:pPr>
      <w:r>
        <w:rPr>
          <w:rFonts w:ascii="Arial" w:cs="Arial" w:eastAsia="Arial" w:hAnsi="Arial"/>
          <w:sz w:val="38"/>
          <w:szCs w:val="38"/>
          <w:color w:val="auto"/>
        </w:rPr>
        <w:t>2% CC</w:t>
      </w:r>
    </w:p>
    <w:p>
      <w:pPr>
        <w:ind w:left="2120"/>
        <w:spacing w:after="0" w:line="181" w:lineRule="auto"/>
        <w:tabs>
          <w:tab w:leader="none" w:pos="3440" w:val="left"/>
        </w:tabs>
        <w:rPr>
          <w:sz w:val="20"/>
          <w:szCs w:val="20"/>
          <w:color w:val="auto"/>
        </w:rPr>
      </w:pPr>
      <w:r>
        <w:rPr>
          <w:rFonts w:ascii="Arial" w:cs="Arial" w:eastAsia="Arial" w:hAnsi="Arial"/>
          <w:sz w:val="35"/>
          <w:szCs w:val="35"/>
          <w:color w:val="auto"/>
        </w:rPr>
        <w:t>88%</w:t>
      </w:r>
      <w:r>
        <w:rPr>
          <w:sz w:val="20"/>
          <w:szCs w:val="20"/>
          <w:color w:val="auto"/>
        </w:rPr>
        <w:tab/>
      </w:r>
      <w:r>
        <w:rPr>
          <w:rFonts w:ascii="Arial" w:cs="Arial" w:eastAsia="Arial" w:hAnsi="Arial"/>
          <w:sz w:val="38"/>
          <w:szCs w:val="38"/>
          <w:b w:val="1"/>
          <w:bCs w:val="1"/>
          <w:color w:val="auto"/>
        </w:rPr>
        <w:t xml:space="preserve">OUP </w:t>
      </w:r>
      <w:r>
        <w:rPr>
          <w:rFonts w:ascii="Arial" w:cs="Arial" w:eastAsia="Arial" w:hAnsi="Arial"/>
          <w:sz w:val="78"/>
          <w:szCs w:val="78"/>
          <w:b w:val="1"/>
          <w:bCs w:val="1"/>
          <w:color w:val="C8504F"/>
          <w:vertAlign w:val="subscript"/>
        </w:rPr>
        <w:t>$0.4M</w:t>
      </w:r>
    </w:p>
    <w:p>
      <w:pPr>
        <w:spacing w:after="0" w:line="4" w:lineRule="exact"/>
        <w:rPr>
          <w:sz w:val="20"/>
          <w:szCs w:val="20"/>
          <w:color w:val="auto"/>
        </w:rPr>
      </w:pPr>
    </w:p>
    <w:p>
      <w:pPr>
        <w:ind w:left="1700"/>
        <w:spacing w:after="0"/>
        <w:rPr>
          <w:sz w:val="20"/>
          <w:szCs w:val="20"/>
          <w:color w:val="auto"/>
        </w:rPr>
      </w:pPr>
      <w:r>
        <w:rPr>
          <w:rFonts w:ascii="Arial" w:cs="Arial" w:eastAsia="Arial" w:hAnsi="Arial"/>
          <w:sz w:val="38"/>
          <w:szCs w:val="38"/>
          <w:color w:val="auto"/>
        </w:rPr>
        <w:t>74% CC</w:t>
      </w:r>
    </w:p>
    <w:p>
      <w:pPr>
        <w:spacing w:after="0" w:line="361" w:lineRule="exact"/>
        <w:rPr>
          <w:sz w:val="20"/>
          <w:szCs w:val="20"/>
          <w:color w:val="auto"/>
        </w:rPr>
      </w:pPr>
    </w:p>
    <w:p>
      <w:pPr>
        <w:ind w:left="1740"/>
        <w:spacing w:after="0"/>
        <w:tabs>
          <w:tab w:leader="none" w:pos="3420" w:val="left"/>
        </w:tabs>
        <w:rPr>
          <w:sz w:val="20"/>
          <w:szCs w:val="20"/>
          <w:color w:val="auto"/>
        </w:rPr>
      </w:pPr>
      <w:r>
        <w:rPr>
          <w:rFonts w:ascii="Arial" w:cs="Arial" w:eastAsia="Arial" w:hAnsi="Arial"/>
          <w:sz w:val="38"/>
          <w:szCs w:val="38"/>
          <w:color w:val="auto"/>
        </w:rPr>
        <w:t>320 bps</w:t>
      </w:r>
      <w:r>
        <w:rPr>
          <w:sz w:val="20"/>
          <w:szCs w:val="20"/>
          <w:color w:val="auto"/>
        </w:rPr>
        <w:tab/>
      </w:r>
      <w:r>
        <w:rPr>
          <w:rFonts w:ascii="Arial" w:cs="Arial" w:eastAsia="Arial" w:hAnsi="Arial"/>
          <w:sz w:val="41"/>
          <w:szCs w:val="41"/>
          <w:b w:val="1"/>
          <w:bCs w:val="1"/>
          <w:color w:val="auto"/>
        </w:rPr>
        <w:t xml:space="preserve">OUP Margin </w:t>
      </w:r>
      <w:r>
        <w:rPr>
          <w:rFonts w:ascii="Arial" w:cs="Arial" w:eastAsia="Arial" w:hAnsi="Arial"/>
          <w:sz w:val="43"/>
          <w:szCs w:val="43"/>
          <w:b w:val="1"/>
          <w:bCs w:val="1"/>
          <w:color w:val="C8504F"/>
        </w:rPr>
        <w:t>0.5%</w:t>
      </w:r>
    </w:p>
    <w:p>
      <w:pPr>
        <w:sectPr>
          <w:pgSz w:w="11900" w:h="16838" w:orient="portrait"/>
          <w:cols w:equalWidth="0" w:num="1">
            <w:col w:w="9860"/>
          </w:cols>
          <w:pgMar w:left="1220" w:top="459" w:right="819" w:bottom="144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361"/>
        </w:trPr>
        <w:tc>
          <w:tcPr>
            <w:tcW w:w="6780" w:type="dxa"/>
            <w:vAlign w:val="bottom"/>
          </w:tcPr>
          <w:p>
            <w:pPr>
              <w:spacing w:after="0"/>
              <w:rPr>
                <w:sz w:val="20"/>
                <w:szCs w:val="20"/>
                <w:color w:val="auto"/>
              </w:rPr>
            </w:pPr>
            <w:r>
              <w:rPr>
                <w:rFonts w:ascii="Arial" w:cs="Arial" w:eastAsia="Arial" w:hAnsi="Arial"/>
                <w:sz w:val="22"/>
                <w:szCs w:val="22"/>
                <w:color w:val="FFFFFF"/>
              </w:rPr>
              <w:t>Manpower Inc. 2006 4</w:t>
            </w:r>
            <w:r>
              <w:rPr>
                <w:rFonts w:ascii="Arial" w:cs="Arial" w:eastAsia="Arial" w:hAnsi="Arial"/>
                <w:sz w:val="28"/>
                <w:szCs w:val="28"/>
                <w:color w:val="FFFFFF"/>
                <w:vertAlign w:val="superscript"/>
              </w:rPr>
              <w:t>th</w:t>
            </w:r>
            <w:r>
              <w:rPr>
                <w:rFonts w:ascii="Arial" w:cs="Arial" w:eastAsia="Arial" w:hAnsi="Arial"/>
                <w:sz w:val="22"/>
                <w:szCs w:val="22"/>
                <w:color w:val="FFFFFF"/>
              </w:rPr>
              <w:t xml:space="preserve"> Quarter Results</w:t>
            </w:r>
          </w:p>
        </w:tc>
        <w:tc>
          <w:tcPr>
            <w:tcW w:w="3080" w:type="dxa"/>
            <w:vAlign w:val="bottom"/>
          </w:tcPr>
          <w:p>
            <w:pPr>
              <w:jc w:val="right"/>
              <w:spacing w:after="0"/>
              <w:rPr>
                <w:sz w:val="20"/>
                <w:szCs w:val="20"/>
                <w:color w:val="auto"/>
              </w:rPr>
            </w:pPr>
            <w:r>
              <w:rPr>
                <w:rFonts w:ascii="Arial" w:cs="Arial" w:eastAsia="Arial" w:hAnsi="Arial"/>
                <w:sz w:val="22"/>
                <w:szCs w:val="22"/>
                <w:color w:val="FFFFFF"/>
              </w:rPr>
              <w:t>11</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47"/>
          <w:szCs w:val="47"/>
          <w:color w:val="D47C18"/>
        </w:rPr>
        <w:t>Other Operations Segment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460"/>
        <w:spacing w:after="0"/>
        <w:rPr>
          <w:sz w:val="20"/>
          <w:szCs w:val="20"/>
          <w:color w:val="auto"/>
        </w:rPr>
      </w:pPr>
      <w:r>
        <w:rPr>
          <w:rFonts w:ascii="Arial" w:cs="Arial" w:eastAsia="Arial" w:hAnsi="Arial"/>
          <w:sz w:val="41"/>
          <w:szCs w:val="41"/>
          <w:b w:val="1"/>
          <w:bCs w:val="1"/>
          <w:color w:val="auto"/>
        </w:rPr>
        <w:t>Q4 Financial Highlights</w:t>
      </w:r>
    </w:p>
    <w:p>
      <w:pPr>
        <w:ind w:left="2140"/>
        <w:spacing w:after="0" w:line="209" w:lineRule="auto"/>
        <w:tabs>
          <w:tab w:leader="none" w:pos="3400" w:val="left"/>
        </w:tabs>
        <w:rPr>
          <w:sz w:val="20"/>
          <w:szCs w:val="20"/>
          <w:color w:val="auto"/>
        </w:rPr>
      </w:pPr>
      <w:r>
        <w:rPr>
          <w:rFonts w:ascii="Arial" w:cs="Arial" w:eastAsia="Arial" w:hAnsi="Arial"/>
          <w:sz w:val="75"/>
          <w:szCs w:val="75"/>
          <w:color w:val="auto"/>
          <w:vertAlign w:val="superscript"/>
        </w:rPr>
        <w:t>15%</w:t>
      </w:r>
      <w:r>
        <w:rPr>
          <w:sz w:val="20"/>
          <w:szCs w:val="20"/>
          <w:color w:val="auto"/>
        </w:rPr>
        <w:tab/>
      </w:r>
      <w:r>
        <w:rPr>
          <w:rFonts w:ascii="Arial" w:cs="Arial" w:eastAsia="Arial" w:hAnsi="Arial"/>
          <w:sz w:val="41"/>
          <w:szCs w:val="41"/>
          <w:b w:val="1"/>
          <w:bCs w:val="1"/>
          <w:color w:val="auto"/>
        </w:rPr>
        <w:t xml:space="preserve">Revenue </w:t>
      </w:r>
      <w:r>
        <w:rPr>
          <w:rFonts w:ascii="Arial" w:cs="Arial" w:eastAsia="Arial" w:hAnsi="Arial"/>
          <w:sz w:val="43"/>
          <w:szCs w:val="43"/>
          <w:b w:val="1"/>
          <w:bCs w:val="1"/>
          <w:color w:val="D47C18"/>
        </w:rPr>
        <w:t>$618M</w:t>
      </w:r>
    </w:p>
    <w:p>
      <w:pPr>
        <w:spacing w:after="0" w:line="2" w:lineRule="exact"/>
        <w:rPr>
          <w:sz w:val="20"/>
          <w:szCs w:val="20"/>
          <w:color w:val="auto"/>
        </w:rPr>
      </w:pPr>
    </w:p>
    <w:p>
      <w:pPr>
        <w:ind w:left="1700"/>
        <w:spacing w:after="0"/>
        <w:rPr>
          <w:sz w:val="20"/>
          <w:szCs w:val="20"/>
          <w:color w:val="auto"/>
        </w:rPr>
      </w:pPr>
      <w:r>
        <w:rPr>
          <w:rFonts w:ascii="Arial" w:cs="Arial" w:eastAsia="Arial" w:hAnsi="Arial"/>
          <w:sz w:val="38"/>
          <w:szCs w:val="38"/>
          <w:color w:val="auto"/>
        </w:rPr>
        <w:t>15% CC</w:t>
      </w:r>
    </w:p>
    <w:p>
      <w:pPr>
        <w:ind w:left="2120"/>
        <w:spacing w:after="0" w:line="180" w:lineRule="auto"/>
        <w:tabs>
          <w:tab w:leader="none" w:pos="3440" w:val="left"/>
        </w:tabs>
        <w:rPr>
          <w:sz w:val="20"/>
          <w:szCs w:val="20"/>
          <w:color w:val="auto"/>
        </w:rPr>
      </w:pPr>
      <w:r>
        <w:rPr>
          <w:rFonts w:ascii="Arial" w:cs="Arial" w:eastAsia="Arial" w:hAnsi="Arial"/>
          <w:sz w:val="68"/>
          <w:szCs w:val="68"/>
          <w:color w:val="auto"/>
          <w:vertAlign w:val="superscript"/>
        </w:rPr>
        <w:t>10%</w:t>
      </w:r>
      <w:r>
        <w:rPr>
          <w:sz w:val="20"/>
          <w:szCs w:val="20"/>
          <w:color w:val="auto"/>
        </w:rPr>
        <w:tab/>
      </w:r>
      <w:r>
        <w:rPr>
          <w:rFonts w:ascii="Arial" w:cs="Arial" w:eastAsia="Arial" w:hAnsi="Arial"/>
          <w:sz w:val="38"/>
          <w:szCs w:val="38"/>
          <w:b w:val="1"/>
          <w:bCs w:val="1"/>
          <w:color w:val="auto"/>
        </w:rPr>
        <w:t xml:space="preserve">OUP </w:t>
      </w:r>
      <w:r>
        <w:rPr>
          <w:rFonts w:ascii="Arial" w:cs="Arial" w:eastAsia="Arial" w:hAnsi="Arial"/>
          <w:sz w:val="40"/>
          <w:szCs w:val="40"/>
          <w:b w:val="1"/>
          <w:bCs w:val="1"/>
          <w:color w:val="D47C18"/>
        </w:rPr>
        <w:t>$21M</w:t>
      </w:r>
    </w:p>
    <w:p>
      <w:pPr>
        <w:spacing w:after="0" w:line="94" w:lineRule="exact"/>
        <w:rPr>
          <w:sz w:val="20"/>
          <w:szCs w:val="20"/>
          <w:color w:val="auto"/>
        </w:rPr>
      </w:pPr>
    </w:p>
    <w:p>
      <w:pPr>
        <w:ind w:left="1700"/>
        <w:spacing w:after="0"/>
        <w:rPr>
          <w:sz w:val="20"/>
          <w:szCs w:val="20"/>
          <w:color w:val="auto"/>
        </w:rPr>
      </w:pPr>
      <w:r>
        <w:rPr>
          <w:rFonts w:ascii="Arial" w:cs="Arial" w:eastAsia="Arial" w:hAnsi="Arial"/>
          <w:sz w:val="38"/>
          <w:szCs w:val="38"/>
          <w:color w:val="auto"/>
        </w:rPr>
        <w:t>10% CC</w:t>
      </w:r>
    </w:p>
    <w:p>
      <w:pPr>
        <w:spacing w:after="0" w:line="361" w:lineRule="exact"/>
        <w:rPr>
          <w:sz w:val="20"/>
          <w:szCs w:val="20"/>
          <w:color w:val="auto"/>
        </w:rPr>
      </w:pPr>
    </w:p>
    <w:p>
      <w:pPr>
        <w:ind w:left="1820"/>
        <w:spacing w:after="0"/>
        <w:tabs>
          <w:tab w:leader="none" w:pos="3420" w:val="left"/>
        </w:tabs>
        <w:rPr>
          <w:sz w:val="20"/>
          <w:szCs w:val="20"/>
          <w:color w:val="auto"/>
        </w:rPr>
      </w:pPr>
      <w:r>
        <w:rPr>
          <w:rFonts w:ascii="Arial" w:cs="Arial" w:eastAsia="Arial" w:hAnsi="Arial"/>
          <w:sz w:val="38"/>
          <w:szCs w:val="38"/>
          <w:color w:val="auto"/>
        </w:rPr>
        <w:t>20 bps</w:t>
      </w:r>
      <w:r>
        <w:rPr>
          <w:sz w:val="20"/>
          <w:szCs w:val="20"/>
          <w:color w:val="auto"/>
        </w:rPr>
        <w:tab/>
      </w:r>
      <w:r>
        <w:rPr>
          <w:rFonts w:ascii="Arial" w:cs="Arial" w:eastAsia="Arial" w:hAnsi="Arial"/>
          <w:sz w:val="41"/>
          <w:szCs w:val="41"/>
          <w:b w:val="1"/>
          <w:bCs w:val="1"/>
          <w:color w:val="auto"/>
        </w:rPr>
        <w:t xml:space="preserve">OUP Margin </w:t>
      </w:r>
      <w:r>
        <w:rPr>
          <w:rFonts w:ascii="Arial" w:cs="Arial" w:eastAsia="Arial" w:hAnsi="Arial"/>
          <w:sz w:val="43"/>
          <w:szCs w:val="43"/>
          <w:b w:val="1"/>
          <w:bCs w:val="1"/>
          <w:color w:val="D47C18"/>
        </w:rPr>
        <w:t>3.4%</w:t>
      </w:r>
    </w:p>
    <w:p>
      <w:pPr>
        <w:sectPr>
          <w:pgSz w:w="11900" w:h="16838" w:orient="portrait"/>
          <w:cols w:equalWidth="0" w:num="1">
            <w:col w:w="9860"/>
          </w:cols>
          <w:pgMar w:left="1220" w:top="459" w:right="819" w:bottom="1440" w:gutter="0" w:footer="0" w:header="0"/>
        </w:sectPr>
      </w:pPr>
    </w:p>
    <w:bookmarkStart w:id="23" w:name="page24"/>
    <w:bookmarkEnd w:id="23"/>
    <w:tbl>
      <w:tblPr>
        <w:tblLayout w:type="fixed"/>
        <w:tblInd w:w="20" w:type="dxa"/>
        <w:tblCellMar>
          <w:top w:w="0" w:type="dxa"/>
          <w:left w:w="0" w:type="dxa"/>
          <w:bottom w:w="0" w:type="dxa"/>
          <w:right w:w="0" w:type="dxa"/>
        </w:tblCellMar>
      </w:tblPr>
      <w:tr>
        <w:trPr>
          <w:trHeight w:val="361"/>
        </w:trPr>
        <w:tc>
          <w:tcPr>
            <w:tcW w:w="6780" w:type="dxa"/>
            <w:vAlign w:val="bottom"/>
          </w:tcPr>
          <w:p>
            <w:pPr>
              <w:spacing w:after="0"/>
              <w:rPr>
                <w:sz w:val="20"/>
                <w:szCs w:val="20"/>
                <w:color w:val="auto"/>
              </w:rPr>
            </w:pPr>
            <w:r>
              <w:rPr>
                <w:rFonts w:ascii="Arial" w:cs="Arial" w:eastAsia="Arial" w:hAnsi="Arial"/>
                <w:sz w:val="22"/>
                <w:szCs w:val="22"/>
                <w:color w:val="FFFFFF"/>
              </w:rPr>
              <w:t>Manpower Inc. 2006 4</w:t>
            </w:r>
            <w:r>
              <w:rPr>
                <w:rFonts w:ascii="Arial" w:cs="Arial" w:eastAsia="Arial" w:hAnsi="Arial"/>
                <w:sz w:val="28"/>
                <w:szCs w:val="28"/>
                <w:color w:val="FFFFFF"/>
                <w:vertAlign w:val="superscript"/>
              </w:rPr>
              <w:t>th</w:t>
            </w:r>
            <w:r>
              <w:rPr>
                <w:rFonts w:ascii="Arial" w:cs="Arial" w:eastAsia="Arial" w:hAnsi="Arial"/>
                <w:sz w:val="22"/>
                <w:szCs w:val="22"/>
                <w:color w:val="FFFFFF"/>
              </w:rPr>
              <w:t xml:space="preserve"> Quarter Results</w:t>
            </w:r>
          </w:p>
        </w:tc>
        <w:tc>
          <w:tcPr>
            <w:tcW w:w="3080" w:type="dxa"/>
            <w:vAlign w:val="bottom"/>
          </w:tcPr>
          <w:p>
            <w:pPr>
              <w:jc w:val="right"/>
              <w:spacing w:after="0"/>
              <w:rPr>
                <w:sz w:val="20"/>
                <w:szCs w:val="20"/>
                <w:color w:val="auto"/>
              </w:rPr>
            </w:pPr>
            <w:r>
              <w:rPr>
                <w:rFonts w:ascii="Arial" w:cs="Arial" w:eastAsia="Arial" w:hAnsi="Arial"/>
                <w:sz w:val="22"/>
                <w:szCs w:val="22"/>
                <w:color w:val="FFFFFF"/>
              </w:rPr>
              <w:t>12</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0"/>
        <w:spacing w:after="0"/>
        <w:rPr>
          <w:sz w:val="20"/>
          <w:szCs w:val="20"/>
          <w:color w:val="auto"/>
        </w:rPr>
      </w:pPr>
      <w:r>
        <w:rPr>
          <w:rFonts w:ascii="Arial" w:cs="Arial" w:eastAsia="Arial" w:hAnsi="Arial"/>
          <w:sz w:val="47"/>
          <w:szCs w:val="47"/>
          <w:color w:val="5F81AA"/>
        </w:rPr>
        <w:t>Other Operations – Q4 Revenue Growth YoY</w:t>
      </w:r>
    </w:p>
    <w:p>
      <w:pPr>
        <w:spacing w:after="0" w:line="29" w:lineRule="exact"/>
        <w:rPr>
          <w:sz w:val="20"/>
          <w:szCs w:val="20"/>
          <w:color w:val="auto"/>
        </w:rPr>
      </w:pPr>
    </w:p>
    <w:p>
      <w:pPr>
        <w:ind w:left="20" w:right="8320" w:hanging="10"/>
        <w:spacing w:after="0" w:line="305" w:lineRule="auto"/>
        <w:tabs>
          <w:tab w:leader="none" w:pos="294"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of Segment Revenue</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740" w:type="dxa"/>
            <w:vAlign w:val="bottom"/>
          </w:tcPr>
          <w:p>
            <w:pPr>
              <w:spacing w:after="0"/>
              <w:rPr>
                <w:sz w:val="20"/>
                <w:szCs w:val="20"/>
                <w:color w:val="auto"/>
              </w:rPr>
            </w:pPr>
            <w:r>
              <w:rPr>
                <w:rFonts w:ascii="Arial" w:cs="Arial" w:eastAsia="Arial" w:hAnsi="Arial"/>
                <w:sz w:val="28"/>
                <w:szCs w:val="28"/>
                <w:b w:val="1"/>
                <w:bCs w:val="1"/>
                <w:color w:val="D47C18"/>
              </w:rPr>
              <w:t>35%</w:t>
            </w:r>
          </w:p>
        </w:tc>
        <w:tc>
          <w:tcPr>
            <w:tcW w:w="2380" w:type="dxa"/>
            <w:vAlign w:val="bottom"/>
            <w:vMerge w:val="restart"/>
          </w:tcPr>
          <w:p>
            <w:pPr>
              <w:jc w:val="right"/>
              <w:ind w:right="459"/>
              <w:spacing w:after="0"/>
              <w:rPr>
                <w:sz w:val="20"/>
                <w:szCs w:val="20"/>
                <w:color w:val="auto"/>
              </w:rPr>
            </w:pPr>
            <w:r>
              <w:rPr>
                <w:rFonts w:ascii="Arial" w:cs="Arial" w:eastAsia="Arial" w:hAnsi="Arial"/>
                <w:sz w:val="28"/>
                <w:szCs w:val="28"/>
                <w:b w:val="1"/>
                <w:bCs w:val="1"/>
                <w:color w:val="auto"/>
              </w:rPr>
              <w:t>Japan</w:t>
            </w:r>
          </w:p>
        </w:tc>
        <w:tc>
          <w:tcPr>
            <w:tcW w:w="6160" w:type="dxa"/>
            <w:vAlign w:val="bottom"/>
          </w:tcPr>
          <w:p>
            <w:pPr>
              <w:jc w:val="right"/>
              <w:ind w:right="4294"/>
              <w:spacing w:after="0"/>
              <w:rPr>
                <w:sz w:val="20"/>
                <w:szCs w:val="20"/>
                <w:color w:val="auto"/>
              </w:rPr>
            </w:pPr>
            <w:r>
              <w:rPr>
                <w:rFonts w:ascii="Arial" w:cs="Arial" w:eastAsia="Arial" w:hAnsi="Arial"/>
                <w:sz w:val="21"/>
                <w:szCs w:val="21"/>
                <w:b w:val="1"/>
                <w:bCs w:val="1"/>
                <w:color w:val="FFFFFF"/>
              </w:rPr>
              <w:t>7%</w:t>
            </w:r>
          </w:p>
        </w:tc>
        <w:tc>
          <w:tcPr>
            <w:tcW w:w="0" w:type="dxa"/>
            <w:vAlign w:val="bottom"/>
          </w:tcPr>
          <w:p>
            <w:pPr>
              <w:spacing w:after="0"/>
              <w:rPr>
                <w:sz w:val="1"/>
                <w:szCs w:val="1"/>
                <w:color w:val="auto"/>
              </w:rPr>
            </w:pPr>
          </w:p>
        </w:tc>
      </w:tr>
      <w:tr>
        <w:trPr>
          <w:trHeight w:val="280"/>
        </w:trPr>
        <w:tc>
          <w:tcPr>
            <w:tcW w:w="74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6160" w:type="dxa"/>
            <w:vAlign w:val="bottom"/>
          </w:tcPr>
          <w:p>
            <w:pPr>
              <w:jc w:val="right"/>
              <w:ind w:right="4094"/>
              <w:spacing w:after="0"/>
              <w:rPr>
                <w:sz w:val="20"/>
                <w:szCs w:val="20"/>
                <w:color w:val="auto"/>
              </w:rPr>
            </w:pPr>
            <w:r>
              <w:rPr>
                <w:rFonts w:ascii="Arial" w:cs="Arial" w:eastAsia="Arial" w:hAnsi="Arial"/>
                <w:sz w:val="21"/>
                <w:szCs w:val="21"/>
                <w:b w:val="1"/>
                <w:bCs w:val="1"/>
                <w:color w:val="FFFFFF"/>
              </w:rPr>
              <w:t>8%</w:t>
            </w:r>
          </w:p>
        </w:tc>
        <w:tc>
          <w:tcPr>
            <w:tcW w:w="0" w:type="dxa"/>
            <w:vAlign w:val="bottom"/>
          </w:tcPr>
          <w:p>
            <w:pPr>
              <w:spacing w:after="0"/>
              <w:rPr>
                <w:sz w:val="1"/>
                <w:szCs w:val="1"/>
                <w:color w:val="auto"/>
              </w:rPr>
            </w:pPr>
          </w:p>
        </w:tc>
      </w:tr>
      <w:tr>
        <w:trPr>
          <w:trHeight w:val="694"/>
        </w:trPr>
        <w:tc>
          <w:tcPr>
            <w:tcW w:w="740" w:type="dxa"/>
            <w:vAlign w:val="bottom"/>
            <w:vMerge w:val="restart"/>
          </w:tcPr>
          <w:p>
            <w:pPr>
              <w:spacing w:after="0"/>
              <w:rPr>
                <w:sz w:val="20"/>
                <w:szCs w:val="20"/>
                <w:color w:val="auto"/>
              </w:rPr>
            </w:pPr>
            <w:r>
              <w:rPr>
                <w:rFonts w:ascii="Arial" w:cs="Arial" w:eastAsia="Arial" w:hAnsi="Arial"/>
                <w:sz w:val="28"/>
                <w:szCs w:val="28"/>
                <w:b w:val="1"/>
                <w:bCs w:val="1"/>
                <w:color w:val="D47C18"/>
              </w:rPr>
              <w:t>17%</w:t>
            </w:r>
          </w:p>
        </w:tc>
        <w:tc>
          <w:tcPr>
            <w:tcW w:w="2380" w:type="dxa"/>
            <w:vAlign w:val="bottom"/>
            <w:vMerge w:val="restart"/>
          </w:tcPr>
          <w:p>
            <w:pPr>
              <w:jc w:val="right"/>
              <w:ind w:right="439"/>
              <w:spacing w:after="0"/>
              <w:rPr>
                <w:sz w:val="20"/>
                <w:szCs w:val="20"/>
                <w:color w:val="auto"/>
              </w:rPr>
            </w:pPr>
            <w:r>
              <w:rPr>
                <w:rFonts w:ascii="Arial" w:cs="Arial" w:eastAsia="Arial" w:hAnsi="Arial"/>
                <w:sz w:val="28"/>
                <w:szCs w:val="28"/>
                <w:b w:val="1"/>
                <w:bCs w:val="1"/>
                <w:color w:val="auto"/>
              </w:rPr>
              <w:t>Mexico</w:t>
            </w:r>
          </w:p>
        </w:tc>
        <w:tc>
          <w:tcPr>
            <w:tcW w:w="6160" w:type="dxa"/>
            <w:vAlign w:val="bottom"/>
          </w:tcPr>
          <w:p>
            <w:pPr>
              <w:jc w:val="right"/>
              <w:ind w:right="2374"/>
              <w:spacing w:after="0"/>
              <w:rPr>
                <w:sz w:val="20"/>
                <w:szCs w:val="20"/>
                <w:color w:val="auto"/>
              </w:rPr>
            </w:pPr>
            <w:r>
              <w:rPr>
                <w:rFonts w:ascii="Arial" w:cs="Arial" w:eastAsia="Arial" w:hAnsi="Arial"/>
                <w:sz w:val="21"/>
                <w:szCs w:val="21"/>
                <w:b w:val="1"/>
                <w:bCs w:val="1"/>
                <w:color w:val="FFFFFF"/>
              </w:rPr>
              <w:t>17%</w:t>
            </w:r>
          </w:p>
        </w:tc>
        <w:tc>
          <w:tcPr>
            <w:tcW w:w="0" w:type="dxa"/>
            <w:vAlign w:val="bottom"/>
          </w:tcPr>
          <w:p>
            <w:pPr>
              <w:spacing w:after="0"/>
              <w:rPr>
                <w:sz w:val="1"/>
                <w:szCs w:val="1"/>
                <w:color w:val="auto"/>
              </w:rPr>
            </w:pPr>
          </w:p>
        </w:tc>
      </w:tr>
      <w:tr>
        <w:trPr>
          <w:trHeight w:val="222"/>
        </w:trPr>
        <w:tc>
          <w:tcPr>
            <w:tcW w:w="740" w:type="dxa"/>
            <w:vAlign w:val="bottom"/>
            <w:vMerge w:val="continue"/>
          </w:tcPr>
          <w:p>
            <w:pPr>
              <w:spacing w:after="0"/>
              <w:rPr>
                <w:sz w:val="19"/>
                <w:szCs w:val="19"/>
                <w:color w:val="auto"/>
              </w:rPr>
            </w:pPr>
          </w:p>
        </w:tc>
        <w:tc>
          <w:tcPr>
            <w:tcW w:w="2380" w:type="dxa"/>
            <w:vAlign w:val="bottom"/>
            <w:vMerge w:val="continue"/>
          </w:tcPr>
          <w:p>
            <w:pPr>
              <w:spacing w:after="0"/>
              <w:rPr>
                <w:sz w:val="19"/>
                <w:szCs w:val="19"/>
                <w:color w:val="auto"/>
              </w:rPr>
            </w:pPr>
          </w:p>
        </w:tc>
        <w:tc>
          <w:tcPr>
            <w:tcW w:w="6160" w:type="dxa"/>
            <w:vAlign w:val="bottom"/>
            <w:vMerge w:val="restart"/>
          </w:tcPr>
          <w:p>
            <w:pPr>
              <w:jc w:val="right"/>
              <w:ind w:right="2054"/>
              <w:spacing w:after="0"/>
              <w:rPr>
                <w:sz w:val="20"/>
                <w:szCs w:val="20"/>
                <w:color w:val="auto"/>
              </w:rPr>
            </w:pPr>
            <w:r>
              <w:rPr>
                <w:rFonts w:ascii="Arial" w:cs="Arial" w:eastAsia="Arial" w:hAnsi="Arial"/>
                <w:sz w:val="21"/>
                <w:szCs w:val="21"/>
                <w:b w:val="1"/>
                <w:bCs w:val="1"/>
                <w:color w:val="FFFFFF"/>
              </w:rPr>
              <w:t>19%</w:t>
            </w:r>
          </w:p>
        </w:tc>
        <w:tc>
          <w:tcPr>
            <w:tcW w:w="0" w:type="dxa"/>
            <w:vAlign w:val="bottom"/>
          </w:tcPr>
          <w:p>
            <w:pPr>
              <w:spacing w:after="0"/>
              <w:rPr>
                <w:sz w:val="1"/>
                <w:szCs w:val="1"/>
                <w:color w:val="auto"/>
              </w:rPr>
            </w:pPr>
          </w:p>
        </w:tc>
      </w:tr>
      <w:tr>
        <w:trPr>
          <w:trHeight w:val="72"/>
        </w:trPr>
        <w:tc>
          <w:tcPr>
            <w:tcW w:w="740" w:type="dxa"/>
            <w:vAlign w:val="bottom"/>
          </w:tcPr>
          <w:p>
            <w:pPr>
              <w:spacing w:after="0"/>
              <w:rPr>
                <w:sz w:val="6"/>
                <w:szCs w:val="6"/>
                <w:color w:val="auto"/>
              </w:rPr>
            </w:pPr>
          </w:p>
        </w:tc>
        <w:tc>
          <w:tcPr>
            <w:tcW w:w="2380" w:type="dxa"/>
            <w:vAlign w:val="bottom"/>
          </w:tcPr>
          <w:p>
            <w:pPr>
              <w:spacing w:after="0"/>
              <w:rPr>
                <w:sz w:val="6"/>
                <w:szCs w:val="6"/>
                <w:color w:val="auto"/>
              </w:rPr>
            </w:pPr>
          </w:p>
        </w:tc>
        <w:tc>
          <w:tcPr>
            <w:tcW w:w="6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4"/>
        </w:trPr>
        <w:tc>
          <w:tcPr>
            <w:tcW w:w="740" w:type="dxa"/>
            <w:vAlign w:val="bottom"/>
            <w:vMerge w:val="restart"/>
          </w:tcPr>
          <w:p>
            <w:pPr>
              <w:spacing w:after="0"/>
              <w:rPr>
                <w:sz w:val="20"/>
                <w:szCs w:val="20"/>
                <w:color w:val="auto"/>
              </w:rPr>
            </w:pPr>
            <w:r>
              <w:rPr>
                <w:rFonts w:ascii="Arial" w:cs="Arial" w:eastAsia="Arial" w:hAnsi="Arial"/>
                <w:sz w:val="28"/>
                <w:szCs w:val="28"/>
                <w:b w:val="1"/>
                <w:bCs w:val="1"/>
                <w:color w:val="D47C18"/>
              </w:rPr>
              <w:t>14%</w:t>
            </w:r>
          </w:p>
        </w:tc>
        <w:tc>
          <w:tcPr>
            <w:tcW w:w="2380" w:type="dxa"/>
            <w:vAlign w:val="bottom"/>
            <w:vMerge w:val="restart"/>
          </w:tcPr>
          <w:p>
            <w:pPr>
              <w:jc w:val="right"/>
              <w:ind w:right="399"/>
              <w:spacing w:after="0"/>
              <w:rPr>
                <w:sz w:val="20"/>
                <w:szCs w:val="20"/>
                <w:color w:val="auto"/>
              </w:rPr>
            </w:pPr>
            <w:r>
              <w:rPr>
                <w:rFonts w:ascii="Arial" w:cs="Arial" w:eastAsia="Arial" w:hAnsi="Arial"/>
                <w:sz w:val="28"/>
                <w:szCs w:val="28"/>
                <w:b w:val="1"/>
                <w:bCs w:val="1"/>
                <w:color w:val="auto"/>
              </w:rPr>
              <w:t>Australia/NZ</w:t>
            </w:r>
          </w:p>
        </w:tc>
        <w:tc>
          <w:tcPr>
            <w:tcW w:w="6160" w:type="dxa"/>
            <w:vAlign w:val="bottom"/>
          </w:tcPr>
          <w:p>
            <w:pPr>
              <w:jc w:val="right"/>
              <w:ind w:right="4674"/>
              <w:spacing w:after="0"/>
              <w:rPr>
                <w:sz w:val="20"/>
                <w:szCs w:val="20"/>
                <w:color w:val="auto"/>
              </w:rPr>
            </w:pPr>
            <w:r>
              <w:rPr>
                <w:rFonts w:ascii="Arial" w:cs="Arial" w:eastAsia="Arial" w:hAnsi="Arial"/>
                <w:sz w:val="21"/>
                <w:szCs w:val="21"/>
                <w:b w:val="1"/>
                <w:bCs w:val="1"/>
                <w:color w:val="FFFFFF"/>
              </w:rPr>
              <w:t>5%</w:t>
            </w:r>
          </w:p>
        </w:tc>
        <w:tc>
          <w:tcPr>
            <w:tcW w:w="0" w:type="dxa"/>
            <w:vAlign w:val="bottom"/>
          </w:tcPr>
          <w:p>
            <w:pPr>
              <w:spacing w:after="0"/>
              <w:rPr>
                <w:sz w:val="1"/>
                <w:szCs w:val="1"/>
                <w:color w:val="auto"/>
              </w:rPr>
            </w:pPr>
          </w:p>
        </w:tc>
      </w:tr>
      <w:tr>
        <w:trPr>
          <w:trHeight w:val="306"/>
        </w:trPr>
        <w:tc>
          <w:tcPr>
            <w:tcW w:w="740" w:type="dxa"/>
            <w:vAlign w:val="bottom"/>
            <w:vMerge w:val="continue"/>
          </w:tcPr>
          <w:p>
            <w:pPr>
              <w:spacing w:after="0"/>
              <w:rPr>
                <w:sz w:val="24"/>
                <w:szCs w:val="24"/>
                <w:color w:val="auto"/>
              </w:rPr>
            </w:pPr>
          </w:p>
        </w:tc>
        <w:tc>
          <w:tcPr>
            <w:tcW w:w="2380" w:type="dxa"/>
            <w:vAlign w:val="bottom"/>
            <w:vMerge w:val="continue"/>
          </w:tcPr>
          <w:p>
            <w:pPr>
              <w:spacing w:after="0"/>
              <w:rPr>
                <w:sz w:val="24"/>
                <w:szCs w:val="24"/>
                <w:color w:val="auto"/>
              </w:rPr>
            </w:pPr>
          </w:p>
        </w:tc>
        <w:tc>
          <w:tcPr>
            <w:tcW w:w="6160" w:type="dxa"/>
            <w:vAlign w:val="bottom"/>
          </w:tcPr>
          <w:p>
            <w:pPr>
              <w:jc w:val="right"/>
              <w:ind w:right="5194"/>
              <w:spacing w:after="0"/>
              <w:rPr>
                <w:sz w:val="20"/>
                <w:szCs w:val="20"/>
                <w:color w:val="auto"/>
              </w:rPr>
            </w:pPr>
            <w:r>
              <w:rPr>
                <w:rFonts w:ascii="Arial" w:cs="Arial" w:eastAsia="Arial" w:hAnsi="Arial"/>
                <w:sz w:val="21"/>
                <w:szCs w:val="21"/>
                <w:b w:val="1"/>
                <w:bCs w:val="1"/>
                <w:color w:val="FFFFFF"/>
              </w:rPr>
              <w:t>2%</w:t>
            </w:r>
          </w:p>
        </w:tc>
        <w:tc>
          <w:tcPr>
            <w:tcW w:w="0" w:type="dxa"/>
            <w:vAlign w:val="bottom"/>
          </w:tcPr>
          <w:p>
            <w:pPr>
              <w:spacing w:after="0"/>
              <w:rPr>
                <w:sz w:val="1"/>
                <w:szCs w:val="1"/>
                <w:color w:val="auto"/>
              </w:rPr>
            </w:pPr>
          </w:p>
        </w:tc>
      </w:tr>
      <w:tr>
        <w:trPr>
          <w:trHeight w:val="670"/>
        </w:trPr>
        <w:tc>
          <w:tcPr>
            <w:tcW w:w="740" w:type="dxa"/>
            <w:vAlign w:val="bottom"/>
            <w:vMerge w:val="restart"/>
          </w:tcPr>
          <w:p>
            <w:pPr>
              <w:ind w:left="20"/>
              <w:spacing w:after="0"/>
              <w:rPr>
                <w:sz w:val="20"/>
                <w:szCs w:val="20"/>
                <w:color w:val="auto"/>
              </w:rPr>
            </w:pPr>
            <w:r>
              <w:rPr>
                <w:rFonts w:ascii="Arial" w:cs="Arial" w:eastAsia="Arial" w:hAnsi="Arial"/>
                <w:sz w:val="28"/>
                <w:szCs w:val="28"/>
                <w:b w:val="1"/>
                <w:bCs w:val="1"/>
                <w:color w:val="D47C18"/>
              </w:rPr>
              <w:t>34%</w:t>
            </w:r>
          </w:p>
        </w:tc>
        <w:tc>
          <w:tcPr>
            <w:tcW w:w="2380" w:type="dxa"/>
            <w:vAlign w:val="bottom"/>
            <w:vMerge w:val="restart"/>
          </w:tcPr>
          <w:p>
            <w:pPr>
              <w:jc w:val="right"/>
              <w:ind w:right="439"/>
              <w:spacing w:after="0"/>
              <w:rPr>
                <w:sz w:val="20"/>
                <w:szCs w:val="20"/>
                <w:color w:val="auto"/>
              </w:rPr>
            </w:pPr>
            <w:r>
              <w:rPr>
                <w:rFonts w:ascii="Arial" w:cs="Arial" w:eastAsia="Arial" w:hAnsi="Arial"/>
                <w:sz w:val="28"/>
                <w:szCs w:val="28"/>
                <w:b w:val="1"/>
                <w:bCs w:val="1"/>
                <w:color w:val="auto"/>
              </w:rPr>
              <w:t>Other</w:t>
            </w:r>
          </w:p>
        </w:tc>
        <w:tc>
          <w:tcPr>
            <w:tcW w:w="6160" w:type="dxa"/>
            <w:vAlign w:val="bottom"/>
          </w:tcPr>
          <w:p>
            <w:pPr>
              <w:jc w:val="right"/>
              <w:spacing w:after="0"/>
              <w:rPr>
                <w:sz w:val="20"/>
                <w:szCs w:val="20"/>
                <w:color w:val="auto"/>
              </w:rPr>
            </w:pPr>
            <w:r>
              <w:rPr>
                <w:rFonts w:ascii="Arial" w:cs="Arial" w:eastAsia="Arial" w:hAnsi="Arial"/>
                <w:sz w:val="21"/>
                <w:szCs w:val="21"/>
                <w:b w:val="1"/>
                <w:bCs w:val="1"/>
                <w:color w:val="FFFFFF"/>
              </w:rPr>
              <w:t>30%</w:t>
            </w:r>
          </w:p>
        </w:tc>
        <w:tc>
          <w:tcPr>
            <w:tcW w:w="0" w:type="dxa"/>
            <w:vAlign w:val="bottom"/>
          </w:tcPr>
          <w:p>
            <w:pPr>
              <w:spacing w:after="0"/>
              <w:rPr>
                <w:sz w:val="1"/>
                <w:szCs w:val="1"/>
                <w:color w:val="auto"/>
              </w:rPr>
            </w:pPr>
          </w:p>
        </w:tc>
      </w:tr>
      <w:tr>
        <w:trPr>
          <w:trHeight w:val="210"/>
        </w:trPr>
        <w:tc>
          <w:tcPr>
            <w:tcW w:w="740" w:type="dxa"/>
            <w:vAlign w:val="bottom"/>
            <w:vMerge w:val="continue"/>
          </w:tcPr>
          <w:p>
            <w:pPr>
              <w:spacing w:after="0"/>
              <w:rPr>
                <w:sz w:val="18"/>
                <w:szCs w:val="18"/>
                <w:color w:val="auto"/>
              </w:rPr>
            </w:pPr>
          </w:p>
        </w:tc>
        <w:tc>
          <w:tcPr>
            <w:tcW w:w="2380" w:type="dxa"/>
            <w:vAlign w:val="bottom"/>
            <w:vMerge w:val="continue"/>
          </w:tcPr>
          <w:p>
            <w:pPr>
              <w:spacing w:after="0"/>
              <w:rPr>
                <w:sz w:val="18"/>
                <w:szCs w:val="18"/>
                <w:color w:val="auto"/>
              </w:rPr>
            </w:pPr>
          </w:p>
        </w:tc>
        <w:tc>
          <w:tcPr>
            <w:tcW w:w="6160" w:type="dxa"/>
            <w:vAlign w:val="bottom"/>
            <w:vMerge w:val="restart"/>
          </w:tcPr>
          <w:p>
            <w:pPr>
              <w:jc w:val="right"/>
              <w:ind w:right="454"/>
              <w:spacing w:after="0"/>
              <w:rPr>
                <w:sz w:val="20"/>
                <w:szCs w:val="20"/>
                <w:color w:val="auto"/>
              </w:rPr>
            </w:pPr>
            <w:r>
              <w:rPr>
                <w:rFonts w:ascii="Arial" w:cs="Arial" w:eastAsia="Arial" w:hAnsi="Arial"/>
                <w:sz w:val="21"/>
                <w:szCs w:val="21"/>
                <w:b w:val="1"/>
                <w:bCs w:val="1"/>
                <w:color w:val="FFFFFF"/>
              </w:rPr>
              <w:t>27%</w:t>
            </w:r>
          </w:p>
        </w:tc>
        <w:tc>
          <w:tcPr>
            <w:tcW w:w="0" w:type="dxa"/>
            <w:vAlign w:val="bottom"/>
          </w:tcPr>
          <w:p>
            <w:pPr>
              <w:spacing w:after="0"/>
              <w:rPr>
                <w:sz w:val="1"/>
                <w:szCs w:val="1"/>
                <w:color w:val="auto"/>
              </w:rPr>
            </w:pPr>
          </w:p>
        </w:tc>
      </w:tr>
      <w:tr>
        <w:trPr>
          <w:trHeight w:val="94"/>
        </w:trPr>
        <w:tc>
          <w:tcPr>
            <w:tcW w:w="740" w:type="dxa"/>
            <w:vAlign w:val="bottom"/>
            <w:vMerge w:val="continue"/>
          </w:tcPr>
          <w:p>
            <w:pPr>
              <w:spacing w:after="0"/>
              <w:rPr>
                <w:sz w:val="8"/>
                <w:szCs w:val="8"/>
                <w:color w:val="auto"/>
              </w:rPr>
            </w:pPr>
          </w:p>
        </w:tc>
        <w:tc>
          <w:tcPr>
            <w:tcW w:w="2380" w:type="dxa"/>
            <w:vAlign w:val="bottom"/>
          </w:tcPr>
          <w:p>
            <w:pPr>
              <w:spacing w:after="0"/>
              <w:rPr>
                <w:sz w:val="8"/>
                <w:szCs w:val="8"/>
                <w:color w:val="auto"/>
              </w:rPr>
            </w:pPr>
          </w:p>
        </w:tc>
        <w:tc>
          <w:tcPr>
            <w:tcW w:w="6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300"/>
        <w:spacing w:after="0"/>
        <w:tabs>
          <w:tab w:leader="none" w:pos="5520" w:val="left"/>
        </w:tabs>
        <w:rPr>
          <w:sz w:val="20"/>
          <w:szCs w:val="20"/>
          <w:color w:val="auto"/>
        </w:rPr>
      </w:pPr>
      <w:r>
        <w:rPr>
          <w:rFonts w:ascii="Arial" w:cs="Arial" w:eastAsia="Arial" w:hAnsi="Arial"/>
          <w:sz w:val="22"/>
          <w:szCs w:val="22"/>
          <w:b w:val="1"/>
          <w:bCs w:val="1"/>
          <w:color w:val="auto"/>
        </w:rPr>
        <w:t>Revenue Growth</w:t>
      </w:r>
      <w:r>
        <w:rPr>
          <w:sz w:val="20"/>
          <w:szCs w:val="20"/>
          <w:color w:val="auto"/>
        </w:rPr>
        <w:tab/>
      </w:r>
      <w:r>
        <w:rPr>
          <w:rFonts w:ascii="Arial" w:cs="Arial" w:eastAsia="Arial" w:hAnsi="Arial"/>
          <w:sz w:val="22"/>
          <w:szCs w:val="22"/>
          <w:b w:val="1"/>
          <w:bCs w:val="1"/>
          <w:color w:val="auto"/>
        </w:rPr>
        <w:t>Revenue Growth - CC</w:t>
      </w:r>
    </w:p>
    <w:p>
      <w:pPr>
        <w:sectPr>
          <w:pgSz w:w="11900" w:h="16838" w:orient="portrait"/>
          <w:cols w:equalWidth="0" w:num="1">
            <w:col w:w="9880"/>
          </w:cols>
          <w:pgMar w:left="1200" w:top="459" w:right="819" w:bottom="1440" w:gutter="0" w:footer="0" w:header="0"/>
        </w:sectPr>
      </w:pPr>
    </w:p>
    <w:bookmarkStart w:id="24" w:name="page25"/>
    <w:bookmarkEnd w:id="24"/>
    <w:p>
      <w:pPr>
        <w:spacing w:after="0"/>
        <w:tabs>
          <w:tab w:leader="none" w:pos="9580" w:val="left"/>
        </w:tabs>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t>Manpower Inc. 2006 4</w:t>
      </w:r>
      <w:r>
        <w:rPr>
          <w:rFonts w:ascii="Arial" w:cs="Arial" w:eastAsia="Arial" w:hAnsi="Arial"/>
          <w:sz w:val="28"/>
          <w:szCs w:val="28"/>
          <w:color w:val="FFFFFF"/>
          <w:vertAlign w:val="superscript"/>
        </w:rPr>
        <w:t>th</w:t>
      </w:r>
      <w:r>
        <w:rPr>
          <w:rFonts w:ascii="Arial" w:cs="Arial" w:eastAsia="Arial" w:hAnsi="Arial"/>
          <w:sz w:val="22"/>
          <w:szCs w:val="22"/>
          <w:color w:val="FFFFFF"/>
        </w:rPr>
        <w:t xml:space="preserve"> Quarter Results</w:t>
      </w:r>
      <w:r>
        <w:rPr>
          <w:sz w:val="20"/>
          <w:szCs w:val="20"/>
          <w:color w:val="auto"/>
        </w:rPr>
        <w:tab/>
      </w:r>
      <w:r>
        <w:rPr>
          <w:rFonts w:ascii="Arial" w:cs="Arial" w:eastAsia="Arial" w:hAnsi="Arial"/>
          <w:sz w:val="22"/>
          <w:szCs w:val="22"/>
          <w:color w:val="FFFFFF"/>
        </w:rPr>
        <w:t>13</w:t>
      </w:r>
    </w:p>
    <w:p>
      <w:pPr>
        <w:sectPr>
          <w:pgSz w:w="11900" w:h="16838" w:orient="portrait"/>
          <w:cols w:equalWidth="0" w:num="1">
            <w:col w:w="9860"/>
          </w:cols>
          <w:pgMar w:left="1220" w:top="459"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380"/>
        <w:spacing w:after="0"/>
        <w:rPr>
          <w:sz w:val="20"/>
          <w:szCs w:val="20"/>
          <w:color w:val="auto"/>
        </w:rPr>
      </w:pPr>
      <w:r>
        <w:rPr>
          <w:rFonts w:ascii="Arial" w:cs="Arial" w:eastAsia="Arial" w:hAnsi="Arial"/>
          <w:sz w:val="85"/>
          <w:szCs w:val="85"/>
          <w:color w:val="6698C2"/>
        </w:rPr>
        <w:t>Financial Highlights</w:t>
      </w:r>
    </w:p>
    <w:p>
      <w:pPr>
        <w:sectPr>
          <w:pgSz w:w="11900" w:h="16838" w:orient="portrait"/>
          <w:cols w:equalWidth="0" w:num="1">
            <w:col w:w="9860"/>
          </w:cols>
          <w:pgMar w:left="1220" w:top="459" w:right="819" w:bottom="1440" w:gutter="0" w:footer="0" w:header="0"/>
          <w:type w:val="continuous"/>
        </w:sectPr>
      </w:pPr>
    </w:p>
    <w:bookmarkStart w:id="25" w:name="page26"/>
    <w:bookmarkEnd w:id="25"/>
    <w:tbl>
      <w:tblPr>
        <w:tblLayout w:type="fixed"/>
        <w:tblInd w:w="440" w:type="dxa"/>
        <w:tblCellMar>
          <w:top w:w="0" w:type="dxa"/>
          <w:left w:w="0" w:type="dxa"/>
          <w:bottom w:w="0" w:type="dxa"/>
          <w:right w:w="0" w:type="dxa"/>
        </w:tblCellMar>
      </w:tblPr>
      <w:tr>
        <w:trPr>
          <w:trHeight w:val="361"/>
        </w:trPr>
        <w:tc>
          <w:tcPr>
            <w:tcW w:w="6780" w:type="dxa"/>
            <w:vAlign w:val="bottom"/>
          </w:tcPr>
          <w:p>
            <w:pPr>
              <w:spacing w:after="0"/>
              <w:rPr>
                <w:sz w:val="20"/>
                <w:szCs w:val="20"/>
                <w:color w:val="auto"/>
              </w:rPr>
            </w:pPr>
            <w:r>
              <w:rPr>
                <w:rFonts w:ascii="Arial" w:cs="Arial" w:eastAsia="Arial" w:hAnsi="Arial"/>
                <w:sz w:val="22"/>
                <w:szCs w:val="22"/>
                <w:color w:val="FFFFFF"/>
              </w:rPr>
              <w:t>Manpower Inc. 2006 4</w:t>
            </w:r>
            <w:r>
              <w:rPr>
                <w:rFonts w:ascii="Arial" w:cs="Arial" w:eastAsia="Arial" w:hAnsi="Arial"/>
                <w:sz w:val="28"/>
                <w:szCs w:val="28"/>
                <w:color w:val="FFFFFF"/>
                <w:vertAlign w:val="superscript"/>
              </w:rPr>
              <w:t>th</w:t>
            </w:r>
            <w:r>
              <w:rPr>
                <w:rFonts w:ascii="Arial" w:cs="Arial" w:eastAsia="Arial" w:hAnsi="Arial"/>
                <w:sz w:val="22"/>
                <w:szCs w:val="22"/>
                <w:color w:val="FFFFFF"/>
              </w:rPr>
              <w:t xml:space="preserve"> Quarter Results</w:t>
            </w:r>
          </w:p>
        </w:tc>
        <w:tc>
          <w:tcPr>
            <w:tcW w:w="3080" w:type="dxa"/>
            <w:vAlign w:val="bottom"/>
          </w:tcPr>
          <w:p>
            <w:pPr>
              <w:jc w:val="right"/>
              <w:spacing w:after="0"/>
              <w:rPr>
                <w:sz w:val="20"/>
                <w:szCs w:val="20"/>
                <w:color w:val="auto"/>
              </w:rPr>
            </w:pPr>
            <w:r>
              <w:rPr>
                <w:rFonts w:ascii="Arial" w:cs="Arial" w:eastAsia="Arial" w:hAnsi="Arial"/>
                <w:sz w:val="22"/>
                <w:szCs w:val="22"/>
                <w:color w:val="FFFFFF"/>
              </w:rPr>
              <w:t>14</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40"/>
        <w:spacing w:after="0"/>
        <w:rPr>
          <w:sz w:val="20"/>
          <w:szCs w:val="20"/>
          <w:color w:val="auto"/>
        </w:rPr>
      </w:pPr>
      <w:r>
        <w:rPr>
          <w:rFonts w:ascii="Arial" w:cs="Arial" w:eastAsia="Arial" w:hAnsi="Arial"/>
          <w:sz w:val="47"/>
          <w:szCs w:val="47"/>
          <w:color w:val="7EA190"/>
        </w:rPr>
        <w:t>Balance Sheet Highlights</w:t>
      </w:r>
    </w:p>
    <w:p>
      <w:pPr>
        <w:sectPr>
          <w:pgSz w:w="11900" w:h="16838" w:orient="portrait"/>
          <w:cols w:equalWidth="0" w:num="1">
            <w:col w:w="10300"/>
          </w:cols>
          <w:pgMar w:left="780" w:top="459" w:right="819" w:bottom="1440" w:gutter="0" w:footer="0" w:header="0"/>
        </w:sectPr>
      </w:pPr>
    </w:p>
    <w:p>
      <w:pPr>
        <w:spacing w:after="0" w:line="127" w:lineRule="exact"/>
        <w:rPr>
          <w:sz w:val="20"/>
          <w:szCs w:val="20"/>
          <w:color w:val="auto"/>
        </w:rPr>
      </w:pPr>
    </w:p>
    <w:tbl>
      <w:tblPr>
        <w:tblLayout w:type="fixed"/>
        <w:tblInd w:w="400" w:type="dxa"/>
        <w:tblCellMar>
          <w:top w:w="0" w:type="dxa"/>
          <w:left w:w="0" w:type="dxa"/>
          <w:bottom w:w="0" w:type="dxa"/>
          <w:right w:w="0" w:type="dxa"/>
        </w:tblCellMar>
      </w:tblPr>
      <w:tr>
        <w:trPr>
          <w:trHeight w:val="289"/>
        </w:trPr>
        <w:tc>
          <w:tcPr>
            <w:tcW w:w="1340" w:type="dxa"/>
            <w:vAlign w:val="bottom"/>
          </w:tcPr>
          <w:p>
            <w:pPr>
              <w:ind w:left="20"/>
              <w:spacing w:after="0"/>
              <w:rPr>
                <w:sz w:val="20"/>
                <w:szCs w:val="20"/>
                <w:color w:val="auto"/>
              </w:rPr>
            </w:pPr>
            <w:r>
              <w:rPr>
                <w:rFonts w:ascii="Arial" w:cs="Arial" w:eastAsia="Arial" w:hAnsi="Arial"/>
                <w:sz w:val="22"/>
                <w:szCs w:val="22"/>
                <w:b w:val="1"/>
                <w:bCs w:val="1"/>
                <w:color w:val="auto"/>
              </w:rPr>
              <w:t>Total Debt</w:t>
            </w:r>
          </w:p>
        </w:tc>
        <w:tc>
          <w:tcPr>
            <w:tcW w:w="1120" w:type="dxa"/>
            <w:vAlign w:val="bottom"/>
          </w:tcPr>
          <w:p>
            <w:pPr>
              <w:jc w:val="right"/>
              <w:ind w:right="208"/>
              <w:spacing w:after="0"/>
              <w:rPr>
                <w:sz w:val="20"/>
                <w:szCs w:val="20"/>
                <w:color w:val="auto"/>
              </w:rPr>
            </w:pPr>
            <w:r>
              <w:rPr>
                <w:rFonts w:ascii="Arial" w:cs="Arial" w:eastAsia="Arial" w:hAnsi="Arial"/>
                <w:sz w:val="22"/>
                <w:szCs w:val="22"/>
                <w:color w:val="auto"/>
              </w:rPr>
              <w:t>1,000</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340" w:type="dxa"/>
            <w:vAlign w:val="bottom"/>
          </w:tcPr>
          <w:p>
            <w:pPr>
              <w:spacing w:after="0"/>
              <w:rPr>
                <w:sz w:val="20"/>
                <w:szCs w:val="20"/>
                <w:color w:val="auto"/>
              </w:rPr>
            </w:pPr>
            <w:r>
              <w:rPr>
                <w:rFonts w:ascii="Arial" w:cs="Arial" w:eastAsia="Arial" w:hAnsi="Arial"/>
                <w:sz w:val="19"/>
                <w:szCs w:val="19"/>
                <w:color w:val="auto"/>
              </w:rPr>
              <w:t>($ in millions)</w:t>
            </w:r>
          </w:p>
        </w:tc>
        <w:tc>
          <w:tcPr>
            <w:tcW w:w="112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Arial" w:cs="Arial" w:eastAsia="Arial" w:hAnsi="Arial"/>
                <w:sz w:val="25"/>
                <w:szCs w:val="25"/>
                <w:b w:val="1"/>
                <w:bCs w:val="1"/>
                <w:color w:val="FFFFFF"/>
              </w:rPr>
              <w:t>842</w:t>
            </w:r>
          </w:p>
        </w:tc>
        <w:tc>
          <w:tcPr>
            <w:tcW w:w="0" w:type="dxa"/>
            <w:vAlign w:val="bottom"/>
          </w:tcPr>
          <w:p>
            <w:pPr>
              <w:spacing w:after="0"/>
              <w:rPr>
                <w:sz w:val="1"/>
                <w:szCs w:val="1"/>
                <w:color w:val="auto"/>
              </w:rPr>
            </w:pPr>
          </w:p>
        </w:tc>
      </w:tr>
      <w:tr>
        <w:trPr>
          <w:trHeight w:val="322"/>
        </w:trPr>
        <w:tc>
          <w:tcPr>
            <w:tcW w:w="1340" w:type="dxa"/>
            <w:vAlign w:val="bottom"/>
          </w:tcPr>
          <w:p>
            <w:pPr>
              <w:spacing w:after="0"/>
              <w:rPr>
                <w:sz w:val="24"/>
                <w:szCs w:val="24"/>
                <w:color w:val="auto"/>
              </w:rPr>
            </w:pPr>
          </w:p>
        </w:tc>
        <w:tc>
          <w:tcPr>
            <w:tcW w:w="1120" w:type="dxa"/>
            <w:vAlign w:val="bottom"/>
          </w:tcPr>
          <w:p>
            <w:pPr>
              <w:jc w:val="right"/>
              <w:ind w:right="208"/>
              <w:spacing w:after="0"/>
              <w:rPr>
                <w:sz w:val="20"/>
                <w:szCs w:val="20"/>
                <w:color w:val="auto"/>
              </w:rPr>
            </w:pPr>
            <w:r>
              <w:rPr>
                <w:rFonts w:ascii="Arial" w:cs="Arial" w:eastAsia="Arial" w:hAnsi="Arial"/>
                <w:sz w:val="22"/>
                <w:szCs w:val="22"/>
                <w:color w:val="auto"/>
              </w:rPr>
              <w:t>750</w:t>
            </w:r>
          </w:p>
        </w:tc>
        <w:tc>
          <w:tcPr>
            <w:tcW w:w="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70"/>
        </w:trPr>
        <w:tc>
          <w:tcPr>
            <w:tcW w:w="1340" w:type="dxa"/>
            <w:vAlign w:val="bottom"/>
          </w:tcPr>
          <w:p>
            <w:pPr>
              <w:spacing w:after="0"/>
              <w:rPr>
                <w:sz w:val="24"/>
                <w:szCs w:val="24"/>
                <w:color w:val="auto"/>
              </w:rPr>
            </w:pPr>
          </w:p>
        </w:tc>
        <w:tc>
          <w:tcPr>
            <w:tcW w:w="1120" w:type="dxa"/>
            <w:vAlign w:val="bottom"/>
          </w:tcPr>
          <w:p>
            <w:pPr>
              <w:jc w:val="right"/>
              <w:ind w:right="208"/>
              <w:spacing w:after="0"/>
              <w:rPr>
                <w:sz w:val="20"/>
                <w:szCs w:val="20"/>
                <w:color w:val="auto"/>
              </w:rPr>
            </w:pPr>
            <w:r>
              <w:rPr>
                <w:rFonts w:ascii="Arial" w:cs="Arial" w:eastAsia="Arial" w:hAnsi="Arial"/>
                <w:sz w:val="22"/>
                <w:szCs w:val="22"/>
                <w:color w:val="auto"/>
              </w:rPr>
              <w:t>500</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0"/>
        </w:trPr>
        <w:tc>
          <w:tcPr>
            <w:tcW w:w="1340" w:type="dxa"/>
            <w:vAlign w:val="bottom"/>
          </w:tcPr>
          <w:p>
            <w:pPr>
              <w:spacing w:after="0"/>
              <w:rPr>
                <w:sz w:val="24"/>
                <w:szCs w:val="24"/>
                <w:color w:val="auto"/>
              </w:rPr>
            </w:pPr>
          </w:p>
        </w:tc>
        <w:tc>
          <w:tcPr>
            <w:tcW w:w="1120" w:type="dxa"/>
            <w:vAlign w:val="bottom"/>
          </w:tcPr>
          <w:p>
            <w:pPr>
              <w:jc w:val="right"/>
              <w:ind w:right="208"/>
              <w:spacing w:after="0"/>
              <w:rPr>
                <w:sz w:val="20"/>
                <w:szCs w:val="20"/>
                <w:color w:val="auto"/>
              </w:rPr>
            </w:pPr>
            <w:r>
              <w:rPr>
                <w:rFonts w:ascii="Arial" w:cs="Arial" w:eastAsia="Arial" w:hAnsi="Arial"/>
                <w:sz w:val="22"/>
                <w:szCs w:val="22"/>
                <w:color w:val="auto"/>
              </w:rPr>
              <w:t>250</w:t>
            </w:r>
          </w:p>
        </w:tc>
        <w:tc>
          <w:tcPr>
            <w:tcW w:w="740" w:type="dxa"/>
            <w:vAlign w:val="bottom"/>
          </w:tcPr>
          <w:p>
            <w:pPr>
              <w:jc w:val="right"/>
              <w:spacing w:after="0"/>
              <w:rPr>
                <w:sz w:val="20"/>
                <w:szCs w:val="20"/>
                <w:color w:val="auto"/>
              </w:rPr>
            </w:pPr>
            <w:r>
              <w:rPr>
                <w:rFonts w:ascii="Arial" w:cs="Arial" w:eastAsia="Arial" w:hAnsi="Arial"/>
                <w:sz w:val="25"/>
                <w:szCs w:val="25"/>
                <w:b w:val="1"/>
                <w:bCs w:val="1"/>
                <w:color w:val="FFFFFF"/>
              </w:rPr>
              <w:t>416</w:t>
            </w:r>
          </w:p>
        </w:tc>
        <w:tc>
          <w:tcPr>
            <w:tcW w:w="0" w:type="dxa"/>
            <w:vAlign w:val="bottom"/>
          </w:tcPr>
          <w:p>
            <w:pPr>
              <w:spacing w:after="0"/>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2840" w:type="dxa"/>
            <w:vAlign w:val="bottom"/>
          </w:tcPr>
          <w:p>
            <w:pPr>
              <w:jc w:val="right"/>
              <w:ind w:right="168"/>
              <w:spacing w:after="0"/>
              <w:rPr>
                <w:sz w:val="20"/>
                <w:szCs w:val="20"/>
                <w:color w:val="auto"/>
              </w:rPr>
            </w:pPr>
            <w:r>
              <w:rPr>
                <w:rFonts w:ascii="Arial" w:cs="Arial" w:eastAsia="Arial" w:hAnsi="Arial"/>
                <w:sz w:val="22"/>
                <w:szCs w:val="22"/>
                <w:color w:val="auto"/>
              </w:rPr>
              <w:t>0</w:t>
            </w: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5"/>
        </w:trPr>
        <w:tc>
          <w:tcPr>
            <w:tcW w:w="28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5"/>
                <w:szCs w:val="25"/>
                <w:color w:val="auto"/>
              </w:rPr>
              <w:t>2003</w:t>
            </w:r>
          </w:p>
        </w:tc>
        <w:tc>
          <w:tcPr>
            <w:tcW w:w="0" w:type="dxa"/>
            <w:vAlign w:val="bottom"/>
          </w:tcPr>
          <w:p>
            <w:pPr>
              <w:spacing w:after="0"/>
              <w:rPr>
                <w:sz w:val="1"/>
                <w:szCs w:val="1"/>
                <w:color w:val="auto"/>
              </w:rPr>
            </w:pPr>
          </w:p>
        </w:tc>
      </w:tr>
      <w:tr>
        <w:trPr>
          <w:trHeight w:val="354"/>
        </w:trPr>
        <w:tc>
          <w:tcPr>
            <w:tcW w:w="2840" w:type="dxa"/>
            <w:vAlign w:val="bottom"/>
          </w:tcPr>
          <w:p>
            <w:pPr>
              <w:jc w:val="right"/>
              <w:ind w:right="1048"/>
              <w:spacing w:after="0"/>
              <w:rPr>
                <w:sz w:val="20"/>
                <w:szCs w:val="20"/>
                <w:color w:val="auto"/>
              </w:rPr>
            </w:pPr>
            <w:r>
              <w:rPr>
                <w:rFonts w:ascii="Arial" w:cs="Arial" w:eastAsia="Arial" w:hAnsi="Arial"/>
                <w:sz w:val="22"/>
                <w:szCs w:val="22"/>
                <w:b w:val="1"/>
                <w:bCs w:val="1"/>
                <w:color w:val="auto"/>
              </w:rPr>
              <w:t>Total Debt to</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840" w:type="dxa"/>
            <w:vAlign w:val="bottom"/>
          </w:tcPr>
          <w:p>
            <w:pPr>
              <w:jc w:val="right"/>
              <w:ind w:right="708"/>
              <w:spacing w:after="0"/>
              <w:rPr>
                <w:sz w:val="20"/>
                <w:szCs w:val="20"/>
                <w:color w:val="auto"/>
              </w:rPr>
            </w:pPr>
            <w:r>
              <w:rPr>
                <w:rFonts w:ascii="Arial" w:cs="Arial" w:eastAsia="Arial" w:hAnsi="Arial"/>
                <w:sz w:val="22"/>
                <w:szCs w:val="22"/>
                <w:b w:val="1"/>
                <w:bCs w:val="1"/>
                <w:color w:val="auto"/>
                <w:w w:val="99"/>
              </w:rPr>
              <w:t>Total Capitalization</w:t>
            </w: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2840" w:type="dxa"/>
            <w:vAlign w:val="bottom"/>
          </w:tcPr>
          <w:p>
            <w:pPr>
              <w:jc w:val="right"/>
              <w:ind w:right="148"/>
              <w:spacing w:after="0"/>
              <w:rPr>
                <w:sz w:val="20"/>
                <w:szCs w:val="20"/>
                <w:color w:val="auto"/>
              </w:rPr>
            </w:pPr>
            <w:r>
              <w:rPr>
                <w:rFonts w:ascii="Arial" w:cs="Arial" w:eastAsia="Arial" w:hAnsi="Arial"/>
                <w:sz w:val="22"/>
                <w:szCs w:val="22"/>
                <w:color w:val="auto"/>
              </w:rPr>
              <w:t>40%</w:t>
            </w:r>
          </w:p>
        </w:tc>
        <w:tc>
          <w:tcPr>
            <w:tcW w:w="860" w:type="dxa"/>
            <w:vAlign w:val="bottom"/>
            <w:vMerge w:val="restart"/>
          </w:tcPr>
          <w:p>
            <w:pPr>
              <w:jc w:val="right"/>
              <w:spacing w:after="0"/>
              <w:rPr>
                <w:sz w:val="20"/>
                <w:szCs w:val="20"/>
                <w:color w:val="auto"/>
              </w:rPr>
            </w:pPr>
            <w:r>
              <w:rPr>
                <w:rFonts w:ascii="Arial" w:cs="Arial" w:eastAsia="Arial" w:hAnsi="Arial"/>
                <w:sz w:val="25"/>
                <w:szCs w:val="25"/>
                <w:b w:val="1"/>
                <w:bCs w:val="1"/>
                <w:color w:val="FFFFFF"/>
              </w:rPr>
              <w:t>39%</w:t>
            </w:r>
          </w:p>
        </w:tc>
        <w:tc>
          <w:tcPr>
            <w:tcW w:w="0" w:type="dxa"/>
            <w:vAlign w:val="bottom"/>
          </w:tcPr>
          <w:p>
            <w:pPr>
              <w:spacing w:after="0"/>
              <w:rPr>
                <w:sz w:val="1"/>
                <w:szCs w:val="1"/>
                <w:color w:val="auto"/>
              </w:rPr>
            </w:pPr>
          </w:p>
        </w:tc>
      </w:tr>
      <w:tr>
        <w:trPr>
          <w:trHeight w:val="302"/>
        </w:trPr>
        <w:tc>
          <w:tcPr>
            <w:tcW w:w="2840" w:type="dxa"/>
            <w:vAlign w:val="bottom"/>
            <w:vMerge w:val="restart"/>
          </w:tcPr>
          <w:p>
            <w:pPr>
              <w:jc w:val="right"/>
              <w:ind w:right="148"/>
              <w:spacing w:after="0"/>
              <w:rPr>
                <w:sz w:val="20"/>
                <w:szCs w:val="20"/>
                <w:color w:val="auto"/>
              </w:rPr>
            </w:pPr>
            <w:r>
              <w:rPr>
                <w:rFonts w:ascii="Arial" w:cs="Arial" w:eastAsia="Arial" w:hAnsi="Arial"/>
                <w:sz w:val="22"/>
                <w:szCs w:val="22"/>
                <w:color w:val="auto"/>
              </w:rPr>
              <w:t>30%</w:t>
            </w:r>
          </w:p>
        </w:tc>
        <w:tc>
          <w:tcPr>
            <w:tcW w:w="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840" w:type="dxa"/>
            <w:vAlign w:val="bottom"/>
            <w:vMerge w:val="continue"/>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47"/>
        </w:trPr>
        <w:tc>
          <w:tcPr>
            <w:tcW w:w="2840" w:type="dxa"/>
            <w:vAlign w:val="bottom"/>
          </w:tcPr>
          <w:p>
            <w:pPr>
              <w:jc w:val="right"/>
              <w:ind w:right="148"/>
              <w:spacing w:after="0"/>
              <w:rPr>
                <w:sz w:val="20"/>
                <w:szCs w:val="20"/>
                <w:color w:val="auto"/>
              </w:rPr>
            </w:pPr>
            <w:r>
              <w:rPr>
                <w:rFonts w:ascii="Arial" w:cs="Arial" w:eastAsia="Arial" w:hAnsi="Arial"/>
                <w:sz w:val="22"/>
                <w:szCs w:val="22"/>
                <w:color w:val="auto"/>
              </w:rPr>
              <w:t>20%</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2840" w:type="dxa"/>
            <w:vAlign w:val="bottom"/>
          </w:tcPr>
          <w:p>
            <w:pPr>
              <w:jc w:val="right"/>
              <w:ind w:right="148"/>
              <w:spacing w:after="0"/>
              <w:rPr>
                <w:sz w:val="20"/>
                <w:szCs w:val="20"/>
                <w:color w:val="auto"/>
              </w:rPr>
            </w:pPr>
            <w:r>
              <w:rPr>
                <w:rFonts w:ascii="Arial" w:cs="Arial" w:eastAsia="Arial" w:hAnsi="Arial"/>
                <w:sz w:val="22"/>
                <w:szCs w:val="22"/>
                <w:color w:val="auto"/>
              </w:rPr>
              <w:t>10%</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2840" w:type="dxa"/>
            <w:vAlign w:val="bottom"/>
          </w:tcPr>
          <w:p>
            <w:pPr>
              <w:jc w:val="right"/>
              <w:ind w:right="148"/>
              <w:spacing w:after="0"/>
              <w:rPr>
                <w:sz w:val="20"/>
                <w:szCs w:val="20"/>
                <w:color w:val="auto"/>
              </w:rPr>
            </w:pPr>
            <w:r>
              <w:rPr>
                <w:rFonts w:ascii="Arial" w:cs="Arial" w:eastAsia="Arial" w:hAnsi="Arial"/>
                <w:sz w:val="22"/>
                <w:szCs w:val="22"/>
                <w:color w:val="auto"/>
              </w:rPr>
              <w:t>0%</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8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5"/>
                <w:szCs w:val="25"/>
                <w:color w:val="auto"/>
              </w:rPr>
              <w:t>2003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spacing w:after="0" w:line="1" w:lineRule="exact"/>
        <w:rPr>
          <w:sz w:val="1"/>
          <w:szCs w:val="1"/>
          <w:color w:val="auto"/>
        </w:rPr>
      </w:pPr>
    </w:p>
    <w:tbl>
      <w:tblPr>
        <w:tblLayout w:type="fixed"/>
        <w:tblInd w:w="80" w:type="dxa"/>
        <w:tblCellMar>
          <w:top w:w="0" w:type="dxa"/>
          <w:left w:w="0" w:type="dxa"/>
          <w:bottom w:w="0" w:type="dxa"/>
          <w:right w:w="0" w:type="dxa"/>
        </w:tblCellMar>
      </w:tblPr>
      <w:tr>
        <w:trPr>
          <w:trHeight w:val="327"/>
        </w:trPr>
        <w:tc>
          <w:tcPr>
            <w:tcW w:w="2220" w:type="dxa"/>
            <w:vAlign w:val="bottom"/>
          </w:tcPr>
          <w:p>
            <w:pPr>
              <w:jc w:val="right"/>
              <w:ind w:right="1677"/>
              <w:spacing w:after="0"/>
              <w:rPr>
                <w:sz w:val="20"/>
                <w:szCs w:val="20"/>
                <w:color w:val="auto"/>
              </w:rPr>
            </w:pPr>
            <w:r>
              <w:rPr>
                <w:rFonts w:ascii="Arial" w:cs="Arial" w:eastAsia="Arial" w:hAnsi="Arial"/>
                <w:sz w:val="25"/>
                <w:szCs w:val="25"/>
                <w:b w:val="1"/>
                <w:bCs w:val="1"/>
                <w:color w:val="FFFFFF"/>
                <w:w w:val="95"/>
              </w:rPr>
              <w:t>902</w:t>
            </w:r>
          </w:p>
        </w:tc>
        <w:tc>
          <w:tcPr>
            <w:tcW w:w="2880" w:type="dxa"/>
            <w:vAlign w:val="bottom"/>
            <w:vMerge w:val="restart"/>
          </w:tcPr>
          <w:p>
            <w:pPr>
              <w:jc w:val="right"/>
              <w:ind w:right="1896"/>
              <w:spacing w:after="0"/>
              <w:rPr>
                <w:sz w:val="20"/>
                <w:szCs w:val="20"/>
                <w:color w:val="auto"/>
              </w:rPr>
            </w:pPr>
            <w:r>
              <w:rPr>
                <w:rFonts w:ascii="Arial" w:cs="Arial" w:eastAsia="Arial" w:hAnsi="Arial"/>
                <w:sz w:val="25"/>
                <w:szCs w:val="25"/>
                <w:b w:val="1"/>
                <w:bCs w:val="1"/>
                <w:color w:val="FFFFFF"/>
              </w:rPr>
              <w:t>823</w:t>
            </w:r>
          </w:p>
        </w:tc>
        <w:tc>
          <w:tcPr>
            <w:tcW w:w="0" w:type="dxa"/>
            <w:vAlign w:val="bottom"/>
          </w:tcPr>
          <w:p>
            <w:pPr>
              <w:spacing w:after="0"/>
              <w:rPr>
                <w:sz w:val="1"/>
                <w:szCs w:val="1"/>
                <w:color w:val="auto"/>
              </w:rPr>
            </w:pPr>
          </w:p>
        </w:tc>
      </w:tr>
      <w:tr>
        <w:trPr>
          <w:trHeight w:val="203"/>
        </w:trPr>
        <w:tc>
          <w:tcPr>
            <w:tcW w:w="2220" w:type="dxa"/>
            <w:vAlign w:val="bottom"/>
            <w:vMerge w:val="restart"/>
          </w:tcPr>
          <w:p>
            <w:pPr>
              <w:jc w:val="right"/>
              <w:ind w:right="337"/>
              <w:spacing w:after="0"/>
              <w:rPr>
                <w:sz w:val="20"/>
                <w:szCs w:val="20"/>
                <w:color w:val="auto"/>
              </w:rPr>
            </w:pPr>
            <w:r>
              <w:rPr>
                <w:rFonts w:ascii="Arial" w:cs="Arial" w:eastAsia="Arial" w:hAnsi="Arial"/>
                <w:sz w:val="25"/>
                <w:szCs w:val="25"/>
                <w:b w:val="1"/>
                <w:bCs w:val="1"/>
                <w:color w:val="FFFFFF"/>
              </w:rPr>
              <w:t>735</w:t>
            </w:r>
          </w:p>
        </w:tc>
        <w:tc>
          <w:tcPr>
            <w:tcW w:w="2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220" w:type="dxa"/>
            <w:vAlign w:val="bottom"/>
            <w:vMerge w:val="continue"/>
          </w:tcPr>
          <w:p>
            <w:pPr>
              <w:spacing w:after="0"/>
              <w:rPr>
                <w:sz w:val="13"/>
                <w:szCs w:val="13"/>
                <w:color w:val="auto"/>
              </w:rPr>
            </w:pPr>
          </w:p>
        </w:tc>
        <w:tc>
          <w:tcPr>
            <w:tcW w:w="2880" w:type="dxa"/>
            <w:vAlign w:val="bottom"/>
            <w:vMerge w:val="restart"/>
          </w:tcPr>
          <w:p>
            <w:pPr>
              <w:ind w:left="2020"/>
              <w:spacing w:after="0"/>
              <w:rPr>
                <w:sz w:val="20"/>
                <w:szCs w:val="20"/>
                <w:color w:val="auto"/>
              </w:rPr>
            </w:pPr>
            <w:r>
              <w:rPr>
                <w:rFonts w:ascii="Arial" w:cs="Arial" w:eastAsia="Arial" w:hAnsi="Arial"/>
                <w:sz w:val="19"/>
                <w:szCs w:val="19"/>
                <w:color w:val="auto"/>
                <w:w w:val="95"/>
              </w:rPr>
              <w:t>Total Debt</w:t>
            </w:r>
          </w:p>
        </w:tc>
        <w:tc>
          <w:tcPr>
            <w:tcW w:w="0" w:type="dxa"/>
            <w:vAlign w:val="bottom"/>
          </w:tcPr>
          <w:p>
            <w:pPr>
              <w:spacing w:after="0"/>
              <w:rPr>
                <w:sz w:val="1"/>
                <w:szCs w:val="1"/>
                <w:color w:val="auto"/>
              </w:rPr>
            </w:pPr>
          </w:p>
        </w:tc>
      </w:tr>
      <w:tr>
        <w:trPr>
          <w:trHeight w:val="76"/>
        </w:trPr>
        <w:tc>
          <w:tcPr>
            <w:tcW w:w="2220" w:type="dxa"/>
            <w:vAlign w:val="bottom"/>
          </w:tcPr>
          <w:p>
            <w:pPr>
              <w:spacing w:after="0"/>
              <w:rPr>
                <w:sz w:val="6"/>
                <w:szCs w:val="6"/>
                <w:color w:val="auto"/>
              </w:rPr>
            </w:pPr>
          </w:p>
        </w:tc>
        <w:tc>
          <w:tcPr>
            <w:tcW w:w="2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55"/>
        </w:trPr>
        <w:tc>
          <w:tcPr>
            <w:tcW w:w="2220" w:type="dxa"/>
            <w:vAlign w:val="bottom"/>
          </w:tcPr>
          <w:p>
            <w:pPr>
              <w:spacing w:after="0"/>
              <w:rPr>
                <w:sz w:val="24"/>
                <w:szCs w:val="24"/>
                <w:color w:val="auto"/>
              </w:rPr>
            </w:pPr>
          </w:p>
        </w:tc>
        <w:tc>
          <w:tcPr>
            <w:tcW w:w="2880" w:type="dxa"/>
            <w:vAlign w:val="bottom"/>
          </w:tcPr>
          <w:p>
            <w:pPr>
              <w:ind w:left="2020"/>
              <w:spacing w:after="0"/>
              <w:rPr>
                <w:sz w:val="20"/>
                <w:szCs w:val="20"/>
                <w:color w:val="auto"/>
              </w:rPr>
            </w:pPr>
            <w:r>
              <w:rPr>
                <w:rFonts w:ascii="Arial" w:cs="Arial" w:eastAsia="Arial" w:hAnsi="Arial"/>
                <w:sz w:val="19"/>
                <w:szCs w:val="19"/>
                <w:color w:val="auto"/>
              </w:rPr>
              <w:t>Net Debt</w:t>
            </w:r>
          </w:p>
        </w:tc>
        <w:tc>
          <w:tcPr>
            <w:tcW w:w="0" w:type="dxa"/>
            <w:vAlign w:val="bottom"/>
          </w:tcPr>
          <w:p>
            <w:pPr>
              <w:spacing w:after="0"/>
              <w:rPr>
                <w:sz w:val="1"/>
                <w:szCs w:val="1"/>
                <w:color w:val="auto"/>
              </w:rPr>
            </w:pPr>
          </w:p>
        </w:tc>
      </w:tr>
    </w:tbl>
    <w:p>
      <w:pPr>
        <w:ind w:left="80"/>
        <w:spacing w:after="0" w:line="184" w:lineRule="auto"/>
        <w:rPr>
          <w:sz w:val="20"/>
          <w:szCs w:val="20"/>
          <w:color w:val="auto"/>
        </w:rPr>
      </w:pPr>
      <w:r>
        <w:rPr>
          <w:rFonts w:ascii="Arial" w:cs="Arial" w:eastAsia="Arial" w:hAnsi="Arial"/>
          <w:sz w:val="20"/>
          <w:szCs w:val="20"/>
          <w:b w:val="1"/>
          <w:bCs w:val="1"/>
          <w:color w:val="FFFFFF"/>
        </w:rPr>
        <w:t>370</w:t>
      </w:r>
    </w:p>
    <w:p>
      <w:pPr>
        <w:ind w:left="1420"/>
        <w:spacing w:after="0" w:line="196" w:lineRule="auto"/>
        <w:tabs>
          <w:tab w:leader="none" w:pos="2740" w:val="left"/>
        </w:tabs>
        <w:rPr>
          <w:sz w:val="20"/>
          <w:szCs w:val="20"/>
          <w:color w:val="auto"/>
        </w:rPr>
      </w:pPr>
      <w:r>
        <w:rPr>
          <w:rFonts w:ascii="Arial" w:cs="Arial" w:eastAsia="Arial" w:hAnsi="Arial"/>
          <w:sz w:val="25"/>
          <w:szCs w:val="25"/>
          <w:b w:val="1"/>
          <w:bCs w:val="1"/>
          <w:color w:val="FFFFFF"/>
        </w:rPr>
        <w:t>280</w:t>
      </w:r>
      <w:r>
        <w:rPr>
          <w:sz w:val="20"/>
          <w:szCs w:val="20"/>
          <w:color w:val="auto"/>
        </w:rPr>
        <w:tab/>
      </w:r>
      <w:r>
        <w:rPr>
          <w:rFonts w:ascii="Arial" w:cs="Arial" w:eastAsia="Arial" w:hAnsi="Arial"/>
          <w:sz w:val="49"/>
          <w:szCs w:val="49"/>
          <w:b w:val="1"/>
          <w:bCs w:val="1"/>
          <w:color w:val="FFFFFF"/>
          <w:vertAlign w:val="subscript"/>
        </w:rPr>
        <w:t>135</w:t>
      </w:r>
    </w:p>
    <w:p>
      <w:pPr>
        <w:spacing w:after="0" w:line="128" w:lineRule="exact"/>
        <w:rPr>
          <w:sz w:val="20"/>
          <w:szCs w:val="20"/>
          <w:color w:val="auto"/>
        </w:rPr>
      </w:pPr>
    </w:p>
    <w:p>
      <w:pPr>
        <w:spacing w:after="0"/>
        <w:tabs>
          <w:tab w:leader="none" w:pos="1340" w:val="left"/>
          <w:tab w:leader="none" w:pos="2680" w:val="left"/>
        </w:tabs>
        <w:rPr>
          <w:sz w:val="20"/>
          <w:szCs w:val="20"/>
          <w:color w:val="auto"/>
        </w:rPr>
      </w:pPr>
      <w:r>
        <w:rPr>
          <w:rFonts w:ascii="Arial" w:cs="Arial" w:eastAsia="Arial" w:hAnsi="Arial"/>
          <w:sz w:val="25"/>
          <w:szCs w:val="25"/>
          <w:color w:val="auto"/>
        </w:rPr>
        <w:t>2004</w:t>
      </w:r>
      <w:r>
        <w:rPr>
          <w:sz w:val="20"/>
          <w:szCs w:val="20"/>
          <w:color w:val="auto"/>
        </w:rPr>
        <w:tab/>
      </w:r>
      <w:r>
        <w:rPr>
          <w:rFonts w:ascii="Arial" w:cs="Arial" w:eastAsia="Arial" w:hAnsi="Arial"/>
          <w:sz w:val="25"/>
          <w:szCs w:val="25"/>
          <w:color w:val="auto"/>
        </w:rPr>
        <w:t>2005</w:t>
      </w:r>
      <w:r>
        <w:rPr>
          <w:sz w:val="20"/>
          <w:szCs w:val="20"/>
          <w:color w:val="auto"/>
        </w:rPr>
        <w:tab/>
      </w:r>
      <w:r>
        <w:rPr>
          <w:rFonts w:ascii="Arial" w:cs="Arial" w:eastAsia="Arial" w:hAnsi="Arial"/>
          <w:sz w:val="24"/>
          <w:szCs w:val="24"/>
          <w:color w:val="auto"/>
        </w:rPr>
        <w:t>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0"/>
        <w:spacing w:after="0"/>
        <w:tabs>
          <w:tab w:leader="none" w:pos="1380" w:val="left"/>
          <w:tab w:leader="none" w:pos="2720" w:val="left"/>
        </w:tabs>
        <w:rPr>
          <w:sz w:val="20"/>
          <w:szCs w:val="20"/>
          <w:color w:val="auto"/>
        </w:rPr>
      </w:pPr>
      <w:r>
        <w:rPr>
          <w:rFonts w:ascii="Arial" w:cs="Arial" w:eastAsia="Arial" w:hAnsi="Arial"/>
          <w:sz w:val="49"/>
          <w:szCs w:val="49"/>
          <w:b w:val="1"/>
          <w:bCs w:val="1"/>
          <w:color w:val="FFFFFF"/>
          <w:vertAlign w:val="superscript"/>
        </w:rPr>
        <w:t>29%</w:t>
      </w:r>
      <w:r>
        <w:rPr>
          <w:sz w:val="20"/>
          <w:szCs w:val="20"/>
          <w:color w:val="auto"/>
        </w:rPr>
        <w:tab/>
      </w:r>
      <w:r>
        <w:rPr>
          <w:rFonts w:ascii="Arial" w:cs="Arial" w:eastAsia="Arial" w:hAnsi="Arial"/>
          <w:sz w:val="25"/>
          <w:szCs w:val="25"/>
          <w:b w:val="1"/>
          <w:bCs w:val="1"/>
          <w:color w:val="FFFFFF"/>
        </w:rPr>
        <w:t>26%</w:t>
      </w:r>
      <w:r>
        <w:rPr>
          <w:sz w:val="20"/>
          <w:szCs w:val="20"/>
          <w:color w:val="auto"/>
        </w:rPr>
        <w:tab/>
      </w:r>
      <w:r>
        <w:rPr>
          <w:rFonts w:ascii="Arial" w:cs="Arial" w:eastAsia="Arial" w:hAnsi="Arial"/>
          <w:sz w:val="23"/>
          <w:szCs w:val="23"/>
          <w:b w:val="1"/>
          <w:bCs w:val="1"/>
          <w:color w:val="FFFFFF"/>
        </w:rPr>
        <w:t>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0"/>
        <w:spacing w:after="0"/>
        <w:tabs>
          <w:tab w:leader="none" w:pos="1320" w:val="left"/>
          <w:tab w:leader="none" w:pos="2660" w:val="left"/>
        </w:tabs>
        <w:rPr>
          <w:sz w:val="20"/>
          <w:szCs w:val="20"/>
          <w:color w:val="auto"/>
        </w:rPr>
      </w:pPr>
      <w:r>
        <w:rPr>
          <w:rFonts w:ascii="Arial" w:cs="Arial" w:eastAsia="Arial" w:hAnsi="Arial"/>
          <w:sz w:val="25"/>
          <w:szCs w:val="25"/>
          <w:color w:val="auto"/>
        </w:rPr>
        <w:t>2004</w:t>
      </w:r>
      <w:r>
        <w:rPr>
          <w:sz w:val="20"/>
          <w:szCs w:val="20"/>
          <w:color w:val="auto"/>
        </w:rPr>
        <w:tab/>
      </w:r>
      <w:r>
        <w:rPr>
          <w:rFonts w:ascii="Arial" w:cs="Arial" w:eastAsia="Arial" w:hAnsi="Arial"/>
          <w:sz w:val="25"/>
          <w:szCs w:val="25"/>
          <w:color w:val="auto"/>
        </w:rPr>
        <w:t>2005</w:t>
      </w:r>
      <w:r>
        <w:rPr>
          <w:sz w:val="20"/>
          <w:szCs w:val="20"/>
          <w:color w:val="auto"/>
        </w:rPr>
        <w:tab/>
      </w:r>
      <w:r>
        <w:rPr>
          <w:rFonts w:ascii="Arial" w:cs="Arial" w:eastAsia="Arial" w:hAnsi="Arial"/>
          <w:sz w:val="25"/>
          <w:szCs w:val="25"/>
          <w:color w:val="auto"/>
        </w:rPr>
        <w:t>2006</w:t>
      </w:r>
    </w:p>
    <w:p>
      <w:pPr>
        <w:sectPr>
          <w:pgSz w:w="11900" w:h="16838" w:orient="portrait"/>
          <w:cols w:equalWidth="0" w:num="2">
            <w:col w:w="3740" w:space="720"/>
            <w:col w:w="5840"/>
          </w:cols>
          <w:pgMar w:left="780" w:top="459" w:right="819" w:bottom="1440" w:gutter="0" w:footer="0" w:header="0"/>
          <w:type w:val="continuous"/>
        </w:sectPr>
      </w:pPr>
    </w:p>
    <w:bookmarkStart w:id="26" w:name="page27"/>
    <w:bookmarkEnd w:id="26"/>
    <w:tbl>
      <w:tblPr>
        <w:tblLayout w:type="fixed"/>
        <w:tblInd w:w="60" w:type="dxa"/>
        <w:tblCellMar>
          <w:top w:w="0" w:type="dxa"/>
          <w:left w:w="0" w:type="dxa"/>
          <w:bottom w:w="0" w:type="dxa"/>
          <w:right w:w="0" w:type="dxa"/>
        </w:tblCellMar>
      </w:tblPr>
      <w:tr>
        <w:trPr>
          <w:trHeight w:val="361"/>
        </w:trPr>
        <w:tc>
          <w:tcPr>
            <w:tcW w:w="6780" w:type="dxa"/>
            <w:vAlign w:val="bottom"/>
          </w:tcPr>
          <w:p>
            <w:pPr>
              <w:spacing w:after="0"/>
              <w:rPr>
                <w:sz w:val="20"/>
                <w:szCs w:val="20"/>
                <w:color w:val="auto"/>
              </w:rPr>
            </w:pPr>
            <w:r>
              <w:rPr>
                <w:rFonts w:ascii="Arial" w:cs="Arial" w:eastAsia="Arial" w:hAnsi="Arial"/>
                <w:sz w:val="22"/>
                <w:szCs w:val="22"/>
                <w:color w:val="FFFFFF"/>
              </w:rPr>
              <w:t>Manpower Inc. 2006 4</w:t>
            </w:r>
            <w:r>
              <w:rPr>
                <w:rFonts w:ascii="Arial" w:cs="Arial" w:eastAsia="Arial" w:hAnsi="Arial"/>
                <w:sz w:val="28"/>
                <w:szCs w:val="28"/>
                <w:color w:val="FFFFFF"/>
                <w:vertAlign w:val="superscript"/>
              </w:rPr>
              <w:t>th</w:t>
            </w:r>
            <w:r>
              <w:rPr>
                <w:rFonts w:ascii="Arial" w:cs="Arial" w:eastAsia="Arial" w:hAnsi="Arial"/>
                <w:sz w:val="22"/>
                <w:szCs w:val="22"/>
                <w:color w:val="FFFFFF"/>
              </w:rPr>
              <w:t xml:space="preserve"> Quarter Results</w:t>
            </w:r>
          </w:p>
        </w:tc>
        <w:tc>
          <w:tcPr>
            <w:tcW w:w="3080" w:type="dxa"/>
            <w:vAlign w:val="bottom"/>
          </w:tcPr>
          <w:p>
            <w:pPr>
              <w:jc w:val="right"/>
              <w:spacing w:after="0"/>
              <w:rPr>
                <w:sz w:val="20"/>
                <w:szCs w:val="20"/>
                <w:color w:val="auto"/>
              </w:rPr>
            </w:pPr>
            <w:r>
              <w:rPr>
                <w:rFonts w:ascii="Arial" w:cs="Arial" w:eastAsia="Arial" w:hAnsi="Arial"/>
                <w:sz w:val="22"/>
                <w:szCs w:val="22"/>
                <w:color w:val="FFFFFF"/>
              </w:rPr>
              <w:t>15</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Arial" w:cs="Arial" w:eastAsia="Arial" w:hAnsi="Arial"/>
          <w:sz w:val="47"/>
          <w:szCs w:val="47"/>
          <w:color w:val="C8504F"/>
        </w:rPr>
        <w:t>Cash Flow Summary – Full Year</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458"/>
        </w:trPr>
        <w:tc>
          <w:tcPr>
            <w:tcW w:w="5520" w:type="dxa"/>
            <w:vAlign w:val="bottom"/>
          </w:tcPr>
          <w:p>
            <w:pPr>
              <w:ind w:left="20"/>
              <w:spacing w:after="0"/>
              <w:rPr>
                <w:sz w:val="20"/>
                <w:szCs w:val="20"/>
                <w:color w:val="auto"/>
              </w:rPr>
            </w:pPr>
            <w:r>
              <w:rPr>
                <w:rFonts w:ascii="Arial" w:cs="Arial" w:eastAsia="Arial" w:hAnsi="Arial"/>
                <w:sz w:val="28"/>
                <w:szCs w:val="28"/>
                <w:color w:val="C8504F"/>
              </w:rPr>
              <w:t>($ in millions)</w:t>
            </w:r>
          </w:p>
        </w:tc>
        <w:tc>
          <w:tcPr>
            <w:tcW w:w="1840" w:type="dxa"/>
            <w:vAlign w:val="bottom"/>
          </w:tcPr>
          <w:p>
            <w:pPr>
              <w:jc w:val="right"/>
              <w:ind w:right="431"/>
              <w:spacing w:after="0"/>
              <w:rPr>
                <w:sz w:val="20"/>
                <w:szCs w:val="20"/>
                <w:color w:val="auto"/>
              </w:rPr>
            </w:pPr>
            <w:r>
              <w:rPr>
                <w:rFonts w:ascii="Arial" w:cs="Arial" w:eastAsia="Arial" w:hAnsi="Arial"/>
                <w:sz w:val="32"/>
                <w:szCs w:val="32"/>
                <w:b w:val="1"/>
                <w:bCs w:val="1"/>
                <w:color w:val="C8504F"/>
              </w:rPr>
              <w:t>2006</w:t>
            </w:r>
          </w:p>
        </w:tc>
        <w:tc>
          <w:tcPr>
            <w:tcW w:w="1380" w:type="dxa"/>
            <w:vAlign w:val="bottom"/>
          </w:tcPr>
          <w:p>
            <w:pPr>
              <w:jc w:val="right"/>
              <w:spacing w:after="0"/>
              <w:rPr>
                <w:sz w:val="20"/>
                <w:szCs w:val="20"/>
                <w:color w:val="auto"/>
              </w:rPr>
            </w:pPr>
            <w:r>
              <w:rPr>
                <w:rFonts w:ascii="Arial" w:cs="Arial" w:eastAsia="Arial" w:hAnsi="Arial"/>
                <w:sz w:val="32"/>
                <w:szCs w:val="32"/>
                <w:b w:val="1"/>
                <w:bCs w:val="1"/>
                <w:color w:val="C8504F"/>
              </w:rPr>
              <w:t>2005</w:t>
            </w:r>
          </w:p>
        </w:tc>
      </w:tr>
      <w:tr>
        <w:trPr>
          <w:trHeight w:val="594"/>
        </w:trPr>
        <w:tc>
          <w:tcPr>
            <w:tcW w:w="5520" w:type="dxa"/>
            <w:vAlign w:val="bottom"/>
          </w:tcPr>
          <w:p>
            <w:pPr>
              <w:ind w:left="80"/>
              <w:spacing w:after="0"/>
              <w:rPr>
                <w:sz w:val="20"/>
                <w:szCs w:val="20"/>
                <w:color w:val="auto"/>
              </w:rPr>
            </w:pPr>
            <w:r>
              <w:rPr>
                <w:rFonts w:ascii="Arial" w:cs="Arial" w:eastAsia="Arial" w:hAnsi="Arial"/>
                <w:sz w:val="29"/>
                <w:szCs w:val="29"/>
                <w:b w:val="1"/>
                <w:bCs w:val="1"/>
                <w:color w:val="auto"/>
              </w:rPr>
              <w:t>Cash from Operations</w:t>
            </w:r>
          </w:p>
        </w:tc>
        <w:tc>
          <w:tcPr>
            <w:tcW w:w="1840" w:type="dxa"/>
            <w:vAlign w:val="bottom"/>
          </w:tcPr>
          <w:p>
            <w:pPr>
              <w:jc w:val="right"/>
              <w:ind w:right="451"/>
              <w:spacing w:after="0"/>
              <w:rPr>
                <w:sz w:val="20"/>
                <w:szCs w:val="20"/>
                <w:color w:val="auto"/>
              </w:rPr>
            </w:pPr>
            <w:r>
              <w:rPr>
                <w:rFonts w:ascii="Arial" w:cs="Arial" w:eastAsia="Arial" w:hAnsi="Arial"/>
                <w:sz w:val="34"/>
                <w:szCs w:val="34"/>
                <w:b w:val="1"/>
                <w:bCs w:val="1"/>
                <w:color w:val="auto"/>
              </w:rPr>
              <w:t>359</w:t>
            </w:r>
          </w:p>
        </w:tc>
        <w:tc>
          <w:tcPr>
            <w:tcW w:w="1380" w:type="dxa"/>
            <w:vAlign w:val="bottom"/>
          </w:tcPr>
          <w:p>
            <w:pPr>
              <w:jc w:val="right"/>
              <w:spacing w:after="0"/>
              <w:rPr>
                <w:sz w:val="20"/>
                <w:szCs w:val="20"/>
                <w:color w:val="auto"/>
              </w:rPr>
            </w:pPr>
            <w:r>
              <w:rPr>
                <w:rFonts w:ascii="Arial" w:cs="Arial" w:eastAsia="Arial" w:hAnsi="Arial"/>
                <w:sz w:val="34"/>
                <w:szCs w:val="34"/>
                <w:b w:val="1"/>
                <w:bCs w:val="1"/>
                <w:color w:val="auto"/>
              </w:rPr>
              <w:t>269</w:t>
            </w:r>
          </w:p>
        </w:tc>
      </w:tr>
      <w:tr>
        <w:trPr>
          <w:trHeight w:val="453"/>
        </w:trPr>
        <w:tc>
          <w:tcPr>
            <w:tcW w:w="5520" w:type="dxa"/>
            <w:vAlign w:val="bottom"/>
          </w:tcPr>
          <w:p>
            <w:pPr>
              <w:ind w:left="80"/>
              <w:spacing w:after="0"/>
              <w:rPr>
                <w:sz w:val="20"/>
                <w:szCs w:val="20"/>
                <w:color w:val="auto"/>
              </w:rPr>
            </w:pPr>
            <w:r>
              <w:rPr>
                <w:rFonts w:ascii="Arial" w:cs="Arial" w:eastAsia="Arial" w:hAnsi="Arial"/>
                <w:sz w:val="29"/>
                <w:szCs w:val="29"/>
                <w:b w:val="1"/>
                <w:bCs w:val="1"/>
                <w:color w:val="auto"/>
              </w:rPr>
              <w:t>Capital Expenditures</w:t>
            </w:r>
          </w:p>
        </w:tc>
        <w:tc>
          <w:tcPr>
            <w:tcW w:w="1840" w:type="dxa"/>
            <w:vAlign w:val="bottom"/>
          </w:tcPr>
          <w:p>
            <w:pPr>
              <w:jc w:val="right"/>
              <w:ind w:right="391"/>
              <w:spacing w:after="0"/>
              <w:rPr>
                <w:sz w:val="20"/>
                <w:szCs w:val="20"/>
                <w:color w:val="auto"/>
              </w:rPr>
            </w:pPr>
            <w:r>
              <w:rPr>
                <w:rFonts w:ascii="Arial" w:cs="Arial" w:eastAsia="Arial" w:hAnsi="Arial"/>
                <w:sz w:val="34"/>
                <w:szCs w:val="34"/>
                <w:b w:val="1"/>
                <w:bCs w:val="1"/>
                <w:color w:val="auto"/>
              </w:rPr>
              <w:t>(80)</w:t>
            </w:r>
          </w:p>
        </w:tc>
        <w:tc>
          <w:tcPr>
            <w:tcW w:w="1380" w:type="dxa"/>
            <w:vAlign w:val="bottom"/>
          </w:tcPr>
          <w:p>
            <w:pPr>
              <w:jc w:val="right"/>
              <w:spacing w:after="0"/>
              <w:rPr>
                <w:sz w:val="20"/>
                <w:szCs w:val="20"/>
                <w:color w:val="auto"/>
              </w:rPr>
            </w:pPr>
            <w:r>
              <w:rPr>
                <w:rFonts w:ascii="Arial" w:cs="Arial" w:eastAsia="Arial" w:hAnsi="Arial"/>
                <w:sz w:val="34"/>
                <w:szCs w:val="34"/>
                <w:b w:val="1"/>
                <w:bCs w:val="1"/>
                <w:color w:val="auto"/>
              </w:rPr>
              <w:t>(78)</w:t>
            </w:r>
          </w:p>
        </w:tc>
      </w:tr>
      <w:tr>
        <w:trPr>
          <w:trHeight w:val="453"/>
        </w:trPr>
        <w:tc>
          <w:tcPr>
            <w:tcW w:w="5520" w:type="dxa"/>
            <w:vAlign w:val="bottom"/>
          </w:tcPr>
          <w:p>
            <w:pPr>
              <w:ind w:left="420"/>
              <w:spacing w:after="0"/>
              <w:rPr>
                <w:sz w:val="20"/>
                <w:szCs w:val="20"/>
                <w:color w:val="auto"/>
              </w:rPr>
            </w:pPr>
            <w:r>
              <w:rPr>
                <w:rFonts w:ascii="Arial" w:cs="Arial" w:eastAsia="Arial" w:hAnsi="Arial"/>
                <w:sz w:val="29"/>
                <w:szCs w:val="29"/>
                <w:b w:val="1"/>
                <w:bCs w:val="1"/>
                <w:color w:val="auto"/>
              </w:rPr>
              <w:t>Free Cash Flow</w:t>
            </w:r>
          </w:p>
        </w:tc>
        <w:tc>
          <w:tcPr>
            <w:tcW w:w="1840" w:type="dxa"/>
            <w:vAlign w:val="bottom"/>
          </w:tcPr>
          <w:p>
            <w:pPr>
              <w:jc w:val="right"/>
              <w:ind w:right="491"/>
              <w:spacing w:after="0"/>
              <w:rPr>
                <w:sz w:val="20"/>
                <w:szCs w:val="20"/>
                <w:color w:val="auto"/>
              </w:rPr>
            </w:pPr>
            <w:r>
              <w:rPr>
                <w:rFonts w:ascii="Arial" w:cs="Arial" w:eastAsia="Arial" w:hAnsi="Arial"/>
                <w:sz w:val="34"/>
                <w:szCs w:val="34"/>
                <w:b w:val="1"/>
                <w:bCs w:val="1"/>
                <w:color w:val="auto"/>
              </w:rPr>
              <w:t>279</w:t>
            </w:r>
          </w:p>
        </w:tc>
        <w:tc>
          <w:tcPr>
            <w:tcW w:w="1380" w:type="dxa"/>
            <w:vAlign w:val="bottom"/>
          </w:tcPr>
          <w:p>
            <w:pPr>
              <w:jc w:val="right"/>
              <w:spacing w:after="0"/>
              <w:rPr>
                <w:sz w:val="20"/>
                <w:szCs w:val="20"/>
                <w:color w:val="auto"/>
              </w:rPr>
            </w:pPr>
            <w:r>
              <w:rPr>
                <w:rFonts w:ascii="Arial" w:cs="Arial" w:eastAsia="Arial" w:hAnsi="Arial"/>
                <w:sz w:val="34"/>
                <w:szCs w:val="34"/>
                <w:b w:val="1"/>
                <w:bCs w:val="1"/>
                <w:color w:val="auto"/>
              </w:rPr>
              <w:t>191</w:t>
            </w:r>
          </w:p>
        </w:tc>
      </w:tr>
      <w:tr>
        <w:trPr>
          <w:trHeight w:val="553"/>
        </w:trPr>
        <w:tc>
          <w:tcPr>
            <w:tcW w:w="5520" w:type="dxa"/>
            <w:vAlign w:val="bottom"/>
          </w:tcPr>
          <w:p>
            <w:pPr>
              <w:ind w:left="20"/>
              <w:spacing w:after="0"/>
              <w:rPr>
                <w:sz w:val="20"/>
                <w:szCs w:val="20"/>
                <w:color w:val="auto"/>
              </w:rPr>
            </w:pPr>
            <w:r>
              <w:rPr>
                <w:rFonts w:ascii="Arial" w:cs="Arial" w:eastAsia="Arial" w:hAnsi="Arial"/>
                <w:sz w:val="29"/>
                <w:szCs w:val="29"/>
                <w:b w:val="1"/>
                <w:bCs w:val="1"/>
                <w:color w:val="auto"/>
              </w:rPr>
              <w:t>Share Repurchases *</w:t>
            </w:r>
          </w:p>
        </w:tc>
        <w:tc>
          <w:tcPr>
            <w:tcW w:w="1840" w:type="dxa"/>
            <w:vAlign w:val="bottom"/>
          </w:tcPr>
          <w:p>
            <w:pPr>
              <w:jc w:val="right"/>
              <w:ind w:right="351"/>
              <w:spacing w:after="0"/>
              <w:rPr>
                <w:sz w:val="20"/>
                <w:szCs w:val="20"/>
                <w:color w:val="auto"/>
              </w:rPr>
            </w:pPr>
            <w:r>
              <w:rPr>
                <w:rFonts w:ascii="Arial" w:cs="Arial" w:eastAsia="Arial" w:hAnsi="Arial"/>
                <w:sz w:val="34"/>
                <w:szCs w:val="34"/>
                <w:b w:val="1"/>
                <w:bCs w:val="1"/>
                <w:color w:val="auto"/>
              </w:rPr>
              <w:t>(236)</w:t>
            </w:r>
          </w:p>
        </w:tc>
        <w:tc>
          <w:tcPr>
            <w:tcW w:w="1380" w:type="dxa"/>
            <w:vAlign w:val="bottom"/>
          </w:tcPr>
          <w:p>
            <w:pPr>
              <w:jc w:val="right"/>
              <w:spacing w:after="0"/>
              <w:rPr>
                <w:sz w:val="20"/>
                <w:szCs w:val="20"/>
                <w:color w:val="auto"/>
              </w:rPr>
            </w:pPr>
            <w:r>
              <w:rPr>
                <w:rFonts w:ascii="Arial" w:cs="Arial" w:eastAsia="Arial" w:hAnsi="Arial"/>
                <w:sz w:val="34"/>
                <w:szCs w:val="34"/>
                <w:b w:val="1"/>
                <w:bCs w:val="1"/>
                <w:color w:val="auto"/>
              </w:rPr>
              <w:t>(218)</w:t>
            </w:r>
          </w:p>
        </w:tc>
      </w:tr>
      <w:tr>
        <w:trPr>
          <w:trHeight w:val="417"/>
        </w:trPr>
        <w:tc>
          <w:tcPr>
            <w:tcW w:w="5520" w:type="dxa"/>
            <w:vAlign w:val="bottom"/>
          </w:tcPr>
          <w:p>
            <w:pPr>
              <w:ind w:left="20"/>
              <w:spacing w:after="0"/>
              <w:rPr>
                <w:sz w:val="20"/>
                <w:szCs w:val="20"/>
                <w:color w:val="auto"/>
              </w:rPr>
            </w:pPr>
            <w:r>
              <w:rPr>
                <w:rFonts w:ascii="Arial" w:cs="Arial" w:eastAsia="Arial" w:hAnsi="Arial"/>
                <w:sz w:val="29"/>
                <w:szCs w:val="29"/>
                <w:b w:val="1"/>
                <w:bCs w:val="1"/>
                <w:color w:val="auto"/>
              </w:rPr>
              <w:t>Proceeds from Equity Plans</w:t>
            </w:r>
          </w:p>
        </w:tc>
        <w:tc>
          <w:tcPr>
            <w:tcW w:w="1840" w:type="dxa"/>
            <w:vAlign w:val="bottom"/>
          </w:tcPr>
          <w:p>
            <w:pPr>
              <w:jc w:val="right"/>
              <w:ind w:right="491"/>
              <w:spacing w:after="0"/>
              <w:rPr>
                <w:sz w:val="20"/>
                <w:szCs w:val="20"/>
                <w:color w:val="auto"/>
              </w:rPr>
            </w:pPr>
            <w:r>
              <w:rPr>
                <w:rFonts w:ascii="Arial" w:cs="Arial" w:eastAsia="Arial" w:hAnsi="Arial"/>
                <w:sz w:val="34"/>
                <w:szCs w:val="34"/>
                <w:b w:val="1"/>
                <w:bCs w:val="1"/>
                <w:color w:val="auto"/>
              </w:rPr>
              <w:t>54</w:t>
            </w:r>
          </w:p>
        </w:tc>
        <w:tc>
          <w:tcPr>
            <w:tcW w:w="1380" w:type="dxa"/>
            <w:vAlign w:val="bottom"/>
          </w:tcPr>
          <w:p>
            <w:pPr>
              <w:jc w:val="right"/>
              <w:spacing w:after="0"/>
              <w:rPr>
                <w:sz w:val="20"/>
                <w:szCs w:val="20"/>
                <w:color w:val="auto"/>
              </w:rPr>
            </w:pPr>
            <w:r>
              <w:rPr>
                <w:rFonts w:ascii="Arial" w:cs="Arial" w:eastAsia="Arial" w:hAnsi="Arial"/>
                <w:sz w:val="34"/>
                <w:szCs w:val="34"/>
                <w:b w:val="1"/>
                <w:bCs w:val="1"/>
                <w:color w:val="auto"/>
              </w:rPr>
              <w:t>28</w:t>
            </w:r>
          </w:p>
        </w:tc>
      </w:tr>
      <w:tr>
        <w:trPr>
          <w:trHeight w:val="459"/>
        </w:trPr>
        <w:tc>
          <w:tcPr>
            <w:tcW w:w="5520" w:type="dxa"/>
            <w:vAlign w:val="bottom"/>
          </w:tcPr>
          <w:p>
            <w:pPr>
              <w:ind w:left="20"/>
              <w:spacing w:after="0"/>
              <w:rPr>
                <w:sz w:val="20"/>
                <w:szCs w:val="20"/>
                <w:color w:val="auto"/>
              </w:rPr>
            </w:pPr>
            <w:r>
              <w:rPr>
                <w:rFonts w:ascii="Arial" w:cs="Arial" w:eastAsia="Arial" w:hAnsi="Arial"/>
                <w:sz w:val="29"/>
                <w:szCs w:val="29"/>
                <w:b w:val="1"/>
                <w:bCs w:val="1"/>
                <w:color w:val="auto"/>
              </w:rPr>
              <w:t>Dividends Paid</w:t>
            </w:r>
          </w:p>
        </w:tc>
        <w:tc>
          <w:tcPr>
            <w:tcW w:w="1840" w:type="dxa"/>
            <w:vAlign w:val="bottom"/>
          </w:tcPr>
          <w:p>
            <w:pPr>
              <w:jc w:val="right"/>
              <w:ind w:right="331"/>
              <w:spacing w:after="0"/>
              <w:rPr>
                <w:sz w:val="20"/>
                <w:szCs w:val="20"/>
                <w:color w:val="auto"/>
              </w:rPr>
            </w:pPr>
            <w:r>
              <w:rPr>
                <w:rFonts w:ascii="Arial" w:cs="Arial" w:eastAsia="Arial" w:hAnsi="Arial"/>
                <w:sz w:val="34"/>
                <w:szCs w:val="34"/>
                <w:b w:val="1"/>
                <w:bCs w:val="1"/>
                <w:color w:val="auto"/>
              </w:rPr>
              <w:t>(51)</w:t>
            </w:r>
          </w:p>
        </w:tc>
        <w:tc>
          <w:tcPr>
            <w:tcW w:w="1380" w:type="dxa"/>
            <w:vAlign w:val="bottom"/>
          </w:tcPr>
          <w:p>
            <w:pPr>
              <w:jc w:val="right"/>
              <w:spacing w:after="0"/>
              <w:rPr>
                <w:sz w:val="20"/>
                <w:szCs w:val="20"/>
                <w:color w:val="auto"/>
              </w:rPr>
            </w:pPr>
            <w:r>
              <w:rPr>
                <w:rFonts w:ascii="Arial" w:cs="Arial" w:eastAsia="Arial" w:hAnsi="Arial"/>
                <w:sz w:val="34"/>
                <w:szCs w:val="34"/>
                <w:b w:val="1"/>
                <w:bCs w:val="1"/>
                <w:color w:val="auto"/>
              </w:rPr>
              <w:t>(41)</w:t>
            </w:r>
          </w:p>
        </w:tc>
      </w:tr>
      <w:tr>
        <w:trPr>
          <w:trHeight w:val="453"/>
        </w:trPr>
        <w:tc>
          <w:tcPr>
            <w:tcW w:w="5520" w:type="dxa"/>
            <w:vAlign w:val="bottom"/>
          </w:tcPr>
          <w:p>
            <w:pPr>
              <w:ind w:left="60"/>
              <w:spacing w:after="0"/>
              <w:rPr>
                <w:sz w:val="20"/>
                <w:szCs w:val="20"/>
                <w:color w:val="auto"/>
              </w:rPr>
            </w:pPr>
            <w:r>
              <w:rPr>
                <w:rFonts w:ascii="Arial" w:cs="Arial" w:eastAsia="Arial" w:hAnsi="Arial"/>
                <w:sz w:val="29"/>
                <w:szCs w:val="29"/>
                <w:b w:val="1"/>
                <w:bCs w:val="1"/>
                <w:color w:val="auto"/>
              </w:rPr>
              <w:t>Change in Debt</w:t>
            </w:r>
          </w:p>
        </w:tc>
        <w:tc>
          <w:tcPr>
            <w:tcW w:w="1840" w:type="dxa"/>
            <w:vAlign w:val="bottom"/>
          </w:tcPr>
          <w:p>
            <w:pPr>
              <w:jc w:val="right"/>
              <w:ind w:right="491"/>
              <w:spacing w:after="0"/>
              <w:rPr>
                <w:sz w:val="20"/>
                <w:szCs w:val="20"/>
                <w:color w:val="auto"/>
              </w:rPr>
            </w:pPr>
            <w:r>
              <w:rPr>
                <w:rFonts w:ascii="Arial" w:cs="Arial" w:eastAsia="Arial" w:hAnsi="Arial"/>
                <w:sz w:val="34"/>
                <w:szCs w:val="34"/>
                <w:b w:val="1"/>
                <w:bCs w:val="1"/>
                <w:color w:val="auto"/>
              </w:rPr>
              <w:t>2</w:t>
            </w:r>
          </w:p>
        </w:tc>
        <w:tc>
          <w:tcPr>
            <w:tcW w:w="1380" w:type="dxa"/>
            <w:vAlign w:val="bottom"/>
          </w:tcPr>
          <w:p>
            <w:pPr>
              <w:jc w:val="right"/>
              <w:spacing w:after="0"/>
              <w:rPr>
                <w:sz w:val="20"/>
                <w:szCs w:val="20"/>
                <w:color w:val="auto"/>
              </w:rPr>
            </w:pPr>
            <w:r>
              <w:rPr>
                <w:rFonts w:ascii="Arial" w:cs="Arial" w:eastAsia="Arial" w:hAnsi="Arial"/>
                <w:sz w:val="34"/>
                <w:szCs w:val="34"/>
                <w:b w:val="1"/>
                <w:bCs w:val="1"/>
                <w:color w:val="auto"/>
              </w:rPr>
              <w:t>19</w:t>
            </w:r>
          </w:p>
        </w:tc>
      </w:tr>
      <w:tr>
        <w:trPr>
          <w:trHeight w:val="523"/>
        </w:trPr>
        <w:tc>
          <w:tcPr>
            <w:tcW w:w="5520" w:type="dxa"/>
            <w:vAlign w:val="bottom"/>
          </w:tcPr>
          <w:p>
            <w:pPr>
              <w:spacing w:after="0"/>
              <w:rPr>
                <w:sz w:val="20"/>
                <w:szCs w:val="20"/>
                <w:color w:val="auto"/>
              </w:rPr>
            </w:pPr>
            <w:r>
              <w:rPr>
                <w:rFonts w:ascii="Arial" w:cs="Arial" w:eastAsia="Arial" w:hAnsi="Arial"/>
                <w:sz w:val="29"/>
                <w:szCs w:val="29"/>
                <w:b w:val="1"/>
                <w:bCs w:val="1"/>
                <w:color w:val="auto"/>
              </w:rPr>
              <w:t>Proceeds from Sales of Businesses</w:t>
            </w:r>
          </w:p>
        </w:tc>
        <w:tc>
          <w:tcPr>
            <w:tcW w:w="1840" w:type="dxa"/>
            <w:vAlign w:val="bottom"/>
          </w:tcPr>
          <w:p>
            <w:pPr>
              <w:jc w:val="right"/>
              <w:ind w:right="471"/>
              <w:spacing w:after="0"/>
              <w:rPr>
                <w:sz w:val="20"/>
                <w:szCs w:val="20"/>
                <w:color w:val="auto"/>
              </w:rPr>
            </w:pPr>
            <w:r>
              <w:rPr>
                <w:rFonts w:ascii="Arial" w:cs="Arial" w:eastAsia="Arial" w:hAnsi="Arial"/>
                <w:sz w:val="34"/>
                <w:szCs w:val="34"/>
                <w:b w:val="1"/>
                <w:bCs w:val="1"/>
                <w:color w:val="auto"/>
              </w:rPr>
              <w:t>133</w:t>
            </w:r>
          </w:p>
        </w:tc>
        <w:tc>
          <w:tcPr>
            <w:tcW w:w="1380" w:type="dxa"/>
            <w:vAlign w:val="bottom"/>
          </w:tcPr>
          <w:p>
            <w:pPr>
              <w:jc w:val="right"/>
              <w:spacing w:after="0"/>
              <w:rPr>
                <w:sz w:val="20"/>
                <w:szCs w:val="20"/>
                <w:color w:val="auto"/>
              </w:rPr>
            </w:pPr>
            <w:r>
              <w:rPr>
                <w:rFonts w:ascii="Arial" w:cs="Arial" w:eastAsia="Arial" w:hAnsi="Arial"/>
                <w:sz w:val="34"/>
                <w:szCs w:val="34"/>
                <w:b w:val="1"/>
                <w:bCs w:val="1"/>
                <w:color w:val="auto"/>
              </w:rPr>
              <w:t>–</w:t>
            </w:r>
          </w:p>
        </w:tc>
      </w:tr>
      <w:tr>
        <w:trPr>
          <w:trHeight w:val="453"/>
        </w:trPr>
        <w:tc>
          <w:tcPr>
            <w:tcW w:w="5520" w:type="dxa"/>
            <w:vAlign w:val="bottom"/>
          </w:tcPr>
          <w:p>
            <w:pPr>
              <w:ind w:left="20"/>
              <w:spacing w:after="0"/>
              <w:rPr>
                <w:sz w:val="20"/>
                <w:szCs w:val="20"/>
                <w:color w:val="auto"/>
              </w:rPr>
            </w:pPr>
            <w:r>
              <w:rPr>
                <w:rFonts w:ascii="Arial" w:cs="Arial" w:eastAsia="Arial" w:hAnsi="Arial"/>
                <w:sz w:val="29"/>
                <w:szCs w:val="29"/>
                <w:b w:val="1"/>
                <w:bCs w:val="1"/>
                <w:color w:val="auto"/>
              </w:rPr>
              <w:t>Other</w:t>
            </w:r>
          </w:p>
        </w:tc>
        <w:tc>
          <w:tcPr>
            <w:tcW w:w="1840" w:type="dxa"/>
            <w:vAlign w:val="bottom"/>
          </w:tcPr>
          <w:p>
            <w:pPr>
              <w:jc w:val="right"/>
              <w:ind w:right="471"/>
              <w:spacing w:after="0"/>
              <w:rPr>
                <w:sz w:val="20"/>
                <w:szCs w:val="20"/>
                <w:color w:val="auto"/>
              </w:rPr>
            </w:pPr>
            <w:r>
              <w:rPr>
                <w:rFonts w:ascii="Arial" w:cs="Arial" w:eastAsia="Arial" w:hAnsi="Arial"/>
                <w:sz w:val="34"/>
                <w:szCs w:val="34"/>
                <w:b w:val="1"/>
                <w:bCs w:val="1"/>
                <w:color w:val="auto"/>
              </w:rPr>
              <w:t>52</w:t>
            </w:r>
          </w:p>
        </w:tc>
        <w:tc>
          <w:tcPr>
            <w:tcW w:w="1380" w:type="dxa"/>
            <w:vAlign w:val="bottom"/>
          </w:tcPr>
          <w:p>
            <w:pPr>
              <w:jc w:val="right"/>
              <w:spacing w:after="0"/>
              <w:rPr>
                <w:sz w:val="20"/>
                <w:szCs w:val="20"/>
                <w:color w:val="auto"/>
              </w:rPr>
            </w:pPr>
            <w:r>
              <w:rPr>
                <w:rFonts w:ascii="Arial" w:cs="Arial" w:eastAsia="Arial" w:hAnsi="Arial"/>
                <w:sz w:val="34"/>
                <w:szCs w:val="34"/>
                <w:b w:val="1"/>
                <w:bCs w:val="1"/>
                <w:color w:val="auto"/>
              </w:rPr>
              <w:t>(56)</w:t>
            </w:r>
          </w:p>
        </w:tc>
      </w:tr>
      <w:tr>
        <w:trPr>
          <w:trHeight w:val="503"/>
        </w:trPr>
        <w:tc>
          <w:tcPr>
            <w:tcW w:w="5520" w:type="dxa"/>
            <w:vAlign w:val="bottom"/>
          </w:tcPr>
          <w:p>
            <w:pPr>
              <w:ind w:left="560"/>
              <w:spacing w:after="0"/>
              <w:rPr>
                <w:sz w:val="20"/>
                <w:szCs w:val="20"/>
                <w:color w:val="auto"/>
              </w:rPr>
            </w:pPr>
            <w:r>
              <w:rPr>
                <w:rFonts w:ascii="Arial" w:cs="Arial" w:eastAsia="Arial" w:hAnsi="Arial"/>
                <w:sz w:val="29"/>
                <w:szCs w:val="29"/>
                <w:b w:val="1"/>
                <w:bCs w:val="1"/>
                <w:color w:val="auto"/>
              </w:rPr>
              <w:t>Change in Cash</w:t>
            </w:r>
          </w:p>
        </w:tc>
        <w:tc>
          <w:tcPr>
            <w:tcW w:w="1840" w:type="dxa"/>
            <w:vAlign w:val="bottom"/>
          </w:tcPr>
          <w:p>
            <w:pPr>
              <w:jc w:val="right"/>
              <w:ind w:right="451"/>
              <w:spacing w:after="0"/>
              <w:rPr>
                <w:sz w:val="20"/>
                <w:szCs w:val="20"/>
                <w:color w:val="auto"/>
              </w:rPr>
            </w:pPr>
            <w:r>
              <w:rPr>
                <w:rFonts w:ascii="Arial" w:cs="Arial" w:eastAsia="Arial" w:hAnsi="Arial"/>
                <w:sz w:val="34"/>
                <w:szCs w:val="34"/>
                <w:b w:val="1"/>
                <w:bCs w:val="1"/>
                <w:color w:val="auto"/>
              </w:rPr>
              <w:t>233</w:t>
            </w:r>
          </w:p>
        </w:tc>
        <w:tc>
          <w:tcPr>
            <w:tcW w:w="1380" w:type="dxa"/>
            <w:vAlign w:val="bottom"/>
          </w:tcPr>
          <w:p>
            <w:pPr>
              <w:jc w:val="right"/>
              <w:spacing w:after="0"/>
              <w:rPr>
                <w:sz w:val="20"/>
                <w:szCs w:val="20"/>
                <w:color w:val="auto"/>
              </w:rPr>
            </w:pPr>
            <w:r>
              <w:rPr>
                <w:rFonts w:ascii="Arial" w:cs="Arial" w:eastAsia="Arial" w:hAnsi="Arial"/>
                <w:sz w:val="34"/>
                <w:szCs w:val="34"/>
                <w:b w:val="1"/>
                <w:bCs w:val="1"/>
                <w:color w:val="auto"/>
              </w:rPr>
              <w:t>(77)</w:t>
            </w:r>
          </w:p>
        </w:tc>
      </w:tr>
    </w:tbl>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Arial" w:cs="Arial" w:eastAsia="Arial" w:hAnsi="Arial"/>
          <w:sz w:val="28"/>
          <w:szCs w:val="28"/>
          <w:color w:val="auto"/>
        </w:rPr>
        <w:t>* 3,972,600 shares in 2006 and 5,000,000 shares in 2005.</w:t>
      </w:r>
    </w:p>
    <w:p>
      <w:pPr>
        <w:sectPr>
          <w:pgSz w:w="11900" w:h="16838" w:orient="portrait"/>
          <w:cols w:equalWidth="0" w:num="1">
            <w:col w:w="9920"/>
          </w:cols>
          <w:pgMar w:left="1160" w:top="459" w:right="819" w:bottom="1440" w:gutter="0" w:footer="0" w:header="0"/>
        </w:sectPr>
      </w:pPr>
    </w:p>
    <w:bookmarkStart w:id="27" w:name="page28"/>
    <w:bookmarkEnd w:id="27"/>
    <w:tbl>
      <w:tblPr>
        <w:tblLayout w:type="fixed"/>
        <w:tblInd w:w="240" w:type="dxa"/>
        <w:tblCellMar>
          <w:top w:w="0" w:type="dxa"/>
          <w:left w:w="0" w:type="dxa"/>
          <w:bottom w:w="0" w:type="dxa"/>
          <w:right w:w="0" w:type="dxa"/>
        </w:tblCellMar>
      </w:tblPr>
      <w:tr>
        <w:trPr>
          <w:trHeight w:val="361"/>
        </w:trPr>
        <w:tc>
          <w:tcPr>
            <w:tcW w:w="6780" w:type="dxa"/>
            <w:vAlign w:val="bottom"/>
          </w:tcPr>
          <w:p>
            <w:pPr>
              <w:spacing w:after="0"/>
              <w:rPr>
                <w:sz w:val="20"/>
                <w:szCs w:val="20"/>
                <w:color w:val="auto"/>
              </w:rPr>
            </w:pPr>
            <w:r>
              <w:rPr>
                <w:rFonts w:ascii="Arial" w:cs="Arial" w:eastAsia="Arial" w:hAnsi="Arial"/>
                <w:sz w:val="22"/>
                <w:szCs w:val="22"/>
                <w:color w:val="FFFFFF"/>
              </w:rPr>
              <w:t>Manpower Inc. 2006 4</w:t>
            </w:r>
            <w:r>
              <w:rPr>
                <w:rFonts w:ascii="Arial" w:cs="Arial" w:eastAsia="Arial" w:hAnsi="Arial"/>
                <w:sz w:val="28"/>
                <w:szCs w:val="28"/>
                <w:color w:val="FFFFFF"/>
                <w:vertAlign w:val="superscript"/>
              </w:rPr>
              <w:t>th</w:t>
            </w:r>
            <w:r>
              <w:rPr>
                <w:rFonts w:ascii="Arial" w:cs="Arial" w:eastAsia="Arial" w:hAnsi="Arial"/>
                <w:sz w:val="22"/>
                <w:szCs w:val="22"/>
                <w:color w:val="FFFFFF"/>
              </w:rPr>
              <w:t xml:space="preserve"> Quarter Results</w:t>
            </w:r>
          </w:p>
        </w:tc>
        <w:tc>
          <w:tcPr>
            <w:tcW w:w="3080" w:type="dxa"/>
            <w:vAlign w:val="bottom"/>
          </w:tcPr>
          <w:p>
            <w:pPr>
              <w:jc w:val="right"/>
              <w:spacing w:after="0"/>
              <w:rPr>
                <w:sz w:val="20"/>
                <w:szCs w:val="20"/>
                <w:color w:val="auto"/>
              </w:rPr>
            </w:pPr>
            <w:r>
              <w:rPr>
                <w:rFonts w:ascii="Arial" w:cs="Arial" w:eastAsia="Arial" w:hAnsi="Arial"/>
                <w:sz w:val="22"/>
                <w:szCs w:val="22"/>
                <w:color w:val="FFFFFF"/>
              </w:rPr>
              <w:t>16</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47"/>
          <w:szCs w:val="47"/>
          <w:color w:val="D47C18"/>
        </w:rPr>
        <w:t>First Quarter Outlook</w:t>
      </w:r>
    </w:p>
    <w:p>
      <w:pPr>
        <w:sectPr>
          <w:pgSz w:w="11900" w:h="16838" w:orient="portrait"/>
          <w:cols w:equalWidth="0" w:num="1">
            <w:col w:w="10100"/>
          </w:cols>
          <w:pgMar w:left="980" w:top="459" w:right="81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ind w:left="20"/>
        <w:spacing w:after="0"/>
        <w:tabs>
          <w:tab w:leader="none" w:pos="3280" w:val="left"/>
        </w:tabs>
        <w:rPr>
          <w:sz w:val="20"/>
          <w:szCs w:val="20"/>
          <w:color w:val="auto"/>
        </w:rPr>
      </w:pPr>
      <w:r>
        <w:rPr>
          <w:rFonts w:ascii="Arial" w:cs="Arial" w:eastAsia="Arial" w:hAnsi="Arial"/>
          <w:sz w:val="34"/>
          <w:szCs w:val="34"/>
          <w:b w:val="1"/>
          <w:bCs w:val="1"/>
          <w:color w:val="D47C18"/>
        </w:rPr>
        <w:t>Revenue</w:t>
      </w:r>
      <w:r>
        <w:rPr>
          <w:sz w:val="20"/>
          <w:szCs w:val="20"/>
          <w:color w:val="auto"/>
        </w:rPr>
        <w:tab/>
      </w:r>
      <w:r>
        <w:rPr>
          <w:rFonts w:ascii="Arial" w:cs="Arial" w:eastAsia="Arial" w:hAnsi="Arial"/>
          <w:sz w:val="32"/>
          <w:szCs w:val="32"/>
          <w:b w:val="1"/>
          <w:bCs w:val="1"/>
          <w:color w:val="auto"/>
        </w:rPr>
        <w:t>U.S.</w:t>
      </w:r>
    </w:p>
    <w:p>
      <w:pPr>
        <w:spacing w:after="0" w:line="103" w:lineRule="exact"/>
        <w:rPr>
          <w:sz w:val="20"/>
          <w:szCs w:val="20"/>
          <w:color w:val="auto"/>
        </w:rPr>
      </w:pPr>
    </w:p>
    <w:p>
      <w:pPr>
        <w:jc w:val="right"/>
        <w:ind w:right="80"/>
        <w:spacing w:after="0"/>
        <w:rPr>
          <w:sz w:val="20"/>
          <w:szCs w:val="20"/>
          <w:color w:val="auto"/>
        </w:rPr>
      </w:pPr>
      <w:r>
        <w:rPr>
          <w:rFonts w:ascii="Arial" w:cs="Arial" w:eastAsia="Arial" w:hAnsi="Arial"/>
          <w:sz w:val="32"/>
          <w:szCs w:val="32"/>
          <w:b w:val="1"/>
          <w:bCs w:val="1"/>
          <w:color w:val="auto"/>
        </w:rPr>
        <w:t>France</w:t>
      </w:r>
    </w:p>
    <w:p>
      <w:pPr>
        <w:spacing w:after="0" w:line="55" w:lineRule="exact"/>
        <w:rPr>
          <w:sz w:val="20"/>
          <w:szCs w:val="20"/>
          <w:color w:val="auto"/>
        </w:rPr>
      </w:pPr>
    </w:p>
    <w:p>
      <w:pPr>
        <w:jc w:val="right"/>
        <w:ind w:right="80"/>
        <w:spacing w:after="0"/>
        <w:rPr>
          <w:sz w:val="20"/>
          <w:szCs w:val="20"/>
          <w:color w:val="auto"/>
        </w:rPr>
      </w:pPr>
      <w:r>
        <w:rPr>
          <w:rFonts w:ascii="Arial" w:cs="Arial" w:eastAsia="Arial" w:hAnsi="Arial"/>
          <w:sz w:val="32"/>
          <w:szCs w:val="32"/>
          <w:b w:val="1"/>
          <w:bCs w:val="1"/>
          <w:color w:val="auto"/>
        </w:rPr>
        <w:t>EMEA</w:t>
      </w:r>
    </w:p>
    <w:p>
      <w:pPr>
        <w:spacing w:after="0" w:line="67" w:lineRule="exact"/>
        <w:rPr>
          <w:sz w:val="20"/>
          <w:szCs w:val="20"/>
          <w:color w:val="auto"/>
        </w:rPr>
      </w:pPr>
    </w:p>
    <w:p>
      <w:pPr>
        <w:jc w:val="right"/>
        <w:ind w:right="60"/>
        <w:spacing w:after="0"/>
        <w:rPr>
          <w:sz w:val="20"/>
          <w:szCs w:val="20"/>
          <w:color w:val="auto"/>
        </w:rPr>
      </w:pPr>
      <w:r>
        <w:rPr>
          <w:rFonts w:ascii="Arial" w:cs="Arial" w:eastAsia="Arial" w:hAnsi="Arial"/>
          <w:sz w:val="32"/>
          <w:szCs w:val="32"/>
          <w:b w:val="1"/>
          <w:bCs w:val="1"/>
          <w:color w:val="auto"/>
        </w:rPr>
        <w:t>Jefferson Wells</w:t>
      </w:r>
    </w:p>
    <w:p>
      <w:pPr>
        <w:spacing w:after="0" w:line="55" w:lineRule="exact"/>
        <w:rPr>
          <w:sz w:val="20"/>
          <w:szCs w:val="20"/>
          <w:color w:val="auto"/>
        </w:rPr>
      </w:pPr>
    </w:p>
    <w:p>
      <w:pPr>
        <w:jc w:val="right"/>
        <w:ind w:right="20"/>
        <w:spacing w:after="0"/>
        <w:rPr>
          <w:sz w:val="20"/>
          <w:szCs w:val="20"/>
          <w:color w:val="auto"/>
        </w:rPr>
      </w:pPr>
      <w:r>
        <w:rPr>
          <w:rFonts w:ascii="Arial" w:cs="Arial" w:eastAsia="Arial" w:hAnsi="Arial"/>
          <w:sz w:val="32"/>
          <w:szCs w:val="32"/>
          <w:b w:val="1"/>
          <w:bCs w:val="1"/>
          <w:color w:val="auto"/>
        </w:rPr>
        <w:t>Right Management</w:t>
      </w:r>
    </w:p>
    <w:p>
      <w:pPr>
        <w:spacing w:after="0" w:line="79" w:lineRule="exact"/>
        <w:rPr>
          <w:sz w:val="20"/>
          <w:szCs w:val="20"/>
          <w:color w:val="auto"/>
        </w:rPr>
      </w:pPr>
    </w:p>
    <w:p>
      <w:pPr>
        <w:ind w:left="3060"/>
        <w:spacing w:after="0"/>
        <w:rPr>
          <w:sz w:val="20"/>
          <w:szCs w:val="20"/>
          <w:color w:val="auto"/>
        </w:rPr>
      </w:pPr>
      <w:r>
        <w:rPr>
          <w:rFonts w:ascii="Arial" w:cs="Arial" w:eastAsia="Arial" w:hAnsi="Arial"/>
          <w:sz w:val="32"/>
          <w:szCs w:val="32"/>
          <w:b w:val="1"/>
          <w:bCs w:val="1"/>
          <w:color w:val="auto"/>
        </w:rPr>
        <w:t>Other</w:t>
      </w:r>
    </w:p>
    <w:p>
      <w:pPr>
        <w:spacing w:after="0" w:line="185" w:lineRule="exact"/>
        <w:rPr>
          <w:sz w:val="20"/>
          <w:szCs w:val="20"/>
          <w:color w:val="auto"/>
        </w:rPr>
      </w:pPr>
    </w:p>
    <w:p>
      <w:pPr>
        <w:ind w:left="3140"/>
        <w:spacing w:after="0"/>
        <w:rPr>
          <w:sz w:val="20"/>
          <w:szCs w:val="20"/>
          <w:color w:val="auto"/>
        </w:rPr>
      </w:pPr>
      <w:r>
        <w:rPr>
          <w:rFonts w:ascii="Arial" w:cs="Arial" w:eastAsia="Arial" w:hAnsi="Arial"/>
          <w:sz w:val="32"/>
          <w:szCs w:val="32"/>
          <w:b w:val="1"/>
          <w:bCs w:val="1"/>
          <w:color w:val="auto"/>
        </w:rPr>
        <w:t>Total</w:t>
      </w:r>
    </w:p>
    <w:p>
      <w:pPr>
        <w:spacing w:after="0" w:line="150" w:lineRule="exact"/>
        <w:rPr>
          <w:sz w:val="20"/>
          <w:szCs w:val="20"/>
          <w:color w:val="auto"/>
        </w:rPr>
      </w:pPr>
    </w:p>
    <w:p>
      <w:pPr>
        <w:ind w:left="40" w:right="160" w:hanging="11"/>
        <w:spacing w:after="0" w:line="357" w:lineRule="auto"/>
        <w:rPr>
          <w:sz w:val="20"/>
          <w:szCs w:val="20"/>
          <w:color w:val="auto"/>
        </w:rPr>
      </w:pPr>
      <w:r>
        <w:rPr>
          <w:rFonts w:ascii="Arial" w:cs="Arial" w:eastAsia="Arial" w:hAnsi="Arial"/>
          <w:sz w:val="34"/>
          <w:szCs w:val="34"/>
          <w:b w:val="1"/>
          <w:bCs w:val="1"/>
          <w:color w:val="D47C18"/>
        </w:rPr>
        <w:t>Gross Profit Margin Operating Profit Margin</w:t>
      </w:r>
    </w:p>
    <w:p>
      <w:pPr>
        <w:spacing w:after="0" w:line="1" w:lineRule="exact"/>
        <w:rPr>
          <w:sz w:val="20"/>
          <w:szCs w:val="20"/>
          <w:color w:val="auto"/>
        </w:rPr>
      </w:pPr>
    </w:p>
    <w:p>
      <w:pPr>
        <w:ind w:left="40" w:hanging="22"/>
        <w:spacing w:after="0" w:line="369" w:lineRule="auto"/>
        <w:rPr>
          <w:sz w:val="20"/>
          <w:szCs w:val="20"/>
          <w:color w:val="auto"/>
        </w:rPr>
      </w:pPr>
      <w:r>
        <w:rPr>
          <w:rFonts w:ascii="Arial" w:cs="Arial" w:eastAsia="Arial" w:hAnsi="Arial"/>
          <w:sz w:val="34"/>
          <w:szCs w:val="34"/>
          <w:b w:val="1"/>
          <w:bCs w:val="1"/>
          <w:color w:val="D47C18"/>
        </w:rPr>
        <w:t xml:space="preserve">Tax Rate </w:t>
      </w:r>
      <w:r>
        <w:rPr>
          <w:rFonts w:ascii="Arial" w:cs="Arial" w:eastAsia="Arial" w:hAnsi="Arial"/>
          <w:sz w:val="18"/>
          <w:szCs w:val="18"/>
          <w:b w:val="1"/>
          <w:bCs w:val="1"/>
          <w:color w:val="D47C18"/>
        </w:rPr>
        <w:t>from Continuing Operations</w:t>
      </w:r>
      <w:r>
        <w:rPr>
          <w:rFonts w:ascii="Arial" w:cs="Arial" w:eastAsia="Arial" w:hAnsi="Arial"/>
          <w:sz w:val="34"/>
          <w:szCs w:val="34"/>
          <w:b w:val="1"/>
          <w:bCs w:val="1"/>
          <w:color w:val="D47C18"/>
        </w:rPr>
        <w:t xml:space="preserve"> EPS </w:t>
      </w:r>
      <w:r>
        <w:rPr>
          <w:rFonts w:ascii="Arial" w:cs="Arial" w:eastAsia="Arial" w:hAnsi="Arial"/>
          <w:sz w:val="18"/>
          <w:szCs w:val="18"/>
          <w:b w:val="1"/>
          <w:bCs w:val="1"/>
          <w:color w:val="D47C18"/>
        </w:rPr>
        <w:t>from Continuing Operations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Arial" w:cs="Arial" w:eastAsia="Arial" w:hAnsi="Arial"/>
          <w:sz w:val="32"/>
          <w:szCs w:val="32"/>
          <w:color w:val="auto"/>
        </w:rPr>
        <w:t>Flat/Down 2%</w:t>
      </w:r>
    </w:p>
    <w:p>
      <w:pPr>
        <w:spacing w:after="0" w:line="79" w:lineRule="exact"/>
        <w:rPr>
          <w:sz w:val="20"/>
          <w:szCs w:val="20"/>
          <w:color w:val="auto"/>
        </w:rPr>
      </w:pPr>
    </w:p>
    <w:p>
      <w:pPr>
        <w:ind w:left="20"/>
        <w:spacing w:after="0"/>
        <w:rPr>
          <w:sz w:val="20"/>
          <w:szCs w:val="20"/>
          <w:color w:val="auto"/>
        </w:rPr>
      </w:pPr>
      <w:r>
        <w:rPr>
          <w:rFonts w:ascii="Arial" w:cs="Arial" w:eastAsia="Arial" w:hAnsi="Arial"/>
          <w:sz w:val="32"/>
          <w:szCs w:val="32"/>
          <w:color w:val="auto"/>
        </w:rPr>
        <w:t>Up 15-17% (Up 7-9% CC)</w:t>
      </w:r>
    </w:p>
    <w:p>
      <w:pPr>
        <w:spacing w:after="0" w:line="79" w:lineRule="exact"/>
        <w:rPr>
          <w:sz w:val="20"/>
          <w:szCs w:val="20"/>
          <w:color w:val="auto"/>
        </w:rPr>
      </w:pPr>
    </w:p>
    <w:p>
      <w:pPr>
        <w:ind w:left="20"/>
        <w:spacing w:after="0"/>
        <w:rPr>
          <w:sz w:val="20"/>
          <w:szCs w:val="20"/>
          <w:color w:val="auto"/>
        </w:rPr>
      </w:pPr>
      <w:r>
        <w:rPr>
          <w:rFonts w:ascii="Arial" w:cs="Arial" w:eastAsia="Arial" w:hAnsi="Arial"/>
          <w:sz w:val="32"/>
          <w:szCs w:val="32"/>
          <w:color w:val="auto"/>
        </w:rPr>
        <w:t>Up 20-22% (Up 13-15% CC)</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32"/>
          <w:szCs w:val="32"/>
          <w:color w:val="auto"/>
        </w:rPr>
        <w:t>Down 4-6%</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32"/>
          <w:szCs w:val="32"/>
          <w:color w:val="auto"/>
        </w:rPr>
        <w:t>Up 2-4% (Up/Down 1% CC)</w:t>
      </w:r>
    </w:p>
    <w:p>
      <w:pPr>
        <w:spacing w:after="0" w:line="91" w:lineRule="exact"/>
        <w:rPr>
          <w:sz w:val="20"/>
          <w:szCs w:val="20"/>
          <w:color w:val="auto"/>
        </w:rPr>
      </w:pPr>
    </w:p>
    <w:p>
      <w:pPr>
        <w:ind w:left="60"/>
        <w:spacing w:after="0"/>
        <w:rPr>
          <w:sz w:val="20"/>
          <w:szCs w:val="20"/>
          <w:color w:val="auto"/>
        </w:rPr>
      </w:pPr>
      <w:r>
        <w:rPr>
          <w:rFonts w:ascii="Arial" w:cs="Arial" w:eastAsia="Arial" w:hAnsi="Arial"/>
          <w:sz w:val="32"/>
          <w:szCs w:val="32"/>
          <w:color w:val="auto"/>
        </w:rPr>
        <w:t>Up 11-13% (Up 11-13% CC)</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32"/>
          <w:szCs w:val="32"/>
          <w:color w:val="auto"/>
        </w:rPr>
        <w:t>Up 13-15% (Up 8-10% CC)</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32"/>
          <w:szCs w:val="32"/>
          <w:color w:val="auto"/>
        </w:rPr>
        <w:t>17.8 - 18.0%</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32"/>
          <w:szCs w:val="32"/>
          <w:color w:val="auto"/>
        </w:rPr>
        <w:t>2.0 – 2.2%</w:t>
      </w:r>
    </w:p>
    <w:p>
      <w:pPr>
        <w:spacing w:after="0" w:line="196" w:lineRule="exact"/>
        <w:rPr>
          <w:sz w:val="20"/>
          <w:szCs w:val="20"/>
          <w:color w:val="auto"/>
        </w:rPr>
      </w:pPr>
    </w:p>
    <w:p>
      <w:pPr>
        <w:ind w:left="80"/>
        <w:spacing w:after="0"/>
        <w:rPr>
          <w:sz w:val="20"/>
          <w:szCs w:val="20"/>
          <w:color w:val="auto"/>
        </w:rPr>
      </w:pPr>
      <w:r>
        <w:rPr>
          <w:rFonts w:ascii="Arial" w:cs="Arial" w:eastAsia="Arial" w:hAnsi="Arial"/>
          <w:sz w:val="32"/>
          <w:szCs w:val="32"/>
          <w:color w:val="auto"/>
        </w:rPr>
        <w:t>36.5%</w:t>
      </w:r>
    </w:p>
    <w:p>
      <w:pPr>
        <w:spacing w:after="0" w:line="229" w:lineRule="exact"/>
        <w:rPr>
          <w:sz w:val="20"/>
          <w:szCs w:val="20"/>
          <w:color w:val="auto"/>
        </w:rPr>
      </w:pPr>
    </w:p>
    <w:p>
      <w:pPr>
        <w:spacing w:after="0"/>
        <w:rPr>
          <w:sz w:val="20"/>
          <w:szCs w:val="20"/>
          <w:color w:val="auto"/>
        </w:rPr>
      </w:pPr>
      <w:r>
        <w:rPr>
          <w:rFonts w:ascii="Arial" w:cs="Arial" w:eastAsia="Arial" w:hAnsi="Arial"/>
          <w:sz w:val="29"/>
          <w:szCs w:val="29"/>
          <w:color w:val="auto"/>
        </w:rPr>
        <w:t>$0.57 - $0.61 (Pos. $.04 Currency)</w:t>
      </w:r>
    </w:p>
    <w:p>
      <w:pPr>
        <w:sectPr>
          <w:pgSz w:w="11900" w:h="16838" w:orient="portrait"/>
          <w:cols w:equalWidth="0" w:num="2">
            <w:col w:w="4000" w:space="540"/>
            <w:col w:w="5560"/>
          </w:cols>
          <w:pgMar w:left="980" w:top="459" w:right="819" w:bottom="1440" w:gutter="0" w:footer="0" w:header="0"/>
          <w:type w:val="continuous"/>
        </w:sectPr>
      </w:pPr>
    </w:p>
    <w:bookmarkStart w:id="28" w:name="page29"/>
    <w:bookmarkEnd w:id="28"/>
    <w:p>
      <w:pPr>
        <w:ind w:left="80"/>
        <w:spacing w:after="0"/>
        <w:rPr>
          <w:sz w:val="20"/>
          <w:szCs w:val="20"/>
          <w:color w:val="auto"/>
        </w:rPr>
      </w:pPr>
      <w:r>
        <w:rPr>
          <w:rFonts w:ascii="Arial" w:cs="Arial" w:eastAsia="Arial" w:hAnsi="Arial"/>
          <w:sz w:val="28"/>
          <w:szCs w:val="28"/>
          <w:b w:val="1"/>
          <w:bCs w:val="1"/>
          <w:color w:val="6698C2"/>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4720" cy="24765"/>
                    </a:xfrm>
                    <a:prstGeom prst="rect">
                      <a:avLst/>
                    </a:prstGeom>
                    <a:noFill/>
                  </pic:spPr>
                </pic:pic>
              </a:graphicData>
            </a:graphic>
          </wp:anchor>
        </w:drawing>
        <w:t>2006 4</w:t>
      </w:r>
      <w:r>
        <w:rPr>
          <w:rFonts w:ascii="Arial" w:cs="Arial" w:eastAsia="Arial" w:hAnsi="Arial"/>
          <w:sz w:val="37"/>
          <w:szCs w:val="37"/>
          <w:b w:val="1"/>
          <w:bCs w:val="1"/>
          <w:color w:val="6698C2"/>
          <w:vertAlign w:val="superscript"/>
        </w:rPr>
        <w:t>th</w:t>
      </w:r>
      <w:r>
        <w:rPr>
          <w:rFonts w:ascii="Arial" w:cs="Arial" w:eastAsia="Arial" w:hAnsi="Arial"/>
          <w:sz w:val="28"/>
          <w:szCs w:val="28"/>
          <w:b w:val="1"/>
          <w:bCs w:val="1"/>
          <w:color w:val="6698C2"/>
        </w:rPr>
        <w:t xml:space="preserve">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2540</wp:posOffset>
            </wp:positionV>
            <wp:extent cx="4128770" cy="43154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128770" cy="4315460"/>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25"/>
          <w:szCs w:val="25"/>
          <w:color w:val="auto"/>
        </w:rPr>
        <w:t>January 30,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400"/>
        <w:spacing w:after="0"/>
        <w:rPr>
          <w:sz w:val="20"/>
          <w:szCs w:val="20"/>
          <w:color w:val="auto"/>
        </w:rPr>
      </w:pPr>
      <w:r>
        <w:rPr>
          <w:rFonts w:ascii="Arial" w:cs="Arial" w:eastAsia="Arial" w:hAnsi="Arial"/>
          <w:sz w:val="79"/>
          <w:szCs w:val="79"/>
          <w:color w:val="auto"/>
        </w:rPr>
        <w:t>Now</w:t>
      </w:r>
    </w:p>
    <w:p>
      <w:pPr>
        <w:jc w:val="right"/>
        <w:ind w:right="2619"/>
        <w:spacing w:after="0"/>
        <w:rPr>
          <w:sz w:val="20"/>
          <w:szCs w:val="20"/>
          <w:color w:val="auto"/>
        </w:rPr>
      </w:pPr>
      <w:r>
        <w:rPr>
          <w:rFonts w:ascii="Arial" w:cs="Arial" w:eastAsia="Arial" w:hAnsi="Arial"/>
          <w:sz w:val="118"/>
          <w:szCs w:val="118"/>
          <w:color w:val="auto"/>
        </w:rPr>
        <w:t>Next</w:t>
      </w:r>
    </w:p>
    <w:p>
      <w:pPr>
        <w:sectPr>
          <w:pgSz w:w="11900" w:h="16838" w:orient="portrait"/>
          <w:cols w:equalWidth="0" w:num="1">
            <w:col w:w="10099"/>
          </w:cols>
          <w:pgMar w:left="360" w:top="333" w:right="1440" w:bottom="1440" w:gutter="0" w:footer="0" w:header="0"/>
        </w:sectPr>
      </w:pPr>
    </w:p>
    <w:bookmarkStart w:id="29" w:name="page30"/>
    <w:bookmarkEnd w:id="29"/>
    <w:p>
      <w:pPr>
        <w:spacing w:after="0"/>
        <w:rPr>
          <w:sz w:val="20"/>
          <w:szCs w:val="20"/>
          <w:color w:val="auto"/>
        </w:rPr>
      </w:pPr>
      <w:r>
        <w:rPr>
          <w:rFonts w:ascii="Arial" w:cs="Arial" w:eastAsia="Arial" w:hAnsi="Arial"/>
          <w:sz w:val="28"/>
          <w:szCs w:val="28"/>
          <w:b w:val="1"/>
          <w:bCs w:val="1"/>
          <w:color w:val="5F81AA"/>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4720" cy="24765"/>
                    </a:xfrm>
                    <a:prstGeom prst="rect">
                      <a:avLst/>
                    </a:prstGeom>
                    <a:noFill/>
                  </pic:spPr>
                </pic:pic>
              </a:graphicData>
            </a:graphic>
          </wp:anchor>
        </w:drawing>
        <w:t>2006 4</w:t>
      </w:r>
      <w:r>
        <w:rPr>
          <w:rFonts w:ascii="Arial" w:cs="Arial" w:eastAsia="Arial" w:hAnsi="Arial"/>
          <w:sz w:val="37"/>
          <w:szCs w:val="37"/>
          <w:b w:val="1"/>
          <w:bCs w:val="1"/>
          <w:color w:val="5F81AA"/>
          <w:vertAlign w:val="superscript"/>
        </w:rPr>
        <w:t>th</w:t>
      </w:r>
      <w:r>
        <w:rPr>
          <w:rFonts w:ascii="Arial" w:cs="Arial" w:eastAsia="Arial" w:hAnsi="Arial"/>
          <w:sz w:val="28"/>
          <w:szCs w:val="28"/>
          <w:b w:val="1"/>
          <w:bCs w:val="1"/>
          <w:color w:val="5F81AA"/>
        </w:rPr>
        <w:t xml:space="preserve">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2540</wp:posOffset>
            </wp:positionV>
            <wp:extent cx="4128770" cy="43154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128770" cy="4315460"/>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25"/>
          <w:szCs w:val="25"/>
          <w:color w:val="auto"/>
        </w:rPr>
        <w:t>January 30,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020"/>
        <w:spacing w:after="0"/>
        <w:rPr>
          <w:sz w:val="20"/>
          <w:szCs w:val="20"/>
          <w:color w:val="auto"/>
        </w:rPr>
      </w:pPr>
      <w:r>
        <w:rPr>
          <w:rFonts w:ascii="Arial" w:cs="Arial" w:eastAsia="Arial" w:hAnsi="Arial"/>
          <w:sz w:val="62"/>
          <w:szCs w:val="62"/>
          <w:color w:val="auto"/>
        </w:rPr>
        <w:t>Questions?</w:t>
      </w:r>
    </w:p>
    <w:p>
      <w:pPr>
        <w:jc w:val="right"/>
        <w:ind w:right="1519"/>
        <w:spacing w:after="0"/>
        <w:rPr>
          <w:sz w:val="20"/>
          <w:szCs w:val="20"/>
          <w:color w:val="auto"/>
        </w:rPr>
      </w:pPr>
      <w:r>
        <w:rPr>
          <w:rFonts w:ascii="Arial" w:cs="Arial" w:eastAsia="Arial" w:hAnsi="Arial"/>
          <w:sz w:val="94"/>
          <w:szCs w:val="94"/>
          <w:color w:val="auto"/>
        </w:rPr>
        <w:t>Answers</w:t>
      </w:r>
    </w:p>
    <w:p>
      <w:pPr>
        <w:sectPr>
          <w:pgSz w:w="11900" w:h="16838" w:orient="portrait"/>
          <w:cols w:equalWidth="0" w:num="1">
            <w:col w:w="10099"/>
          </w:cols>
          <w:pgMar w:left="360" w:top="333" w:right="1440" w:bottom="1440" w:gutter="0" w:footer="0" w:header="0"/>
        </w:sectPr>
      </w:pPr>
    </w:p>
    <w:bookmarkStart w:id="30" w:name="page31"/>
    <w:bookmarkEnd w:id="30"/>
    <w:tbl>
      <w:tblPr>
        <w:tblLayout w:type="fixed"/>
        <w:tblInd w:w="6" w:type="dxa"/>
        <w:tblCellMar>
          <w:top w:w="0" w:type="dxa"/>
          <w:left w:w="0" w:type="dxa"/>
          <w:bottom w:w="0" w:type="dxa"/>
          <w:right w:w="0" w:type="dxa"/>
        </w:tblCellMar>
      </w:tblPr>
      <w:tr>
        <w:trPr>
          <w:trHeight w:val="192"/>
        </w:trPr>
        <w:tc>
          <w:tcPr>
            <w:tcW w:w="94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b w:val="1"/>
                <w:bCs w:val="1"/>
                <w:color w:val="auto"/>
                <w:w w:val="95"/>
              </w:rPr>
              <w:t>Exhibit 99.3</w:t>
            </w:r>
          </w:p>
        </w:tc>
        <w:tc>
          <w:tcPr>
            <w:tcW w:w="0" w:type="dxa"/>
            <w:vAlign w:val="bottom"/>
          </w:tcPr>
          <w:p>
            <w:pPr>
              <w:spacing w:after="0"/>
              <w:rPr>
                <w:sz w:val="1"/>
                <w:szCs w:val="1"/>
                <w:color w:val="auto"/>
              </w:rPr>
            </w:pPr>
          </w:p>
        </w:tc>
      </w:tr>
      <w:tr>
        <w:trPr>
          <w:trHeight w:val="194"/>
        </w:trPr>
        <w:tc>
          <w:tcPr>
            <w:tcW w:w="94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color w:val="auto"/>
                <w:w w:val="92"/>
              </w:rPr>
              <w:t>(Page 1 of 9)</w:t>
            </w:r>
          </w:p>
        </w:tc>
        <w:tc>
          <w:tcPr>
            <w:tcW w:w="0" w:type="dxa"/>
            <w:vAlign w:val="bottom"/>
          </w:tcPr>
          <w:p>
            <w:pPr>
              <w:spacing w:after="0"/>
              <w:rPr>
                <w:sz w:val="1"/>
                <w:szCs w:val="1"/>
                <w:color w:val="auto"/>
              </w:rPr>
            </w:pPr>
          </w:p>
        </w:tc>
      </w:tr>
      <w:tr>
        <w:trPr>
          <w:trHeight w:val="323"/>
        </w:trPr>
        <w:tc>
          <w:tcPr>
            <w:tcW w:w="9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740" w:type="dxa"/>
            <w:vAlign w:val="bottom"/>
            <w:gridSpan w:val="6"/>
          </w:tcPr>
          <w:p>
            <w:pPr>
              <w:jc w:val="center"/>
              <w:ind w:left="684"/>
              <w:spacing w:after="0"/>
              <w:rPr>
                <w:sz w:val="20"/>
                <w:szCs w:val="20"/>
                <w:color w:val="auto"/>
              </w:rPr>
            </w:pPr>
            <w:r>
              <w:rPr>
                <w:rFonts w:ascii="Arial" w:cs="Arial" w:eastAsia="Arial" w:hAnsi="Arial"/>
                <w:sz w:val="15"/>
                <w:szCs w:val="15"/>
                <w:color w:val="auto"/>
                <w:w w:val="95"/>
              </w:rPr>
              <w:t>Manpower Inc.</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94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200" w:type="dxa"/>
            <w:vAlign w:val="bottom"/>
            <w:gridSpan w:val="7"/>
          </w:tcPr>
          <w:p>
            <w:pPr>
              <w:jc w:val="center"/>
              <w:ind w:left="244"/>
              <w:spacing w:after="0" w:line="188" w:lineRule="exact"/>
              <w:rPr>
                <w:sz w:val="20"/>
                <w:szCs w:val="20"/>
                <w:color w:val="auto"/>
              </w:rPr>
            </w:pPr>
            <w:r>
              <w:rPr>
                <w:rFonts w:ascii="Arial" w:cs="Arial" w:eastAsia="Arial" w:hAnsi="Arial"/>
                <w:sz w:val="15"/>
                <w:szCs w:val="15"/>
                <w:color w:val="auto"/>
                <w:w w:val="90"/>
              </w:rPr>
              <w:t xml:space="preserve">Results of Operations </w:t>
            </w:r>
            <w:r>
              <w:rPr>
                <w:rFonts w:ascii="Arial" w:cs="Arial" w:eastAsia="Arial" w:hAnsi="Arial"/>
                <w:sz w:val="19"/>
                <w:szCs w:val="19"/>
                <w:color w:val="auto"/>
                <w:w w:val="90"/>
                <w:vertAlign w:val="superscript"/>
              </w:rPr>
              <w:t>(1)</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4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740" w:type="dxa"/>
            <w:vAlign w:val="bottom"/>
            <w:gridSpan w:val="6"/>
          </w:tcPr>
          <w:p>
            <w:pPr>
              <w:jc w:val="center"/>
              <w:ind w:left="684"/>
              <w:spacing w:after="0"/>
              <w:rPr>
                <w:sz w:val="20"/>
                <w:szCs w:val="20"/>
                <w:color w:val="auto"/>
              </w:rPr>
            </w:pPr>
            <w:r>
              <w:rPr>
                <w:rFonts w:ascii="Arial" w:cs="Arial" w:eastAsia="Arial" w:hAnsi="Arial"/>
                <w:sz w:val="15"/>
                <w:szCs w:val="15"/>
                <w:color w:val="auto"/>
              </w:rPr>
              <w:t>(In millions)</w:t>
            </w: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7"/>
        </w:trPr>
        <w:tc>
          <w:tcPr>
            <w:tcW w:w="9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40" w:type="dxa"/>
            <w:vAlign w:val="bottom"/>
            <w:gridSpan w:val="6"/>
          </w:tcPr>
          <w:p>
            <w:pPr>
              <w:jc w:val="right"/>
              <w:ind w:right="120"/>
              <w:spacing w:after="0"/>
              <w:rPr>
                <w:sz w:val="20"/>
                <w:szCs w:val="20"/>
                <w:color w:val="auto"/>
              </w:rPr>
            </w:pPr>
            <w:r>
              <w:rPr>
                <w:rFonts w:ascii="Arial" w:cs="Arial" w:eastAsia="Arial" w:hAnsi="Arial"/>
                <w:sz w:val="12"/>
                <w:szCs w:val="12"/>
                <w:b w:val="1"/>
                <w:bCs w:val="1"/>
                <w:color w:val="auto"/>
                <w:w w:val="91"/>
              </w:rPr>
              <w:t>Three Months Ended March 31</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0" w:type="dxa"/>
            <w:vAlign w:val="bottom"/>
            <w:gridSpan w:val="9"/>
          </w:tcPr>
          <w:p>
            <w:pPr>
              <w:jc w:val="center"/>
              <w:ind w:right="680"/>
              <w:spacing w:after="0"/>
              <w:rPr>
                <w:sz w:val="20"/>
                <w:szCs w:val="20"/>
                <w:color w:val="auto"/>
              </w:rPr>
            </w:pPr>
            <w:r>
              <w:rPr>
                <w:rFonts w:ascii="Arial" w:cs="Arial" w:eastAsia="Arial" w:hAnsi="Arial"/>
                <w:sz w:val="12"/>
                <w:szCs w:val="12"/>
                <w:b w:val="1"/>
                <w:bCs w:val="1"/>
                <w:color w:val="auto"/>
                <w:w w:val="88"/>
              </w:rPr>
              <w:t>Three Months Ended June 30</w:t>
            </w:r>
          </w:p>
        </w:tc>
        <w:tc>
          <w:tcPr>
            <w:tcW w:w="0" w:type="dxa"/>
            <w:vAlign w:val="bottom"/>
          </w:tcPr>
          <w:p>
            <w:pPr>
              <w:spacing w:after="0"/>
              <w:rPr>
                <w:sz w:val="1"/>
                <w:szCs w:val="1"/>
                <w:color w:val="auto"/>
              </w:rPr>
            </w:pPr>
          </w:p>
        </w:tc>
      </w:tr>
      <w:tr>
        <w:trPr>
          <w:trHeight w:val="121"/>
        </w:trPr>
        <w:tc>
          <w:tcPr>
            <w:tcW w:w="9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80" w:type="dxa"/>
            <w:vAlign w:val="bottom"/>
            <w:tcBorders>
              <w:top w:val="single" w:sz="8" w:color="auto"/>
              <w:bottom w:val="single" w:sz="8" w:color="auto"/>
            </w:tcBorders>
            <w:gridSpan w:val="3"/>
          </w:tcPr>
          <w:p>
            <w:pPr>
              <w:ind w:left="340"/>
              <w:spacing w:after="0" w:line="121" w:lineRule="exact"/>
              <w:rPr>
                <w:sz w:val="20"/>
                <w:szCs w:val="20"/>
                <w:color w:val="auto"/>
              </w:rPr>
            </w:pPr>
            <w:r>
              <w:rPr>
                <w:rFonts w:ascii="Arial" w:cs="Arial" w:eastAsia="Arial" w:hAnsi="Arial"/>
                <w:sz w:val="12"/>
                <w:szCs w:val="12"/>
                <w:b w:val="1"/>
                <w:bCs w:val="1"/>
                <w:color w:val="auto"/>
              </w:rPr>
              <w:t>% Variance</w:t>
            </w: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80" w:type="dxa"/>
            <w:vAlign w:val="bottom"/>
            <w:tcBorders>
              <w:top w:val="single" w:sz="8" w:color="auto"/>
              <w:bottom w:val="single" w:sz="8" w:color="auto"/>
            </w:tcBorders>
            <w:gridSpan w:val="4"/>
          </w:tcPr>
          <w:p>
            <w:pPr>
              <w:ind w:left="340"/>
              <w:spacing w:after="0" w:line="121" w:lineRule="exact"/>
              <w:rPr>
                <w:sz w:val="20"/>
                <w:szCs w:val="20"/>
                <w:color w:val="auto"/>
              </w:rPr>
            </w:pPr>
            <w:r>
              <w:rPr>
                <w:rFonts w:ascii="Arial" w:cs="Arial" w:eastAsia="Arial" w:hAnsi="Arial"/>
                <w:sz w:val="12"/>
                <w:szCs w:val="12"/>
                <w:b w:val="1"/>
                <w:bCs w:val="1"/>
                <w:color w:val="auto"/>
              </w:rPr>
              <w:t>% Variance</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940" w:type="dxa"/>
            <w:vAlign w:val="bottom"/>
          </w:tcPr>
          <w:p>
            <w:pPr>
              <w:spacing w:after="0"/>
              <w:rPr>
                <w:sz w:val="9"/>
                <w:szCs w:val="9"/>
                <w:color w:val="auto"/>
              </w:rPr>
            </w:pPr>
          </w:p>
        </w:tc>
        <w:tc>
          <w:tcPr>
            <w:tcW w:w="3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vMerge w:val="restart"/>
          </w:tcPr>
          <w:p>
            <w:pPr>
              <w:jc w:val="right"/>
              <w:ind w:right="64"/>
              <w:spacing w:after="0"/>
              <w:rPr>
                <w:sz w:val="20"/>
                <w:szCs w:val="20"/>
                <w:color w:val="auto"/>
              </w:rPr>
            </w:pPr>
            <w:r>
              <w:rPr>
                <w:rFonts w:ascii="Arial" w:cs="Arial" w:eastAsia="Arial" w:hAnsi="Arial"/>
                <w:sz w:val="12"/>
                <w:szCs w:val="12"/>
                <w:b w:val="1"/>
                <w:bCs w:val="1"/>
                <w:color w:val="auto"/>
              </w:rPr>
              <w:t>2006</w:t>
            </w: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vMerge w:val="restart"/>
          </w:tcPr>
          <w:p>
            <w:pPr>
              <w:jc w:val="right"/>
              <w:ind w:right="85"/>
              <w:spacing w:after="0"/>
              <w:rPr>
                <w:sz w:val="20"/>
                <w:szCs w:val="20"/>
                <w:color w:val="auto"/>
              </w:rPr>
            </w:pPr>
            <w:r>
              <w:rPr>
                <w:rFonts w:ascii="Arial" w:cs="Arial" w:eastAsia="Arial" w:hAnsi="Arial"/>
                <w:sz w:val="12"/>
                <w:szCs w:val="12"/>
                <w:b w:val="1"/>
                <w:bCs w:val="1"/>
                <w:color w:val="auto"/>
              </w:rPr>
              <w:t>2005</w:t>
            </w:r>
          </w:p>
        </w:tc>
        <w:tc>
          <w:tcPr>
            <w:tcW w:w="220" w:type="dxa"/>
            <w:vAlign w:val="bottom"/>
          </w:tcPr>
          <w:p>
            <w:pPr>
              <w:spacing w:after="0"/>
              <w:rPr>
                <w:sz w:val="9"/>
                <w:szCs w:val="9"/>
                <w:color w:val="auto"/>
              </w:rPr>
            </w:pPr>
          </w:p>
        </w:tc>
        <w:tc>
          <w:tcPr>
            <w:tcW w:w="800" w:type="dxa"/>
            <w:vAlign w:val="bottom"/>
            <w:gridSpan w:val="2"/>
          </w:tcPr>
          <w:p>
            <w:pPr>
              <w:jc w:val="right"/>
              <w:ind w:right="360"/>
              <w:spacing w:after="0" w:line="110" w:lineRule="exact"/>
              <w:rPr>
                <w:sz w:val="20"/>
                <w:szCs w:val="20"/>
                <w:color w:val="auto"/>
              </w:rPr>
            </w:pPr>
            <w:r>
              <w:rPr>
                <w:rFonts w:ascii="Arial" w:cs="Arial" w:eastAsia="Arial" w:hAnsi="Arial"/>
                <w:sz w:val="12"/>
                <w:szCs w:val="12"/>
                <w:b w:val="1"/>
                <w:bCs w:val="1"/>
                <w:color w:val="auto"/>
                <w:w w:val="92"/>
              </w:rPr>
              <w:t>Amount</w:t>
            </w:r>
          </w:p>
        </w:tc>
        <w:tc>
          <w:tcPr>
            <w:tcW w:w="480" w:type="dxa"/>
            <w:vAlign w:val="bottom"/>
          </w:tcPr>
          <w:p>
            <w:pPr>
              <w:ind w:left="20"/>
              <w:spacing w:after="0" w:line="110" w:lineRule="exact"/>
              <w:rPr>
                <w:sz w:val="20"/>
                <w:szCs w:val="20"/>
                <w:color w:val="auto"/>
              </w:rPr>
            </w:pPr>
            <w:r>
              <w:rPr>
                <w:rFonts w:ascii="Arial" w:cs="Arial" w:eastAsia="Arial" w:hAnsi="Arial"/>
                <w:sz w:val="12"/>
                <w:szCs w:val="12"/>
                <w:b w:val="1"/>
                <w:bCs w:val="1"/>
                <w:color w:val="auto"/>
                <w:w w:val="84"/>
              </w:rPr>
              <w:t>Constant</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vMerge w:val="restart"/>
          </w:tcPr>
          <w:p>
            <w:pPr>
              <w:jc w:val="right"/>
              <w:ind w:right="64"/>
              <w:spacing w:after="0"/>
              <w:rPr>
                <w:sz w:val="20"/>
                <w:szCs w:val="20"/>
                <w:color w:val="auto"/>
              </w:rPr>
            </w:pPr>
            <w:r>
              <w:rPr>
                <w:rFonts w:ascii="Arial" w:cs="Arial" w:eastAsia="Arial" w:hAnsi="Arial"/>
                <w:sz w:val="12"/>
                <w:szCs w:val="12"/>
                <w:b w:val="1"/>
                <w:bCs w:val="1"/>
                <w:color w:val="auto"/>
              </w:rPr>
              <w:t>2006</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vMerge w:val="restart"/>
          </w:tcPr>
          <w:p>
            <w:pPr>
              <w:jc w:val="right"/>
              <w:ind w:right="85"/>
              <w:spacing w:after="0"/>
              <w:rPr>
                <w:sz w:val="20"/>
                <w:szCs w:val="20"/>
                <w:color w:val="auto"/>
              </w:rPr>
            </w:pPr>
            <w:r>
              <w:rPr>
                <w:rFonts w:ascii="Arial" w:cs="Arial" w:eastAsia="Arial" w:hAnsi="Arial"/>
                <w:sz w:val="12"/>
                <w:szCs w:val="12"/>
                <w:b w:val="1"/>
                <w:bCs w:val="1"/>
                <w:color w:val="auto"/>
              </w:rPr>
              <w:t>2005</w:t>
            </w:r>
          </w:p>
        </w:tc>
        <w:tc>
          <w:tcPr>
            <w:tcW w:w="220" w:type="dxa"/>
            <w:vAlign w:val="bottom"/>
          </w:tcPr>
          <w:p>
            <w:pPr>
              <w:spacing w:after="0"/>
              <w:rPr>
                <w:sz w:val="9"/>
                <w:szCs w:val="9"/>
                <w:color w:val="auto"/>
              </w:rPr>
            </w:pPr>
          </w:p>
        </w:tc>
        <w:tc>
          <w:tcPr>
            <w:tcW w:w="600" w:type="dxa"/>
            <w:vAlign w:val="bottom"/>
            <w:gridSpan w:val="2"/>
          </w:tcPr>
          <w:p>
            <w:pPr>
              <w:jc w:val="right"/>
              <w:ind w:right="160"/>
              <w:spacing w:after="0" w:line="110" w:lineRule="exact"/>
              <w:rPr>
                <w:sz w:val="20"/>
                <w:szCs w:val="20"/>
                <w:color w:val="auto"/>
              </w:rPr>
            </w:pPr>
            <w:r>
              <w:rPr>
                <w:rFonts w:ascii="Arial" w:cs="Arial" w:eastAsia="Arial" w:hAnsi="Arial"/>
                <w:sz w:val="12"/>
                <w:szCs w:val="12"/>
                <w:b w:val="1"/>
                <w:bCs w:val="1"/>
                <w:color w:val="auto"/>
                <w:w w:val="92"/>
              </w:rPr>
              <w:t>Amount</w:t>
            </w:r>
          </w:p>
        </w:tc>
        <w:tc>
          <w:tcPr>
            <w:tcW w:w="200" w:type="dxa"/>
            <w:vAlign w:val="bottom"/>
          </w:tcPr>
          <w:p>
            <w:pPr>
              <w:spacing w:after="0"/>
              <w:rPr>
                <w:sz w:val="9"/>
                <w:szCs w:val="9"/>
                <w:color w:val="auto"/>
              </w:rPr>
            </w:pPr>
          </w:p>
        </w:tc>
        <w:tc>
          <w:tcPr>
            <w:tcW w:w="480" w:type="dxa"/>
            <w:vAlign w:val="bottom"/>
          </w:tcPr>
          <w:p>
            <w:pPr>
              <w:ind w:left="20"/>
              <w:spacing w:after="0" w:line="110" w:lineRule="exact"/>
              <w:rPr>
                <w:sz w:val="20"/>
                <w:szCs w:val="20"/>
                <w:color w:val="auto"/>
              </w:rPr>
            </w:pPr>
            <w:r>
              <w:rPr>
                <w:rFonts w:ascii="Arial" w:cs="Arial" w:eastAsia="Arial" w:hAnsi="Arial"/>
                <w:sz w:val="12"/>
                <w:szCs w:val="12"/>
                <w:b w:val="1"/>
                <w:bCs w:val="1"/>
                <w:color w:val="auto"/>
                <w:w w:val="84"/>
              </w:rPr>
              <w:t>Constant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9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1020" w:type="dxa"/>
            <w:vAlign w:val="bottom"/>
            <w:gridSpan w:val="3"/>
          </w:tcPr>
          <w:p>
            <w:pPr>
              <w:jc w:val="right"/>
              <w:ind w:right="340"/>
              <w:spacing w:after="0"/>
              <w:rPr>
                <w:sz w:val="20"/>
                <w:szCs w:val="20"/>
                <w:color w:val="auto"/>
              </w:rPr>
            </w:pPr>
            <w:r>
              <w:rPr>
                <w:rFonts w:ascii="Arial" w:cs="Arial" w:eastAsia="Arial" w:hAnsi="Arial"/>
                <w:sz w:val="12"/>
                <w:szCs w:val="12"/>
                <w:b w:val="1"/>
                <w:bCs w:val="1"/>
                <w:color w:val="auto"/>
              </w:rPr>
              <w:t>Reported</w:t>
            </w:r>
          </w:p>
        </w:tc>
        <w:tc>
          <w:tcPr>
            <w:tcW w:w="82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w w:val="87"/>
              </w:rPr>
              <w:t>Currency</w:t>
            </w:r>
          </w:p>
        </w:tc>
        <w:tc>
          <w:tcPr>
            <w:tcW w:w="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83"/>
              </w:rPr>
              <w:t>Reported</w:t>
            </w:r>
          </w:p>
        </w:tc>
        <w:tc>
          <w:tcPr>
            <w:tcW w:w="200" w:type="dxa"/>
            <w:vAlign w:val="bottom"/>
          </w:tcPr>
          <w:p>
            <w:pPr>
              <w:spacing w:after="0"/>
              <w:rPr>
                <w:sz w:val="12"/>
                <w:szCs w:val="12"/>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Currency</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9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80" w:type="dxa"/>
            <w:vAlign w:val="bottom"/>
            <w:gridSpan w:val="4"/>
          </w:tcPr>
          <w:p>
            <w:pPr>
              <w:jc w:val="right"/>
              <w:ind w:right="600"/>
              <w:spacing w:after="0" w:line="121" w:lineRule="exact"/>
              <w:rPr>
                <w:sz w:val="20"/>
                <w:szCs w:val="20"/>
                <w:color w:val="auto"/>
              </w:rPr>
            </w:pPr>
            <w:r>
              <w:rPr>
                <w:rFonts w:ascii="Arial" w:cs="Arial" w:eastAsia="Arial" w:hAnsi="Arial"/>
                <w:sz w:val="12"/>
                <w:szCs w:val="12"/>
                <w:b w:val="1"/>
                <w:bCs w:val="1"/>
                <w:color w:val="auto"/>
              </w:rPr>
              <w:t>(Unaudited)</w:t>
            </w: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4"/>
          </w:tcPr>
          <w:p>
            <w:pPr>
              <w:jc w:val="center"/>
              <w:ind w:right="160"/>
              <w:spacing w:after="0" w:line="121" w:lineRule="exact"/>
              <w:rPr>
                <w:sz w:val="20"/>
                <w:szCs w:val="20"/>
                <w:color w:val="auto"/>
              </w:rPr>
            </w:pPr>
            <w:r>
              <w:rPr>
                <w:rFonts w:ascii="Arial" w:cs="Arial" w:eastAsia="Arial" w:hAnsi="Arial"/>
                <w:sz w:val="12"/>
                <w:szCs w:val="12"/>
                <w:b w:val="1"/>
                <w:bCs w:val="1"/>
                <w:color w:val="auto"/>
                <w:w w:val="89"/>
              </w:rPr>
              <w:t>(Unaudited)</w:t>
            </w: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44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Revenues from services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87"/>
              </w:rPr>
              <w:t>3,877.2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3,696.1</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4.9%</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11.8%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4,384.6</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$3,993.4</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9.8%</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10.2%</w:t>
            </w:r>
          </w:p>
        </w:tc>
        <w:tc>
          <w:tcPr>
            <w:tcW w:w="0" w:type="dxa"/>
            <w:vAlign w:val="bottom"/>
          </w:tcPr>
          <w:p>
            <w:pPr>
              <w:spacing w:after="0"/>
              <w:rPr>
                <w:sz w:val="1"/>
                <w:szCs w:val="1"/>
                <w:color w:val="auto"/>
              </w:rPr>
            </w:pPr>
          </w:p>
        </w:tc>
      </w:tr>
      <w:tr>
        <w:trPr>
          <w:trHeight w:val="188"/>
        </w:trPr>
        <w:tc>
          <w:tcPr>
            <w:tcW w:w="4460" w:type="dxa"/>
            <w:vAlign w:val="bottom"/>
            <w:gridSpan w:val="2"/>
          </w:tcPr>
          <w:p>
            <w:pPr>
              <w:spacing w:after="0"/>
              <w:rPr>
                <w:sz w:val="20"/>
                <w:szCs w:val="20"/>
                <w:color w:val="auto"/>
              </w:rPr>
            </w:pPr>
            <w:r>
              <w:rPr>
                <w:rFonts w:ascii="Arial" w:cs="Arial" w:eastAsia="Arial" w:hAnsi="Arial"/>
                <w:sz w:val="15"/>
                <w:szCs w:val="15"/>
                <w:color w:val="auto"/>
              </w:rPr>
              <w:t>Cost of services</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5"/>
                <w:szCs w:val="15"/>
                <w:color w:val="auto"/>
                <w:w w:val="87"/>
              </w:rPr>
              <w:t>3,184.0</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87"/>
              </w:rPr>
              <w:t>3,040.7</w:t>
            </w:r>
          </w:p>
        </w:tc>
        <w:tc>
          <w:tcPr>
            <w:tcW w:w="1020" w:type="dxa"/>
            <w:vAlign w:val="bottom"/>
            <w:gridSpan w:val="3"/>
          </w:tcPr>
          <w:p>
            <w:pPr>
              <w:jc w:val="right"/>
              <w:ind w:right="220"/>
              <w:spacing w:after="0"/>
              <w:rPr>
                <w:sz w:val="20"/>
                <w:szCs w:val="20"/>
                <w:color w:val="auto"/>
              </w:rPr>
            </w:pPr>
            <w:r>
              <w:rPr>
                <w:rFonts w:ascii="Arial" w:cs="Arial" w:eastAsia="Arial" w:hAnsi="Arial"/>
                <w:sz w:val="15"/>
                <w:szCs w:val="15"/>
                <w:color w:val="auto"/>
              </w:rPr>
              <w:t>4.7%</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87"/>
              </w:rPr>
              <w:t>3,601.8</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87"/>
              </w:rPr>
              <w:t>3,285.4</w:t>
            </w:r>
          </w:p>
        </w:tc>
        <w:tc>
          <w:tcPr>
            <w:tcW w:w="820" w:type="dxa"/>
            <w:vAlign w:val="bottom"/>
            <w:gridSpan w:val="3"/>
          </w:tcPr>
          <w:p>
            <w:pPr>
              <w:jc w:val="right"/>
              <w:ind w:right="20"/>
              <w:spacing w:after="0"/>
              <w:rPr>
                <w:sz w:val="20"/>
                <w:szCs w:val="20"/>
                <w:color w:val="auto"/>
              </w:rPr>
            </w:pPr>
            <w:r>
              <w:rPr>
                <w:rFonts w:ascii="Arial" w:cs="Arial" w:eastAsia="Arial" w:hAnsi="Arial"/>
                <w:sz w:val="15"/>
                <w:szCs w:val="15"/>
                <w:color w:val="auto"/>
              </w:rPr>
              <w:t>9.6%</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9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4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Gross profit</w:t>
            </w: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693.2</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655.4</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5.8%</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12.3%</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782.8</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708.0</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10.6%</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11.0%</w:t>
            </w:r>
          </w:p>
        </w:tc>
        <w:tc>
          <w:tcPr>
            <w:tcW w:w="0" w:type="dxa"/>
            <w:vAlign w:val="bottom"/>
          </w:tcPr>
          <w:p>
            <w:pPr>
              <w:spacing w:after="0"/>
              <w:rPr>
                <w:sz w:val="1"/>
                <w:szCs w:val="1"/>
                <w:color w:val="auto"/>
              </w:rPr>
            </w:pPr>
          </w:p>
        </w:tc>
      </w:tr>
      <w:tr>
        <w:trPr>
          <w:trHeight w:val="188"/>
        </w:trPr>
        <w:tc>
          <w:tcPr>
            <w:tcW w:w="4460" w:type="dxa"/>
            <w:vAlign w:val="bottom"/>
            <w:gridSpan w:val="2"/>
          </w:tcPr>
          <w:p>
            <w:pPr>
              <w:spacing w:after="0"/>
              <w:rPr>
                <w:sz w:val="20"/>
                <w:szCs w:val="20"/>
                <w:color w:val="auto"/>
              </w:rPr>
            </w:pPr>
            <w:r>
              <w:rPr>
                <w:rFonts w:ascii="Arial" w:cs="Arial" w:eastAsia="Arial" w:hAnsi="Arial"/>
                <w:sz w:val="15"/>
                <w:szCs w:val="15"/>
                <w:color w:val="auto"/>
              </w:rPr>
              <w:t>Selling and administrative expenses</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5"/>
                <w:szCs w:val="15"/>
                <w:color w:val="auto"/>
              </w:rPr>
              <w:t>632.9</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594.8</w:t>
            </w:r>
          </w:p>
        </w:tc>
        <w:tc>
          <w:tcPr>
            <w:tcW w:w="1020" w:type="dxa"/>
            <w:vAlign w:val="bottom"/>
            <w:gridSpan w:val="3"/>
          </w:tcPr>
          <w:p>
            <w:pPr>
              <w:jc w:val="right"/>
              <w:ind w:right="220"/>
              <w:spacing w:after="0"/>
              <w:rPr>
                <w:sz w:val="20"/>
                <w:szCs w:val="20"/>
                <w:color w:val="auto"/>
              </w:rPr>
            </w:pPr>
            <w:r>
              <w:rPr>
                <w:rFonts w:ascii="Arial" w:cs="Arial" w:eastAsia="Arial" w:hAnsi="Arial"/>
                <w:sz w:val="15"/>
                <w:szCs w:val="15"/>
                <w:color w:val="auto"/>
              </w:rPr>
              <w:t>6.4%</w:t>
            </w: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12.6%</w:t>
            </w: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644.7</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600.5</w:t>
            </w:r>
          </w:p>
        </w:tc>
        <w:tc>
          <w:tcPr>
            <w:tcW w:w="820" w:type="dxa"/>
            <w:vAlign w:val="bottom"/>
            <w:gridSpan w:val="3"/>
          </w:tcPr>
          <w:p>
            <w:pPr>
              <w:jc w:val="right"/>
              <w:ind w:right="20"/>
              <w:spacing w:after="0"/>
              <w:rPr>
                <w:sz w:val="20"/>
                <w:szCs w:val="20"/>
                <w:color w:val="auto"/>
              </w:rPr>
            </w:pPr>
            <w:r>
              <w:rPr>
                <w:rFonts w:ascii="Arial" w:cs="Arial" w:eastAsia="Arial" w:hAnsi="Arial"/>
                <w:sz w:val="15"/>
                <w:szCs w:val="15"/>
                <w:color w:val="auto"/>
              </w:rPr>
              <w:t>7.4%</w:t>
            </w:r>
          </w:p>
        </w:tc>
        <w:tc>
          <w:tcPr>
            <w:tcW w:w="820" w:type="dxa"/>
            <w:vAlign w:val="bottom"/>
            <w:gridSpan w:val="3"/>
          </w:tcPr>
          <w:p>
            <w:pPr>
              <w:jc w:val="right"/>
              <w:spacing w:after="0"/>
              <w:rPr>
                <w:sz w:val="20"/>
                <w:szCs w:val="20"/>
                <w:color w:val="auto"/>
              </w:rPr>
            </w:pPr>
            <w:r>
              <w:rPr>
                <w:rFonts w:ascii="Arial" w:cs="Arial" w:eastAsia="Arial" w:hAnsi="Arial"/>
                <w:sz w:val="15"/>
                <w:szCs w:val="15"/>
                <w:color w:val="auto"/>
              </w:rPr>
              <w:t>7.9%</w:t>
            </w:r>
          </w:p>
        </w:tc>
        <w:tc>
          <w:tcPr>
            <w:tcW w:w="0" w:type="dxa"/>
            <w:vAlign w:val="bottom"/>
          </w:tcPr>
          <w:p>
            <w:pPr>
              <w:spacing w:after="0"/>
              <w:rPr>
                <w:sz w:val="1"/>
                <w:szCs w:val="1"/>
                <w:color w:val="auto"/>
              </w:rPr>
            </w:pPr>
          </w:p>
        </w:tc>
      </w:tr>
      <w:tr>
        <w:trPr>
          <w:trHeight w:val="24"/>
        </w:trPr>
        <w:tc>
          <w:tcPr>
            <w:tcW w:w="9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4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Operating profit</w:t>
            </w: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60.3</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60.6</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-0.4%</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9.5%</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138.1</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107.5</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28.4%</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28.3%</w:t>
            </w:r>
          </w:p>
        </w:tc>
        <w:tc>
          <w:tcPr>
            <w:tcW w:w="0" w:type="dxa"/>
            <w:vAlign w:val="bottom"/>
          </w:tcPr>
          <w:p>
            <w:pPr>
              <w:spacing w:after="0"/>
              <w:rPr>
                <w:sz w:val="1"/>
                <w:szCs w:val="1"/>
                <w:color w:val="auto"/>
              </w:rPr>
            </w:pPr>
          </w:p>
        </w:tc>
      </w:tr>
      <w:tr>
        <w:trPr>
          <w:trHeight w:val="188"/>
        </w:trPr>
        <w:tc>
          <w:tcPr>
            <w:tcW w:w="4460" w:type="dxa"/>
            <w:vAlign w:val="bottom"/>
            <w:gridSpan w:val="2"/>
          </w:tcPr>
          <w:p>
            <w:pPr>
              <w:spacing w:after="0"/>
              <w:rPr>
                <w:sz w:val="20"/>
                <w:szCs w:val="20"/>
                <w:color w:val="auto"/>
              </w:rPr>
            </w:pPr>
            <w:r>
              <w:rPr>
                <w:rFonts w:ascii="Arial" w:cs="Arial" w:eastAsia="Arial" w:hAnsi="Arial"/>
                <w:sz w:val="15"/>
                <w:szCs w:val="15"/>
                <w:color w:val="auto"/>
              </w:rPr>
              <w:t>Interest and other expenses</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5"/>
                <w:szCs w:val="15"/>
                <w:color w:val="auto"/>
              </w:rPr>
              <w:t>13.0</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11.8</w:t>
            </w:r>
          </w:p>
        </w:tc>
        <w:tc>
          <w:tcPr>
            <w:tcW w:w="1020" w:type="dxa"/>
            <w:vAlign w:val="bottom"/>
            <w:gridSpan w:val="3"/>
          </w:tcPr>
          <w:p>
            <w:pPr>
              <w:jc w:val="right"/>
              <w:ind w:right="220"/>
              <w:spacing w:after="0"/>
              <w:rPr>
                <w:sz w:val="20"/>
                <w:szCs w:val="20"/>
                <w:color w:val="auto"/>
              </w:rPr>
            </w:pPr>
            <w:r>
              <w:rPr>
                <w:rFonts w:ascii="Arial" w:cs="Arial" w:eastAsia="Arial" w:hAnsi="Arial"/>
                <w:sz w:val="15"/>
                <w:szCs w:val="15"/>
                <w:color w:val="auto"/>
              </w:rPr>
              <w:t>10.6%</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12.5</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11.2</w:t>
            </w:r>
          </w:p>
        </w:tc>
        <w:tc>
          <w:tcPr>
            <w:tcW w:w="820" w:type="dxa"/>
            <w:vAlign w:val="bottom"/>
            <w:gridSpan w:val="3"/>
          </w:tcPr>
          <w:p>
            <w:pPr>
              <w:jc w:val="right"/>
              <w:ind w:right="20"/>
              <w:spacing w:after="0"/>
              <w:rPr>
                <w:sz w:val="20"/>
                <w:szCs w:val="20"/>
                <w:color w:val="auto"/>
              </w:rPr>
            </w:pPr>
            <w:r>
              <w:rPr>
                <w:rFonts w:ascii="Arial" w:cs="Arial" w:eastAsia="Arial" w:hAnsi="Arial"/>
                <w:sz w:val="15"/>
                <w:szCs w:val="15"/>
                <w:color w:val="auto"/>
              </w:rPr>
              <w:t>11.3%</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9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4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Earnings before income taxes and discontinued operations</w:t>
            </w: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47.3</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48.8</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-3.1%</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5.7%</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125.6</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96.3</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30.4%</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29.9%</w:t>
            </w:r>
          </w:p>
        </w:tc>
        <w:tc>
          <w:tcPr>
            <w:tcW w:w="0" w:type="dxa"/>
            <w:vAlign w:val="bottom"/>
          </w:tcPr>
          <w:p>
            <w:pPr>
              <w:spacing w:after="0"/>
              <w:rPr>
                <w:sz w:val="1"/>
                <w:szCs w:val="1"/>
                <w:color w:val="auto"/>
              </w:rPr>
            </w:pPr>
          </w:p>
        </w:tc>
      </w:tr>
      <w:tr>
        <w:trPr>
          <w:trHeight w:val="188"/>
        </w:trPr>
        <w:tc>
          <w:tcPr>
            <w:tcW w:w="4460" w:type="dxa"/>
            <w:vAlign w:val="bottom"/>
            <w:gridSpan w:val="2"/>
          </w:tcPr>
          <w:p>
            <w:pPr>
              <w:spacing w:after="0"/>
              <w:rPr>
                <w:sz w:val="20"/>
                <w:szCs w:val="20"/>
                <w:color w:val="auto"/>
              </w:rPr>
            </w:pPr>
            <w:r>
              <w:rPr>
                <w:rFonts w:ascii="Arial" w:cs="Arial" w:eastAsia="Arial" w:hAnsi="Arial"/>
                <w:sz w:val="15"/>
                <w:szCs w:val="15"/>
                <w:color w:val="auto"/>
              </w:rPr>
              <w:t>Provision for income taxes</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5"/>
                <w:szCs w:val="15"/>
                <w:color w:val="auto"/>
              </w:rPr>
              <w:t>17.8</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17.8</w:t>
            </w:r>
          </w:p>
        </w:tc>
        <w:tc>
          <w:tcPr>
            <w:tcW w:w="1020" w:type="dxa"/>
            <w:vAlign w:val="bottom"/>
            <w:gridSpan w:val="3"/>
          </w:tcPr>
          <w:p>
            <w:pPr>
              <w:jc w:val="right"/>
              <w:ind w:right="220"/>
              <w:spacing w:after="0"/>
              <w:rPr>
                <w:sz w:val="20"/>
                <w:szCs w:val="20"/>
                <w:color w:val="auto"/>
              </w:rPr>
            </w:pPr>
            <w:r>
              <w:rPr>
                <w:rFonts w:ascii="Arial" w:cs="Arial" w:eastAsia="Arial" w:hAnsi="Arial"/>
                <w:sz w:val="15"/>
                <w:szCs w:val="15"/>
                <w:color w:val="auto"/>
              </w:rPr>
              <w:t>0.0%</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46.0</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35.5</w:t>
            </w:r>
          </w:p>
        </w:tc>
        <w:tc>
          <w:tcPr>
            <w:tcW w:w="820" w:type="dxa"/>
            <w:vAlign w:val="bottom"/>
            <w:gridSpan w:val="3"/>
          </w:tcPr>
          <w:p>
            <w:pPr>
              <w:jc w:val="right"/>
              <w:ind w:right="20"/>
              <w:spacing w:after="0"/>
              <w:rPr>
                <w:sz w:val="20"/>
                <w:szCs w:val="20"/>
                <w:color w:val="auto"/>
              </w:rPr>
            </w:pPr>
            <w:r>
              <w:rPr>
                <w:rFonts w:ascii="Arial" w:cs="Arial" w:eastAsia="Arial" w:hAnsi="Arial"/>
                <w:sz w:val="15"/>
                <w:szCs w:val="15"/>
                <w:color w:val="auto"/>
              </w:rPr>
              <w:t>29.6%</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Net earnings from continuing operations</w:t>
            </w: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29.5</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31.0</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-4.9%</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3.8%</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79.6</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60.8</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30.9%</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30.4%</w:t>
            </w: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Arial" w:cs="Arial" w:eastAsia="Arial" w:hAnsi="Arial"/>
                <w:sz w:val="15"/>
                <w:szCs w:val="15"/>
                <w:color w:val="auto"/>
              </w:rPr>
              <w:t>Income from discontinued operations, net of income taxes</w:t>
            </w:r>
          </w:p>
        </w:tc>
        <w:tc>
          <w:tcPr>
            <w:tcW w:w="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gridSpan w:val="2"/>
            <w:vMerge w:val="restart"/>
          </w:tcPr>
          <w:p>
            <w:pPr>
              <w:jc w:val="right"/>
              <w:ind w:right="340"/>
              <w:spacing w:after="0"/>
              <w:rPr>
                <w:sz w:val="20"/>
                <w:szCs w:val="20"/>
                <w:color w:val="auto"/>
              </w:rPr>
            </w:pPr>
            <w:r>
              <w:rPr>
                <w:rFonts w:ascii="Arial" w:cs="Arial" w:eastAsia="Arial" w:hAnsi="Arial"/>
                <w:sz w:val="15"/>
                <w:szCs w:val="15"/>
                <w:color w:val="auto"/>
              </w:rPr>
              <w:t>N/A</w:t>
            </w: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N/A</w:t>
            </w: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460" w:type="dxa"/>
            <w:vAlign w:val="bottom"/>
            <w:gridSpan w:val="2"/>
            <w:vMerge w:val="continue"/>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5"/>
                <w:szCs w:val="15"/>
                <w:color w:val="auto"/>
              </w:rPr>
              <w:t>23.1</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1.2</w:t>
            </w:r>
          </w:p>
        </w:tc>
        <w:tc>
          <w:tcPr>
            <w:tcW w:w="2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0.8</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1.7</w:t>
            </w:r>
          </w:p>
        </w:tc>
        <w:tc>
          <w:tcPr>
            <w:tcW w:w="22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9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4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Net earnings</w:t>
            </w: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52.6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32.2</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63.2%</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79.4%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62.5</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28.6%</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28.2%</w:t>
            </w: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Arial" w:cs="Arial" w:eastAsia="Arial" w:hAnsi="Arial"/>
                <w:sz w:val="15"/>
                <w:szCs w:val="15"/>
                <w:color w:val="auto"/>
              </w:rPr>
              <w:t>Net earnings per share - basic:</w:t>
            </w:r>
          </w:p>
        </w:tc>
        <w:tc>
          <w:tcPr>
            <w:tcW w:w="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460" w:type="dxa"/>
            <w:vAlign w:val="bottom"/>
            <w:gridSpan w:val="2"/>
            <w:vMerge w:val="continue"/>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Continuing operations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0.34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0.34</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0.0%</w:t>
            </w: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0.91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0.69</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31.9%</w:t>
            </w: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460" w:type="dxa"/>
            <w:vAlign w:val="bottom"/>
            <w:gridSpan w:val="2"/>
          </w:tcPr>
          <w:p>
            <w:pPr>
              <w:ind w:left="180"/>
              <w:spacing w:after="0"/>
              <w:rPr>
                <w:sz w:val="20"/>
                <w:szCs w:val="20"/>
                <w:color w:val="auto"/>
              </w:rPr>
            </w:pPr>
            <w:r>
              <w:rPr>
                <w:rFonts w:ascii="Arial" w:cs="Arial" w:eastAsia="Arial" w:hAnsi="Arial"/>
                <w:sz w:val="15"/>
                <w:szCs w:val="15"/>
                <w:color w:val="auto"/>
              </w:rPr>
              <w:t>Discontinued operations</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5"/>
                <w:szCs w:val="15"/>
                <w:color w:val="auto"/>
              </w:rPr>
              <w:t>0.26</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0.02</w:t>
            </w:r>
          </w:p>
        </w:tc>
        <w:tc>
          <w:tcPr>
            <w:tcW w:w="220" w:type="dxa"/>
            <w:vAlign w:val="bottom"/>
          </w:tcPr>
          <w:p>
            <w:pPr>
              <w:spacing w:after="0"/>
              <w:rPr>
                <w:sz w:val="16"/>
                <w:szCs w:val="16"/>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5"/>
                <w:szCs w:val="15"/>
                <w:color w:val="auto"/>
              </w:rPr>
              <w:t>N/A</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0.01</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0.02</w:t>
            </w:r>
          </w:p>
        </w:tc>
        <w:tc>
          <w:tcPr>
            <w:tcW w:w="22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N/A</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9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4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Total</w:t>
            </w: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0.60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0.36</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66.7%</w:t>
            </w: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0.92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0.71</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29.6%</w:t>
            </w: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Arial" w:cs="Arial" w:eastAsia="Arial" w:hAnsi="Arial"/>
                <w:sz w:val="15"/>
                <w:szCs w:val="15"/>
                <w:color w:val="auto"/>
              </w:rPr>
              <w:t>Net earnings per share - diluted:</w:t>
            </w:r>
          </w:p>
        </w:tc>
        <w:tc>
          <w:tcPr>
            <w:tcW w:w="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460" w:type="dxa"/>
            <w:vAlign w:val="bottom"/>
            <w:gridSpan w:val="2"/>
            <w:vMerge w:val="continue"/>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Continuing operations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0.33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0.33</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0.0%</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9.0%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0.90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0.68</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32.4%</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30.9%</w:t>
            </w:r>
          </w:p>
        </w:tc>
        <w:tc>
          <w:tcPr>
            <w:tcW w:w="0" w:type="dxa"/>
            <w:vAlign w:val="bottom"/>
          </w:tcPr>
          <w:p>
            <w:pPr>
              <w:spacing w:after="0"/>
              <w:rPr>
                <w:sz w:val="1"/>
                <w:szCs w:val="1"/>
                <w:color w:val="auto"/>
              </w:rPr>
            </w:pPr>
          </w:p>
        </w:tc>
      </w:tr>
      <w:tr>
        <w:trPr>
          <w:trHeight w:val="188"/>
        </w:trPr>
        <w:tc>
          <w:tcPr>
            <w:tcW w:w="4460" w:type="dxa"/>
            <w:vAlign w:val="bottom"/>
            <w:gridSpan w:val="2"/>
          </w:tcPr>
          <w:p>
            <w:pPr>
              <w:ind w:left="180"/>
              <w:spacing w:after="0"/>
              <w:rPr>
                <w:sz w:val="20"/>
                <w:szCs w:val="20"/>
                <w:color w:val="auto"/>
              </w:rPr>
            </w:pPr>
            <w:r>
              <w:rPr>
                <w:rFonts w:ascii="Arial" w:cs="Arial" w:eastAsia="Arial" w:hAnsi="Arial"/>
                <w:sz w:val="15"/>
                <w:szCs w:val="15"/>
                <w:color w:val="auto"/>
              </w:rPr>
              <w:t>Discontinued operations</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5"/>
                <w:szCs w:val="15"/>
                <w:color w:val="auto"/>
              </w:rPr>
              <w:t>0.26</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0.02</w:t>
            </w:r>
          </w:p>
        </w:tc>
        <w:tc>
          <w:tcPr>
            <w:tcW w:w="220" w:type="dxa"/>
            <w:vAlign w:val="bottom"/>
          </w:tcPr>
          <w:p>
            <w:pPr>
              <w:spacing w:after="0"/>
              <w:rPr>
                <w:sz w:val="16"/>
                <w:szCs w:val="16"/>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5"/>
                <w:szCs w:val="15"/>
                <w:color w:val="auto"/>
              </w:rPr>
              <w:t>N/A</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0.01</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0.02</w:t>
            </w:r>
          </w:p>
        </w:tc>
        <w:tc>
          <w:tcPr>
            <w:tcW w:w="22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N/A</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9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4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Total</w:t>
            </w: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0.59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0.35</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68.6%</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85.7%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0.91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0.70</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30.0%</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28.6%</w:t>
            </w: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Arial" w:cs="Arial" w:eastAsia="Arial" w:hAnsi="Arial"/>
                <w:sz w:val="15"/>
                <w:szCs w:val="15"/>
                <w:color w:val="auto"/>
              </w:rPr>
              <w:t>Weighted average shares - basic</w:t>
            </w:r>
          </w:p>
        </w:tc>
        <w:tc>
          <w:tcPr>
            <w:tcW w:w="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gridSpan w:val="3"/>
            <w:vMerge w:val="restart"/>
          </w:tcPr>
          <w:p>
            <w:pPr>
              <w:jc w:val="right"/>
              <w:ind w:right="220"/>
              <w:spacing w:after="0"/>
              <w:rPr>
                <w:sz w:val="20"/>
                <w:szCs w:val="20"/>
                <w:color w:val="auto"/>
              </w:rPr>
            </w:pPr>
            <w:r>
              <w:rPr>
                <w:rFonts w:ascii="Arial" w:cs="Arial" w:eastAsia="Arial" w:hAnsi="Arial"/>
                <w:sz w:val="15"/>
                <w:szCs w:val="15"/>
                <w:color w:val="auto"/>
              </w:rPr>
              <w:t>-2.6%</w:t>
            </w: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gridSpan w:val="3"/>
            <w:vMerge w:val="restart"/>
          </w:tcPr>
          <w:p>
            <w:pPr>
              <w:jc w:val="right"/>
              <w:ind w:right="20"/>
              <w:spacing w:after="0"/>
              <w:rPr>
                <w:sz w:val="20"/>
                <w:szCs w:val="20"/>
                <w:color w:val="auto"/>
              </w:rPr>
            </w:pPr>
            <w:r>
              <w:rPr>
                <w:rFonts w:ascii="Arial" w:cs="Arial" w:eastAsia="Arial" w:hAnsi="Arial"/>
                <w:sz w:val="15"/>
                <w:szCs w:val="15"/>
                <w:color w:val="auto"/>
              </w:rPr>
              <w:t>-1.5%</w:t>
            </w: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460" w:type="dxa"/>
            <w:vAlign w:val="bottom"/>
            <w:gridSpan w:val="2"/>
            <w:vMerge w:val="continue"/>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5"/>
                <w:szCs w:val="15"/>
                <w:color w:val="auto"/>
              </w:rPr>
              <w:t>87.4</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89.8</w:t>
            </w:r>
          </w:p>
        </w:tc>
        <w:tc>
          <w:tcPr>
            <w:tcW w:w="1020" w:type="dxa"/>
            <w:vAlign w:val="bottom"/>
            <w:gridSpan w:val="3"/>
            <w:vMerge w:val="continue"/>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87.3</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88.6</w:t>
            </w:r>
          </w:p>
        </w:tc>
        <w:tc>
          <w:tcPr>
            <w:tcW w:w="82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4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Weighted average shares - diluted</w:t>
            </w: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88.7</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96.9</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-8.5%</w:t>
            </w:r>
          </w:p>
        </w:tc>
        <w:tc>
          <w:tcPr>
            <w:tcW w:w="4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88.7</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89.5</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-0.9%</w:t>
            </w: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6"/>
          </w:tcPr>
          <w:p>
            <w:pPr>
              <w:jc w:val="center"/>
              <w:ind w:left="86"/>
              <w:spacing w:after="0"/>
              <w:rPr>
                <w:sz w:val="20"/>
                <w:szCs w:val="20"/>
                <w:color w:val="auto"/>
              </w:rPr>
            </w:pPr>
            <w:r>
              <w:rPr>
                <w:rFonts w:ascii="Arial" w:cs="Arial" w:eastAsia="Arial" w:hAnsi="Arial"/>
                <w:sz w:val="12"/>
                <w:szCs w:val="12"/>
                <w:b w:val="1"/>
                <w:bCs w:val="1"/>
                <w:color w:val="auto"/>
                <w:w w:val="88"/>
              </w:rPr>
              <w:t>Six Months Ended June 30</w:t>
            </w:r>
          </w:p>
        </w:tc>
        <w:tc>
          <w:tcPr>
            <w:tcW w:w="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9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Borders>
              <w:bottom w:val="single" w:sz="8" w:color="auto"/>
            </w:tcBorders>
            <w:gridSpan w:val="4"/>
          </w:tcPr>
          <w:p>
            <w:pPr>
              <w:ind w:left="340"/>
              <w:spacing w:after="0" w:line="121" w:lineRule="exact"/>
              <w:rPr>
                <w:sz w:val="20"/>
                <w:szCs w:val="20"/>
                <w:color w:val="auto"/>
              </w:rPr>
            </w:pPr>
            <w:r>
              <w:rPr>
                <w:rFonts w:ascii="Arial" w:cs="Arial" w:eastAsia="Arial" w:hAnsi="Arial"/>
                <w:sz w:val="12"/>
                <w:szCs w:val="12"/>
                <w:b w:val="1"/>
                <w:bCs w:val="1"/>
                <w:color w:val="auto"/>
              </w:rPr>
              <w:t>% Variance</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940" w:type="dxa"/>
            <w:vAlign w:val="bottom"/>
          </w:tcPr>
          <w:p>
            <w:pPr>
              <w:spacing w:after="0"/>
              <w:rPr>
                <w:sz w:val="9"/>
                <w:szCs w:val="9"/>
                <w:color w:val="auto"/>
              </w:rPr>
            </w:pPr>
          </w:p>
        </w:tc>
        <w:tc>
          <w:tcPr>
            <w:tcW w:w="3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vMerge w:val="restart"/>
          </w:tcPr>
          <w:p>
            <w:pPr>
              <w:jc w:val="right"/>
              <w:ind w:right="64"/>
              <w:spacing w:after="0"/>
              <w:rPr>
                <w:sz w:val="20"/>
                <w:szCs w:val="20"/>
                <w:color w:val="auto"/>
              </w:rPr>
            </w:pPr>
            <w:r>
              <w:rPr>
                <w:rFonts w:ascii="Arial" w:cs="Arial" w:eastAsia="Arial" w:hAnsi="Arial"/>
                <w:sz w:val="12"/>
                <w:szCs w:val="12"/>
                <w:b w:val="1"/>
                <w:bCs w:val="1"/>
                <w:color w:val="auto"/>
              </w:rPr>
              <w:t>2006</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vMerge w:val="restart"/>
          </w:tcPr>
          <w:p>
            <w:pPr>
              <w:jc w:val="right"/>
              <w:ind w:right="85"/>
              <w:spacing w:after="0"/>
              <w:rPr>
                <w:sz w:val="20"/>
                <w:szCs w:val="20"/>
                <w:color w:val="auto"/>
              </w:rPr>
            </w:pPr>
            <w:r>
              <w:rPr>
                <w:rFonts w:ascii="Arial" w:cs="Arial" w:eastAsia="Arial" w:hAnsi="Arial"/>
                <w:sz w:val="12"/>
                <w:szCs w:val="12"/>
                <w:b w:val="1"/>
                <w:bCs w:val="1"/>
                <w:color w:val="auto"/>
              </w:rPr>
              <w:t>2005</w:t>
            </w:r>
          </w:p>
        </w:tc>
        <w:tc>
          <w:tcPr>
            <w:tcW w:w="220" w:type="dxa"/>
            <w:vAlign w:val="bottom"/>
          </w:tcPr>
          <w:p>
            <w:pPr>
              <w:spacing w:after="0"/>
              <w:rPr>
                <w:sz w:val="9"/>
                <w:szCs w:val="9"/>
                <w:color w:val="auto"/>
              </w:rPr>
            </w:pPr>
          </w:p>
        </w:tc>
        <w:tc>
          <w:tcPr>
            <w:tcW w:w="600" w:type="dxa"/>
            <w:vAlign w:val="bottom"/>
            <w:gridSpan w:val="2"/>
          </w:tcPr>
          <w:p>
            <w:pPr>
              <w:jc w:val="right"/>
              <w:ind w:right="160"/>
              <w:spacing w:after="0" w:line="110" w:lineRule="exact"/>
              <w:rPr>
                <w:sz w:val="20"/>
                <w:szCs w:val="20"/>
                <w:color w:val="auto"/>
              </w:rPr>
            </w:pPr>
            <w:r>
              <w:rPr>
                <w:rFonts w:ascii="Arial" w:cs="Arial" w:eastAsia="Arial" w:hAnsi="Arial"/>
                <w:sz w:val="12"/>
                <w:szCs w:val="12"/>
                <w:b w:val="1"/>
                <w:bCs w:val="1"/>
                <w:color w:val="auto"/>
                <w:w w:val="92"/>
              </w:rPr>
              <w:t>Amount</w:t>
            </w:r>
          </w:p>
        </w:tc>
        <w:tc>
          <w:tcPr>
            <w:tcW w:w="200" w:type="dxa"/>
            <w:vAlign w:val="bottom"/>
          </w:tcPr>
          <w:p>
            <w:pPr>
              <w:spacing w:after="0"/>
              <w:rPr>
                <w:sz w:val="9"/>
                <w:szCs w:val="9"/>
                <w:color w:val="auto"/>
              </w:rPr>
            </w:pPr>
          </w:p>
        </w:tc>
        <w:tc>
          <w:tcPr>
            <w:tcW w:w="480" w:type="dxa"/>
            <w:vAlign w:val="bottom"/>
          </w:tcPr>
          <w:p>
            <w:pPr>
              <w:ind w:left="20"/>
              <w:spacing w:after="0" w:line="110" w:lineRule="exact"/>
              <w:rPr>
                <w:sz w:val="20"/>
                <w:szCs w:val="20"/>
                <w:color w:val="auto"/>
              </w:rPr>
            </w:pPr>
            <w:r>
              <w:rPr>
                <w:rFonts w:ascii="Arial" w:cs="Arial" w:eastAsia="Arial" w:hAnsi="Arial"/>
                <w:sz w:val="12"/>
                <w:szCs w:val="12"/>
                <w:b w:val="1"/>
                <w:bCs w:val="1"/>
                <w:color w:val="auto"/>
                <w:w w:val="84"/>
              </w:rPr>
              <w:t>Constant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9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83"/>
              </w:rPr>
              <w:t>Reported</w:t>
            </w:r>
          </w:p>
        </w:tc>
        <w:tc>
          <w:tcPr>
            <w:tcW w:w="200" w:type="dxa"/>
            <w:vAlign w:val="bottom"/>
          </w:tcPr>
          <w:p>
            <w:pPr>
              <w:spacing w:after="0"/>
              <w:rPr>
                <w:sz w:val="12"/>
                <w:szCs w:val="12"/>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Currency</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9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4"/>
          </w:tcPr>
          <w:p>
            <w:pPr>
              <w:jc w:val="center"/>
              <w:ind w:right="160"/>
              <w:spacing w:after="0" w:line="121" w:lineRule="exact"/>
              <w:rPr>
                <w:sz w:val="20"/>
                <w:szCs w:val="20"/>
                <w:color w:val="auto"/>
              </w:rPr>
            </w:pPr>
            <w:r>
              <w:rPr>
                <w:rFonts w:ascii="Arial" w:cs="Arial" w:eastAsia="Arial" w:hAnsi="Arial"/>
                <w:sz w:val="12"/>
                <w:szCs w:val="12"/>
                <w:b w:val="1"/>
                <w:bCs w:val="1"/>
                <w:color w:val="auto"/>
                <w:w w:val="89"/>
              </w:rPr>
              <w:t>(Unaudited)</w:t>
            </w: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44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Revenues from services</w:t>
            </w: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8,261.8</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$7,689.5</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7.4%</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11.0%</w:t>
            </w:r>
          </w:p>
        </w:tc>
        <w:tc>
          <w:tcPr>
            <w:tcW w:w="0" w:type="dxa"/>
            <w:vAlign w:val="bottom"/>
          </w:tcPr>
          <w:p>
            <w:pPr>
              <w:spacing w:after="0"/>
              <w:rPr>
                <w:sz w:val="1"/>
                <w:szCs w:val="1"/>
                <w:color w:val="auto"/>
              </w:rPr>
            </w:pPr>
          </w:p>
        </w:tc>
      </w:tr>
      <w:tr>
        <w:trPr>
          <w:trHeight w:val="192"/>
        </w:trPr>
        <w:tc>
          <w:tcPr>
            <w:tcW w:w="4460" w:type="dxa"/>
            <w:vAlign w:val="bottom"/>
            <w:gridSpan w:val="2"/>
          </w:tcPr>
          <w:p>
            <w:pPr>
              <w:spacing w:after="0"/>
              <w:rPr>
                <w:sz w:val="20"/>
                <w:szCs w:val="20"/>
                <w:color w:val="auto"/>
              </w:rPr>
            </w:pPr>
            <w:r>
              <w:rPr>
                <w:rFonts w:ascii="Arial" w:cs="Arial" w:eastAsia="Arial" w:hAnsi="Arial"/>
                <w:sz w:val="15"/>
                <w:szCs w:val="15"/>
                <w:color w:val="auto"/>
              </w:rPr>
              <w:t>Cost of services</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7"/>
              </w:rPr>
              <w:t>6,785.8</w:t>
            </w: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7"/>
              </w:rPr>
              <w:t>6,326.1</w:t>
            </w:r>
          </w:p>
        </w:tc>
        <w:tc>
          <w:tcPr>
            <w:tcW w:w="820" w:type="dxa"/>
            <w:vAlign w:val="bottom"/>
            <w:gridSpan w:val="3"/>
          </w:tcPr>
          <w:p>
            <w:pPr>
              <w:jc w:val="right"/>
              <w:ind w:right="20"/>
              <w:spacing w:after="0"/>
              <w:rPr>
                <w:sz w:val="20"/>
                <w:szCs w:val="20"/>
                <w:color w:val="auto"/>
              </w:rPr>
            </w:pPr>
            <w:r>
              <w:rPr>
                <w:rFonts w:ascii="Arial" w:cs="Arial" w:eastAsia="Arial" w:hAnsi="Arial"/>
                <w:sz w:val="15"/>
                <w:szCs w:val="15"/>
                <w:color w:val="auto"/>
              </w:rPr>
              <w:t>7.3%</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Gross profit</w:t>
            </w: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1,476.0</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1,363.4</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8.3%</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11.6%</w:t>
            </w:r>
          </w:p>
        </w:tc>
        <w:tc>
          <w:tcPr>
            <w:tcW w:w="0" w:type="dxa"/>
            <w:vAlign w:val="bottom"/>
          </w:tcPr>
          <w:p>
            <w:pPr>
              <w:spacing w:after="0"/>
              <w:rPr>
                <w:sz w:val="1"/>
                <w:szCs w:val="1"/>
                <w:color w:val="auto"/>
              </w:rPr>
            </w:pPr>
          </w:p>
        </w:tc>
      </w:tr>
      <w:tr>
        <w:trPr>
          <w:trHeight w:val="192"/>
        </w:trPr>
        <w:tc>
          <w:tcPr>
            <w:tcW w:w="4460" w:type="dxa"/>
            <w:vAlign w:val="bottom"/>
            <w:gridSpan w:val="2"/>
          </w:tcPr>
          <w:p>
            <w:pPr>
              <w:spacing w:after="0"/>
              <w:rPr>
                <w:sz w:val="20"/>
                <w:szCs w:val="20"/>
                <w:color w:val="auto"/>
              </w:rPr>
            </w:pPr>
            <w:r>
              <w:rPr>
                <w:rFonts w:ascii="Arial" w:cs="Arial" w:eastAsia="Arial" w:hAnsi="Arial"/>
                <w:sz w:val="15"/>
                <w:szCs w:val="15"/>
                <w:color w:val="auto"/>
              </w:rPr>
              <w:t>Selling and administrative expenses</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7"/>
              </w:rPr>
              <w:t>1,277.6</w:t>
            </w: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7"/>
              </w:rPr>
              <w:t>1,195.3</w:t>
            </w:r>
          </w:p>
        </w:tc>
        <w:tc>
          <w:tcPr>
            <w:tcW w:w="820" w:type="dxa"/>
            <w:vAlign w:val="bottom"/>
            <w:gridSpan w:val="3"/>
          </w:tcPr>
          <w:p>
            <w:pPr>
              <w:jc w:val="right"/>
              <w:ind w:right="20"/>
              <w:spacing w:after="0"/>
              <w:rPr>
                <w:sz w:val="20"/>
                <w:szCs w:val="20"/>
                <w:color w:val="auto"/>
              </w:rPr>
            </w:pPr>
            <w:r>
              <w:rPr>
                <w:rFonts w:ascii="Arial" w:cs="Arial" w:eastAsia="Arial" w:hAnsi="Arial"/>
                <w:sz w:val="15"/>
                <w:szCs w:val="15"/>
                <w:color w:val="auto"/>
              </w:rPr>
              <w:t>6.9%</w:t>
            </w:r>
          </w:p>
        </w:tc>
        <w:tc>
          <w:tcPr>
            <w:tcW w:w="820" w:type="dxa"/>
            <w:vAlign w:val="bottom"/>
            <w:gridSpan w:val="3"/>
          </w:tcPr>
          <w:p>
            <w:pPr>
              <w:jc w:val="right"/>
              <w:spacing w:after="0"/>
              <w:rPr>
                <w:sz w:val="20"/>
                <w:szCs w:val="20"/>
                <w:color w:val="auto"/>
              </w:rPr>
            </w:pPr>
            <w:r>
              <w:rPr>
                <w:rFonts w:ascii="Arial" w:cs="Arial" w:eastAsia="Arial" w:hAnsi="Arial"/>
                <w:sz w:val="15"/>
                <w:szCs w:val="15"/>
                <w:color w:val="auto"/>
              </w:rPr>
              <w:t>10.2%</w:t>
            </w:r>
          </w:p>
        </w:tc>
        <w:tc>
          <w:tcPr>
            <w:tcW w:w="0" w:type="dxa"/>
            <w:vAlign w:val="bottom"/>
          </w:tcPr>
          <w:p>
            <w:pPr>
              <w:spacing w:after="0"/>
              <w:rPr>
                <w:sz w:val="1"/>
                <w:szCs w:val="1"/>
                <w:color w:val="auto"/>
              </w:rPr>
            </w:pPr>
          </w:p>
        </w:tc>
      </w:tr>
      <w:tr>
        <w:trPr>
          <w:trHeight w:val="188"/>
        </w:trPr>
        <w:tc>
          <w:tcPr>
            <w:tcW w:w="4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Operating profit</w:t>
            </w: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198.4</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168.1</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18.0%</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21.5%</w:t>
            </w:r>
          </w:p>
        </w:tc>
        <w:tc>
          <w:tcPr>
            <w:tcW w:w="0" w:type="dxa"/>
            <w:vAlign w:val="bottom"/>
          </w:tcPr>
          <w:p>
            <w:pPr>
              <w:spacing w:after="0"/>
              <w:rPr>
                <w:sz w:val="1"/>
                <w:szCs w:val="1"/>
                <w:color w:val="auto"/>
              </w:rPr>
            </w:pPr>
          </w:p>
        </w:tc>
      </w:tr>
      <w:tr>
        <w:trPr>
          <w:trHeight w:val="192"/>
        </w:trPr>
        <w:tc>
          <w:tcPr>
            <w:tcW w:w="4460" w:type="dxa"/>
            <w:vAlign w:val="bottom"/>
            <w:gridSpan w:val="2"/>
          </w:tcPr>
          <w:p>
            <w:pPr>
              <w:spacing w:after="0"/>
              <w:rPr>
                <w:sz w:val="20"/>
                <w:szCs w:val="20"/>
                <w:color w:val="auto"/>
              </w:rPr>
            </w:pPr>
            <w:r>
              <w:rPr>
                <w:rFonts w:ascii="Arial" w:cs="Arial" w:eastAsia="Arial" w:hAnsi="Arial"/>
                <w:sz w:val="15"/>
                <w:szCs w:val="15"/>
                <w:color w:val="auto"/>
              </w:rPr>
              <w:t>Interest and other expenses</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25.5</w:t>
            </w: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23.0</w:t>
            </w:r>
          </w:p>
        </w:tc>
        <w:tc>
          <w:tcPr>
            <w:tcW w:w="820" w:type="dxa"/>
            <w:vAlign w:val="bottom"/>
            <w:gridSpan w:val="3"/>
          </w:tcPr>
          <w:p>
            <w:pPr>
              <w:jc w:val="right"/>
              <w:ind w:right="20"/>
              <w:spacing w:after="0"/>
              <w:rPr>
                <w:sz w:val="20"/>
                <w:szCs w:val="20"/>
                <w:color w:val="auto"/>
              </w:rPr>
            </w:pPr>
            <w:r>
              <w:rPr>
                <w:rFonts w:ascii="Arial" w:cs="Arial" w:eastAsia="Arial" w:hAnsi="Arial"/>
                <w:sz w:val="15"/>
                <w:szCs w:val="15"/>
                <w:color w:val="auto"/>
              </w:rPr>
              <w:t>11.0%</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Earnings before income taxes and discontinued operations</w:t>
            </w: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172.9</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145.1</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19.1%</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21.8%</w:t>
            </w:r>
          </w:p>
        </w:tc>
        <w:tc>
          <w:tcPr>
            <w:tcW w:w="0" w:type="dxa"/>
            <w:vAlign w:val="bottom"/>
          </w:tcPr>
          <w:p>
            <w:pPr>
              <w:spacing w:after="0"/>
              <w:rPr>
                <w:sz w:val="1"/>
                <w:szCs w:val="1"/>
                <w:color w:val="auto"/>
              </w:rPr>
            </w:pPr>
          </w:p>
        </w:tc>
      </w:tr>
      <w:tr>
        <w:trPr>
          <w:trHeight w:val="188"/>
        </w:trPr>
        <w:tc>
          <w:tcPr>
            <w:tcW w:w="4460" w:type="dxa"/>
            <w:vAlign w:val="bottom"/>
            <w:gridSpan w:val="2"/>
          </w:tcPr>
          <w:p>
            <w:pPr>
              <w:spacing w:after="0"/>
              <w:rPr>
                <w:sz w:val="20"/>
                <w:szCs w:val="20"/>
                <w:color w:val="auto"/>
              </w:rPr>
            </w:pPr>
            <w:r>
              <w:rPr>
                <w:rFonts w:ascii="Arial" w:cs="Arial" w:eastAsia="Arial" w:hAnsi="Arial"/>
                <w:sz w:val="15"/>
                <w:szCs w:val="15"/>
                <w:color w:val="auto"/>
              </w:rPr>
              <w:t>Provision for income taxes</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63.8</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53.3</w:t>
            </w:r>
          </w:p>
        </w:tc>
        <w:tc>
          <w:tcPr>
            <w:tcW w:w="820" w:type="dxa"/>
            <w:vAlign w:val="bottom"/>
            <w:gridSpan w:val="3"/>
          </w:tcPr>
          <w:p>
            <w:pPr>
              <w:jc w:val="right"/>
              <w:ind w:right="20"/>
              <w:spacing w:after="0"/>
              <w:rPr>
                <w:sz w:val="20"/>
                <w:szCs w:val="20"/>
                <w:color w:val="auto"/>
              </w:rPr>
            </w:pPr>
            <w:r>
              <w:rPr>
                <w:rFonts w:ascii="Arial" w:cs="Arial" w:eastAsia="Arial" w:hAnsi="Arial"/>
                <w:sz w:val="15"/>
                <w:szCs w:val="15"/>
                <w:color w:val="auto"/>
              </w:rPr>
              <w:t>19.7%</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Net earnings from continuing operations</w:t>
            </w: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109.1</w:t>
            </w:r>
          </w:p>
        </w:tc>
        <w:tc>
          <w:tcPr>
            <w:tcW w:w="2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91.8</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18.8%</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21.4%</w:t>
            </w:r>
          </w:p>
        </w:tc>
        <w:tc>
          <w:tcPr>
            <w:tcW w:w="0" w:type="dxa"/>
            <w:vAlign w:val="bottom"/>
          </w:tcPr>
          <w:p>
            <w:pPr>
              <w:spacing w:after="0"/>
              <w:rPr>
                <w:sz w:val="1"/>
                <w:szCs w:val="1"/>
                <w:color w:val="auto"/>
              </w:rPr>
            </w:pPr>
          </w:p>
        </w:tc>
      </w:tr>
      <w:tr>
        <w:trPr>
          <w:trHeight w:val="195"/>
        </w:trPr>
        <w:tc>
          <w:tcPr>
            <w:tcW w:w="4460" w:type="dxa"/>
            <w:vAlign w:val="bottom"/>
            <w:gridSpan w:val="2"/>
          </w:tcPr>
          <w:p>
            <w:pPr>
              <w:spacing w:after="0"/>
              <w:rPr>
                <w:sz w:val="20"/>
                <w:szCs w:val="20"/>
                <w:color w:val="auto"/>
              </w:rPr>
            </w:pPr>
            <w:r>
              <w:rPr>
                <w:rFonts w:ascii="Arial" w:cs="Arial" w:eastAsia="Arial" w:hAnsi="Arial"/>
                <w:sz w:val="15"/>
                <w:szCs w:val="15"/>
                <w:color w:val="auto"/>
              </w:rPr>
              <w:t>Income from discontinued operations, net of income taxes</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23.9</w:t>
            </w: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w:t>
            </w:r>
          </w:p>
        </w:tc>
        <w:tc>
          <w:tcPr>
            <w:tcW w:w="22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N/A</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Net earnings</w:t>
            </w: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94.7</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40.4%</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45.3%</w:t>
            </w: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Arial" w:cs="Arial" w:eastAsia="Arial" w:hAnsi="Arial"/>
                <w:sz w:val="15"/>
                <w:szCs w:val="15"/>
                <w:color w:val="auto"/>
              </w:rPr>
              <w:t>Net earnings per share - basic:</w:t>
            </w: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460" w:type="dxa"/>
            <w:vAlign w:val="bottom"/>
            <w:gridSpan w:val="2"/>
            <w:vMerge w:val="continue"/>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Continuing operations</w:t>
            </w: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21.4%</w:t>
            </w: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460" w:type="dxa"/>
            <w:vAlign w:val="bottom"/>
            <w:gridSpan w:val="2"/>
          </w:tcPr>
          <w:p>
            <w:pPr>
              <w:ind w:left="180"/>
              <w:spacing w:after="0"/>
              <w:rPr>
                <w:sz w:val="20"/>
                <w:szCs w:val="20"/>
                <w:color w:val="auto"/>
              </w:rPr>
            </w:pPr>
            <w:r>
              <w:rPr>
                <w:rFonts w:ascii="Arial" w:cs="Arial" w:eastAsia="Arial" w:hAnsi="Arial"/>
                <w:sz w:val="15"/>
                <w:szCs w:val="15"/>
                <w:color w:val="auto"/>
              </w:rPr>
              <w:t>Discontinued operations</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0.27</w:t>
            </w: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0.03</w:t>
            </w:r>
          </w:p>
        </w:tc>
        <w:tc>
          <w:tcPr>
            <w:tcW w:w="22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N/A</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Total</w:t>
            </w: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43.4%</w:t>
            </w: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Arial" w:cs="Arial" w:eastAsia="Arial" w:hAnsi="Arial"/>
                <w:sz w:val="15"/>
                <w:szCs w:val="15"/>
                <w:color w:val="auto"/>
              </w:rPr>
              <w:t>Net earnings per share - diluted:</w:t>
            </w: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460" w:type="dxa"/>
            <w:vAlign w:val="bottom"/>
            <w:gridSpan w:val="2"/>
            <w:vMerge w:val="continue"/>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Continuing operations</w:t>
            </w: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23.0%</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26.0%</w:t>
            </w:r>
          </w:p>
        </w:tc>
        <w:tc>
          <w:tcPr>
            <w:tcW w:w="0" w:type="dxa"/>
            <w:vAlign w:val="bottom"/>
          </w:tcPr>
          <w:p>
            <w:pPr>
              <w:spacing w:after="0"/>
              <w:rPr>
                <w:sz w:val="1"/>
                <w:szCs w:val="1"/>
                <w:color w:val="auto"/>
              </w:rPr>
            </w:pPr>
          </w:p>
        </w:tc>
      </w:tr>
      <w:tr>
        <w:trPr>
          <w:trHeight w:val="192"/>
        </w:trPr>
        <w:tc>
          <w:tcPr>
            <w:tcW w:w="4460" w:type="dxa"/>
            <w:vAlign w:val="bottom"/>
            <w:gridSpan w:val="2"/>
          </w:tcPr>
          <w:p>
            <w:pPr>
              <w:ind w:left="180"/>
              <w:spacing w:after="0"/>
              <w:rPr>
                <w:sz w:val="20"/>
                <w:szCs w:val="20"/>
                <w:color w:val="auto"/>
              </w:rPr>
            </w:pPr>
            <w:r>
              <w:rPr>
                <w:rFonts w:ascii="Arial" w:cs="Arial" w:eastAsia="Arial" w:hAnsi="Arial"/>
                <w:sz w:val="15"/>
                <w:szCs w:val="15"/>
                <w:color w:val="auto"/>
              </w:rPr>
              <w:t>Discontinued operations</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0.27</w:t>
            </w: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0.03</w:t>
            </w:r>
          </w:p>
        </w:tc>
        <w:tc>
          <w:tcPr>
            <w:tcW w:w="22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N/A</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Total</w:t>
            </w: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45.6%</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50.5%</w:t>
            </w: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Arial" w:cs="Arial" w:eastAsia="Arial" w:hAnsi="Arial"/>
                <w:sz w:val="15"/>
                <w:szCs w:val="15"/>
                <w:color w:val="auto"/>
              </w:rPr>
              <w:t>Weighted average shares - basic</w:t>
            </w: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gridSpan w:val="3"/>
            <w:vMerge w:val="restart"/>
          </w:tcPr>
          <w:p>
            <w:pPr>
              <w:jc w:val="right"/>
              <w:ind w:right="20"/>
              <w:spacing w:after="0"/>
              <w:rPr>
                <w:sz w:val="20"/>
                <w:szCs w:val="20"/>
                <w:color w:val="auto"/>
              </w:rPr>
            </w:pPr>
            <w:r>
              <w:rPr>
                <w:rFonts w:ascii="Arial" w:cs="Arial" w:eastAsia="Arial" w:hAnsi="Arial"/>
                <w:sz w:val="15"/>
                <w:szCs w:val="15"/>
                <w:color w:val="auto"/>
              </w:rPr>
              <w:t>-2.1%</w:t>
            </w: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460" w:type="dxa"/>
            <w:vAlign w:val="bottom"/>
            <w:gridSpan w:val="2"/>
            <w:vMerge w:val="continue"/>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87.3</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89.2</w:t>
            </w:r>
          </w:p>
        </w:tc>
        <w:tc>
          <w:tcPr>
            <w:tcW w:w="82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4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Weighted average shares - diluted</w:t>
            </w: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88.8</w:t>
            </w:r>
          </w:p>
        </w:tc>
        <w:tc>
          <w:tcPr>
            <w:tcW w:w="2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93.2</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-4.8%</w:t>
            </w: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940" w:type="dxa"/>
            <w:vAlign w:val="bottom"/>
            <w:tcBorders>
              <w:bottom w:val="single" w:sz="8" w:color="auto"/>
            </w:tcBorders>
          </w:tcPr>
          <w:p>
            <w:pPr>
              <w:spacing w:after="0"/>
              <w:rPr>
                <w:sz w:val="7"/>
                <w:szCs w:val="7"/>
                <w:color w:val="auto"/>
              </w:rPr>
            </w:pPr>
          </w:p>
        </w:tc>
        <w:tc>
          <w:tcPr>
            <w:tcW w:w="352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51" w:lineRule="exact"/>
        <w:rPr>
          <w:sz w:val="20"/>
          <w:szCs w:val="20"/>
          <w:color w:val="auto"/>
        </w:rPr>
      </w:pPr>
    </w:p>
    <w:p>
      <w:pPr>
        <w:ind w:left="446" w:hanging="446"/>
        <w:spacing w:after="0"/>
        <w:tabs>
          <w:tab w:leader="none" w:pos="446" w:val="left"/>
        </w:tabs>
        <w:numPr>
          <w:ilvl w:val="0"/>
          <w:numId w:val="9"/>
        </w:numPr>
        <w:rPr>
          <w:rFonts w:ascii="Arial" w:cs="Arial" w:eastAsia="Arial" w:hAnsi="Arial"/>
          <w:sz w:val="20"/>
          <w:szCs w:val="20"/>
          <w:color w:val="auto"/>
          <w:vertAlign w:val="superscript"/>
        </w:rPr>
      </w:pPr>
      <w:r>
        <w:rPr>
          <w:rFonts w:ascii="Arial" w:cs="Arial" w:eastAsia="Arial" w:hAnsi="Arial"/>
          <w:sz w:val="15"/>
          <w:szCs w:val="15"/>
          <w:color w:val="auto"/>
        </w:rPr>
        <w:t>Restatement for discontinued operations and reclassifications of business tax and profit sharing expenses.</w:t>
      </w:r>
    </w:p>
    <w:p>
      <w:pPr>
        <w:sectPr>
          <w:pgSz w:w="11900" w:h="16838" w:orient="portrait"/>
          <w:cols w:equalWidth="0" w:num="1">
            <w:col w:w="11446"/>
          </w:cols>
          <w:pgMar w:left="234" w:top="128" w:right="219" w:bottom="1440" w:gutter="0" w:footer="0" w:header="0"/>
        </w:sectPr>
      </w:pPr>
    </w:p>
    <w:bookmarkStart w:id="31" w:name="page32"/>
    <w:bookmarkEnd w:id="31"/>
    <w:p>
      <w:pPr>
        <w:jc w:val="right"/>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4720" cy="24765"/>
                    </a:xfrm>
                    <a:prstGeom prst="rect">
                      <a:avLst/>
                    </a:prstGeom>
                    <a:noFill/>
                  </pic:spPr>
                </pic:pic>
              </a:graphicData>
            </a:graphic>
          </wp:anchor>
        </w:drawing>
        <w:t>(Page 2 of 9)</w:t>
      </w:r>
    </w:p>
    <w:p>
      <w:pPr>
        <w:spacing w:after="0" w:line="157"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Manpower Inc.</w:t>
      </w:r>
    </w:p>
    <w:p>
      <w:pPr>
        <w:jc w:val="center"/>
        <w:ind w:right="-5"/>
        <w:spacing w:after="0" w:line="236" w:lineRule="auto"/>
        <w:rPr>
          <w:sz w:val="20"/>
          <w:szCs w:val="20"/>
          <w:color w:val="auto"/>
        </w:rPr>
      </w:pPr>
      <w:r>
        <w:rPr>
          <w:rFonts w:ascii="Arial" w:cs="Arial" w:eastAsia="Arial" w:hAnsi="Arial"/>
          <w:sz w:val="15"/>
          <w:szCs w:val="15"/>
          <w:color w:val="auto"/>
        </w:rPr>
        <w:t xml:space="preserve">Results of Operations </w:t>
      </w:r>
      <w:r>
        <w:rPr>
          <w:rFonts w:ascii="Arial" w:cs="Arial" w:eastAsia="Arial" w:hAnsi="Arial"/>
          <w:sz w:val="19"/>
          <w:szCs w:val="19"/>
          <w:color w:val="auto"/>
          <w:vertAlign w:val="superscript"/>
        </w:rPr>
        <w:t>(1)</w:t>
      </w:r>
    </w:p>
    <w:p>
      <w:pPr>
        <w:spacing w:after="0" w:line="1"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(In millions)</w:t>
      </w:r>
    </w:p>
    <w:p>
      <w:pPr>
        <w:spacing w:after="0" w:line="176" w:lineRule="exact"/>
        <w:rPr>
          <w:sz w:val="20"/>
          <w:szCs w:val="20"/>
          <w:color w:val="auto"/>
        </w:rPr>
      </w:pPr>
    </w:p>
    <w:tbl>
      <w:tblPr>
        <w:tblLayout w:type="fixed"/>
        <w:tblInd w:w="6" w:type="dxa"/>
        <w:tblCellMar>
          <w:top w:w="0" w:type="dxa"/>
          <w:left w:w="0" w:type="dxa"/>
          <w:bottom w:w="0" w:type="dxa"/>
          <w:right w:w="0" w:type="dxa"/>
        </w:tblCellMar>
      </w:tblPr>
      <w:tr>
        <w:trPr>
          <w:trHeight w:val="140"/>
        </w:trPr>
        <w:tc>
          <w:tcPr>
            <w:tcW w:w="94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140" w:type="dxa"/>
            <w:vAlign w:val="bottom"/>
            <w:tcBorders>
              <w:bottom w:val="single" w:sz="8" w:color="auto"/>
            </w:tcBorders>
            <w:gridSpan w:val="6"/>
          </w:tcPr>
          <w:p>
            <w:pPr>
              <w:jc w:val="center"/>
              <w:ind w:right="200"/>
              <w:spacing w:after="0"/>
              <w:rPr>
                <w:sz w:val="20"/>
                <w:szCs w:val="20"/>
                <w:color w:val="auto"/>
              </w:rPr>
            </w:pPr>
            <w:r>
              <w:rPr>
                <w:rFonts w:ascii="Arial" w:cs="Arial" w:eastAsia="Arial" w:hAnsi="Arial"/>
                <w:sz w:val="12"/>
                <w:szCs w:val="12"/>
                <w:b w:val="1"/>
                <w:bCs w:val="1"/>
                <w:color w:val="auto"/>
                <w:w w:val="88"/>
              </w:rPr>
              <w:t>Three Months Ended September 30</w:t>
            </w:r>
          </w:p>
        </w:tc>
        <w:tc>
          <w:tcPr>
            <w:tcW w:w="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94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0" w:type="dxa"/>
            <w:vAlign w:val="bottom"/>
            <w:tcBorders>
              <w:bottom w:val="single" w:sz="8" w:color="auto"/>
            </w:tcBorders>
            <w:gridSpan w:val="3"/>
          </w:tcPr>
          <w:p>
            <w:pPr>
              <w:ind w:left="400"/>
              <w:spacing w:after="0" w:line="121" w:lineRule="exact"/>
              <w:rPr>
                <w:sz w:val="20"/>
                <w:szCs w:val="20"/>
                <w:color w:val="auto"/>
              </w:rPr>
            </w:pPr>
            <w:r>
              <w:rPr>
                <w:rFonts w:ascii="Arial" w:cs="Arial" w:eastAsia="Arial" w:hAnsi="Arial"/>
                <w:sz w:val="12"/>
                <w:szCs w:val="12"/>
                <w:b w:val="1"/>
                <w:bCs w:val="1"/>
                <w:color w:val="auto"/>
              </w:rPr>
              <w:t>% Variance</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940" w:type="dxa"/>
            <w:vAlign w:val="bottom"/>
          </w:tcPr>
          <w:p>
            <w:pPr>
              <w:spacing w:after="0"/>
              <w:rPr>
                <w:sz w:val="9"/>
                <w:szCs w:val="9"/>
                <w:color w:val="auto"/>
              </w:rPr>
            </w:pPr>
          </w:p>
        </w:tc>
        <w:tc>
          <w:tcPr>
            <w:tcW w:w="502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vMerge w:val="restart"/>
          </w:tcPr>
          <w:p>
            <w:pPr>
              <w:jc w:val="right"/>
              <w:ind w:right="124"/>
              <w:spacing w:after="0"/>
              <w:rPr>
                <w:sz w:val="20"/>
                <w:szCs w:val="20"/>
                <w:color w:val="auto"/>
              </w:rPr>
            </w:pPr>
            <w:r>
              <w:rPr>
                <w:rFonts w:ascii="Arial" w:cs="Arial" w:eastAsia="Arial" w:hAnsi="Arial"/>
                <w:sz w:val="12"/>
                <w:szCs w:val="12"/>
                <w:b w:val="1"/>
                <w:bCs w:val="1"/>
                <w:color w:val="auto"/>
              </w:rPr>
              <w:t>2006</w:t>
            </w: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vMerge w:val="restart"/>
          </w:tcPr>
          <w:p>
            <w:pPr>
              <w:jc w:val="right"/>
              <w:ind w:right="105"/>
              <w:spacing w:after="0"/>
              <w:rPr>
                <w:sz w:val="20"/>
                <w:szCs w:val="20"/>
                <w:color w:val="auto"/>
              </w:rPr>
            </w:pPr>
            <w:r>
              <w:rPr>
                <w:rFonts w:ascii="Arial" w:cs="Arial" w:eastAsia="Arial" w:hAnsi="Arial"/>
                <w:sz w:val="12"/>
                <w:szCs w:val="12"/>
                <w:b w:val="1"/>
                <w:bCs w:val="1"/>
                <w:color w:val="auto"/>
              </w:rPr>
              <w:t>2005</w:t>
            </w:r>
          </w:p>
        </w:tc>
        <w:tc>
          <w:tcPr>
            <w:tcW w:w="340" w:type="dxa"/>
            <w:vAlign w:val="bottom"/>
          </w:tcPr>
          <w:p>
            <w:pPr>
              <w:spacing w:after="0"/>
              <w:rPr>
                <w:sz w:val="9"/>
                <w:szCs w:val="9"/>
                <w:color w:val="auto"/>
              </w:rPr>
            </w:pPr>
          </w:p>
        </w:tc>
        <w:tc>
          <w:tcPr>
            <w:tcW w:w="920" w:type="dxa"/>
            <w:vAlign w:val="bottom"/>
            <w:gridSpan w:val="2"/>
          </w:tcPr>
          <w:p>
            <w:pPr>
              <w:jc w:val="right"/>
              <w:ind w:right="480"/>
              <w:spacing w:after="0" w:line="110" w:lineRule="exact"/>
              <w:rPr>
                <w:sz w:val="20"/>
                <w:szCs w:val="20"/>
                <w:color w:val="auto"/>
              </w:rPr>
            </w:pPr>
            <w:r>
              <w:rPr>
                <w:rFonts w:ascii="Arial" w:cs="Arial" w:eastAsia="Arial" w:hAnsi="Arial"/>
                <w:sz w:val="12"/>
                <w:szCs w:val="12"/>
                <w:b w:val="1"/>
                <w:bCs w:val="1"/>
                <w:color w:val="auto"/>
                <w:w w:val="92"/>
              </w:rPr>
              <w:t>Amount</w:t>
            </w:r>
          </w:p>
        </w:tc>
        <w:tc>
          <w:tcPr>
            <w:tcW w:w="480" w:type="dxa"/>
            <w:vAlign w:val="bottom"/>
          </w:tcPr>
          <w:p>
            <w:pPr>
              <w:ind w:left="20"/>
              <w:spacing w:after="0" w:line="110" w:lineRule="exact"/>
              <w:rPr>
                <w:sz w:val="20"/>
                <w:szCs w:val="20"/>
                <w:color w:val="auto"/>
              </w:rPr>
            </w:pPr>
            <w:r>
              <w:rPr>
                <w:rFonts w:ascii="Arial" w:cs="Arial" w:eastAsia="Arial" w:hAnsi="Arial"/>
                <w:sz w:val="12"/>
                <w:szCs w:val="12"/>
                <w:b w:val="1"/>
                <w:bCs w:val="1"/>
                <w:color w:val="auto"/>
                <w:w w:val="84"/>
              </w:rPr>
              <w:t>Constant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94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w w:val="83"/>
              </w:rPr>
              <w:t>Reported</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Currency</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94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60" w:type="dxa"/>
            <w:vAlign w:val="bottom"/>
            <w:gridSpan w:val="4"/>
          </w:tcPr>
          <w:p>
            <w:pPr>
              <w:jc w:val="center"/>
              <w:ind w:right="580"/>
              <w:spacing w:after="0" w:line="121" w:lineRule="exact"/>
              <w:rPr>
                <w:sz w:val="20"/>
                <w:szCs w:val="20"/>
                <w:color w:val="auto"/>
              </w:rPr>
            </w:pPr>
            <w:r>
              <w:rPr>
                <w:rFonts w:ascii="Arial" w:cs="Arial" w:eastAsia="Arial" w:hAnsi="Arial"/>
                <w:sz w:val="12"/>
                <w:szCs w:val="12"/>
                <w:b w:val="1"/>
                <w:bCs w:val="1"/>
                <w:color w:val="auto"/>
                <w:w w:val="92"/>
              </w:rPr>
              <w:t>(Unaudited)</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59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Revenues from services</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4,590.0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w w:val="95"/>
              </w:rPr>
              <w:t>4,087.6</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12.3%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9.0%</w:t>
            </w:r>
          </w:p>
        </w:tc>
        <w:tc>
          <w:tcPr>
            <w:tcW w:w="0" w:type="dxa"/>
            <w:vAlign w:val="bottom"/>
          </w:tcPr>
          <w:p>
            <w:pPr>
              <w:spacing w:after="0"/>
              <w:rPr>
                <w:sz w:val="1"/>
                <w:szCs w:val="1"/>
                <w:color w:val="auto"/>
              </w:rPr>
            </w:pPr>
          </w:p>
        </w:tc>
      </w:tr>
      <w:tr>
        <w:trPr>
          <w:trHeight w:val="188"/>
        </w:trPr>
        <w:tc>
          <w:tcPr>
            <w:tcW w:w="5960" w:type="dxa"/>
            <w:vAlign w:val="bottom"/>
            <w:gridSpan w:val="2"/>
          </w:tcPr>
          <w:p>
            <w:pPr>
              <w:spacing w:after="0"/>
              <w:rPr>
                <w:sz w:val="20"/>
                <w:szCs w:val="20"/>
                <w:color w:val="auto"/>
              </w:rPr>
            </w:pPr>
            <w:r>
              <w:rPr>
                <w:rFonts w:ascii="Arial" w:cs="Arial" w:eastAsia="Arial" w:hAnsi="Arial"/>
                <w:sz w:val="15"/>
                <w:szCs w:val="15"/>
                <w:color w:val="auto"/>
              </w:rPr>
              <w:t>Cost of services</w:t>
            </w: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3,785.8</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5"/>
                <w:szCs w:val="15"/>
                <w:color w:val="auto"/>
                <w:w w:val="95"/>
              </w:rPr>
              <w:t>3,365.6</w:t>
            </w: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12.5%</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9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59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Gross profit</w:t>
            </w:r>
          </w:p>
        </w:tc>
        <w:tc>
          <w:tcPr>
            <w:tcW w:w="2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804.2</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722.0</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11.4%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8.4%</w:t>
            </w:r>
          </w:p>
        </w:tc>
        <w:tc>
          <w:tcPr>
            <w:tcW w:w="0" w:type="dxa"/>
            <w:vAlign w:val="bottom"/>
          </w:tcPr>
          <w:p>
            <w:pPr>
              <w:spacing w:after="0"/>
              <w:rPr>
                <w:sz w:val="1"/>
                <w:szCs w:val="1"/>
                <w:color w:val="auto"/>
              </w:rPr>
            </w:pPr>
          </w:p>
        </w:tc>
      </w:tr>
      <w:tr>
        <w:trPr>
          <w:trHeight w:val="188"/>
        </w:trPr>
        <w:tc>
          <w:tcPr>
            <w:tcW w:w="5960" w:type="dxa"/>
            <w:vAlign w:val="bottom"/>
            <w:gridSpan w:val="2"/>
          </w:tcPr>
          <w:p>
            <w:pPr>
              <w:spacing w:after="0"/>
              <w:rPr>
                <w:sz w:val="20"/>
                <w:szCs w:val="20"/>
                <w:color w:val="auto"/>
              </w:rPr>
            </w:pPr>
            <w:r>
              <w:rPr>
                <w:rFonts w:ascii="Arial" w:cs="Arial" w:eastAsia="Arial" w:hAnsi="Arial"/>
                <w:sz w:val="15"/>
                <w:szCs w:val="15"/>
                <w:color w:val="auto"/>
              </w:rPr>
              <w:t>Selling and administrative expenses</w:t>
            </w: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640.3</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5"/>
                <w:szCs w:val="15"/>
                <w:color w:val="auto"/>
              </w:rPr>
              <w:t>592.1</w:t>
            </w: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8.1%</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5.4%</w:t>
            </w:r>
          </w:p>
        </w:tc>
        <w:tc>
          <w:tcPr>
            <w:tcW w:w="0" w:type="dxa"/>
            <w:vAlign w:val="bottom"/>
          </w:tcPr>
          <w:p>
            <w:pPr>
              <w:spacing w:after="0"/>
              <w:rPr>
                <w:sz w:val="1"/>
                <w:szCs w:val="1"/>
                <w:color w:val="auto"/>
              </w:rPr>
            </w:pPr>
          </w:p>
        </w:tc>
      </w:tr>
      <w:tr>
        <w:trPr>
          <w:trHeight w:val="24"/>
        </w:trPr>
        <w:tc>
          <w:tcPr>
            <w:tcW w:w="9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59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Operating profit</w:t>
            </w:r>
          </w:p>
        </w:tc>
        <w:tc>
          <w:tcPr>
            <w:tcW w:w="2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163.9</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129.9</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26.2%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22.3%</w:t>
            </w:r>
          </w:p>
        </w:tc>
        <w:tc>
          <w:tcPr>
            <w:tcW w:w="0" w:type="dxa"/>
            <w:vAlign w:val="bottom"/>
          </w:tcPr>
          <w:p>
            <w:pPr>
              <w:spacing w:after="0"/>
              <w:rPr>
                <w:sz w:val="1"/>
                <w:szCs w:val="1"/>
                <w:color w:val="auto"/>
              </w:rPr>
            </w:pPr>
          </w:p>
        </w:tc>
      </w:tr>
      <w:tr>
        <w:trPr>
          <w:trHeight w:val="188"/>
        </w:trPr>
        <w:tc>
          <w:tcPr>
            <w:tcW w:w="5960" w:type="dxa"/>
            <w:vAlign w:val="bottom"/>
            <w:gridSpan w:val="2"/>
          </w:tcPr>
          <w:p>
            <w:pPr>
              <w:spacing w:after="0"/>
              <w:rPr>
                <w:sz w:val="20"/>
                <w:szCs w:val="20"/>
                <w:color w:val="auto"/>
              </w:rPr>
            </w:pPr>
            <w:r>
              <w:rPr>
                <w:rFonts w:ascii="Arial" w:cs="Arial" w:eastAsia="Arial" w:hAnsi="Arial"/>
                <w:sz w:val="15"/>
                <w:szCs w:val="15"/>
                <w:color w:val="auto"/>
              </w:rPr>
              <w:t>Interest and other expenses</w:t>
            </w: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10.6</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5"/>
                <w:szCs w:val="15"/>
                <w:color w:val="auto"/>
              </w:rPr>
              <w:t>11.8</w:t>
            </w: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-10.5%</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9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59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Earnings before income taxes and discontinued operations</w:t>
            </w:r>
          </w:p>
        </w:tc>
        <w:tc>
          <w:tcPr>
            <w:tcW w:w="2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153.3</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118.1</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29.9%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25.6%</w:t>
            </w:r>
          </w:p>
        </w:tc>
        <w:tc>
          <w:tcPr>
            <w:tcW w:w="0" w:type="dxa"/>
            <w:vAlign w:val="bottom"/>
          </w:tcPr>
          <w:p>
            <w:pPr>
              <w:spacing w:after="0"/>
              <w:rPr>
                <w:sz w:val="1"/>
                <w:szCs w:val="1"/>
                <w:color w:val="auto"/>
              </w:rPr>
            </w:pPr>
          </w:p>
        </w:tc>
      </w:tr>
      <w:tr>
        <w:trPr>
          <w:trHeight w:val="188"/>
        </w:trPr>
        <w:tc>
          <w:tcPr>
            <w:tcW w:w="5960" w:type="dxa"/>
            <w:vAlign w:val="bottom"/>
            <w:gridSpan w:val="2"/>
          </w:tcPr>
          <w:p>
            <w:pPr>
              <w:spacing w:after="0"/>
              <w:rPr>
                <w:sz w:val="20"/>
                <w:szCs w:val="20"/>
                <w:color w:val="auto"/>
              </w:rPr>
            </w:pPr>
            <w:r>
              <w:rPr>
                <w:rFonts w:ascii="Arial" w:cs="Arial" w:eastAsia="Arial" w:hAnsi="Arial"/>
                <w:sz w:val="15"/>
                <w:szCs w:val="15"/>
                <w:color w:val="auto"/>
              </w:rPr>
              <w:t>Provision for income taxes</w:t>
            </w: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5"/>
                <w:szCs w:val="15"/>
                <w:color w:val="auto"/>
              </w:rPr>
              <w:t>56.3</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5"/>
                <w:szCs w:val="15"/>
                <w:color w:val="auto"/>
              </w:rPr>
              <w:t>43.2</w:t>
            </w: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30.3%</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9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Net earnings from continuing operations</w:t>
            </w:r>
          </w:p>
        </w:tc>
        <w:tc>
          <w:tcPr>
            <w:tcW w:w="2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97.0</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74.9</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29.6%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25.3%</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5"/>
                <w:szCs w:val="15"/>
                <w:color w:val="auto"/>
              </w:rPr>
              <w:t>Income from discontinued operations, net of income taxes</w:t>
            </w:r>
          </w:p>
        </w:tc>
        <w:tc>
          <w:tcPr>
            <w:tcW w:w="2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gridSpan w:val="2"/>
            <w:vMerge w:val="restart"/>
          </w:tcPr>
          <w:p>
            <w:pPr>
              <w:jc w:val="right"/>
              <w:ind w:right="460"/>
              <w:spacing w:after="0"/>
              <w:rPr>
                <w:sz w:val="20"/>
                <w:szCs w:val="20"/>
                <w:color w:val="auto"/>
              </w:rPr>
            </w:pPr>
            <w:r>
              <w:rPr>
                <w:rFonts w:ascii="Arial" w:cs="Arial" w:eastAsia="Arial" w:hAnsi="Arial"/>
                <w:sz w:val="15"/>
                <w:szCs w:val="15"/>
                <w:color w:val="auto"/>
              </w:rPr>
              <w:t>N/A</w:t>
            </w: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960" w:type="dxa"/>
            <w:vAlign w:val="bottom"/>
            <w:gridSpan w:val="2"/>
            <w:vMerge w:val="continue"/>
          </w:tcPr>
          <w:p>
            <w:pPr>
              <w:spacing w:after="0"/>
              <w:rPr>
                <w:sz w:val="16"/>
                <w:szCs w:val="16"/>
                <w:color w:val="auto"/>
              </w:rPr>
            </w:pP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3.6</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5"/>
                <w:szCs w:val="15"/>
                <w:color w:val="auto"/>
              </w:rPr>
              <w:t>1.4</w:t>
            </w:r>
          </w:p>
        </w:tc>
        <w:tc>
          <w:tcPr>
            <w:tcW w:w="92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9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59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Net earnings</w:t>
            </w:r>
          </w:p>
        </w:tc>
        <w:tc>
          <w:tcPr>
            <w:tcW w:w="20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100.6</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76.3</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31.8%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27.3%</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5"/>
                <w:szCs w:val="15"/>
                <w:color w:val="auto"/>
              </w:rPr>
              <w:t>Net earnings per share - basic:</w:t>
            </w: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960" w:type="dxa"/>
            <w:vAlign w:val="bottom"/>
            <w:gridSpan w:val="2"/>
            <w:vMerge w:val="continue"/>
          </w:tcPr>
          <w:p>
            <w:pPr>
              <w:spacing w:after="0"/>
              <w:rPr>
                <w:sz w:val="15"/>
                <w:szCs w:val="15"/>
                <w:color w:val="auto"/>
              </w:rPr>
            </w:pP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Continuing operations</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1.14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0.86</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32.6%</w:t>
            </w: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960" w:type="dxa"/>
            <w:vAlign w:val="bottom"/>
            <w:gridSpan w:val="2"/>
          </w:tcPr>
          <w:p>
            <w:pPr>
              <w:ind w:left="180"/>
              <w:spacing w:after="0"/>
              <w:rPr>
                <w:sz w:val="20"/>
                <w:szCs w:val="20"/>
                <w:color w:val="auto"/>
              </w:rPr>
            </w:pPr>
            <w:r>
              <w:rPr>
                <w:rFonts w:ascii="Arial" w:cs="Arial" w:eastAsia="Arial" w:hAnsi="Arial"/>
                <w:sz w:val="15"/>
                <w:szCs w:val="15"/>
                <w:color w:val="auto"/>
              </w:rPr>
              <w:t>Discontinued operations</w:t>
            </w: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0.04</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5"/>
                <w:szCs w:val="15"/>
                <w:color w:val="auto"/>
              </w:rPr>
              <w:t>0.02</w:t>
            </w:r>
          </w:p>
        </w:tc>
        <w:tc>
          <w:tcPr>
            <w:tcW w:w="920" w:type="dxa"/>
            <w:vAlign w:val="bottom"/>
            <w:gridSpan w:val="2"/>
          </w:tcPr>
          <w:p>
            <w:pPr>
              <w:jc w:val="right"/>
              <w:ind w:right="460"/>
              <w:spacing w:after="0"/>
              <w:rPr>
                <w:sz w:val="20"/>
                <w:szCs w:val="20"/>
                <w:color w:val="auto"/>
              </w:rPr>
            </w:pPr>
            <w:r>
              <w:rPr>
                <w:rFonts w:ascii="Arial" w:cs="Arial" w:eastAsia="Arial" w:hAnsi="Arial"/>
                <w:sz w:val="15"/>
                <w:szCs w:val="15"/>
                <w:color w:val="auto"/>
              </w:rPr>
              <w:t>N/A</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9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59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Total</w:t>
            </w:r>
          </w:p>
        </w:tc>
        <w:tc>
          <w:tcPr>
            <w:tcW w:w="20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0.88</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34.1%</w:t>
            </w: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5"/>
                <w:szCs w:val="15"/>
                <w:color w:val="auto"/>
              </w:rPr>
              <w:t>Net earnings per share - diluted:</w:t>
            </w: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960" w:type="dxa"/>
            <w:vAlign w:val="bottom"/>
            <w:gridSpan w:val="2"/>
            <w:vMerge w:val="continue"/>
          </w:tcPr>
          <w:p>
            <w:pPr>
              <w:spacing w:after="0"/>
              <w:rPr>
                <w:sz w:val="15"/>
                <w:szCs w:val="15"/>
                <w:color w:val="auto"/>
              </w:rPr>
            </w:pP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Continuing operations</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1.12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0.85</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31.8%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27.1%</w:t>
            </w:r>
          </w:p>
        </w:tc>
        <w:tc>
          <w:tcPr>
            <w:tcW w:w="0" w:type="dxa"/>
            <w:vAlign w:val="bottom"/>
          </w:tcPr>
          <w:p>
            <w:pPr>
              <w:spacing w:after="0"/>
              <w:rPr>
                <w:sz w:val="1"/>
                <w:szCs w:val="1"/>
                <w:color w:val="auto"/>
              </w:rPr>
            </w:pPr>
          </w:p>
        </w:tc>
      </w:tr>
      <w:tr>
        <w:trPr>
          <w:trHeight w:val="188"/>
        </w:trPr>
        <w:tc>
          <w:tcPr>
            <w:tcW w:w="5960" w:type="dxa"/>
            <w:vAlign w:val="bottom"/>
            <w:gridSpan w:val="2"/>
          </w:tcPr>
          <w:p>
            <w:pPr>
              <w:ind w:left="180"/>
              <w:spacing w:after="0"/>
              <w:rPr>
                <w:sz w:val="20"/>
                <w:szCs w:val="20"/>
                <w:color w:val="auto"/>
              </w:rPr>
            </w:pPr>
            <w:r>
              <w:rPr>
                <w:rFonts w:ascii="Arial" w:cs="Arial" w:eastAsia="Arial" w:hAnsi="Arial"/>
                <w:sz w:val="15"/>
                <w:szCs w:val="15"/>
                <w:color w:val="auto"/>
              </w:rPr>
              <w:t>Discontinued operations</w:t>
            </w: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0.04</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5"/>
                <w:szCs w:val="15"/>
                <w:color w:val="auto"/>
              </w:rPr>
              <w:t>0.02</w:t>
            </w:r>
          </w:p>
        </w:tc>
        <w:tc>
          <w:tcPr>
            <w:tcW w:w="920" w:type="dxa"/>
            <w:vAlign w:val="bottom"/>
            <w:gridSpan w:val="2"/>
          </w:tcPr>
          <w:p>
            <w:pPr>
              <w:jc w:val="right"/>
              <w:ind w:right="460"/>
              <w:spacing w:after="0"/>
              <w:rPr>
                <w:sz w:val="20"/>
                <w:szCs w:val="20"/>
                <w:color w:val="auto"/>
              </w:rPr>
            </w:pPr>
            <w:r>
              <w:rPr>
                <w:rFonts w:ascii="Arial" w:cs="Arial" w:eastAsia="Arial" w:hAnsi="Arial"/>
                <w:sz w:val="15"/>
                <w:szCs w:val="15"/>
                <w:color w:val="auto"/>
              </w:rPr>
              <w:t>N/A</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9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59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Total</w:t>
            </w:r>
          </w:p>
        </w:tc>
        <w:tc>
          <w:tcPr>
            <w:tcW w:w="20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0.87</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33.3%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28.7%</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5"/>
                <w:szCs w:val="15"/>
                <w:color w:val="auto"/>
              </w:rPr>
              <w:t>Weighted average shares - basic</w:t>
            </w: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gridSpan w:val="2"/>
            <w:vMerge w:val="restart"/>
          </w:tcPr>
          <w:p>
            <w:pPr>
              <w:jc w:val="right"/>
              <w:ind w:right="320"/>
              <w:spacing w:after="0"/>
              <w:rPr>
                <w:sz w:val="20"/>
                <w:szCs w:val="20"/>
                <w:color w:val="auto"/>
              </w:rPr>
            </w:pPr>
            <w:r>
              <w:rPr>
                <w:rFonts w:ascii="Arial" w:cs="Arial" w:eastAsia="Arial" w:hAnsi="Arial"/>
                <w:sz w:val="15"/>
                <w:szCs w:val="15"/>
                <w:color w:val="auto"/>
              </w:rPr>
              <w:t>-2.0%</w:t>
            </w: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960" w:type="dxa"/>
            <w:vAlign w:val="bottom"/>
            <w:gridSpan w:val="2"/>
            <w:vMerge w:val="continue"/>
          </w:tcPr>
          <w:p>
            <w:pPr>
              <w:spacing w:after="0"/>
              <w:rPr>
                <w:sz w:val="15"/>
                <w:szCs w:val="15"/>
                <w:color w:val="auto"/>
              </w:rPr>
            </w:pP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5"/>
                <w:szCs w:val="15"/>
                <w:color w:val="auto"/>
              </w:rPr>
              <w:t>85.3</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5"/>
                <w:szCs w:val="15"/>
                <w:color w:val="auto"/>
              </w:rPr>
              <w:t>87.0</w:t>
            </w:r>
          </w:p>
        </w:tc>
        <w:tc>
          <w:tcPr>
            <w:tcW w:w="92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9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Weighted average shares - diluted</w:t>
            </w:r>
          </w:p>
        </w:tc>
        <w:tc>
          <w:tcPr>
            <w:tcW w:w="2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86.7</w:t>
            </w: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88.2</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-1.8%</w:t>
            </w: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6"/>
          </w:tcPr>
          <w:p>
            <w:pPr>
              <w:jc w:val="center"/>
              <w:ind w:right="220"/>
              <w:spacing w:after="0"/>
              <w:rPr>
                <w:sz w:val="20"/>
                <w:szCs w:val="20"/>
                <w:color w:val="auto"/>
              </w:rPr>
            </w:pPr>
            <w:r>
              <w:rPr>
                <w:rFonts w:ascii="Arial" w:cs="Arial" w:eastAsia="Arial" w:hAnsi="Arial"/>
                <w:sz w:val="12"/>
                <w:szCs w:val="12"/>
                <w:b w:val="1"/>
                <w:bCs w:val="1"/>
                <w:color w:val="auto"/>
                <w:w w:val="88"/>
              </w:rPr>
              <w:t>Nine Months Ended September 30</w:t>
            </w:r>
          </w:p>
        </w:tc>
        <w:tc>
          <w:tcPr>
            <w:tcW w:w="4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94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0" w:type="dxa"/>
            <w:vAlign w:val="bottom"/>
            <w:tcBorders>
              <w:bottom w:val="single" w:sz="8" w:color="auto"/>
            </w:tcBorders>
            <w:gridSpan w:val="3"/>
          </w:tcPr>
          <w:p>
            <w:pPr>
              <w:ind w:left="400"/>
              <w:spacing w:after="0" w:line="121" w:lineRule="exact"/>
              <w:rPr>
                <w:sz w:val="20"/>
                <w:szCs w:val="20"/>
                <w:color w:val="auto"/>
              </w:rPr>
            </w:pPr>
            <w:r>
              <w:rPr>
                <w:rFonts w:ascii="Arial" w:cs="Arial" w:eastAsia="Arial" w:hAnsi="Arial"/>
                <w:sz w:val="12"/>
                <w:szCs w:val="12"/>
                <w:b w:val="1"/>
                <w:bCs w:val="1"/>
                <w:color w:val="auto"/>
              </w:rPr>
              <w:t>% Variance</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940" w:type="dxa"/>
            <w:vAlign w:val="bottom"/>
          </w:tcPr>
          <w:p>
            <w:pPr>
              <w:spacing w:after="0"/>
              <w:rPr>
                <w:sz w:val="9"/>
                <w:szCs w:val="9"/>
                <w:color w:val="auto"/>
              </w:rPr>
            </w:pPr>
          </w:p>
        </w:tc>
        <w:tc>
          <w:tcPr>
            <w:tcW w:w="502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vMerge w:val="restart"/>
          </w:tcPr>
          <w:p>
            <w:pPr>
              <w:jc w:val="right"/>
              <w:ind w:right="124"/>
              <w:spacing w:after="0"/>
              <w:rPr>
                <w:sz w:val="20"/>
                <w:szCs w:val="20"/>
                <w:color w:val="auto"/>
              </w:rPr>
            </w:pPr>
            <w:r>
              <w:rPr>
                <w:rFonts w:ascii="Arial" w:cs="Arial" w:eastAsia="Arial" w:hAnsi="Arial"/>
                <w:sz w:val="12"/>
                <w:szCs w:val="12"/>
                <w:b w:val="1"/>
                <w:bCs w:val="1"/>
                <w:color w:val="auto"/>
              </w:rPr>
              <w:t>2006</w:t>
            </w: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vMerge w:val="restart"/>
          </w:tcPr>
          <w:p>
            <w:pPr>
              <w:jc w:val="right"/>
              <w:ind w:right="105"/>
              <w:spacing w:after="0"/>
              <w:rPr>
                <w:sz w:val="20"/>
                <w:szCs w:val="20"/>
                <w:color w:val="auto"/>
              </w:rPr>
            </w:pPr>
            <w:r>
              <w:rPr>
                <w:rFonts w:ascii="Arial" w:cs="Arial" w:eastAsia="Arial" w:hAnsi="Arial"/>
                <w:sz w:val="12"/>
                <w:szCs w:val="12"/>
                <w:b w:val="1"/>
                <w:bCs w:val="1"/>
                <w:color w:val="auto"/>
              </w:rPr>
              <w:t>2005</w:t>
            </w:r>
          </w:p>
        </w:tc>
        <w:tc>
          <w:tcPr>
            <w:tcW w:w="340" w:type="dxa"/>
            <w:vAlign w:val="bottom"/>
          </w:tcPr>
          <w:p>
            <w:pPr>
              <w:spacing w:after="0"/>
              <w:rPr>
                <w:sz w:val="9"/>
                <w:szCs w:val="9"/>
                <w:color w:val="auto"/>
              </w:rPr>
            </w:pPr>
          </w:p>
        </w:tc>
        <w:tc>
          <w:tcPr>
            <w:tcW w:w="920" w:type="dxa"/>
            <w:vAlign w:val="bottom"/>
            <w:gridSpan w:val="2"/>
          </w:tcPr>
          <w:p>
            <w:pPr>
              <w:jc w:val="right"/>
              <w:ind w:right="480"/>
              <w:spacing w:after="0" w:line="110" w:lineRule="exact"/>
              <w:rPr>
                <w:sz w:val="20"/>
                <w:szCs w:val="20"/>
                <w:color w:val="auto"/>
              </w:rPr>
            </w:pPr>
            <w:r>
              <w:rPr>
                <w:rFonts w:ascii="Arial" w:cs="Arial" w:eastAsia="Arial" w:hAnsi="Arial"/>
                <w:sz w:val="12"/>
                <w:szCs w:val="12"/>
                <w:b w:val="1"/>
                <w:bCs w:val="1"/>
                <w:color w:val="auto"/>
                <w:w w:val="92"/>
              </w:rPr>
              <w:t>Amount</w:t>
            </w:r>
          </w:p>
        </w:tc>
        <w:tc>
          <w:tcPr>
            <w:tcW w:w="480" w:type="dxa"/>
            <w:vAlign w:val="bottom"/>
          </w:tcPr>
          <w:p>
            <w:pPr>
              <w:ind w:left="20"/>
              <w:spacing w:after="0" w:line="110" w:lineRule="exact"/>
              <w:rPr>
                <w:sz w:val="20"/>
                <w:szCs w:val="20"/>
                <w:color w:val="auto"/>
              </w:rPr>
            </w:pPr>
            <w:r>
              <w:rPr>
                <w:rFonts w:ascii="Arial" w:cs="Arial" w:eastAsia="Arial" w:hAnsi="Arial"/>
                <w:sz w:val="12"/>
                <w:szCs w:val="12"/>
                <w:b w:val="1"/>
                <w:bCs w:val="1"/>
                <w:color w:val="auto"/>
                <w:w w:val="84"/>
              </w:rPr>
              <w:t>Constant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94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w w:val="83"/>
              </w:rPr>
              <w:t>Reported</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Currency</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94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60" w:type="dxa"/>
            <w:vAlign w:val="bottom"/>
            <w:gridSpan w:val="4"/>
          </w:tcPr>
          <w:p>
            <w:pPr>
              <w:jc w:val="center"/>
              <w:ind w:right="580"/>
              <w:spacing w:after="0" w:line="121" w:lineRule="exact"/>
              <w:rPr>
                <w:sz w:val="20"/>
                <w:szCs w:val="20"/>
                <w:color w:val="auto"/>
              </w:rPr>
            </w:pPr>
            <w:r>
              <w:rPr>
                <w:rFonts w:ascii="Arial" w:cs="Arial" w:eastAsia="Arial" w:hAnsi="Arial"/>
                <w:sz w:val="12"/>
                <w:szCs w:val="12"/>
                <w:b w:val="1"/>
                <w:bCs w:val="1"/>
                <w:color w:val="auto"/>
                <w:w w:val="92"/>
              </w:rPr>
              <w:t>(Unaudited)</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59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Revenues from services</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8"/>
              </w:rPr>
              <w:t>12,851.8</w:t>
            </w:r>
          </w:p>
        </w:tc>
        <w:tc>
          <w:tcPr>
            <w:tcW w:w="1220" w:type="dxa"/>
            <w:vAlign w:val="bottom"/>
            <w:gridSpan w:val="4"/>
            <w:shd w:val="clear" w:color="auto" w:fill="CCEEFF"/>
          </w:tcPr>
          <w:p>
            <w:pPr>
              <w:jc w:val="right"/>
              <w:ind w:right="340"/>
              <w:spacing w:after="0"/>
              <w:rPr>
                <w:sz w:val="20"/>
                <w:szCs w:val="20"/>
                <w:color w:val="auto"/>
              </w:rPr>
            </w:pPr>
            <w:r>
              <w:rPr>
                <w:rFonts w:ascii="Arial" w:cs="Arial" w:eastAsia="Arial" w:hAnsi="Arial"/>
                <w:sz w:val="15"/>
                <w:szCs w:val="15"/>
                <w:color w:val="auto"/>
              </w:rPr>
              <w:t>$ 11,777.1</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9.1%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10.3%</w:t>
            </w:r>
          </w:p>
        </w:tc>
        <w:tc>
          <w:tcPr>
            <w:tcW w:w="0" w:type="dxa"/>
            <w:vAlign w:val="bottom"/>
          </w:tcPr>
          <w:p>
            <w:pPr>
              <w:spacing w:after="0"/>
              <w:rPr>
                <w:sz w:val="1"/>
                <w:szCs w:val="1"/>
                <w:color w:val="auto"/>
              </w:rPr>
            </w:pPr>
          </w:p>
        </w:tc>
      </w:tr>
      <w:tr>
        <w:trPr>
          <w:trHeight w:val="188"/>
        </w:trPr>
        <w:tc>
          <w:tcPr>
            <w:tcW w:w="5960" w:type="dxa"/>
            <w:vAlign w:val="bottom"/>
            <w:gridSpan w:val="2"/>
          </w:tcPr>
          <w:p>
            <w:pPr>
              <w:spacing w:after="0"/>
              <w:rPr>
                <w:sz w:val="20"/>
                <w:szCs w:val="20"/>
                <w:color w:val="auto"/>
              </w:rPr>
            </w:pPr>
            <w:r>
              <w:rPr>
                <w:rFonts w:ascii="Arial" w:cs="Arial" w:eastAsia="Arial" w:hAnsi="Arial"/>
                <w:sz w:val="15"/>
                <w:szCs w:val="15"/>
                <w:color w:val="auto"/>
              </w:rPr>
              <w:t>Cost of services</w:t>
            </w: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w w:val="88"/>
              </w:rPr>
              <w:t>10,571.6</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5"/>
                <w:szCs w:val="15"/>
                <w:color w:val="auto"/>
                <w:w w:val="95"/>
              </w:rPr>
              <w:t>9,691.7</w:t>
            </w: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9.1%</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9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59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Gross profit</w:t>
            </w:r>
          </w:p>
        </w:tc>
        <w:tc>
          <w:tcPr>
            <w:tcW w:w="2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2,280.2</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w w:val="95"/>
              </w:rPr>
              <w:t>2,085.4</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9.3%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10.5%</w:t>
            </w:r>
          </w:p>
        </w:tc>
        <w:tc>
          <w:tcPr>
            <w:tcW w:w="0" w:type="dxa"/>
            <w:vAlign w:val="bottom"/>
          </w:tcPr>
          <w:p>
            <w:pPr>
              <w:spacing w:after="0"/>
              <w:rPr>
                <w:sz w:val="1"/>
                <w:szCs w:val="1"/>
                <w:color w:val="auto"/>
              </w:rPr>
            </w:pPr>
          </w:p>
        </w:tc>
      </w:tr>
      <w:tr>
        <w:trPr>
          <w:trHeight w:val="188"/>
        </w:trPr>
        <w:tc>
          <w:tcPr>
            <w:tcW w:w="5960" w:type="dxa"/>
            <w:vAlign w:val="bottom"/>
            <w:gridSpan w:val="2"/>
          </w:tcPr>
          <w:p>
            <w:pPr>
              <w:spacing w:after="0"/>
              <w:rPr>
                <w:sz w:val="20"/>
                <w:szCs w:val="20"/>
                <w:color w:val="auto"/>
              </w:rPr>
            </w:pPr>
            <w:r>
              <w:rPr>
                <w:rFonts w:ascii="Arial" w:cs="Arial" w:eastAsia="Arial" w:hAnsi="Arial"/>
                <w:sz w:val="15"/>
                <w:szCs w:val="15"/>
                <w:color w:val="auto"/>
              </w:rPr>
              <w:t>Selling and administrative expenses</w:t>
            </w: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1,917.9</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5"/>
                <w:szCs w:val="15"/>
                <w:color w:val="auto"/>
                <w:w w:val="95"/>
              </w:rPr>
              <w:t>1,787.4</w:t>
            </w: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7.3%</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8.6%</w:t>
            </w:r>
          </w:p>
        </w:tc>
        <w:tc>
          <w:tcPr>
            <w:tcW w:w="0" w:type="dxa"/>
            <w:vAlign w:val="bottom"/>
          </w:tcPr>
          <w:p>
            <w:pPr>
              <w:spacing w:after="0"/>
              <w:rPr>
                <w:sz w:val="1"/>
                <w:szCs w:val="1"/>
                <w:color w:val="auto"/>
              </w:rPr>
            </w:pPr>
          </w:p>
        </w:tc>
      </w:tr>
      <w:tr>
        <w:trPr>
          <w:trHeight w:val="24"/>
        </w:trPr>
        <w:tc>
          <w:tcPr>
            <w:tcW w:w="9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59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Operating profit</w:t>
            </w:r>
          </w:p>
        </w:tc>
        <w:tc>
          <w:tcPr>
            <w:tcW w:w="2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362.3</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298.0</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21.6%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21.8%</w:t>
            </w:r>
          </w:p>
        </w:tc>
        <w:tc>
          <w:tcPr>
            <w:tcW w:w="0" w:type="dxa"/>
            <w:vAlign w:val="bottom"/>
          </w:tcPr>
          <w:p>
            <w:pPr>
              <w:spacing w:after="0"/>
              <w:rPr>
                <w:sz w:val="1"/>
                <w:szCs w:val="1"/>
                <w:color w:val="auto"/>
              </w:rPr>
            </w:pPr>
          </w:p>
        </w:tc>
      </w:tr>
      <w:tr>
        <w:trPr>
          <w:trHeight w:val="188"/>
        </w:trPr>
        <w:tc>
          <w:tcPr>
            <w:tcW w:w="5960" w:type="dxa"/>
            <w:vAlign w:val="bottom"/>
            <w:gridSpan w:val="2"/>
          </w:tcPr>
          <w:p>
            <w:pPr>
              <w:spacing w:after="0"/>
              <w:rPr>
                <w:sz w:val="20"/>
                <w:szCs w:val="20"/>
                <w:color w:val="auto"/>
              </w:rPr>
            </w:pPr>
            <w:r>
              <w:rPr>
                <w:rFonts w:ascii="Arial" w:cs="Arial" w:eastAsia="Arial" w:hAnsi="Arial"/>
                <w:sz w:val="15"/>
                <w:szCs w:val="15"/>
                <w:color w:val="auto"/>
              </w:rPr>
              <w:t>Interest and other expenses</w:t>
            </w: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36.1</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5"/>
                <w:szCs w:val="15"/>
                <w:color w:val="auto"/>
              </w:rPr>
              <w:t>34.8</w:t>
            </w: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3.7%</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9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59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Earnings before income taxes and discontinued operations</w:t>
            </w:r>
          </w:p>
        </w:tc>
        <w:tc>
          <w:tcPr>
            <w:tcW w:w="2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326.2</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263.2</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24.0%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23.5%</w:t>
            </w:r>
          </w:p>
        </w:tc>
        <w:tc>
          <w:tcPr>
            <w:tcW w:w="0" w:type="dxa"/>
            <w:vAlign w:val="bottom"/>
          </w:tcPr>
          <w:p>
            <w:pPr>
              <w:spacing w:after="0"/>
              <w:rPr>
                <w:sz w:val="1"/>
                <w:szCs w:val="1"/>
                <w:color w:val="auto"/>
              </w:rPr>
            </w:pPr>
          </w:p>
        </w:tc>
      </w:tr>
      <w:tr>
        <w:trPr>
          <w:trHeight w:val="188"/>
        </w:trPr>
        <w:tc>
          <w:tcPr>
            <w:tcW w:w="5960" w:type="dxa"/>
            <w:vAlign w:val="bottom"/>
            <w:gridSpan w:val="2"/>
          </w:tcPr>
          <w:p>
            <w:pPr>
              <w:spacing w:after="0"/>
              <w:rPr>
                <w:sz w:val="20"/>
                <w:szCs w:val="20"/>
                <w:color w:val="auto"/>
              </w:rPr>
            </w:pPr>
            <w:r>
              <w:rPr>
                <w:rFonts w:ascii="Arial" w:cs="Arial" w:eastAsia="Arial" w:hAnsi="Arial"/>
                <w:sz w:val="15"/>
                <w:szCs w:val="15"/>
                <w:color w:val="auto"/>
              </w:rPr>
              <w:t>Provision for income taxes</w:t>
            </w: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5"/>
                <w:szCs w:val="15"/>
                <w:color w:val="auto"/>
              </w:rPr>
              <w:t>120.1</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5"/>
                <w:szCs w:val="15"/>
                <w:color w:val="auto"/>
              </w:rPr>
              <w:t>96.5</w:t>
            </w: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24.4%</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9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Net earnings from continuing operations</w:t>
            </w:r>
          </w:p>
        </w:tc>
        <w:tc>
          <w:tcPr>
            <w:tcW w:w="2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206.1</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166.7</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23.7%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23.2%</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5"/>
                <w:szCs w:val="15"/>
                <w:color w:val="auto"/>
              </w:rPr>
              <w:t>Income from discontinued operations, net of income taxes</w:t>
            </w:r>
          </w:p>
        </w:tc>
        <w:tc>
          <w:tcPr>
            <w:tcW w:w="2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gridSpan w:val="2"/>
            <w:vMerge w:val="restart"/>
          </w:tcPr>
          <w:p>
            <w:pPr>
              <w:jc w:val="right"/>
              <w:ind w:right="460"/>
              <w:spacing w:after="0"/>
              <w:rPr>
                <w:sz w:val="20"/>
                <w:szCs w:val="20"/>
                <w:color w:val="auto"/>
              </w:rPr>
            </w:pPr>
            <w:r>
              <w:rPr>
                <w:rFonts w:ascii="Arial" w:cs="Arial" w:eastAsia="Arial" w:hAnsi="Arial"/>
                <w:sz w:val="15"/>
                <w:szCs w:val="15"/>
                <w:color w:val="auto"/>
              </w:rPr>
              <w:t>N/A</w:t>
            </w: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960" w:type="dxa"/>
            <w:vAlign w:val="bottom"/>
            <w:gridSpan w:val="2"/>
            <w:vMerge w:val="continue"/>
          </w:tcPr>
          <w:p>
            <w:pPr>
              <w:spacing w:after="0"/>
              <w:rPr>
                <w:sz w:val="16"/>
                <w:szCs w:val="16"/>
                <w:color w:val="auto"/>
              </w:rPr>
            </w:pP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27.5</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5"/>
                <w:szCs w:val="15"/>
                <w:color w:val="auto"/>
              </w:rPr>
              <w:t>4.3</w:t>
            </w:r>
          </w:p>
        </w:tc>
        <w:tc>
          <w:tcPr>
            <w:tcW w:w="92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9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59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Net earnings</w:t>
            </w:r>
          </w:p>
        </w:tc>
        <w:tc>
          <w:tcPr>
            <w:tcW w:w="20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233.6</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171.0</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36.6%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37.2%</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5"/>
                <w:szCs w:val="15"/>
                <w:color w:val="auto"/>
              </w:rPr>
              <w:t>Net earnings per share - basic:</w:t>
            </w: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960" w:type="dxa"/>
            <w:vAlign w:val="bottom"/>
            <w:gridSpan w:val="2"/>
            <w:vMerge w:val="continue"/>
          </w:tcPr>
          <w:p>
            <w:pPr>
              <w:spacing w:after="0"/>
              <w:rPr>
                <w:sz w:val="15"/>
                <w:szCs w:val="15"/>
                <w:color w:val="auto"/>
              </w:rPr>
            </w:pP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Continuing operations</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2.38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1.88</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26.6%</w:t>
            </w: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960" w:type="dxa"/>
            <w:vAlign w:val="bottom"/>
            <w:gridSpan w:val="2"/>
          </w:tcPr>
          <w:p>
            <w:pPr>
              <w:ind w:left="180"/>
              <w:spacing w:after="0"/>
              <w:rPr>
                <w:sz w:val="20"/>
                <w:szCs w:val="20"/>
                <w:color w:val="auto"/>
              </w:rPr>
            </w:pPr>
            <w:r>
              <w:rPr>
                <w:rFonts w:ascii="Arial" w:cs="Arial" w:eastAsia="Arial" w:hAnsi="Arial"/>
                <w:sz w:val="15"/>
                <w:szCs w:val="15"/>
                <w:color w:val="auto"/>
              </w:rPr>
              <w:t>Discontinued operations</w:t>
            </w: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0.32</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5"/>
                <w:szCs w:val="15"/>
                <w:color w:val="auto"/>
              </w:rPr>
              <w:t>0.05</w:t>
            </w:r>
          </w:p>
        </w:tc>
        <w:tc>
          <w:tcPr>
            <w:tcW w:w="920" w:type="dxa"/>
            <w:vAlign w:val="bottom"/>
            <w:gridSpan w:val="2"/>
          </w:tcPr>
          <w:p>
            <w:pPr>
              <w:jc w:val="right"/>
              <w:ind w:right="460"/>
              <w:spacing w:after="0"/>
              <w:rPr>
                <w:sz w:val="20"/>
                <w:szCs w:val="20"/>
                <w:color w:val="auto"/>
              </w:rPr>
            </w:pPr>
            <w:r>
              <w:rPr>
                <w:rFonts w:ascii="Arial" w:cs="Arial" w:eastAsia="Arial" w:hAnsi="Arial"/>
                <w:sz w:val="15"/>
                <w:szCs w:val="15"/>
                <w:color w:val="auto"/>
              </w:rPr>
              <w:t>N/A</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9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59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Total</w:t>
            </w:r>
          </w:p>
        </w:tc>
        <w:tc>
          <w:tcPr>
            <w:tcW w:w="20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2.70</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1.93</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39.9%</w:t>
            </w: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5"/>
                <w:szCs w:val="15"/>
                <w:color w:val="auto"/>
              </w:rPr>
              <w:t>Net earnings per share - diluted:</w:t>
            </w: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960" w:type="dxa"/>
            <w:vAlign w:val="bottom"/>
            <w:gridSpan w:val="2"/>
            <w:vMerge w:val="continue"/>
          </w:tcPr>
          <w:p>
            <w:pPr>
              <w:spacing w:after="0"/>
              <w:rPr>
                <w:sz w:val="15"/>
                <w:szCs w:val="15"/>
                <w:color w:val="auto"/>
              </w:rPr>
            </w:pP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Continuing operations</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2.34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1.83</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27.9%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27.3%</w:t>
            </w:r>
          </w:p>
        </w:tc>
        <w:tc>
          <w:tcPr>
            <w:tcW w:w="0" w:type="dxa"/>
            <w:vAlign w:val="bottom"/>
          </w:tcPr>
          <w:p>
            <w:pPr>
              <w:spacing w:after="0"/>
              <w:rPr>
                <w:sz w:val="1"/>
                <w:szCs w:val="1"/>
                <w:color w:val="auto"/>
              </w:rPr>
            </w:pPr>
          </w:p>
        </w:tc>
      </w:tr>
      <w:tr>
        <w:trPr>
          <w:trHeight w:val="188"/>
        </w:trPr>
        <w:tc>
          <w:tcPr>
            <w:tcW w:w="5960" w:type="dxa"/>
            <w:vAlign w:val="bottom"/>
            <w:gridSpan w:val="2"/>
          </w:tcPr>
          <w:p>
            <w:pPr>
              <w:ind w:left="180"/>
              <w:spacing w:after="0"/>
              <w:rPr>
                <w:sz w:val="20"/>
                <w:szCs w:val="20"/>
                <w:color w:val="auto"/>
              </w:rPr>
            </w:pPr>
            <w:r>
              <w:rPr>
                <w:rFonts w:ascii="Arial" w:cs="Arial" w:eastAsia="Arial" w:hAnsi="Arial"/>
                <w:sz w:val="15"/>
                <w:szCs w:val="15"/>
                <w:color w:val="auto"/>
              </w:rPr>
              <w:t>Discontinued operations</w:t>
            </w: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0.31</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5"/>
                <w:szCs w:val="15"/>
                <w:color w:val="auto"/>
              </w:rPr>
              <w:t>0.05</w:t>
            </w:r>
          </w:p>
        </w:tc>
        <w:tc>
          <w:tcPr>
            <w:tcW w:w="920" w:type="dxa"/>
            <w:vAlign w:val="bottom"/>
            <w:gridSpan w:val="2"/>
          </w:tcPr>
          <w:p>
            <w:pPr>
              <w:jc w:val="right"/>
              <w:ind w:right="460"/>
              <w:spacing w:after="0"/>
              <w:rPr>
                <w:sz w:val="20"/>
                <w:szCs w:val="20"/>
                <w:color w:val="auto"/>
              </w:rPr>
            </w:pPr>
            <w:r>
              <w:rPr>
                <w:rFonts w:ascii="Arial" w:cs="Arial" w:eastAsia="Arial" w:hAnsi="Arial"/>
                <w:sz w:val="15"/>
                <w:szCs w:val="15"/>
                <w:color w:val="auto"/>
              </w:rPr>
              <w:t>N/A</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9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59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Total</w:t>
            </w:r>
          </w:p>
        </w:tc>
        <w:tc>
          <w:tcPr>
            <w:tcW w:w="20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2.65</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1.88</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41.0%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42.0%</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5"/>
                <w:szCs w:val="15"/>
                <w:color w:val="auto"/>
              </w:rPr>
              <w:t>Weighted average shares - basic</w:t>
            </w: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gridSpan w:val="2"/>
            <w:vMerge w:val="restart"/>
          </w:tcPr>
          <w:p>
            <w:pPr>
              <w:jc w:val="right"/>
              <w:ind w:right="320"/>
              <w:spacing w:after="0"/>
              <w:rPr>
                <w:sz w:val="20"/>
                <w:szCs w:val="20"/>
                <w:color w:val="auto"/>
              </w:rPr>
            </w:pPr>
            <w:r>
              <w:rPr>
                <w:rFonts w:ascii="Arial" w:cs="Arial" w:eastAsia="Arial" w:hAnsi="Arial"/>
                <w:sz w:val="15"/>
                <w:szCs w:val="15"/>
                <w:color w:val="auto"/>
              </w:rPr>
              <w:t>-2.2%</w:t>
            </w: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960" w:type="dxa"/>
            <w:vAlign w:val="bottom"/>
            <w:gridSpan w:val="2"/>
            <w:vMerge w:val="continue"/>
          </w:tcPr>
          <w:p>
            <w:pPr>
              <w:spacing w:after="0"/>
              <w:rPr>
                <w:sz w:val="15"/>
                <w:szCs w:val="15"/>
                <w:color w:val="auto"/>
              </w:rPr>
            </w:pP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5"/>
                <w:szCs w:val="15"/>
                <w:color w:val="auto"/>
              </w:rPr>
              <w:t>86.5</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5"/>
                <w:szCs w:val="15"/>
                <w:color w:val="auto"/>
              </w:rPr>
              <w:t>88.4</w:t>
            </w:r>
          </w:p>
        </w:tc>
        <w:tc>
          <w:tcPr>
            <w:tcW w:w="92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9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Weighted average shares - diluted</w:t>
            </w:r>
          </w:p>
        </w:tc>
        <w:tc>
          <w:tcPr>
            <w:tcW w:w="2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88.0</w:t>
            </w: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91.7</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-4.0%</w:t>
            </w: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940" w:type="dxa"/>
            <w:vAlign w:val="bottom"/>
            <w:tcBorders>
              <w:bottom w:val="single" w:sz="8" w:color="auto"/>
            </w:tcBorders>
          </w:tcPr>
          <w:p>
            <w:pPr>
              <w:spacing w:after="0"/>
              <w:rPr>
                <w:sz w:val="7"/>
                <w:szCs w:val="7"/>
                <w:color w:val="auto"/>
              </w:rPr>
            </w:pPr>
          </w:p>
        </w:tc>
        <w:tc>
          <w:tcPr>
            <w:tcW w:w="502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51" w:lineRule="exact"/>
        <w:rPr>
          <w:sz w:val="20"/>
          <w:szCs w:val="20"/>
          <w:color w:val="auto"/>
        </w:rPr>
      </w:pPr>
    </w:p>
    <w:p>
      <w:pPr>
        <w:ind w:left="446" w:hanging="446"/>
        <w:spacing w:after="0"/>
        <w:tabs>
          <w:tab w:leader="none" w:pos="446" w:val="left"/>
        </w:tabs>
        <w:numPr>
          <w:ilvl w:val="0"/>
          <w:numId w:val="10"/>
        </w:numPr>
        <w:rPr>
          <w:rFonts w:ascii="Arial" w:cs="Arial" w:eastAsia="Arial" w:hAnsi="Arial"/>
          <w:sz w:val="20"/>
          <w:szCs w:val="20"/>
          <w:color w:val="auto"/>
          <w:vertAlign w:val="superscript"/>
        </w:rPr>
      </w:pPr>
      <w:r>
        <w:rPr>
          <w:rFonts w:ascii="Arial" w:cs="Arial" w:eastAsia="Arial" w:hAnsi="Arial"/>
          <w:sz w:val="15"/>
          <w:szCs w:val="15"/>
          <w:color w:val="auto"/>
        </w:rPr>
        <w:t>Restatement for discontinued operations and reclassifications of business tax and profit sharing expenses.</w:t>
      </w:r>
    </w:p>
    <w:p>
      <w:pPr>
        <w:sectPr>
          <w:pgSz w:w="11900" w:h="16838" w:orient="portrait"/>
          <w:cols w:equalWidth="0" w:num="1">
            <w:col w:w="11446"/>
          </w:cols>
          <w:pgMar w:left="234" w:top="262" w:right="219" w:bottom="1440" w:gutter="0" w:footer="0" w:header="0"/>
        </w:sectPr>
      </w:pPr>
    </w:p>
    <w:bookmarkStart w:id="32" w:name="page33"/>
    <w:bookmarkEnd w:id="32"/>
    <w:tbl>
      <w:tblPr>
        <w:tblLayout w:type="fixed"/>
        <w:tblInd w:w="6" w:type="dxa"/>
        <w:tblCellMar>
          <w:top w:w="0" w:type="dxa"/>
          <w:left w:w="0" w:type="dxa"/>
          <w:bottom w:w="0" w:type="dxa"/>
          <w:right w:w="0" w:type="dxa"/>
        </w:tblCellMar>
      </w:tblPr>
      <w:tr>
        <w:trPr>
          <w:trHeight w:val="194"/>
        </w:trPr>
        <w:tc>
          <w:tcPr>
            <w:tcW w:w="94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3"/>
          </w:tcPr>
          <w:p>
            <w:pPr>
              <w:jc w:val="right"/>
              <w:spacing w:after="0"/>
              <w:rPr>
                <w:sz w:val="20"/>
                <w:szCs w:val="20"/>
                <w:color w:val="auto"/>
              </w:rPr>
            </w:pPr>
            <w:r>
              <w:rPr>
                <w:rFonts w:ascii="Arial" w:cs="Arial" w:eastAsia="Arial" w:hAnsi="Arial"/>
                <w:sz w:val="15"/>
                <w:szCs w:val="15"/>
                <w:color w:val="auto"/>
                <w:w w:val="89"/>
              </w:rPr>
              <w:t>(Page 3 of 9)</w:t>
            </w:r>
          </w:p>
        </w:tc>
        <w:tc>
          <w:tcPr>
            <w:tcW w:w="0" w:type="dxa"/>
            <w:vAlign w:val="bottom"/>
          </w:tcPr>
          <w:p>
            <w:pPr>
              <w:spacing w:after="0"/>
              <w:rPr>
                <w:sz w:val="1"/>
                <w:szCs w:val="1"/>
                <w:color w:val="auto"/>
              </w:rPr>
            </w:pPr>
          </w:p>
        </w:tc>
      </w:tr>
      <w:tr>
        <w:trPr>
          <w:trHeight w:val="323"/>
        </w:trPr>
        <w:tc>
          <w:tcPr>
            <w:tcW w:w="9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360" w:type="dxa"/>
            <w:vAlign w:val="bottom"/>
            <w:gridSpan w:val="7"/>
          </w:tcPr>
          <w:p>
            <w:pPr>
              <w:ind w:left="780"/>
              <w:spacing w:after="0"/>
              <w:rPr>
                <w:sz w:val="20"/>
                <w:szCs w:val="20"/>
                <w:color w:val="auto"/>
              </w:rPr>
            </w:pPr>
            <w:r>
              <w:rPr>
                <w:rFonts w:ascii="Arial" w:cs="Arial" w:eastAsia="Arial" w:hAnsi="Arial"/>
                <w:sz w:val="15"/>
                <w:szCs w:val="15"/>
                <w:color w:val="auto"/>
              </w:rPr>
              <w:t>Manpower Inc.</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94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360" w:type="dxa"/>
            <w:vAlign w:val="bottom"/>
            <w:gridSpan w:val="7"/>
          </w:tcPr>
          <w:p>
            <w:pPr>
              <w:jc w:val="right"/>
              <w:ind w:right="360"/>
              <w:spacing w:after="0" w:line="188" w:lineRule="exact"/>
              <w:rPr>
                <w:sz w:val="20"/>
                <w:szCs w:val="20"/>
                <w:color w:val="auto"/>
              </w:rPr>
            </w:pPr>
            <w:r>
              <w:rPr>
                <w:rFonts w:ascii="Arial" w:cs="Arial" w:eastAsia="Arial" w:hAnsi="Arial"/>
                <w:sz w:val="15"/>
                <w:szCs w:val="15"/>
                <w:color w:val="auto"/>
              </w:rPr>
              <w:t xml:space="preserve">Results of Operations </w:t>
            </w:r>
            <w:r>
              <w:rPr>
                <w:rFonts w:ascii="Arial" w:cs="Arial" w:eastAsia="Arial" w:hAnsi="Arial"/>
                <w:sz w:val="19"/>
                <w:szCs w:val="19"/>
                <w:color w:val="auto"/>
                <w:vertAlign w:val="superscript"/>
              </w:rPr>
              <w:t>(1)</w:t>
            </w: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4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gridSpan w:val="5"/>
          </w:tcPr>
          <w:p>
            <w:pPr>
              <w:jc w:val="right"/>
              <w:ind w:right="720"/>
              <w:spacing w:after="0"/>
              <w:rPr>
                <w:sz w:val="20"/>
                <w:szCs w:val="20"/>
                <w:color w:val="auto"/>
              </w:rPr>
            </w:pPr>
            <w:r>
              <w:rPr>
                <w:rFonts w:ascii="Arial" w:cs="Arial" w:eastAsia="Arial" w:hAnsi="Arial"/>
                <w:sz w:val="15"/>
                <w:szCs w:val="15"/>
                <w:color w:val="auto"/>
                <w:w w:val="99"/>
              </w:rPr>
              <w:t>(In millions)</w:t>
            </w: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7"/>
        </w:trPr>
        <w:tc>
          <w:tcPr>
            <w:tcW w:w="9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2"/>
                <w:szCs w:val="12"/>
                <w:b w:val="1"/>
                <w:bCs w:val="1"/>
                <w:color w:val="auto"/>
                <w:w w:val="94"/>
              </w:rPr>
              <w:t>Three Months Ended March 31</w:t>
            </w:r>
          </w:p>
        </w:tc>
        <w:tc>
          <w:tcPr>
            <w:tcW w:w="48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2"/>
                <w:szCs w:val="12"/>
                <w:b w:val="1"/>
                <w:bCs w:val="1"/>
                <w:color w:val="auto"/>
                <w:w w:val="97"/>
              </w:rPr>
              <w:t>Three Months Ended June 30</w:t>
            </w: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9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80" w:type="dxa"/>
            <w:vAlign w:val="bottom"/>
            <w:tcBorders>
              <w:bottom w:val="single" w:sz="8" w:color="auto"/>
            </w:tcBorders>
            <w:gridSpan w:val="3"/>
          </w:tcPr>
          <w:p>
            <w:pPr>
              <w:ind w:left="340"/>
              <w:spacing w:after="0" w:line="121" w:lineRule="exact"/>
              <w:rPr>
                <w:sz w:val="20"/>
                <w:szCs w:val="20"/>
                <w:color w:val="auto"/>
              </w:rPr>
            </w:pPr>
            <w:r>
              <w:rPr>
                <w:rFonts w:ascii="Arial" w:cs="Arial" w:eastAsia="Arial" w:hAnsi="Arial"/>
                <w:sz w:val="12"/>
                <w:szCs w:val="12"/>
                <w:b w:val="1"/>
                <w:bCs w:val="1"/>
                <w:color w:val="auto"/>
              </w:rPr>
              <w:t>% Variance</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80" w:type="dxa"/>
            <w:vAlign w:val="bottom"/>
            <w:tcBorders>
              <w:bottom w:val="single" w:sz="8" w:color="auto"/>
            </w:tcBorders>
            <w:gridSpan w:val="4"/>
          </w:tcPr>
          <w:p>
            <w:pPr>
              <w:ind w:left="340"/>
              <w:spacing w:after="0" w:line="121" w:lineRule="exact"/>
              <w:rPr>
                <w:sz w:val="20"/>
                <w:szCs w:val="20"/>
                <w:color w:val="auto"/>
              </w:rPr>
            </w:pPr>
            <w:r>
              <w:rPr>
                <w:rFonts w:ascii="Arial" w:cs="Arial" w:eastAsia="Arial" w:hAnsi="Arial"/>
                <w:sz w:val="12"/>
                <w:szCs w:val="12"/>
                <w:b w:val="1"/>
                <w:bCs w:val="1"/>
                <w:color w:val="auto"/>
              </w:rPr>
              <w:t>% Variance</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940" w:type="dxa"/>
            <w:vAlign w:val="bottom"/>
          </w:tcPr>
          <w:p>
            <w:pPr>
              <w:spacing w:after="0"/>
              <w:rPr>
                <w:sz w:val="9"/>
                <w:szCs w:val="9"/>
                <w:color w:val="auto"/>
              </w:rPr>
            </w:pPr>
          </w:p>
        </w:tc>
        <w:tc>
          <w:tcPr>
            <w:tcW w:w="35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vMerge w:val="restart"/>
          </w:tcPr>
          <w:p>
            <w:pPr>
              <w:jc w:val="right"/>
              <w:ind w:right="84"/>
              <w:spacing w:after="0"/>
              <w:rPr>
                <w:sz w:val="20"/>
                <w:szCs w:val="20"/>
                <w:color w:val="auto"/>
              </w:rPr>
            </w:pPr>
            <w:r>
              <w:rPr>
                <w:rFonts w:ascii="Arial" w:cs="Arial" w:eastAsia="Arial" w:hAnsi="Arial"/>
                <w:sz w:val="12"/>
                <w:szCs w:val="12"/>
                <w:b w:val="1"/>
                <w:bCs w:val="1"/>
                <w:color w:val="auto"/>
              </w:rPr>
              <w:t>2005</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vMerge w:val="restart"/>
          </w:tcPr>
          <w:p>
            <w:pPr>
              <w:jc w:val="right"/>
              <w:ind w:right="65"/>
              <w:spacing w:after="0"/>
              <w:rPr>
                <w:sz w:val="20"/>
                <w:szCs w:val="20"/>
                <w:color w:val="auto"/>
              </w:rPr>
            </w:pPr>
            <w:r>
              <w:rPr>
                <w:rFonts w:ascii="Arial" w:cs="Arial" w:eastAsia="Arial" w:hAnsi="Arial"/>
                <w:sz w:val="12"/>
                <w:szCs w:val="12"/>
                <w:b w:val="1"/>
                <w:bCs w:val="1"/>
                <w:color w:val="auto"/>
              </w:rPr>
              <w:t>2004</w:t>
            </w:r>
          </w:p>
        </w:tc>
        <w:tc>
          <w:tcPr>
            <w:tcW w:w="280" w:type="dxa"/>
            <w:vAlign w:val="bottom"/>
          </w:tcPr>
          <w:p>
            <w:pPr>
              <w:spacing w:after="0"/>
              <w:rPr>
                <w:sz w:val="9"/>
                <w:szCs w:val="9"/>
                <w:color w:val="auto"/>
              </w:rPr>
            </w:pPr>
          </w:p>
        </w:tc>
        <w:tc>
          <w:tcPr>
            <w:tcW w:w="800" w:type="dxa"/>
            <w:vAlign w:val="bottom"/>
            <w:gridSpan w:val="2"/>
          </w:tcPr>
          <w:p>
            <w:pPr>
              <w:jc w:val="right"/>
              <w:ind w:right="360"/>
              <w:spacing w:after="0" w:line="110" w:lineRule="exact"/>
              <w:rPr>
                <w:sz w:val="20"/>
                <w:szCs w:val="20"/>
                <w:color w:val="auto"/>
              </w:rPr>
            </w:pPr>
            <w:r>
              <w:rPr>
                <w:rFonts w:ascii="Arial" w:cs="Arial" w:eastAsia="Arial" w:hAnsi="Arial"/>
                <w:sz w:val="12"/>
                <w:szCs w:val="12"/>
                <w:b w:val="1"/>
                <w:bCs w:val="1"/>
                <w:color w:val="auto"/>
                <w:w w:val="92"/>
              </w:rPr>
              <w:t>Amount</w:t>
            </w:r>
          </w:p>
        </w:tc>
        <w:tc>
          <w:tcPr>
            <w:tcW w:w="480" w:type="dxa"/>
            <w:vAlign w:val="bottom"/>
          </w:tcPr>
          <w:p>
            <w:pPr>
              <w:ind w:left="20"/>
              <w:spacing w:after="0" w:line="110" w:lineRule="exact"/>
              <w:rPr>
                <w:sz w:val="20"/>
                <w:szCs w:val="20"/>
                <w:color w:val="auto"/>
              </w:rPr>
            </w:pPr>
            <w:r>
              <w:rPr>
                <w:rFonts w:ascii="Arial" w:cs="Arial" w:eastAsia="Arial" w:hAnsi="Arial"/>
                <w:sz w:val="12"/>
                <w:szCs w:val="12"/>
                <w:b w:val="1"/>
                <w:bCs w:val="1"/>
                <w:color w:val="auto"/>
                <w:w w:val="84"/>
              </w:rPr>
              <w:t>Constant</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vMerge w:val="restart"/>
          </w:tcPr>
          <w:p>
            <w:pPr>
              <w:jc w:val="right"/>
              <w:ind w:right="64"/>
              <w:spacing w:after="0"/>
              <w:rPr>
                <w:sz w:val="20"/>
                <w:szCs w:val="20"/>
                <w:color w:val="auto"/>
              </w:rPr>
            </w:pPr>
            <w:r>
              <w:rPr>
                <w:rFonts w:ascii="Arial" w:cs="Arial" w:eastAsia="Arial" w:hAnsi="Arial"/>
                <w:sz w:val="12"/>
                <w:szCs w:val="12"/>
                <w:b w:val="1"/>
                <w:bCs w:val="1"/>
                <w:color w:val="auto"/>
              </w:rPr>
              <w:t>2005</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vMerge w:val="restart"/>
          </w:tcPr>
          <w:p>
            <w:pPr>
              <w:jc w:val="right"/>
              <w:ind w:right="85"/>
              <w:spacing w:after="0"/>
              <w:rPr>
                <w:sz w:val="20"/>
                <w:szCs w:val="20"/>
                <w:color w:val="auto"/>
              </w:rPr>
            </w:pPr>
            <w:r>
              <w:rPr>
                <w:rFonts w:ascii="Arial" w:cs="Arial" w:eastAsia="Arial" w:hAnsi="Arial"/>
                <w:sz w:val="12"/>
                <w:szCs w:val="12"/>
                <w:b w:val="1"/>
                <w:bCs w:val="1"/>
                <w:color w:val="auto"/>
              </w:rPr>
              <w:t>2004</w:t>
            </w:r>
          </w:p>
        </w:tc>
        <w:tc>
          <w:tcPr>
            <w:tcW w:w="280" w:type="dxa"/>
            <w:vAlign w:val="bottom"/>
          </w:tcPr>
          <w:p>
            <w:pPr>
              <w:spacing w:after="0"/>
              <w:rPr>
                <w:sz w:val="9"/>
                <w:szCs w:val="9"/>
                <w:color w:val="auto"/>
              </w:rPr>
            </w:pPr>
          </w:p>
        </w:tc>
        <w:tc>
          <w:tcPr>
            <w:tcW w:w="620" w:type="dxa"/>
            <w:vAlign w:val="bottom"/>
            <w:gridSpan w:val="2"/>
          </w:tcPr>
          <w:p>
            <w:pPr>
              <w:jc w:val="right"/>
              <w:ind w:right="180"/>
              <w:spacing w:after="0" w:line="110" w:lineRule="exact"/>
              <w:rPr>
                <w:sz w:val="20"/>
                <w:szCs w:val="20"/>
                <w:color w:val="auto"/>
              </w:rPr>
            </w:pPr>
            <w:r>
              <w:rPr>
                <w:rFonts w:ascii="Arial" w:cs="Arial" w:eastAsia="Arial" w:hAnsi="Arial"/>
                <w:sz w:val="12"/>
                <w:szCs w:val="12"/>
                <w:b w:val="1"/>
                <w:bCs w:val="1"/>
                <w:color w:val="auto"/>
                <w:w w:val="92"/>
              </w:rPr>
              <w:t>Amount</w:t>
            </w:r>
          </w:p>
        </w:tc>
        <w:tc>
          <w:tcPr>
            <w:tcW w:w="180" w:type="dxa"/>
            <w:vAlign w:val="bottom"/>
          </w:tcPr>
          <w:p>
            <w:pPr>
              <w:spacing w:after="0"/>
              <w:rPr>
                <w:sz w:val="9"/>
                <w:szCs w:val="9"/>
                <w:color w:val="auto"/>
              </w:rPr>
            </w:pPr>
          </w:p>
        </w:tc>
        <w:tc>
          <w:tcPr>
            <w:tcW w:w="480" w:type="dxa"/>
            <w:vAlign w:val="bottom"/>
          </w:tcPr>
          <w:p>
            <w:pPr>
              <w:ind w:left="20"/>
              <w:spacing w:after="0" w:line="110" w:lineRule="exact"/>
              <w:rPr>
                <w:sz w:val="20"/>
                <w:szCs w:val="20"/>
                <w:color w:val="auto"/>
              </w:rPr>
            </w:pPr>
            <w:r>
              <w:rPr>
                <w:rFonts w:ascii="Arial" w:cs="Arial" w:eastAsia="Arial" w:hAnsi="Arial"/>
                <w:sz w:val="12"/>
                <w:szCs w:val="12"/>
                <w:b w:val="1"/>
                <w:bCs w:val="1"/>
                <w:color w:val="auto"/>
                <w:w w:val="84"/>
              </w:rPr>
              <w:t>Constant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9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w w:val="83"/>
              </w:rPr>
              <w:t>Reported</w:t>
            </w:r>
          </w:p>
        </w:tc>
        <w:tc>
          <w:tcPr>
            <w:tcW w:w="82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w w:val="87"/>
              </w:rPr>
              <w:t>Currency</w:t>
            </w:r>
          </w:p>
        </w:tc>
        <w:tc>
          <w:tcPr>
            <w:tcW w:w="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w w:val="83"/>
              </w:rPr>
              <w:t>Reported</w:t>
            </w:r>
          </w:p>
        </w:tc>
        <w:tc>
          <w:tcPr>
            <w:tcW w:w="180" w:type="dxa"/>
            <w:vAlign w:val="bottom"/>
          </w:tcPr>
          <w:p>
            <w:pPr>
              <w:spacing w:after="0"/>
              <w:rPr>
                <w:sz w:val="12"/>
                <w:szCs w:val="12"/>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Currency</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9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gridSpan w:val="4"/>
          </w:tcPr>
          <w:p>
            <w:pPr>
              <w:jc w:val="right"/>
              <w:ind w:right="640"/>
              <w:spacing w:after="0" w:line="121" w:lineRule="exact"/>
              <w:rPr>
                <w:sz w:val="20"/>
                <w:szCs w:val="20"/>
                <w:color w:val="auto"/>
              </w:rPr>
            </w:pPr>
            <w:r>
              <w:rPr>
                <w:rFonts w:ascii="Arial" w:cs="Arial" w:eastAsia="Arial" w:hAnsi="Arial"/>
                <w:sz w:val="12"/>
                <w:szCs w:val="12"/>
                <w:b w:val="1"/>
                <w:bCs w:val="1"/>
                <w:color w:val="auto"/>
              </w:rPr>
              <w:t>(Unaudited)</w:t>
            </w: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gridSpan w:val="4"/>
          </w:tcPr>
          <w:p>
            <w:pPr>
              <w:jc w:val="right"/>
              <w:ind w:right="460"/>
              <w:spacing w:after="0" w:line="121" w:lineRule="exact"/>
              <w:rPr>
                <w:sz w:val="20"/>
                <w:szCs w:val="20"/>
                <w:color w:val="auto"/>
              </w:rPr>
            </w:pPr>
            <w:r>
              <w:rPr>
                <w:rFonts w:ascii="Arial" w:cs="Arial" w:eastAsia="Arial" w:hAnsi="Arial"/>
                <w:sz w:val="12"/>
                <w:szCs w:val="12"/>
                <w:b w:val="1"/>
                <w:bCs w:val="1"/>
                <w:color w:val="auto"/>
              </w:rPr>
              <w:t>(Unaudited)</w:t>
            </w: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44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Revenues from services</w:t>
            </w:r>
          </w:p>
        </w:tc>
        <w:tc>
          <w:tcPr>
            <w:tcW w:w="860" w:type="dxa"/>
            <w:vAlign w:val="bottom"/>
            <w:gridSpan w:val="2"/>
            <w:shd w:val="clear" w:color="auto" w:fill="CCEEFF"/>
          </w:tcPr>
          <w:p>
            <w:pPr>
              <w:ind w:left="780"/>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1"/>
              </w:rPr>
              <w:t>3,696.1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3,270.8</w:t>
            </w:r>
          </w:p>
        </w:tc>
        <w:tc>
          <w:tcPr>
            <w:tcW w:w="2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13.0%</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9.1%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3,993.4</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$3,560.5</w:t>
            </w:r>
          </w:p>
        </w:tc>
        <w:tc>
          <w:tcPr>
            <w:tcW w:w="2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12.2%</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8.4%</w:t>
            </w:r>
          </w:p>
        </w:tc>
        <w:tc>
          <w:tcPr>
            <w:tcW w:w="0" w:type="dxa"/>
            <w:vAlign w:val="bottom"/>
          </w:tcPr>
          <w:p>
            <w:pPr>
              <w:spacing w:after="0"/>
              <w:rPr>
                <w:sz w:val="1"/>
                <w:szCs w:val="1"/>
                <w:color w:val="auto"/>
              </w:rPr>
            </w:pPr>
          </w:p>
        </w:tc>
      </w:tr>
      <w:tr>
        <w:trPr>
          <w:trHeight w:val="192"/>
        </w:trPr>
        <w:tc>
          <w:tcPr>
            <w:tcW w:w="4460" w:type="dxa"/>
            <w:vAlign w:val="bottom"/>
            <w:gridSpan w:val="2"/>
          </w:tcPr>
          <w:p>
            <w:pPr>
              <w:spacing w:after="0"/>
              <w:rPr>
                <w:sz w:val="20"/>
                <w:szCs w:val="20"/>
                <w:color w:val="auto"/>
              </w:rPr>
            </w:pPr>
            <w:r>
              <w:rPr>
                <w:rFonts w:ascii="Arial" w:cs="Arial" w:eastAsia="Arial" w:hAnsi="Arial"/>
                <w:sz w:val="15"/>
                <w:szCs w:val="15"/>
                <w:color w:val="auto"/>
              </w:rPr>
              <w:t>Cost of services</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w w:val="91"/>
              </w:rPr>
              <w:t>3,040.7</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87"/>
              </w:rPr>
              <w:t>2,679.8</w:t>
            </w:r>
          </w:p>
        </w:tc>
        <w:tc>
          <w:tcPr>
            <w:tcW w:w="28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13.5%</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87"/>
              </w:rPr>
              <w:t>3,285.4</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5"/>
                <w:szCs w:val="15"/>
                <w:color w:val="auto"/>
                <w:w w:val="87"/>
              </w:rPr>
              <w:t>2,911.1</w:t>
            </w:r>
          </w:p>
        </w:tc>
        <w:tc>
          <w:tcPr>
            <w:tcW w:w="620" w:type="dxa"/>
            <w:vAlign w:val="bottom"/>
            <w:gridSpan w:val="2"/>
          </w:tcPr>
          <w:p>
            <w:pPr>
              <w:jc w:val="right"/>
              <w:ind w:right="40"/>
              <w:spacing w:after="0"/>
              <w:rPr>
                <w:sz w:val="20"/>
                <w:szCs w:val="20"/>
                <w:color w:val="auto"/>
              </w:rPr>
            </w:pPr>
            <w:r>
              <w:rPr>
                <w:rFonts w:ascii="Arial" w:cs="Arial" w:eastAsia="Arial" w:hAnsi="Arial"/>
                <w:sz w:val="15"/>
                <w:szCs w:val="15"/>
                <w:color w:val="auto"/>
              </w:rPr>
              <w:t>12.9%</w:t>
            </w: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Gross profit</w:t>
            </w:r>
          </w:p>
        </w:tc>
        <w:tc>
          <w:tcPr>
            <w:tcW w:w="7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655.4</w:t>
            </w:r>
          </w:p>
        </w:tc>
        <w:tc>
          <w:tcPr>
            <w:tcW w:w="20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591.0</w:t>
            </w:r>
          </w:p>
        </w:tc>
        <w:tc>
          <w:tcPr>
            <w:tcW w:w="2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10.9%</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7.3%</w:t>
            </w:r>
          </w:p>
        </w:tc>
        <w:tc>
          <w:tcPr>
            <w:tcW w:w="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708.0</w:t>
            </w:r>
          </w:p>
        </w:tc>
        <w:tc>
          <w:tcPr>
            <w:tcW w:w="2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649.4</w:t>
            </w:r>
          </w:p>
        </w:tc>
        <w:tc>
          <w:tcPr>
            <w:tcW w:w="2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9.0%</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5.6%</w:t>
            </w:r>
          </w:p>
        </w:tc>
        <w:tc>
          <w:tcPr>
            <w:tcW w:w="0" w:type="dxa"/>
            <w:vAlign w:val="bottom"/>
          </w:tcPr>
          <w:p>
            <w:pPr>
              <w:spacing w:after="0"/>
              <w:rPr>
                <w:sz w:val="1"/>
                <w:szCs w:val="1"/>
                <w:color w:val="auto"/>
              </w:rPr>
            </w:pPr>
          </w:p>
        </w:tc>
      </w:tr>
      <w:tr>
        <w:trPr>
          <w:trHeight w:val="192"/>
        </w:trPr>
        <w:tc>
          <w:tcPr>
            <w:tcW w:w="4460" w:type="dxa"/>
            <w:vAlign w:val="bottom"/>
            <w:gridSpan w:val="2"/>
          </w:tcPr>
          <w:p>
            <w:pPr>
              <w:spacing w:after="0"/>
              <w:rPr>
                <w:sz w:val="20"/>
                <w:szCs w:val="20"/>
                <w:color w:val="auto"/>
              </w:rPr>
            </w:pPr>
            <w:r>
              <w:rPr>
                <w:rFonts w:ascii="Arial" w:cs="Arial" w:eastAsia="Arial" w:hAnsi="Arial"/>
                <w:sz w:val="15"/>
                <w:szCs w:val="15"/>
                <w:color w:val="auto"/>
              </w:rPr>
              <w:t>Selling and administrative expenses</w:t>
            </w:r>
          </w:p>
        </w:tc>
        <w:tc>
          <w:tcPr>
            <w:tcW w:w="7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594.8</w:t>
            </w:r>
          </w:p>
        </w:tc>
        <w:tc>
          <w:tcPr>
            <w:tcW w:w="2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534.0</w:t>
            </w:r>
          </w:p>
        </w:tc>
        <w:tc>
          <w:tcPr>
            <w:tcW w:w="28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11.4%</w:t>
            </w: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7.9%</w:t>
            </w: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600.5</w:t>
            </w: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553.8</w:t>
            </w:r>
          </w:p>
        </w:tc>
        <w:tc>
          <w:tcPr>
            <w:tcW w:w="280" w:type="dxa"/>
            <w:vAlign w:val="bottom"/>
          </w:tcPr>
          <w:p>
            <w:pPr>
              <w:spacing w:after="0"/>
              <w:rPr>
                <w:sz w:val="16"/>
                <w:szCs w:val="16"/>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5"/>
                <w:szCs w:val="15"/>
                <w:color w:val="auto"/>
              </w:rPr>
              <w:t>8.4%</w:t>
            </w:r>
          </w:p>
        </w:tc>
        <w:tc>
          <w:tcPr>
            <w:tcW w:w="800" w:type="dxa"/>
            <w:vAlign w:val="bottom"/>
            <w:gridSpan w:val="3"/>
          </w:tcPr>
          <w:p>
            <w:pPr>
              <w:jc w:val="right"/>
              <w:spacing w:after="0"/>
              <w:rPr>
                <w:sz w:val="20"/>
                <w:szCs w:val="20"/>
                <w:color w:val="auto"/>
              </w:rPr>
            </w:pPr>
            <w:r>
              <w:rPr>
                <w:rFonts w:ascii="Arial" w:cs="Arial" w:eastAsia="Arial" w:hAnsi="Arial"/>
                <w:sz w:val="15"/>
                <w:szCs w:val="15"/>
                <w:color w:val="auto"/>
              </w:rPr>
              <w:t>5.1%</w:t>
            </w:r>
          </w:p>
        </w:tc>
        <w:tc>
          <w:tcPr>
            <w:tcW w:w="0" w:type="dxa"/>
            <w:vAlign w:val="bottom"/>
          </w:tcPr>
          <w:p>
            <w:pPr>
              <w:spacing w:after="0"/>
              <w:rPr>
                <w:sz w:val="1"/>
                <w:szCs w:val="1"/>
                <w:color w:val="auto"/>
              </w:rPr>
            </w:pPr>
          </w:p>
        </w:tc>
      </w:tr>
      <w:tr>
        <w:trPr>
          <w:trHeight w:val="188"/>
        </w:trPr>
        <w:tc>
          <w:tcPr>
            <w:tcW w:w="4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Operating profit</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60.6</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57.0</w:t>
            </w:r>
          </w:p>
        </w:tc>
        <w:tc>
          <w:tcPr>
            <w:tcW w:w="2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6.4%</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1.9%</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107.5</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95.6</w:t>
            </w:r>
          </w:p>
        </w:tc>
        <w:tc>
          <w:tcPr>
            <w:tcW w:w="2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12.4%</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8.6%</w:t>
            </w:r>
          </w:p>
        </w:tc>
        <w:tc>
          <w:tcPr>
            <w:tcW w:w="0" w:type="dxa"/>
            <w:vAlign w:val="bottom"/>
          </w:tcPr>
          <w:p>
            <w:pPr>
              <w:spacing w:after="0"/>
              <w:rPr>
                <w:sz w:val="1"/>
                <w:szCs w:val="1"/>
                <w:color w:val="auto"/>
              </w:rPr>
            </w:pPr>
          </w:p>
        </w:tc>
      </w:tr>
      <w:tr>
        <w:trPr>
          <w:trHeight w:val="192"/>
        </w:trPr>
        <w:tc>
          <w:tcPr>
            <w:tcW w:w="4460" w:type="dxa"/>
            <w:vAlign w:val="bottom"/>
            <w:gridSpan w:val="2"/>
          </w:tcPr>
          <w:p>
            <w:pPr>
              <w:spacing w:after="0"/>
              <w:rPr>
                <w:sz w:val="20"/>
                <w:szCs w:val="20"/>
                <w:color w:val="auto"/>
              </w:rPr>
            </w:pPr>
            <w:r>
              <w:rPr>
                <w:rFonts w:ascii="Arial" w:cs="Arial" w:eastAsia="Arial" w:hAnsi="Arial"/>
                <w:sz w:val="15"/>
                <w:szCs w:val="15"/>
                <w:color w:val="auto"/>
              </w:rPr>
              <w:t>Interest and other expenses</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11.8</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(3.9)</w:t>
            </w:r>
          </w:p>
        </w:tc>
        <w:tc>
          <w:tcPr>
            <w:tcW w:w="800" w:type="dxa"/>
            <w:vAlign w:val="bottom"/>
            <w:gridSpan w:val="2"/>
          </w:tcPr>
          <w:p>
            <w:pPr>
              <w:jc w:val="right"/>
              <w:ind w:right="340"/>
              <w:spacing w:after="0"/>
              <w:rPr>
                <w:sz w:val="20"/>
                <w:szCs w:val="20"/>
                <w:color w:val="auto"/>
              </w:rPr>
            </w:pPr>
            <w:r>
              <w:rPr>
                <w:rFonts w:ascii="Arial" w:cs="Arial" w:eastAsia="Arial" w:hAnsi="Arial"/>
                <w:sz w:val="15"/>
                <w:szCs w:val="15"/>
                <w:color w:val="auto"/>
              </w:rPr>
              <w:t>N/A</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11.2</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12.2</w:t>
            </w:r>
          </w:p>
        </w:tc>
        <w:tc>
          <w:tcPr>
            <w:tcW w:w="280" w:type="dxa"/>
            <w:vAlign w:val="bottom"/>
          </w:tcPr>
          <w:p>
            <w:pPr>
              <w:spacing w:after="0"/>
              <w:rPr>
                <w:sz w:val="16"/>
                <w:szCs w:val="16"/>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5"/>
                <w:szCs w:val="15"/>
                <w:color w:val="auto"/>
              </w:rPr>
              <w:t>-8.1%</w:t>
            </w: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Earnings before income taxes and discontinued operations</w:t>
            </w:r>
          </w:p>
        </w:tc>
        <w:tc>
          <w:tcPr>
            <w:tcW w:w="7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48.8</w:t>
            </w:r>
          </w:p>
        </w:tc>
        <w:tc>
          <w:tcPr>
            <w:tcW w:w="20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60.9</w:t>
            </w:r>
          </w:p>
        </w:tc>
        <w:tc>
          <w:tcPr>
            <w:tcW w:w="2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-19.9%</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-22.9%</w:t>
            </w:r>
          </w:p>
        </w:tc>
        <w:tc>
          <w:tcPr>
            <w:tcW w:w="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96.3</w:t>
            </w:r>
          </w:p>
        </w:tc>
        <w:tc>
          <w:tcPr>
            <w:tcW w:w="2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83.4</w:t>
            </w:r>
          </w:p>
        </w:tc>
        <w:tc>
          <w:tcPr>
            <w:tcW w:w="2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15.5%</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11.9%</w:t>
            </w:r>
          </w:p>
        </w:tc>
        <w:tc>
          <w:tcPr>
            <w:tcW w:w="0" w:type="dxa"/>
            <w:vAlign w:val="bottom"/>
          </w:tcPr>
          <w:p>
            <w:pPr>
              <w:spacing w:after="0"/>
              <w:rPr>
                <w:sz w:val="1"/>
                <w:szCs w:val="1"/>
                <w:color w:val="auto"/>
              </w:rPr>
            </w:pPr>
          </w:p>
        </w:tc>
      </w:tr>
      <w:tr>
        <w:trPr>
          <w:trHeight w:val="188"/>
        </w:trPr>
        <w:tc>
          <w:tcPr>
            <w:tcW w:w="4460" w:type="dxa"/>
            <w:vAlign w:val="bottom"/>
            <w:gridSpan w:val="2"/>
          </w:tcPr>
          <w:p>
            <w:pPr>
              <w:spacing w:after="0"/>
              <w:rPr>
                <w:sz w:val="20"/>
                <w:szCs w:val="20"/>
                <w:color w:val="auto"/>
              </w:rPr>
            </w:pPr>
            <w:r>
              <w:rPr>
                <w:rFonts w:ascii="Arial" w:cs="Arial" w:eastAsia="Arial" w:hAnsi="Arial"/>
                <w:sz w:val="15"/>
                <w:szCs w:val="15"/>
                <w:color w:val="auto"/>
              </w:rPr>
              <w:t>Provision for income taxes</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17.8</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20.6</w:t>
            </w:r>
          </w:p>
        </w:tc>
        <w:tc>
          <w:tcPr>
            <w:tcW w:w="28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-13.6%</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35.5</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30.0</w:t>
            </w:r>
          </w:p>
        </w:tc>
        <w:tc>
          <w:tcPr>
            <w:tcW w:w="280" w:type="dxa"/>
            <w:vAlign w:val="bottom"/>
          </w:tcPr>
          <w:p>
            <w:pPr>
              <w:spacing w:after="0"/>
              <w:rPr>
                <w:sz w:val="16"/>
                <w:szCs w:val="16"/>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5"/>
                <w:szCs w:val="15"/>
                <w:color w:val="auto"/>
              </w:rPr>
              <w:t>18.4%</w:t>
            </w: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Net earnings from continuing operations</w:t>
            </w:r>
          </w:p>
        </w:tc>
        <w:tc>
          <w:tcPr>
            <w:tcW w:w="7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31.0</w:t>
            </w:r>
          </w:p>
        </w:tc>
        <w:tc>
          <w:tcPr>
            <w:tcW w:w="2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40.3</w:t>
            </w:r>
          </w:p>
        </w:tc>
        <w:tc>
          <w:tcPr>
            <w:tcW w:w="2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-23.1%</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-26.0%</w:t>
            </w:r>
          </w:p>
        </w:tc>
        <w:tc>
          <w:tcPr>
            <w:tcW w:w="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60.8</w:t>
            </w:r>
          </w:p>
        </w:tc>
        <w:tc>
          <w:tcPr>
            <w:tcW w:w="2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53.4</w:t>
            </w:r>
          </w:p>
        </w:tc>
        <w:tc>
          <w:tcPr>
            <w:tcW w:w="2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13.8%</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10.3%</w:t>
            </w:r>
          </w:p>
        </w:tc>
        <w:tc>
          <w:tcPr>
            <w:tcW w:w="0" w:type="dxa"/>
            <w:vAlign w:val="bottom"/>
          </w:tcPr>
          <w:p>
            <w:pPr>
              <w:spacing w:after="0"/>
              <w:rPr>
                <w:sz w:val="1"/>
                <w:szCs w:val="1"/>
                <w:color w:val="auto"/>
              </w:rPr>
            </w:pPr>
          </w:p>
        </w:tc>
      </w:tr>
      <w:tr>
        <w:trPr>
          <w:trHeight w:val="195"/>
        </w:trPr>
        <w:tc>
          <w:tcPr>
            <w:tcW w:w="4460" w:type="dxa"/>
            <w:vAlign w:val="bottom"/>
            <w:gridSpan w:val="2"/>
          </w:tcPr>
          <w:p>
            <w:pPr>
              <w:spacing w:after="0"/>
              <w:rPr>
                <w:sz w:val="20"/>
                <w:szCs w:val="20"/>
                <w:color w:val="auto"/>
              </w:rPr>
            </w:pPr>
            <w:r>
              <w:rPr>
                <w:rFonts w:ascii="Arial" w:cs="Arial" w:eastAsia="Arial" w:hAnsi="Arial"/>
                <w:sz w:val="15"/>
                <w:szCs w:val="15"/>
                <w:color w:val="auto"/>
              </w:rPr>
              <w:t>Income from discontinued operations, net of income taxes</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1.2</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(0.7)</w:t>
            </w:r>
          </w:p>
        </w:tc>
        <w:tc>
          <w:tcPr>
            <w:tcW w:w="800" w:type="dxa"/>
            <w:vAlign w:val="bottom"/>
            <w:gridSpan w:val="2"/>
          </w:tcPr>
          <w:p>
            <w:pPr>
              <w:jc w:val="right"/>
              <w:ind w:right="340"/>
              <w:spacing w:after="0"/>
              <w:rPr>
                <w:sz w:val="20"/>
                <w:szCs w:val="20"/>
                <w:color w:val="auto"/>
              </w:rPr>
            </w:pPr>
            <w:r>
              <w:rPr>
                <w:rFonts w:ascii="Arial" w:cs="Arial" w:eastAsia="Arial" w:hAnsi="Arial"/>
                <w:sz w:val="15"/>
                <w:szCs w:val="15"/>
                <w:color w:val="auto"/>
              </w:rPr>
              <w:t>N/A</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1.7</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(0.3)</w:t>
            </w:r>
          </w:p>
        </w:tc>
        <w:tc>
          <w:tcPr>
            <w:tcW w:w="620" w:type="dxa"/>
            <w:vAlign w:val="bottom"/>
            <w:gridSpan w:val="2"/>
          </w:tcPr>
          <w:p>
            <w:pPr>
              <w:jc w:val="right"/>
              <w:ind w:right="160"/>
              <w:spacing w:after="0"/>
              <w:rPr>
                <w:sz w:val="20"/>
                <w:szCs w:val="20"/>
                <w:color w:val="auto"/>
              </w:rPr>
            </w:pPr>
            <w:r>
              <w:rPr>
                <w:rFonts w:ascii="Arial" w:cs="Arial" w:eastAsia="Arial" w:hAnsi="Arial"/>
                <w:sz w:val="15"/>
                <w:szCs w:val="15"/>
                <w:color w:val="auto"/>
              </w:rPr>
              <w:t>N/A</w:t>
            </w: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Net earnings</w:t>
            </w:r>
          </w:p>
        </w:tc>
        <w:tc>
          <w:tcPr>
            <w:tcW w:w="780" w:type="dxa"/>
            <w:vAlign w:val="bottom"/>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32.2</w:t>
            </w:r>
          </w:p>
        </w:tc>
        <w:tc>
          <w:tcPr>
            <w:tcW w:w="200" w:type="dxa"/>
            <w:vAlign w:val="bottom"/>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39.6</w:t>
            </w:r>
          </w:p>
        </w:tc>
        <w:tc>
          <w:tcPr>
            <w:tcW w:w="2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-18.6%</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-21.7%</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62.5</w:t>
            </w:r>
          </w:p>
        </w:tc>
        <w:tc>
          <w:tcPr>
            <w:tcW w:w="220" w:type="dxa"/>
            <w:vAlign w:val="bottom"/>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53.1</w:t>
            </w:r>
          </w:p>
        </w:tc>
        <w:tc>
          <w:tcPr>
            <w:tcW w:w="2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17.7%</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14.2%</w:t>
            </w: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Arial" w:cs="Arial" w:eastAsia="Arial" w:hAnsi="Arial"/>
                <w:sz w:val="15"/>
                <w:szCs w:val="15"/>
                <w:color w:val="auto"/>
              </w:rPr>
              <w:t>Net earnings per share - basic:</w:t>
            </w:r>
          </w:p>
        </w:tc>
        <w:tc>
          <w:tcPr>
            <w:tcW w:w="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46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Continuing operations</w:t>
            </w:r>
          </w:p>
        </w:tc>
        <w:tc>
          <w:tcPr>
            <w:tcW w:w="860" w:type="dxa"/>
            <w:vAlign w:val="bottom"/>
            <w:gridSpan w:val="2"/>
            <w:shd w:val="clear" w:color="auto" w:fill="CCEEFF"/>
          </w:tcPr>
          <w:p>
            <w:pPr>
              <w:ind w:left="780"/>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0.47</w:t>
            </w:r>
          </w:p>
        </w:tc>
        <w:tc>
          <w:tcPr>
            <w:tcW w:w="2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-27.7%</w:t>
            </w: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0.69</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0.60</w:t>
            </w:r>
          </w:p>
        </w:tc>
        <w:tc>
          <w:tcPr>
            <w:tcW w:w="2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15.0%</w:t>
            </w: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460" w:type="dxa"/>
            <w:vAlign w:val="bottom"/>
            <w:gridSpan w:val="2"/>
          </w:tcPr>
          <w:p>
            <w:pPr>
              <w:ind w:left="180"/>
              <w:spacing w:after="0"/>
              <w:rPr>
                <w:sz w:val="20"/>
                <w:szCs w:val="20"/>
                <w:color w:val="auto"/>
              </w:rPr>
            </w:pPr>
            <w:r>
              <w:rPr>
                <w:rFonts w:ascii="Arial" w:cs="Arial" w:eastAsia="Arial" w:hAnsi="Arial"/>
                <w:sz w:val="15"/>
                <w:szCs w:val="15"/>
                <w:color w:val="auto"/>
              </w:rPr>
              <w:t>Discontinued operations</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0.02</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(0.01)</w:t>
            </w:r>
          </w:p>
        </w:tc>
        <w:tc>
          <w:tcPr>
            <w:tcW w:w="800" w:type="dxa"/>
            <w:vAlign w:val="bottom"/>
            <w:gridSpan w:val="2"/>
          </w:tcPr>
          <w:p>
            <w:pPr>
              <w:jc w:val="right"/>
              <w:ind w:right="340"/>
              <w:spacing w:after="0"/>
              <w:rPr>
                <w:sz w:val="20"/>
                <w:szCs w:val="20"/>
                <w:color w:val="auto"/>
              </w:rPr>
            </w:pPr>
            <w:r>
              <w:rPr>
                <w:rFonts w:ascii="Arial" w:cs="Arial" w:eastAsia="Arial" w:hAnsi="Arial"/>
                <w:sz w:val="15"/>
                <w:szCs w:val="15"/>
                <w:color w:val="auto"/>
              </w:rPr>
              <w:t>N/A</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0.02</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(0.01)</w:t>
            </w:r>
          </w:p>
        </w:tc>
        <w:tc>
          <w:tcPr>
            <w:tcW w:w="620" w:type="dxa"/>
            <w:vAlign w:val="bottom"/>
            <w:gridSpan w:val="2"/>
          </w:tcPr>
          <w:p>
            <w:pPr>
              <w:jc w:val="right"/>
              <w:ind w:right="160"/>
              <w:spacing w:after="0"/>
              <w:rPr>
                <w:sz w:val="20"/>
                <w:szCs w:val="20"/>
                <w:color w:val="auto"/>
              </w:rPr>
            </w:pPr>
            <w:r>
              <w:rPr>
                <w:rFonts w:ascii="Arial" w:cs="Arial" w:eastAsia="Arial" w:hAnsi="Arial"/>
                <w:sz w:val="15"/>
                <w:szCs w:val="15"/>
                <w:color w:val="auto"/>
              </w:rPr>
              <w:t>N/A</w:t>
            </w: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Total</w:t>
            </w:r>
          </w:p>
        </w:tc>
        <w:tc>
          <w:tcPr>
            <w:tcW w:w="780" w:type="dxa"/>
            <w:vAlign w:val="bottom"/>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0.36</w:t>
            </w:r>
          </w:p>
        </w:tc>
        <w:tc>
          <w:tcPr>
            <w:tcW w:w="200" w:type="dxa"/>
            <w:vAlign w:val="bottom"/>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0.46</w:t>
            </w:r>
          </w:p>
        </w:tc>
        <w:tc>
          <w:tcPr>
            <w:tcW w:w="2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-21.7%</w:t>
            </w: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0.71</w:t>
            </w:r>
          </w:p>
        </w:tc>
        <w:tc>
          <w:tcPr>
            <w:tcW w:w="220" w:type="dxa"/>
            <w:vAlign w:val="bottom"/>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0.59</w:t>
            </w:r>
          </w:p>
        </w:tc>
        <w:tc>
          <w:tcPr>
            <w:tcW w:w="2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20.3%</w:t>
            </w: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Arial" w:cs="Arial" w:eastAsia="Arial" w:hAnsi="Arial"/>
                <w:sz w:val="15"/>
                <w:szCs w:val="15"/>
                <w:color w:val="auto"/>
              </w:rPr>
              <w:t>Net earnings per share - diluted:</w:t>
            </w:r>
          </w:p>
        </w:tc>
        <w:tc>
          <w:tcPr>
            <w:tcW w:w="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46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Continuing operations</w:t>
            </w:r>
          </w:p>
        </w:tc>
        <w:tc>
          <w:tcPr>
            <w:tcW w:w="860" w:type="dxa"/>
            <w:vAlign w:val="bottom"/>
            <w:gridSpan w:val="2"/>
            <w:shd w:val="clear" w:color="auto" w:fill="CCEEFF"/>
          </w:tcPr>
          <w:p>
            <w:pPr>
              <w:ind w:left="780"/>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0.44</w:t>
            </w:r>
          </w:p>
        </w:tc>
        <w:tc>
          <w:tcPr>
            <w:tcW w:w="2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-25.0%</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-25.6%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0.68</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0.56</w:t>
            </w:r>
          </w:p>
        </w:tc>
        <w:tc>
          <w:tcPr>
            <w:tcW w:w="2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21.4%</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17.9%</w:t>
            </w:r>
          </w:p>
        </w:tc>
        <w:tc>
          <w:tcPr>
            <w:tcW w:w="0" w:type="dxa"/>
            <w:vAlign w:val="bottom"/>
          </w:tcPr>
          <w:p>
            <w:pPr>
              <w:spacing w:after="0"/>
              <w:rPr>
                <w:sz w:val="1"/>
                <w:szCs w:val="1"/>
                <w:color w:val="auto"/>
              </w:rPr>
            </w:pPr>
          </w:p>
        </w:tc>
      </w:tr>
      <w:tr>
        <w:trPr>
          <w:trHeight w:val="192"/>
        </w:trPr>
        <w:tc>
          <w:tcPr>
            <w:tcW w:w="4460" w:type="dxa"/>
            <w:vAlign w:val="bottom"/>
            <w:gridSpan w:val="2"/>
          </w:tcPr>
          <w:p>
            <w:pPr>
              <w:ind w:left="180"/>
              <w:spacing w:after="0"/>
              <w:rPr>
                <w:sz w:val="20"/>
                <w:szCs w:val="20"/>
                <w:color w:val="auto"/>
              </w:rPr>
            </w:pPr>
            <w:r>
              <w:rPr>
                <w:rFonts w:ascii="Arial" w:cs="Arial" w:eastAsia="Arial" w:hAnsi="Arial"/>
                <w:sz w:val="15"/>
                <w:szCs w:val="15"/>
                <w:color w:val="auto"/>
              </w:rPr>
              <w:t>Discontinued operations</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0.02</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(0.01)</w:t>
            </w:r>
          </w:p>
        </w:tc>
        <w:tc>
          <w:tcPr>
            <w:tcW w:w="800" w:type="dxa"/>
            <w:vAlign w:val="bottom"/>
            <w:gridSpan w:val="2"/>
          </w:tcPr>
          <w:p>
            <w:pPr>
              <w:jc w:val="right"/>
              <w:ind w:right="340"/>
              <w:spacing w:after="0"/>
              <w:rPr>
                <w:sz w:val="20"/>
                <w:szCs w:val="20"/>
                <w:color w:val="auto"/>
              </w:rPr>
            </w:pPr>
            <w:r>
              <w:rPr>
                <w:rFonts w:ascii="Arial" w:cs="Arial" w:eastAsia="Arial" w:hAnsi="Arial"/>
                <w:sz w:val="15"/>
                <w:szCs w:val="15"/>
                <w:color w:val="auto"/>
              </w:rPr>
              <w:t>N/A</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0.02</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5"/>
                <w:szCs w:val="15"/>
                <w:color w:val="auto"/>
              </w:rPr>
              <w:t>N/A</w:t>
            </w: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Total</w:t>
            </w:r>
          </w:p>
        </w:tc>
        <w:tc>
          <w:tcPr>
            <w:tcW w:w="780" w:type="dxa"/>
            <w:vAlign w:val="bottom"/>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0.35</w:t>
            </w:r>
          </w:p>
        </w:tc>
        <w:tc>
          <w:tcPr>
            <w:tcW w:w="200" w:type="dxa"/>
            <w:vAlign w:val="bottom"/>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0.43</w:t>
            </w:r>
          </w:p>
        </w:tc>
        <w:tc>
          <w:tcPr>
            <w:tcW w:w="2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-18.6%</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-21.6%</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0.70</w:t>
            </w:r>
          </w:p>
        </w:tc>
        <w:tc>
          <w:tcPr>
            <w:tcW w:w="220" w:type="dxa"/>
            <w:vAlign w:val="bottom"/>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0.56</w:t>
            </w:r>
          </w:p>
        </w:tc>
        <w:tc>
          <w:tcPr>
            <w:tcW w:w="2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25.0%</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21.4%</w:t>
            </w: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Arial" w:cs="Arial" w:eastAsia="Arial" w:hAnsi="Arial"/>
                <w:sz w:val="15"/>
                <w:szCs w:val="15"/>
                <w:color w:val="auto"/>
              </w:rPr>
              <w:t>Weighted average shares - basic</w:t>
            </w:r>
          </w:p>
        </w:tc>
        <w:tc>
          <w:tcPr>
            <w:tcW w:w="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4.6%</w:t>
            </w: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-1.2%</w:t>
            </w: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46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89.8</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85.9</w:t>
            </w:r>
          </w:p>
        </w:tc>
        <w:tc>
          <w:tcPr>
            <w:tcW w:w="2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88.6</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89.6</w:t>
            </w:r>
          </w:p>
        </w:tc>
        <w:tc>
          <w:tcPr>
            <w:tcW w:w="28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4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Weighted average shares - diluted</w:t>
            </w:r>
          </w:p>
        </w:tc>
        <w:tc>
          <w:tcPr>
            <w:tcW w:w="7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96.9</w:t>
            </w:r>
          </w:p>
        </w:tc>
        <w:tc>
          <w:tcPr>
            <w:tcW w:w="2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93.9</w:t>
            </w:r>
          </w:p>
        </w:tc>
        <w:tc>
          <w:tcPr>
            <w:tcW w:w="2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3.2%</w:t>
            </w:r>
          </w:p>
        </w:tc>
        <w:tc>
          <w:tcPr>
            <w:tcW w:w="4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89.5</w:t>
            </w:r>
          </w:p>
        </w:tc>
        <w:tc>
          <w:tcPr>
            <w:tcW w:w="2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97.4</w:t>
            </w:r>
          </w:p>
        </w:tc>
        <w:tc>
          <w:tcPr>
            <w:tcW w:w="2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-8.1%</w:t>
            </w: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5"/>
          </w:tcPr>
          <w:p>
            <w:pPr>
              <w:spacing w:after="0"/>
              <w:rPr>
                <w:sz w:val="20"/>
                <w:szCs w:val="20"/>
                <w:color w:val="auto"/>
              </w:rPr>
            </w:pPr>
            <w:r>
              <w:rPr>
                <w:rFonts w:ascii="Arial" w:cs="Arial" w:eastAsia="Arial" w:hAnsi="Arial"/>
                <w:sz w:val="12"/>
                <w:szCs w:val="12"/>
                <w:b w:val="1"/>
                <w:bCs w:val="1"/>
                <w:color w:val="auto"/>
                <w:w w:val="93"/>
              </w:rPr>
              <w:t>Six Months Ended June 30</w:t>
            </w: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9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80" w:type="dxa"/>
            <w:vAlign w:val="bottom"/>
            <w:tcBorders>
              <w:bottom w:val="single" w:sz="8" w:color="auto"/>
            </w:tcBorders>
            <w:gridSpan w:val="4"/>
          </w:tcPr>
          <w:p>
            <w:pPr>
              <w:ind w:left="340"/>
              <w:spacing w:after="0" w:line="121" w:lineRule="exact"/>
              <w:rPr>
                <w:sz w:val="20"/>
                <w:szCs w:val="20"/>
                <w:color w:val="auto"/>
              </w:rPr>
            </w:pPr>
            <w:r>
              <w:rPr>
                <w:rFonts w:ascii="Arial" w:cs="Arial" w:eastAsia="Arial" w:hAnsi="Arial"/>
                <w:sz w:val="12"/>
                <w:szCs w:val="12"/>
                <w:b w:val="1"/>
                <w:bCs w:val="1"/>
                <w:color w:val="auto"/>
              </w:rPr>
              <w:t>% Variance</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940" w:type="dxa"/>
            <w:vAlign w:val="bottom"/>
          </w:tcPr>
          <w:p>
            <w:pPr>
              <w:spacing w:after="0"/>
              <w:rPr>
                <w:sz w:val="9"/>
                <w:szCs w:val="9"/>
                <w:color w:val="auto"/>
              </w:rPr>
            </w:pPr>
          </w:p>
        </w:tc>
        <w:tc>
          <w:tcPr>
            <w:tcW w:w="35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vMerge w:val="restart"/>
          </w:tcPr>
          <w:p>
            <w:pPr>
              <w:jc w:val="right"/>
              <w:ind w:right="64"/>
              <w:spacing w:after="0"/>
              <w:rPr>
                <w:sz w:val="20"/>
                <w:szCs w:val="20"/>
                <w:color w:val="auto"/>
              </w:rPr>
            </w:pPr>
            <w:r>
              <w:rPr>
                <w:rFonts w:ascii="Arial" w:cs="Arial" w:eastAsia="Arial" w:hAnsi="Arial"/>
                <w:sz w:val="12"/>
                <w:szCs w:val="12"/>
                <w:b w:val="1"/>
                <w:bCs w:val="1"/>
                <w:color w:val="auto"/>
              </w:rPr>
              <w:t>2005</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vMerge w:val="restart"/>
          </w:tcPr>
          <w:p>
            <w:pPr>
              <w:jc w:val="right"/>
              <w:ind w:right="85"/>
              <w:spacing w:after="0"/>
              <w:rPr>
                <w:sz w:val="20"/>
                <w:szCs w:val="20"/>
                <w:color w:val="auto"/>
              </w:rPr>
            </w:pPr>
            <w:r>
              <w:rPr>
                <w:rFonts w:ascii="Arial" w:cs="Arial" w:eastAsia="Arial" w:hAnsi="Arial"/>
                <w:sz w:val="12"/>
                <w:szCs w:val="12"/>
                <w:b w:val="1"/>
                <w:bCs w:val="1"/>
                <w:color w:val="auto"/>
              </w:rPr>
              <w:t>2004</w:t>
            </w:r>
          </w:p>
        </w:tc>
        <w:tc>
          <w:tcPr>
            <w:tcW w:w="280" w:type="dxa"/>
            <w:vAlign w:val="bottom"/>
          </w:tcPr>
          <w:p>
            <w:pPr>
              <w:spacing w:after="0"/>
              <w:rPr>
                <w:sz w:val="9"/>
                <w:szCs w:val="9"/>
                <w:color w:val="auto"/>
              </w:rPr>
            </w:pPr>
          </w:p>
        </w:tc>
        <w:tc>
          <w:tcPr>
            <w:tcW w:w="620" w:type="dxa"/>
            <w:vAlign w:val="bottom"/>
            <w:gridSpan w:val="2"/>
          </w:tcPr>
          <w:p>
            <w:pPr>
              <w:jc w:val="right"/>
              <w:ind w:right="180"/>
              <w:spacing w:after="0" w:line="110" w:lineRule="exact"/>
              <w:rPr>
                <w:sz w:val="20"/>
                <w:szCs w:val="20"/>
                <w:color w:val="auto"/>
              </w:rPr>
            </w:pPr>
            <w:r>
              <w:rPr>
                <w:rFonts w:ascii="Arial" w:cs="Arial" w:eastAsia="Arial" w:hAnsi="Arial"/>
                <w:sz w:val="12"/>
                <w:szCs w:val="12"/>
                <w:b w:val="1"/>
                <w:bCs w:val="1"/>
                <w:color w:val="auto"/>
                <w:w w:val="92"/>
              </w:rPr>
              <w:t>Amount</w:t>
            </w:r>
          </w:p>
        </w:tc>
        <w:tc>
          <w:tcPr>
            <w:tcW w:w="180" w:type="dxa"/>
            <w:vAlign w:val="bottom"/>
          </w:tcPr>
          <w:p>
            <w:pPr>
              <w:spacing w:after="0"/>
              <w:rPr>
                <w:sz w:val="9"/>
                <w:szCs w:val="9"/>
                <w:color w:val="auto"/>
              </w:rPr>
            </w:pPr>
          </w:p>
        </w:tc>
        <w:tc>
          <w:tcPr>
            <w:tcW w:w="480" w:type="dxa"/>
            <w:vAlign w:val="bottom"/>
          </w:tcPr>
          <w:p>
            <w:pPr>
              <w:ind w:left="20"/>
              <w:spacing w:after="0" w:line="110" w:lineRule="exact"/>
              <w:rPr>
                <w:sz w:val="20"/>
                <w:szCs w:val="20"/>
                <w:color w:val="auto"/>
              </w:rPr>
            </w:pPr>
            <w:r>
              <w:rPr>
                <w:rFonts w:ascii="Arial" w:cs="Arial" w:eastAsia="Arial" w:hAnsi="Arial"/>
                <w:sz w:val="12"/>
                <w:szCs w:val="12"/>
                <w:b w:val="1"/>
                <w:bCs w:val="1"/>
                <w:color w:val="auto"/>
                <w:w w:val="84"/>
              </w:rPr>
              <w:t>Constant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9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w w:val="83"/>
              </w:rPr>
              <w:t>Reported</w:t>
            </w:r>
          </w:p>
        </w:tc>
        <w:tc>
          <w:tcPr>
            <w:tcW w:w="180" w:type="dxa"/>
            <w:vAlign w:val="bottom"/>
          </w:tcPr>
          <w:p>
            <w:pPr>
              <w:spacing w:after="0"/>
              <w:rPr>
                <w:sz w:val="12"/>
                <w:szCs w:val="12"/>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Currency</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9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gridSpan w:val="4"/>
          </w:tcPr>
          <w:p>
            <w:pPr>
              <w:jc w:val="right"/>
              <w:ind w:right="460"/>
              <w:spacing w:after="0" w:line="121" w:lineRule="exact"/>
              <w:rPr>
                <w:sz w:val="20"/>
                <w:szCs w:val="20"/>
                <w:color w:val="auto"/>
              </w:rPr>
            </w:pPr>
            <w:r>
              <w:rPr>
                <w:rFonts w:ascii="Arial" w:cs="Arial" w:eastAsia="Arial" w:hAnsi="Arial"/>
                <w:sz w:val="12"/>
                <w:szCs w:val="12"/>
                <w:b w:val="1"/>
                <w:bCs w:val="1"/>
                <w:color w:val="auto"/>
              </w:rPr>
              <w:t>(Unaudited)</w:t>
            </w: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44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Revenues from services</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7,689.5</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$6,831.3</w:t>
            </w:r>
          </w:p>
        </w:tc>
        <w:tc>
          <w:tcPr>
            <w:tcW w:w="2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12.6%</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8.8%</w:t>
            </w:r>
          </w:p>
        </w:tc>
        <w:tc>
          <w:tcPr>
            <w:tcW w:w="0" w:type="dxa"/>
            <w:vAlign w:val="bottom"/>
          </w:tcPr>
          <w:p>
            <w:pPr>
              <w:spacing w:after="0"/>
              <w:rPr>
                <w:sz w:val="1"/>
                <w:szCs w:val="1"/>
                <w:color w:val="auto"/>
              </w:rPr>
            </w:pPr>
          </w:p>
        </w:tc>
      </w:tr>
      <w:tr>
        <w:trPr>
          <w:trHeight w:val="192"/>
        </w:trPr>
        <w:tc>
          <w:tcPr>
            <w:tcW w:w="4460" w:type="dxa"/>
            <w:vAlign w:val="bottom"/>
            <w:gridSpan w:val="2"/>
          </w:tcPr>
          <w:p>
            <w:pPr>
              <w:spacing w:after="0"/>
              <w:rPr>
                <w:sz w:val="20"/>
                <w:szCs w:val="20"/>
                <w:color w:val="auto"/>
              </w:rPr>
            </w:pPr>
            <w:r>
              <w:rPr>
                <w:rFonts w:ascii="Arial" w:cs="Arial" w:eastAsia="Arial" w:hAnsi="Arial"/>
                <w:sz w:val="15"/>
                <w:szCs w:val="15"/>
                <w:color w:val="auto"/>
              </w:rPr>
              <w:t>Cost of services</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7"/>
              </w:rPr>
              <w:t>6,326.1</w:t>
            </w: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7"/>
              </w:rPr>
              <w:t>5,590.9</w:t>
            </w:r>
          </w:p>
        </w:tc>
        <w:tc>
          <w:tcPr>
            <w:tcW w:w="280" w:type="dxa"/>
            <w:vAlign w:val="bottom"/>
          </w:tcPr>
          <w:p>
            <w:pPr>
              <w:spacing w:after="0"/>
              <w:rPr>
                <w:sz w:val="16"/>
                <w:szCs w:val="16"/>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5"/>
                <w:szCs w:val="15"/>
                <w:color w:val="auto"/>
              </w:rPr>
              <w:t>13.1%</w:t>
            </w: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Gross profit</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1,363.4</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1,240.4</w:t>
            </w:r>
          </w:p>
        </w:tc>
        <w:tc>
          <w:tcPr>
            <w:tcW w:w="2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9.9%</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6.4%</w:t>
            </w:r>
          </w:p>
        </w:tc>
        <w:tc>
          <w:tcPr>
            <w:tcW w:w="0" w:type="dxa"/>
            <w:vAlign w:val="bottom"/>
          </w:tcPr>
          <w:p>
            <w:pPr>
              <w:spacing w:after="0"/>
              <w:rPr>
                <w:sz w:val="1"/>
                <w:szCs w:val="1"/>
                <w:color w:val="auto"/>
              </w:rPr>
            </w:pPr>
          </w:p>
        </w:tc>
      </w:tr>
      <w:tr>
        <w:trPr>
          <w:trHeight w:val="192"/>
        </w:trPr>
        <w:tc>
          <w:tcPr>
            <w:tcW w:w="4460" w:type="dxa"/>
            <w:vAlign w:val="bottom"/>
            <w:gridSpan w:val="2"/>
          </w:tcPr>
          <w:p>
            <w:pPr>
              <w:spacing w:after="0"/>
              <w:rPr>
                <w:sz w:val="20"/>
                <w:szCs w:val="20"/>
                <w:color w:val="auto"/>
              </w:rPr>
            </w:pPr>
            <w:r>
              <w:rPr>
                <w:rFonts w:ascii="Arial" w:cs="Arial" w:eastAsia="Arial" w:hAnsi="Arial"/>
                <w:sz w:val="15"/>
                <w:szCs w:val="15"/>
                <w:color w:val="auto"/>
              </w:rPr>
              <w:t>Selling and administrative expenses</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7"/>
              </w:rPr>
              <w:t>1,195.3</w:t>
            </w: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7"/>
              </w:rPr>
              <w:t>1,087.8</w:t>
            </w:r>
          </w:p>
        </w:tc>
        <w:tc>
          <w:tcPr>
            <w:tcW w:w="280" w:type="dxa"/>
            <w:vAlign w:val="bottom"/>
          </w:tcPr>
          <w:p>
            <w:pPr>
              <w:spacing w:after="0"/>
              <w:rPr>
                <w:sz w:val="16"/>
                <w:szCs w:val="16"/>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5"/>
                <w:szCs w:val="15"/>
                <w:color w:val="auto"/>
              </w:rPr>
              <w:t>9.9%</w:t>
            </w:r>
          </w:p>
        </w:tc>
        <w:tc>
          <w:tcPr>
            <w:tcW w:w="800" w:type="dxa"/>
            <w:vAlign w:val="bottom"/>
            <w:gridSpan w:val="3"/>
          </w:tcPr>
          <w:p>
            <w:pPr>
              <w:jc w:val="right"/>
              <w:spacing w:after="0"/>
              <w:rPr>
                <w:sz w:val="20"/>
                <w:szCs w:val="20"/>
                <w:color w:val="auto"/>
              </w:rPr>
            </w:pPr>
            <w:r>
              <w:rPr>
                <w:rFonts w:ascii="Arial" w:cs="Arial" w:eastAsia="Arial" w:hAnsi="Arial"/>
                <w:sz w:val="15"/>
                <w:szCs w:val="15"/>
                <w:color w:val="auto"/>
              </w:rPr>
              <w:t>6.5%</w:t>
            </w:r>
          </w:p>
        </w:tc>
        <w:tc>
          <w:tcPr>
            <w:tcW w:w="0" w:type="dxa"/>
            <w:vAlign w:val="bottom"/>
          </w:tcPr>
          <w:p>
            <w:pPr>
              <w:spacing w:after="0"/>
              <w:rPr>
                <w:sz w:val="1"/>
                <w:szCs w:val="1"/>
                <w:color w:val="auto"/>
              </w:rPr>
            </w:pPr>
          </w:p>
        </w:tc>
      </w:tr>
      <w:tr>
        <w:trPr>
          <w:trHeight w:val="188"/>
        </w:trPr>
        <w:tc>
          <w:tcPr>
            <w:tcW w:w="4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Operating profit</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168.1</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152.6</w:t>
            </w:r>
          </w:p>
        </w:tc>
        <w:tc>
          <w:tcPr>
            <w:tcW w:w="2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10.2%</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6.1%</w:t>
            </w:r>
          </w:p>
        </w:tc>
        <w:tc>
          <w:tcPr>
            <w:tcW w:w="0" w:type="dxa"/>
            <w:vAlign w:val="bottom"/>
          </w:tcPr>
          <w:p>
            <w:pPr>
              <w:spacing w:after="0"/>
              <w:rPr>
                <w:sz w:val="1"/>
                <w:szCs w:val="1"/>
                <w:color w:val="auto"/>
              </w:rPr>
            </w:pPr>
          </w:p>
        </w:tc>
      </w:tr>
      <w:tr>
        <w:trPr>
          <w:trHeight w:val="192"/>
        </w:trPr>
        <w:tc>
          <w:tcPr>
            <w:tcW w:w="4460" w:type="dxa"/>
            <w:vAlign w:val="bottom"/>
            <w:gridSpan w:val="2"/>
          </w:tcPr>
          <w:p>
            <w:pPr>
              <w:spacing w:after="0"/>
              <w:rPr>
                <w:sz w:val="20"/>
                <w:szCs w:val="20"/>
                <w:color w:val="auto"/>
              </w:rPr>
            </w:pPr>
            <w:r>
              <w:rPr>
                <w:rFonts w:ascii="Arial" w:cs="Arial" w:eastAsia="Arial" w:hAnsi="Arial"/>
                <w:sz w:val="15"/>
                <w:szCs w:val="15"/>
                <w:color w:val="auto"/>
              </w:rPr>
              <w:t>Interest and other expenses</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23.0</w:t>
            </w: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w:t>
            </w:r>
          </w:p>
        </w:tc>
        <w:tc>
          <w:tcPr>
            <w:tcW w:w="28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5"/>
                <w:szCs w:val="15"/>
                <w:color w:val="auto"/>
              </w:rPr>
              <w:t>N/A</w:t>
            </w: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Earnings before income taxes and discontinued operations</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145.1</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144.3</w:t>
            </w:r>
          </w:p>
        </w:tc>
        <w:tc>
          <w:tcPr>
            <w:tcW w:w="2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0.5%</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-2.8%</w:t>
            </w:r>
          </w:p>
        </w:tc>
        <w:tc>
          <w:tcPr>
            <w:tcW w:w="0" w:type="dxa"/>
            <w:vAlign w:val="bottom"/>
          </w:tcPr>
          <w:p>
            <w:pPr>
              <w:spacing w:after="0"/>
              <w:rPr>
                <w:sz w:val="1"/>
                <w:szCs w:val="1"/>
                <w:color w:val="auto"/>
              </w:rPr>
            </w:pPr>
          </w:p>
        </w:tc>
      </w:tr>
      <w:tr>
        <w:trPr>
          <w:trHeight w:val="188"/>
        </w:trPr>
        <w:tc>
          <w:tcPr>
            <w:tcW w:w="4460" w:type="dxa"/>
            <w:vAlign w:val="bottom"/>
            <w:gridSpan w:val="2"/>
          </w:tcPr>
          <w:p>
            <w:pPr>
              <w:spacing w:after="0"/>
              <w:rPr>
                <w:sz w:val="20"/>
                <w:szCs w:val="20"/>
                <w:color w:val="auto"/>
              </w:rPr>
            </w:pPr>
            <w:r>
              <w:rPr>
                <w:rFonts w:ascii="Arial" w:cs="Arial" w:eastAsia="Arial" w:hAnsi="Arial"/>
                <w:sz w:val="15"/>
                <w:szCs w:val="15"/>
                <w:color w:val="auto"/>
              </w:rPr>
              <w:t>Provision for income taxes</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53.3</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50.6</w:t>
            </w:r>
          </w:p>
        </w:tc>
        <w:tc>
          <w:tcPr>
            <w:tcW w:w="280" w:type="dxa"/>
            <w:vAlign w:val="bottom"/>
          </w:tcPr>
          <w:p>
            <w:pPr>
              <w:spacing w:after="0"/>
              <w:rPr>
                <w:sz w:val="16"/>
                <w:szCs w:val="16"/>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5"/>
                <w:szCs w:val="15"/>
                <w:color w:val="auto"/>
              </w:rPr>
              <w:t>5.4%</w:t>
            </w: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Net earnings from continuing operations</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91.8</w:t>
            </w:r>
          </w:p>
        </w:tc>
        <w:tc>
          <w:tcPr>
            <w:tcW w:w="2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93.7</w:t>
            </w:r>
          </w:p>
        </w:tc>
        <w:tc>
          <w:tcPr>
            <w:tcW w:w="2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-2.1%</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-5.3%</w:t>
            </w:r>
          </w:p>
        </w:tc>
        <w:tc>
          <w:tcPr>
            <w:tcW w:w="0" w:type="dxa"/>
            <w:vAlign w:val="bottom"/>
          </w:tcPr>
          <w:p>
            <w:pPr>
              <w:spacing w:after="0"/>
              <w:rPr>
                <w:sz w:val="1"/>
                <w:szCs w:val="1"/>
                <w:color w:val="auto"/>
              </w:rPr>
            </w:pPr>
          </w:p>
        </w:tc>
      </w:tr>
      <w:tr>
        <w:trPr>
          <w:trHeight w:val="195"/>
        </w:trPr>
        <w:tc>
          <w:tcPr>
            <w:tcW w:w="4460" w:type="dxa"/>
            <w:vAlign w:val="bottom"/>
            <w:gridSpan w:val="2"/>
          </w:tcPr>
          <w:p>
            <w:pPr>
              <w:spacing w:after="0"/>
              <w:rPr>
                <w:sz w:val="20"/>
                <w:szCs w:val="20"/>
                <w:color w:val="auto"/>
              </w:rPr>
            </w:pPr>
            <w:r>
              <w:rPr>
                <w:rFonts w:ascii="Arial" w:cs="Arial" w:eastAsia="Arial" w:hAnsi="Arial"/>
                <w:sz w:val="15"/>
                <w:szCs w:val="15"/>
                <w:color w:val="auto"/>
              </w:rPr>
              <w:t>Income from discontinued operations, net of income taxes</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2.9</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(1.0)</w:t>
            </w:r>
          </w:p>
        </w:tc>
        <w:tc>
          <w:tcPr>
            <w:tcW w:w="620" w:type="dxa"/>
            <w:vAlign w:val="bottom"/>
            <w:gridSpan w:val="2"/>
          </w:tcPr>
          <w:p>
            <w:pPr>
              <w:jc w:val="right"/>
              <w:ind w:right="160"/>
              <w:spacing w:after="0"/>
              <w:rPr>
                <w:sz w:val="20"/>
                <w:szCs w:val="20"/>
                <w:color w:val="auto"/>
              </w:rPr>
            </w:pPr>
            <w:r>
              <w:rPr>
                <w:rFonts w:ascii="Arial" w:cs="Arial" w:eastAsia="Arial" w:hAnsi="Arial"/>
                <w:sz w:val="15"/>
                <w:szCs w:val="15"/>
                <w:color w:val="auto"/>
              </w:rPr>
              <w:t>N/A</w:t>
            </w: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Net earnings</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94.7</w:t>
            </w:r>
          </w:p>
        </w:tc>
        <w:tc>
          <w:tcPr>
            <w:tcW w:w="220" w:type="dxa"/>
            <w:vAlign w:val="bottom"/>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92.7</w:t>
            </w:r>
          </w:p>
        </w:tc>
        <w:tc>
          <w:tcPr>
            <w:tcW w:w="2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2.2%</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Arial" w:cs="Arial" w:eastAsia="Arial" w:hAnsi="Arial"/>
                <w:sz w:val="15"/>
                <w:szCs w:val="15"/>
                <w:color w:val="auto"/>
              </w:rPr>
              <w:t>Net earnings per share - basic:</w:t>
            </w: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46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Continuing operations</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w:t>
            </w:r>
          </w:p>
        </w:tc>
        <w:tc>
          <w:tcPr>
            <w:tcW w:w="2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-3.7%</w:t>
            </w: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460" w:type="dxa"/>
            <w:vAlign w:val="bottom"/>
            <w:gridSpan w:val="2"/>
          </w:tcPr>
          <w:p>
            <w:pPr>
              <w:ind w:left="180"/>
              <w:spacing w:after="0"/>
              <w:rPr>
                <w:sz w:val="20"/>
                <w:szCs w:val="20"/>
                <w:color w:val="auto"/>
              </w:rPr>
            </w:pPr>
            <w:r>
              <w:rPr>
                <w:rFonts w:ascii="Arial" w:cs="Arial" w:eastAsia="Arial" w:hAnsi="Arial"/>
                <w:sz w:val="15"/>
                <w:szCs w:val="15"/>
                <w:color w:val="auto"/>
              </w:rPr>
              <w:t>Discontinued operations</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0.03</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(0.01)</w:t>
            </w:r>
          </w:p>
        </w:tc>
        <w:tc>
          <w:tcPr>
            <w:tcW w:w="620" w:type="dxa"/>
            <w:vAlign w:val="bottom"/>
            <w:gridSpan w:val="2"/>
          </w:tcPr>
          <w:p>
            <w:pPr>
              <w:jc w:val="right"/>
              <w:ind w:right="160"/>
              <w:spacing w:after="0"/>
              <w:rPr>
                <w:sz w:val="20"/>
                <w:szCs w:val="20"/>
                <w:color w:val="auto"/>
              </w:rPr>
            </w:pPr>
            <w:r>
              <w:rPr>
                <w:rFonts w:ascii="Arial" w:cs="Arial" w:eastAsia="Arial" w:hAnsi="Arial"/>
                <w:sz w:val="15"/>
                <w:szCs w:val="15"/>
                <w:color w:val="auto"/>
              </w:rPr>
              <w:t>N/A</w:t>
            </w: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Total</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1.06</w:t>
            </w:r>
          </w:p>
        </w:tc>
        <w:tc>
          <w:tcPr>
            <w:tcW w:w="220" w:type="dxa"/>
            <w:vAlign w:val="bottom"/>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1.06</w:t>
            </w:r>
          </w:p>
        </w:tc>
        <w:tc>
          <w:tcPr>
            <w:tcW w:w="2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0.0%</w:t>
            </w: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Arial" w:cs="Arial" w:eastAsia="Arial" w:hAnsi="Arial"/>
                <w:sz w:val="15"/>
                <w:szCs w:val="15"/>
                <w:color w:val="auto"/>
              </w:rPr>
              <w:t>Net earnings per share - diluted:</w:t>
            </w: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46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Continuing operations</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2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0.0%</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r>
        <w:trPr>
          <w:trHeight w:val="192"/>
        </w:trPr>
        <w:tc>
          <w:tcPr>
            <w:tcW w:w="4460" w:type="dxa"/>
            <w:vAlign w:val="bottom"/>
            <w:gridSpan w:val="2"/>
          </w:tcPr>
          <w:p>
            <w:pPr>
              <w:ind w:left="180"/>
              <w:spacing w:after="0"/>
              <w:rPr>
                <w:sz w:val="20"/>
                <w:szCs w:val="20"/>
                <w:color w:val="auto"/>
              </w:rPr>
            </w:pPr>
            <w:r>
              <w:rPr>
                <w:rFonts w:ascii="Arial" w:cs="Arial" w:eastAsia="Arial" w:hAnsi="Arial"/>
                <w:sz w:val="15"/>
                <w:szCs w:val="15"/>
                <w:color w:val="auto"/>
              </w:rPr>
              <w:t>Discontinued operations</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0.03</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(0.01)</w:t>
            </w:r>
          </w:p>
        </w:tc>
        <w:tc>
          <w:tcPr>
            <w:tcW w:w="620" w:type="dxa"/>
            <w:vAlign w:val="bottom"/>
            <w:gridSpan w:val="2"/>
          </w:tcPr>
          <w:p>
            <w:pPr>
              <w:jc w:val="right"/>
              <w:ind w:right="160"/>
              <w:spacing w:after="0"/>
              <w:rPr>
                <w:sz w:val="20"/>
                <w:szCs w:val="20"/>
                <w:color w:val="auto"/>
              </w:rPr>
            </w:pPr>
            <w:r>
              <w:rPr>
                <w:rFonts w:ascii="Arial" w:cs="Arial" w:eastAsia="Arial" w:hAnsi="Arial"/>
                <w:sz w:val="15"/>
                <w:szCs w:val="15"/>
                <w:color w:val="auto"/>
              </w:rPr>
              <w:t>N/A</w:t>
            </w: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Total</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1.03</w:t>
            </w:r>
          </w:p>
        </w:tc>
        <w:tc>
          <w:tcPr>
            <w:tcW w:w="220" w:type="dxa"/>
            <w:vAlign w:val="bottom"/>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0.99</w:t>
            </w:r>
          </w:p>
        </w:tc>
        <w:tc>
          <w:tcPr>
            <w:tcW w:w="2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4.0%</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Arial" w:cs="Arial" w:eastAsia="Arial" w:hAnsi="Arial"/>
                <w:sz w:val="15"/>
                <w:szCs w:val="15"/>
                <w:color w:val="auto"/>
              </w:rPr>
              <w:t>Weighted average shares - basic</w:t>
            </w: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1.7%</w:t>
            </w: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46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89.2</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87.7</w:t>
            </w:r>
          </w:p>
        </w:tc>
        <w:tc>
          <w:tcPr>
            <w:tcW w:w="28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4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Weighted average shares - diluted</w:t>
            </w: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93.2</w:t>
            </w:r>
          </w:p>
        </w:tc>
        <w:tc>
          <w:tcPr>
            <w:tcW w:w="2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96.0</w:t>
            </w:r>
          </w:p>
        </w:tc>
        <w:tc>
          <w:tcPr>
            <w:tcW w:w="2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-2.9%</w:t>
            </w: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940" w:type="dxa"/>
            <w:vAlign w:val="bottom"/>
            <w:tcBorders>
              <w:bottom w:val="single" w:sz="8" w:color="auto"/>
            </w:tcBorders>
          </w:tcPr>
          <w:p>
            <w:pPr>
              <w:spacing w:after="0"/>
              <w:rPr>
                <w:sz w:val="7"/>
                <w:szCs w:val="7"/>
                <w:color w:val="auto"/>
              </w:rPr>
            </w:pPr>
          </w:p>
        </w:tc>
        <w:tc>
          <w:tcPr>
            <w:tcW w:w="35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5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p>
    <w:p>
      <w:pPr>
        <w:ind w:left="446" w:hanging="446"/>
        <w:spacing w:after="0"/>
        <w:tabs>
          <w:tab w:leader="none" w:pos="446" w:val="left"/>
        </w:tabs>
        <w:numPr>
          <w:ilvl w:val="0"/>
          <w:numId w:val="11"/>
        </w:numPr>
        <w:rPr>
          <w:rFonts w:ascii="Arial" w:cs="Arial" w:eastAsia="Arial" w:hAnsi="Arial"/>
          <w:sz w:val="20"/>
          <w:szCs w:val="20"/>
          <w:color w:val="auto"/>
          <w:vertAlign w:val="superscript"/>
        </w:rPr>
      </w:pPr>
      <w:r>
        <w:rPr>
          <w:rFonts w:ascii="Arial" w:cs="Arial" w:eastAsia="Arial" w:hAnsi="Arial"/>
          <w:sz w:val="15"/>
          <w:szCs w:val="15"/>
          <w:color w:val="auto"/>
        </w:rPr>
        <w:t>Restatement for discontinued operations and reclassifications of business tax and profit sharing expenses.</w:t>
      </w:r>
    </w:p>
    <w:p>
      <w:pPr>
        <w:sectPr>
          <w:pgSz w:w="11900" w:h="16838" w:orient="portrait"/>
          <w:cols w:equalWidth="0" w:num="1">
            <w:col w:w="11446"/>
          </w:cols>
          <w:pgMar w:left="234" w:top="262" w:right="219" w:bottom="1440" w:gutter="0" w:footer="0" w:header="0"/>
        </w:sectPr>
      </w:pPr>
    </w:p>
    <w:bookmarkStart w:id="33" w:name="page34"/>
    <w:bookmarkEnd w:id="33"/>
    <w:tbl>
      <w:tblPr>
        <w:tblLayout w:type="fixed"/>
        <w:tblInd w:w="6" w:type="dxa"/>
        <w:tblCellMar>
          <w:top w:w="0" w:type="dxa"/>
          <w:left w:w="0" w:type="dxa"/>
          <w:bottom w:w="0" w:type="dxa"/>
          <w:right w:w="0" w:type="dxa"/>
        </w:tblCellMar>
      </w:tblPr>
      <w:tr>
        <w:trPr>
          <w:trHeight w:val="194"/>
        </w:trPr>
        <w:tc>
          <w:tcPr>
            <w:tcW w:w="94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color w:val="auto"/>
                <w:w w:val="92"/>
              </w:rPr>
              <w:t>(Page 4 of 9)</w:t>
            </w:r>
          </w:p>
        </w:tc>
        <w:tc>
          <w:tcPr>
            <w:tcW w:w="0" w:type="dxa"/>
            <w:vAlign w:val="bottom"/>
          </w:tcPr>
          <w:p>
            <w:pPr>
              <w:spacing w:after="0"/>
              <w:rPr>
                <w:sz w:val="1"/>
                <w:szCs w:val="1"/>
                <w:color w:val="auto"/>
              </w:rPr>
            </w:pPr>
          </w:p>
        </w:tc>
      </w:tr>
      <w:tr>
        <w:trPr>
          <w:trHeight w:val="323"/>
        </w:trPr>
        <w:tc>
          <w:tcPr>
            <w:tcW w:w="9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gridSpan w:val="6"/>
          </w:tcPr>
          <w:p>
            <w:pPr>
              <w:jc w:val="right"/>
              <w:ind w:right="460"/>
              <w:spacing w:after="0"/>
              <w:rPr>
                <w:sz w:val="20"/>
                <w:szCs w:val="20"/>
                <w:color w:val="auto"/>
              </w:rPr>
            </w:pPr>
            <w:r>
              <w:rPr>
                <w:rFonts w:ascii="Arial" w:cs="Arial" w:eastAsia="Arial" w:hAnsi="Arial"/>
                <w:sz w:val="15"/>
                <w:szCs w:val="15"/>
                <w:color w:val="auto"/>
              </w:rPr>
              <w:t>Manpower Inc.</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94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720" w:type="dxa"/>
            <w:vAlign w:val="bottom"/>
            <w:gridSpan w:val="7"/>
          </w:tcPr>
          <w:p>
            <w:pPr>
              <w:jc w:val="right"/>
              <w:ind w:right="180"/>
              <w:spacing w:after="0" w:line="188" w:lineRule="exact"/>
              <w:rPr>
                <w:sz w:val="20"/>
                <w:szCs w:val="20"/>
                <w:color w:val="auto"/>
              </w:rPr>
            </w:pPr>
            <w:r>
              <w:rPr>
                <w:rFonts w:ascii="Arial" w:cs="Arial" w:eastAsia="Arial" w:hAnsi="Arial"/>
                <w:sz w:val="15"/>
                <w:szCs w:val="15"/>
                <w:color w:val="auto"/>
                <w:w w:val="92"/>
              </w:rPr>
              <w:t xml:space="preserve">Results of Operations </w:t>
            </w:r>
            <w:r>
              <w:rPr>
                <w:rFonts w:ascii="Arial" w:cs="Arial" w:eastAsia="Arial" w:hAnsi="Arial"/>
                <w:sz w:val="19"/>
                <w:szCs w:val="19"/>
                <w:color w:val="auto"/>
                <w:w w:val="92"/>
                <w:vertAlign w:val="superscript"/>
              </w:rPr>
              <w:t>(1)</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4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gridSpan w:val="6"/>
          </w:tcPr>
          <w:p>
            <w:pPr>
              <w:jc w:val="right"/>
              <w:ind w:right="540"/>
              <w:spacing w:after="0"/>
              <w:rPr>
                <w:sz w:val="20"/>
                <w:szCs w:val="20"/>
                <w:color w:val="auto"/>
              </w:rPr>
            </w:pPr>
            <w:r>
              <w:rPr>
                <w:rFonts w:ascii="Arial" w:cs="Arial" w:eastAsia="Arial" w:hAnsi="Arial"/>
                <w:sz w:val="15"/>
                <w:szCs w:val="15"/>
                <w:color w:val="auto"/>
              </w:rPr>
              <w:t>(In millions)</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7"/>
        </w:trPr>
        <w:tc>
          <w:tcPr>
            <w:tcW w:w="9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60" w:type="dxa"/>
            <w:vAlign w:val="bottom"/>
            <w:gridSpan w:val="8"/>
          </w:tcPr>
          <w:p>
            <w:pPr>
              <w:jc w:val="center"/>
              <w:ind w:left="325"/>
              <w:spacing w:after="0"/>
              <w:rPr>
                <w:sz w:val="20"/>
                <w:szCs w:val="20"/>
                <w:color w:val="auto"/>
              </w:rPr>
            </w:pPr>
            <w:r>
              <w:rPr>
                <w:rFonts w:ascii="Arial" w:cs="Arial" w:eastAsia="Arial" w:hAnsi="Arial"/>
                <w:sz w:val="12"/>
                <w:szCs w:val="12"/>
                <w:b w:val="1"/>
                <w:bCs w:val="1"/>
                <w:color w:val="auto"/>
                <w:w w:val="88"/>
              </w:rPr>
              <w:t>Three Months Ended September 30</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20" w:type="dxa"/>
            <w:vAlign w:val="bottom"/>
            <w:gridSpan w:val="9"/>
          </w:tcPr>
          <w:p>
            <w:pPr>
              <w:jc w:val="center"/>
              <w:ind w:right="760"/>
              <w:spacing w:after="0"/>
              <w:rPr>
                <w:sz w:val="20"/>
                <w:szCs w:val="20"/>
                <w:color w:val="auto"/>
              </w:rPr>
            </w:pPr>
            <w:r>
              <w:rPr>
                <w:rFonts w:ascii="Arial" w:cs="Arial" w:eastAsia="Arial" w:hAnsi="Arial"/>
                <w:sz w:val="12"/>
                <w:szCs w:val="12"/>
                <w:b w:val="1"/>
                <w:bCs w:val="1"/>
                <w:color w:val="auto"/>
                <w:w w:val="89"/>
              </w:rPr>
              <w:t>Three Months Ended December 31</w:t>
            </w:r>
          </w:p>
        </w:tc>
        <w:tc>
          <w:tcPr>
            <w:tcW w:w="0" w:type="dxa"/>
            <w:vAlign w:val="bottom"/>
          </w:tcPr>
          <w:p>
            <w:pPr>
              <w:spacing w:after="0"/>
              <w:rPr>
                <w:sz w:val="1"/>
                <w:szCs w:val="1"/>
                <w:color w:val="auto"/>
              </w:rPr>
            </w:pPr>
          </w:p>
        </w:tc>
      </w:tr>
      <w:tr>
        <w:trPr>
          <w:trHeight w:val="121"/>
        </w:trPr>
        <w:tc>
          <w:tcPr>
            <w:tcW w:w="94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300" w:type="dxa"/>
            <w:vAlign w:val="bottom"/>
            <w:tcBorders>
              <w:top w:val="single" w:sz="8" w:color="auto"/>
              <w:bottom w:val="single" w:sz="8" w:color="auto"/>
            </w:tcBorders>
            <w:gridSpan w:val="3"/>
          </w:tcPr>
          <w:p>
            <w:pPr>
              <w:ind w:left="360"/>
              <w:spacing w:after="0" w:line="121" w:lineRule="exact"/>
              <w:rPr>
                <w:sz w:val="20"/>
                <w:szCs w:val="20"/>
                <w:color w:val="auto"/>
              </w:rPr>
            </w:pPr>
            <w:r>
              <w:rPr>
                <w:rFonts w:ascii="Arial" w:cs="Arial" w:eastAsia="Arial" w:hAnsi="Arial"/>
                <w:sz w:val="12"/>
                <w:szCs w:val="12"/>
                <w:b w:val="1"/>
                <w:bCs w:val="1"/>
                <w:color w:val="auto"/>
              </w:rPr>
              <w:t>% Variance</w:t>
            </w: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80" w:type="dxa"/>
            <w:vAlign w:val="bottom"/>
            <w:tcBorders>
              <w:top w:val="single" w:sz="8" w:color="auto"/>
              <w:bottom w:val="single" w:sz="8" w:color="auto"/>
            </w:tcBorders>
            <w:gridSpan w:val="4"/>
          </w:tcPr>
          <w:p>
            <w:pPr>
              <w:ind w:left="340"/>
              <w:spacing w:after="0" w:line="121" w:lineRule="exact"/>
              <w:rPr>
                <w:sz w:val="20"/>
                <w:szCs w:val="20"/>
                <w:color w:val="auto"/>
              </w:rPr>
            </w:pPr>
            <w:r>
              <w:rPr>
                <w:rFonts w:ascii="Arial" w:cs="Arial" w:eastAsia="Arial" w:hAnsi="Arial"/>
                <w:sz w:val="12"/>
                <w:szCs w:val="12"/>
                <w:b w:val="1"/>
                <w:bCs w:val="1"/>
                <w:color w:val="auto"/>
              </w:rPr>
              <w:t>% Variance</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940" w:type="dxa"/>
            <w:vAlign w:val="bottom"/>
          </w:tcPr>
          <w:p>
            <w:pPr>
              <w:spacing w:after="0"/>
              <w:rPr>
                <w:sz w:val="9"/>
                <w:szCs w:val="9"/>
                <w:color w:val="auto"/>
              </w:rPr>
            </w:pPr>
          </w:p>
        </w:tc>
        <w:tc>
          <w:tcPr>
            <w:tcW w:w="39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vMerge w:val="restart"/>
          </w:tcPr>
          <w:p>
            <w:pPr>
              <w:jc w:val="right"/>
              <w:ind w:right="125"/>
              <w:spacing w:after="0"/>
              <w:rPr>
                <w:sz w:val="20"/>
                <w:szCs w:val="20"/>
                <w:color w:val="auto"/>
              </w:rPr>
            </w:pPr>
            <w:r>
              <w:rPr>
                <w:rFonts w:ascii="Arial" w:cs="Arial" w:eastAsia="Arial" w:hAnsi="Arial"/>
                <w:sz w:val="12"/>
                <w:szCs w:val="12"/>
                <w:b w:val="1"/>
                <w:bCs w:val="1"/>
                <w:color w:val="auto"/>
              </w:rPr>
              <w:t>2005</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vMerge w:val="restart"/>
          </w:tcPr>
          <w:p>
            <w:pPr>
              <w:jc w:val="right"/>
              <w:ind w:right="125"/>
              <w:spacing w:after="0"/>
              <w:rPr>
                <w:sz w:val="20"/>
                <w:szCs w:val="20"/>
                <w:color w:val="auto"/>
              </w:rPr>
            </w:pPr>
            <w:r>
              <w:rPr>
                <w:rFonts w:ascii="Arial" w:cs="Arial" w:eastAsia="Arial" w:hAnsi="Arial"/>
                <w:sz w:val="12"/>
                <w:szCs w:val="12"/>
                <w:b w:val="1"/>
                <w:bCs w:val="1"/>
                <w:color w:val="auto"/>
              </w:rPr>
              <w:t>2004</w:t>
            </w:r>
          </w:p>
        </w:tc>
        <w:tc>
          <w:tcPr>
            <w:tcW w:w="260" w:type="dxa"/>
            <w:vAlign w:val="bottom"/>
          </w:tcPr>
          <w:p>
            <w:pPr>
              <w:spacing w:after="0"/>
              <w:rPr>
                <w:sz w:val="9"/>
                <w:szCs w:val="9"/>
                <w:color w:val="auto"/>
              </w:rPr>
            </w:pPr>
          </w:p>
        </w:tc>
        <w:tc>
          <w:tcPr>
            <w:tcW w:w="820" w:type="dxa"/>
            <w:vAlign w:val="bottom"/>
            <w:gridSpan w:val="2"/>
          </w:tcPr>
          <w:p>
            <w:pPr>
              <w:jc w:val="right"/>
              <w:ind w:right="380"/>
              <w:spacing w:after="0" w:line="110" w:lineRule="exact"/>
              <w:rPr>
                <w:sz w:val="20"/>
                <w:szCs w:val="20"/>
                <w:color w:val="auto"/>
              </w:rPr>
            </w:pPr>
            <w:r>
              <w:rPr>
                <w:rFonts w:ascii="Arial" w:cs="Arial" w:eastAsia="Arial" w:hAnsi="Arial"/>
                <w:sz w:val="12"/>
                <w:szCs w:val="12"/>
                <w:b w:val="1"/>
                <w:bCs w:val="1"/>
                <w:color w:val="auto"/>
                <w:w w:val="92"/>
              </w:rPr>
              <w:t>Amount</w:t>
            </w:r>
          </w:p>
        </w:tc>
        <w:tc>
          <w:tcPr>
            <w:tcW w:w="480" w:type="dxa"/>
            <w:vAlign w:val="bottom"/>
          </w:tcPr>
          <w:p>
            <w:pPr>
              <w:ind w:left="20"/>
              <w:spacing w:after="0" w:line="110" w:lineRule="exact"/>
              <w:rPr>
                <w:sz w:val="20"/>
                <w:szCs w:val="20"/>
                <w:color w:val="auto"/>
              </w:rPr>
            </w:pPr>
            <w:r>
              <w:rPr>
                <w:rFonts w:ascii="Arial" w:cs="Arial" w:eastAsia="Arial" w:hAnsi="Arial"/>
                <w:sz w:val="12"/>
                <w:szCs w:val="12"/>
                <w:b w:val="1"/>
                <w:bCs w:val="1"/>
                <w:color w:val="auto"/>
                <w:w w:val="84"/>
              </w:rPr>
              <w:t>Constant</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vMerge w:val="restart"/>
          </w:tcPr>
          <w:p>
            <w:pPr>
              <w:jc w:val="right"/>
              <w:ind w:right="104"/>
              <w:spacing w:after="0"/>
              <w:rPr>
                <w:sz w:val="20"/>
                <w:szCs w:val="20"/>
                <w:color w:val="auto"/>
              </w:rPr>
            </w:pPr>
            <w:r>
              <w:rPr>
                <w:rFonts w:ascii="Arial" w:cs="Arial" w:eastAsia="Arial" w:hAnsi="Arial"/>
                <w:sz w:val="12"/>
                <w:szCs w:val="12"/>
                <w:b w:val="1"/>
                <w:bCs w:val="1"/>
                <w:color w:val="auto"/>
              </w:rPr>
              <w:t>2005</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vMerge w:val="restart"/>
          </w:tcPr>
          <w:p>
            <w:pPr>
              <w:jc w:val="right"/>
              <w:ind w:right="125"/>
              <w:spacing w:after="0"/>
              <w:rPr>
                <w:sz w:val="20"/>
                <w:szCs w:val="20"/>
                <w:color w:val="auto"/>
              </w:rPr>
            </w:pPr>
            <w:r>
              <w:rPr>
                <w:rFonts w:ascii="Arial" w:cs="Arial" w:eastAsia="Arial" w:hAnsi="Arial"/>
                <w:sz w:val="12"/>
                <w:szCs w:val="12"/>
                <w:b w:val="1"/>
                <w:bCs w:val="1"/>
                <w:color w:val="auto"/>
              </w:rPr>
              <w:t>2004</w:t>
            </w:r>
          </w:p>
        </w:tc>
        <w:tc>
          <w:tcPr>
            <w:tcW w:w="280" w:type="dxa"/>
            <w:vAlign w:val="bottom"/>
          </w:tcPr>
          <w:p>
            <w:pPr>
              <w:spacing w:after="0"/>
              <w:rPr>
                <w:sz w:val="9"/>
                <w:szCs w:val="9"/>
                <w:color w:val="auto"/>
              </w:rPr>
            </w:pPr>
          </w:p>
        </w:tc>
        <w:tc>
          <w:tcPr>
            <w:tcW w:w="600" w:type="dxa"/>
            <w:vAlign w:val="bottom"/>
            <w:gridSpan w:val="2"/>
          </w:tcPr>
          <w:p>
            <w:pPr>
              <w:jc w:val="right"/>
              <w:ind w:right="160"/>
              <w:spacing w:after="0" w:line="110" w:lineRule="exact"/>
              <w:rPr>
                <w:sz w:val="20"/>
                <w:szCs w:val="20"/>
                <w:color w:val="auto"/>
              </w:rPr>
            </w:pPr>
            <w:r>
              <w:rPr>
                <w:rFonts w:ascii="Arial" w:cs="Arial" w:eastAsia="Arial" w:hAnsi="Arial"/>
                <w:sz w:val="12"/>
                <w:szCs w:val="12"/>
                <w:b w:val="1"/>
                <w:bCs w:val="1"/>
                <w:color w:val="auto"/>
                <w:w w:val="92"/>
              </w:rPr>
              <w:t>Amount</w:t>
            </w:r>
          </w:p>
        </w:tc>
        <w:tc>
          <w:tcPr>
            <w:tcW w:w="200" w:type="dxa"/>
            <w:vAlign w:val="bottom"/>
          </w:tcPr>
          <w:p>
            <w:pPr>
              <w:spacing w:after="0"/>
              <w:rPr>
                <w:sz w:val="9"/>
                <w:szCs w:val="9"/>
                <w:color w:val="auto"/>
              </w:rPr>
            </w:pPr>
          </w:p>
        </w:tc>
        <w:tc>
          <w:tcPr>
            <w:tcW w:w="480" w:type="dxa"/>
            <w:vAlign w:val="bottom"/>
          </w:tcPr>
          <w:p>
            <w:pPr>
              <w:ind w:left="20"/>
              <w:spacing w:after="0" w:line="110" w:lineRule="exact"/>
              <w:rPr>
                <w:sz w:val="20"/>
                <w:szCs w:val="20"/>
                <w:color w:val="auto"/>
              </w:rPr>
            </w:pPr>
            <w:r>
              <w:rPr>
                <w:rFonts w:ascii="Arial" w:cs="Arial" w:eastAsia="Arial" w:hAnsi="Arial"/>
                <w:sz w:val="12"/>
                <w:szCs w:val="12"/>
                <w:b w:val="1"/>
                <w:bCs w:val="1"/>
                <w:color w:val="auto"/>
                <w:w w:val="84"/>
              </w:rPr>
              <w:t>Constant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9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b w:val="1"/>
                <w:bCs w:val="1"/>
                <w:color w:val="auto"/>
                <w:w w:val="87"/>
              </w:rPr>
              <w:t>Reported</w:t>
            </w:r>
          </w:p>
        </w:tc>
        <w:tc>
          <w:tcPr>
            <w:tcW w:w="340" w:type="dxa"/>
            <w:vAlign w:val="bottom"/>
          </w:tcPr>
          <w:p>
            <w:pPr>
              <w:spacing w:after="0"/>
              <w:rPr>
                <w:sz w:val="12"/>
                <w:szCs w:val="12"/>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Currency</w:t>
            </w: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83"/>
              </w:rPr>
              <w:t>Reported</w:t>
            </w:r>
          </w:p>
        </w:tc>
        <w:tc>
          <w:tcPr>
            <w:tcW w:w="200" w:type="dxa"/>
            <w:vAlign w:val="bottom"/>
          </w:tcPr>
          <w:p>
            <w:pPr>
              <w:spacing w:after="0"/>
              <w:rPr>
                <w:sz w:val="12"/>
                <w:szCs w:val="12"/>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Currency</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94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gridSpan w:val="4"/>
          </w:tcPr>
          <w:p>
            <w:pPr>
              <w:jc w:val="center"/>
              <w:ind w:right="480"/>
              <w:spacing w:after="0" w:line="121" w:lineRule="exact"/>
              <w:rPr>
                <w:sz w:val="20"/>
                <w:szCs w:val="20"/>
                <w:color w:val="auto"/>
              </w:rPr>
            </w:pPr>
            <w:r>
              <w:rPr>
                <w:rFonts w:ascii="Arial" w:cs="Arial" w:eastAsia="Arial" w:hAnsi="Arial"/>
                <w:sz w:val="12"/>
                <w:szCs w:val="12"/>
                <w:b w:val="1"/>
                <w:bCs w:val="1"/>
                <w:color w:val="auto"/>
                <w:w w:val="92"/>
              </w:rPr>
              <w:t>(Unaudited)</w:t>
            </w: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gridSpan w:val="4"/>
          </w:tcPr>
          <w:p>
            <w:pPr>
              <w:jc w:val="center"/>
              <w:ind w:right="220"/>
              <w:spacing w:after="0" w:line="121" w:lineRule="exact"/>
              <w:rPr>
                <w:sz w:val="20"/>
                <w:szCs w:val="20"/>
                <w:color w:val="auto"/>
              </w:rPr>
            </w:pPr>
            <w:r>
              <w:rPr>
                <w:rFonts w:ascii="Arial" w:cs="Arial" w:eastAsia="Arial" w:hAnsi="Arial"/>
                <w:sz w:val="12"/>
                <w:szCs w:val="12"/>
                <w:b w:val="1"/>
                <w:bCs w:val="1"/>
                <w:color w:val="auto"/>
                <w:w w:val="89"/>
              </w:rPr>
              <w:t>(Unaudited)</w:t>
            </w: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49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Revenues from services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4,087.6</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3,838.2</w:t>
            </w:r>
          </w:p>
        </w:tc>
        <w:tc>
          <w:tcPr>
            <w:tcW w:w="2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6.5%</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6.3%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4,068.3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4,005.5</w:t>
            </w:r>
          </w:p>
        </w:tc>
        <w:tc>
          <w:tcPr>
            <w:tcW w:w="2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1.6%</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8.1%</w:t>
            </w:r>
          </w:p>
        </w:tc>
        <w:tc>
          <w:tcPr>
            <w:tcW w:w="0" w:type="dxa"/>
            <w:vAlign w:val="bottom"/>
          </w:tcPr>
          <w:p>
            <w:pPr>
              <w:spacing w:after="0"/>
              <w:rPr>
                <w:sz w:val="1"/>
                <w:szCs w:val="1"/>
                <w:color w:val="auto"/>
              </w:rPr>
            </w:pPr>
          </w:p>
        </w:tc>
      </w:tr>
      <w:tr>
        <w:trPr>
          <w:trHeight w:val="188"/>
        </w:trPr>
        <w:tc>
          <w:tcPr>
            <w:tcW w:w="4920" w:type="dxa"/>
            <w:vAlign w:val="bottom"/>
            <w:gridSpan w:val="2"/>
          </w:tcPr>
          <w:p>
            <w:pPr>
              <w:spacing w:after="0"/>
              <w:rPr>
                <w:sz w:val="20"/>
                <w:szCs w:val="20"/>
                <w:color w:val="auto"/>
              </w:rPr>
            </w:pPr>
            <w:r>
              <w:rPr>
                <w:rFonts w:ascii="Arial" w:cs="Arial" w:eastAsia="Arial" w:hAnsi="Arial"/>
                <w:sz w:val="15"/>
                <w:szCs w:val="15"/>
                <w:color w:val="auto"/>
              </w:rPr>
              <w:t>Cost of services</w:t>
            </w:r>
          </w:p>
        </w:tc>
        <w:tc>
          <w:tcPr>
            <w:tcW w:w="80" w:type="dxa"/>
            <w:vAlign w:val="bottom"/>
          </w:tcPr>
          <w:p>
            <w:pPr>
              <w:spacing w:after="0"/>
              <w:rPr>
                <w:sz w:val="16"/>
                <w:szCs w:val="16"/>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3,365.6</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w w:val="95"/>
              </w:rPr>
              <w:t>3,144.4</w:t>
            </w:r>
          </w:p>
        </w:tc>
        <w:tc>
          <w:tcPr>
            <w:tcW w:w="26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7.0%</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3,321.9</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3,270.4</w:t>
            </w:r>
          </w:p>
        </w:tc>
        <w:tc>
          <w:tcPr>
            <w:tcW w:w="280" w:type="dxa"/>
            <w:vAlign w:val="bottom"/>
          </w:tcPr>
          <w:p>
            <w:pPr>
              <w:spacing w:after="0"/>
              <w:rPr>
                <w:sz w:val="16"/>
                <w:szCs w:val="16"/>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5"/>
                <w:szCs w:val="15"/>
                <w:color w:val="auto"/>
              </w:rPr>
              <w:t>1.6%</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9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492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Gross profit</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722.0</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693.8</w:t>
            </w:r>
          </w:p>
        </w:tc>
        <w:tc>
          <w:tcPr>
            <w:tcW w:w="2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4.1%</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3.8%</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746.4</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735.1</w:t>
            </w:r>
          </w:p>
        </w:tc>
        <w:tc>
          <w:tcPr>
            <w:tcW w:w="2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1.5%</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7.7%</w:t>
            </w:r>
          </w:p>
        </w:tc>
        <w:tc>
          <w:tcPr>
            <w:tcW w:w="0" w:type="dxa"/>
            <w:vAlign w:val="bottom"/>
          </w:tcPr>
          <w:p>
            <w:pPr>
              <w:spacing w:after="0"/>
              <w:rPr>
                <w:sz w:val="1"/>
                <w:szCs w:val="1"/>
                <w:color w:val="auto"/>
              </w:rPr>
            </w:pPr>
          </w:p>
        </w:tc>
      </w:tr>
      <w:tr>
        <w:trPr>
          <w:trHeight w:val="188"/>
        </w:trPr>
        <w:tc>
          <w:tcPr>
            <w:tcW w:w="4920" w:type="dxa"/>
            <w:vAlign w:val="bottom"/>
            <w:gridSpan w:val="2"/>
          </w:tcPr>
          <w:p>
            <w:pPr>
              <w:spacing w:after="0"/>
              <w:rPr>
                <w:sz w:val="20"/>
                <w:szCs w:val="20"/>
                <w:color w:val="auto"/>
              </w:rPr>
            </w:pPr>
            <w:r>
              <w:rPr>
                <w:rFonts w:ascii="Arial" w:cs="Arial" w:eastAsia="Arial" w:hAnsi="Arial"/>
                <w:sz w:val="15"/>
                <w:szCs w:val="15"/>
                <w:color w:val="auto"/>
              </w:rPr>
              <w:t>Selling and administrative expenses</w:t>
            </w:r>
          </w:p>
        </w:tc>
        <w:tc>
          <w:tcPr>
            <w:tcW w:w="80" w:type="dxa"/>
            <w:vAlign w:val="bottom"/>
          </w:tcPr>
          <w:p>
            <w:pPr>
              <w:spacing w:after="0"/>
              <w:rPr>
                <w:sz w:val="16"/>
                <w:szCs w:val="16"/>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592.1</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566.5</w:t>
            </w:r>
          </w:p>
        </w:tc>
        <w:tc>
          <w:tcPr>
            <w:tcW w:w="26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4.5%</w:t>
            </w: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4.3%</w:t>
            </w:r>
          </w:p>
        </w:tc>
        <w:tc>
          <w:tcPr>
            <w:tcW w:w="80" w:type="dxa"/>
            <w:vAlign w:val="bottom"/>
          </w:tcPr>
          <w:p>
            <w:pPr>
              <w:spacing w:after="0"/>
              <w:rPr>
                <w:sz w:val="16"/>
                <w:szCs w:val="16"/>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615.6</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617.2</w:t>
            </w:r>
          </w:p>
        </w:tc>
        <w:tc>
          <w:tcPr>
            <w:tcW w:w="280" w:type="dxa"/>
            <w:vAlign w:val="bottom"/>
          </w:tcPr>
          <w:p>
            <w:pPr>
              <w:spacing w:after="0"/>
              <w:rPr>
                <w:sz w:val="16"/>
                <w:szCs w:val="16"/>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5"/>
                <w:szCs w:val="15"/>
                <w:color w:val="auto"/>
              </w:rPr>
              <w:t>-0.2%</w:t>
            </w:r>
          </w:p>
        </w:tc>
        <w:tc>
          <w:tcPr>
            <w:tcW w:w="820" w:type="dxa"/>
            <w:vAlign w:val="bottom"/>
            <w:gridSpan w:val="3"/>
          </w:tcPr>
          <w:p>
            <w:pPr>
              <w:jc w:val="right"/>
              <w:spacing w:after="0"/>
              <w:rPr>
                <w:sz w:val="20"/>
                <w:szCs w:val="20"/>
                <w:color w:val="auto"/>
              </w:rPr>
            </w:pPr>
            <w:r>
              <w:rPr>
                <w:rFonts w:ascii="Arial" w:cs="Arial" w:eastAsia="Arial" w:hAnsi="Arial"/>
                <w:sz w:val="15"/>
                <w:szCs w:val="15"/>
                <w:color w:val="auto"/>
              </w:rPr>
              <w:t>5.6%</w:t>
            </w:r>
          </w:p>
        </w:tc>
        <w:tc>
          <w:tcPr>
            <w:tcW w:w="0" w:type="dxa"/>
            <w:vAlign w:val="bottom"/>
          </w:tcPr>
          <w:p>
            <w:pPr>
              <w:spacing w:after="0"/>
              <w:rPr>
                <w:sz w:val="1"/>
                <w:szCs w:val="1"/>
                <w:color w:val="auto"/>
              </w:rPr>
            </w:pPr>
          </w:p>
        </w:tc>
      </w:tr>
      <w:tr>
        <w:trPr>
          <w:trHeight w:val="24"/>
        </w:trPr>
        <w:tc>
          <w:tcPr>
            <w:tcW w:w="9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492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Operating profit</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129.9</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127.3</w:t>
            </w:r>
          </w:p>
        </w:tc>
        <w:tc>
          <w:tcPr>
            <w:tcW w:w="2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2.0%</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1.7%</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130.8</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117.9</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10.9%</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18.7%</w:t>
            </w:r>
          </w:p>
        </w:tc>
        <w:tc>
          <w:tcPr>
            <w:tcW w:w="0" w:type="dxa"/>
            <w:vAlign w:val="bottom"/>
          </w:tcPr>
          <w:p>
            <w:pPr>
              <w:spacing w:after="0"/>
              <w:rPr>
                <w:sz w:val="1"/>
                <w:szCs w:val="1"/>
                <w:color w:val="auto"/>
              </w:rPr>
            </w:pPr>
          </w:p>
        </w:tc>
      </w:tr>
      <w:tr>
        <w:trPr>
          <w:trHeight w:val="188"/>
        </w:trPr>
        <w:tc>
          <w:tcPr>
            <w:tcW w:w="4920" w:type="dxa"/>
            <w:vAlign w:val="bottom"/>
            <w:gridSpan w:val="2"/>
          </w:tcPr>
          <w:p>
            <w:pPr>
              <w:spacing w:after="0"/>
              <w:rPr>
                <w:sz w:val="20"/>
                <w:szCs w:val="20"/>
                <w:color w:val="auto"/>
              </w:rPr>
            </w:pPr>
            <w:r>
              <w:rPr>
                <w:rFonts w:ascii="Arial" w:cs="Arial" w:eastAsia="Arial" w:hAnsi="Arial"/>
                <w:sz w:val="15"/>
                <w:szCs w:val="15"/>
                <w:color w:val="auto"/>
              </w:rPr>
              <w:t>Interest and other expenses</w:t>
            </w:r>
          </w:p>
        </w:tc>
        <w:tc>
          <w:tcPr>
            <w:tcW w:w="80" w:type="dxa"/>
            <w:vAlign w:val="bottom"/>
          </w:tcPr>
          <w:p>
            <w:pPr>
              <w:spacing w:after="0"/>
              <w:rPr>
                <w:sz w:val="16"/>
                <w:szCs w:val="16"/>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11.8</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9.0</w:t>
            </w:r>
          </w:p>
        </w:tc>
        <w:tc>
          <w:tcPr>
            <w:tcW w:w="26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30.6%</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7.0</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8.9</w:t>
            </w:r>
          </w:p>
        </w:tc>
        <w:tc>
          <w:tcPr>
            <w:tcW w:w="280" w:type="dxa"/>
            <w:vAlign w:val="bottom"/>
          </w:tcPr>
          <w:p>
            <w:pPr>
              <w:spacing w:after="0"/>
              <w:rPr>
                <w:sz w:val="16"/>
                <w:szCs w:val="16"/>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5"/>
                <w:szCs w:val="15"/>
                <w:color w:val="auto"/>
              </w:rPr>
              <w:t>-22.5%</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9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492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Earnings before income taxes and discontinued operations</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118.1</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118.3</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-0.2%</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-0.4%</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123.8</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109.0</w:t>
            </w:r>
          </w:p>
        </w:tc>
        <w:tc>
          <w:tcPr>
            <w:tcW w:w="2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13.6%</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25.2%</w:t>
            </w:r>
          </w:p>
        </w:tc>
        <w:tc>
          <w:tcPr>
            <w:tcW w:w="0" w:type="dxa"/>
            <w:vAlign w:val="bottom"/>
          </w:tcPr>
          <w:p>
            <w:pPr>
              <w:spacing w:after="0"/>
              <w:rPr>
                <w:sz w:val="1"/>
                <w:szCs w:val="1"/>
                <w:color w:val="auto"/>
              </w:rPr>
            </w:pPr>
          </w:p>
        </w:tc>
      </w:tr>
      <w:tr>
        <w:trPr>
          <w:trHeight w:val="188"/>
        </w:trPr>
        <w:tc>
          <w:tcPr>
            <w:tcW w:w="4920" w:type="dxa"/>
            <w:vAlign w:val="bottom"/>
            <w:gridSpan w:val="2"/>
          </w:tcPr>
          <w:p>
            <w:pPr>
              <w:spacing w:after="0"/>
              <w:rPr>
                <w:sz w:val="20"/>
                <w:szCs w:val="20"/>
                <w:color w:val="auto"/>
              </w:rPr>
            </w:pPr>
            <w:r>
              <w:rPr>
                <w:rFonts w:ascii="Arial" w:cs="Arial" w:eastAsia="Arial" w:hAnsi="Arial"/>
                <w:sz w:val="15"/>
                <w:szCs w:val="15"/>
                <w:color w:val="auto"/>
              </w:rPr>
              <w:t>Provision for income taxes</w:t>
            </w:r>
          </w:p>
        </w:tc>
        <w:tc>
          <w:tcPr>
            <w:tcW w:w="80" w:type="dxa"/>
            <w:vAlign w:val="bottom"/>
          </w:tcPr>
          <w:p>
            <w:pPr>
              <w:spacing w:after="0"/>
              <w:rPr>
                <w:sz w:val="16"/>
                <w:szCs w:val="16"/>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43.2</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34.5</w:t>
            </w:r>
          </w:p>
        </w:tc>
        <w:tc>
          <w:tcPr>
            <w:tcW w:w="26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25.3%</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35.4</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39.2</w:t>
            </w:r>
          </w:p>
        </w:tc>
        <w:tc>
          <w:tcPr>
            <w:tcW w:w="280" w:type="dxa"/>
            <w:vAlign w:val="bottom"/>
          </w:tcPr>
          <w:p>
            <w:pPr>
              <w:spacing w:after="0"/>
              <w:rPr>
                <w:sz w:val="16"/>
                <w:szCs w:val="16"/>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5"/>
                <w:szCs w:val="15"/>
                <w:color w:val="auto"/>
              </w:rPr>
              <w:t>-9.6%</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92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Net earnings from continuing operations</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74.9</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83.8</w:t>
            </w:r>
          </w:p>
        </w:tc>
        <w:tc>
          <w:tcPr>
            <w:tcW w:w="2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-10.6%</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-10.9%</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88.4</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69.8</w:t>
            </w:r>
          </w:p>
        </w:tc>
        <w:tc>
          <w:tcPr>
            <w:tcW w:w="2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26.7%</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39.6%</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5"/>
                <w:szCs w:val="15"/>
                <w:color w:val="auto"/>
              </w:rPr>
              <w:t>Income from discontinued operations, net of income taxes</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2"/>
            <w:vMerge w:val="restart"/>
          </w:tcPr>
          <w:p>
            <w:pPr>
              <w:jc w:val="right"/>
              <w:ind w:right="340"/>
              <w:spacing w:after="0"/>
              <w:rPr>
                <w:sz w:val="20"/>
                <w:szCs w:val="20"/>
                <w:color w:val="auto"/>
              </w:rPr>
            </w:pPr>
            <w:r>
              <w:rPr>
                <w:rFonts w:ascii="Arial" w:cs="Arial" w:eastAsia="Arial" w:hAnsi="Arial"/>
                <w:sz w:val="15"/>
                <w:szCs w:val="15"/>
                <w:color w:val="auto"/>
              </w:rPr>
              <w:t>N/A</w:t>
            </w: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N/A</w:t>
            </w: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9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1.4</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(0.4)</w:t>
            </w:r>
          </w:p>
        </w:tc>
        <w:tc>
          <w:tcPr>
            <w:tcW w:w="82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0.7</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(0.2)</w:t>
            </w:r>
          </w:p>
        </w:tc>
        <w:tc>
          <w:tcPr>
            <w:tcW w:w="6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9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492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Net earnings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76.3</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83.4</w:t>
            </w:r>
          </w:p>
        </w:tc>
        <w:tc>
          <w:tcPr>
            <w:tcW w:w="2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-8.5%</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-8.7%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89.1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69.6</w:t>
            </w:r>
          </w:p>
        </w:tc>
        <w:tc>
          <w:tcPr>
            <w:tcW w:w="2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27.9%</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41.0%</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5"/>
                <w:szCs w:val="15"/>
                <w:color w:val="auto"/>
              </w:rPr>
              <w:t>Net earnings per share - basic:</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9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92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Continuing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0.86</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0.93</w:t>
            </w:r>
          </w:p>
        </w:tc>
        <w:tc>
          <w:tcPr>
            <w:tcW w:w="2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-7.5%</w:t>
            </w: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1.01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0.77</w:t>
            </w:r>
          </w:p>
        </w:tc>
        <w:tc>
          <w:tcPr>
            <w:tcW w:w="2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31.2%</w:t>
            </w: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920" w:type="dxa"/>
            <w:vAlign w:val="bottom"/>
            <w:gridSpan w:val="2"/>
          </w:tcPr>
          <w:p>
            <w:pPr>
              <w:ind w:left="180"/>
              <w:spacing w:after="0"/>
              <w:rPr>
                <w:sz w:val="20"/>
                <w:szCs w:val="20"/>
                <w:color w:val="auto"/>
              </w:rPr>
            </w:pPr>
            <w:r>
              <w:rPr>
                <w:rFonts w:ascii="Arial" w:cs="Arial" w:eastAsia="Arial" w:hAnsi="Arial"/>
                <w:sz w:val="15"/>
                <w:szCs w:val="15"/>
                <w:color w:val="auto"/>
              </w:rPr>
              <w:t>Discontinued operations</w:t>
            </w:r>
          </w:p>
        </w:tc>
        <w:tc>
          <w:tcPr>
            <w:tcW w:w="80" w:type="dxa"/>
            <w:vAlign w:val="bottom"/>
          </w:tcPr>
          <w:p>
            <w:pPr>
              <w:spacing w:after="0"/>
              <w:rPr>
                <w:sz w:val="16"/>
                <w:szCs w:val="16"/>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0.02</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340"/>
              <w:spacing w:after="0"/>
              <w:rPr>
                <w:sz w:val="20"/>
                <w:szCs w:val="20"/>
                <w:color w:val="auto"/>
              </w:rPr>
            </w:pPr>
            <w:r>
              <w:rPr>
                <w:rFonts w:ascii="Arial" w:cs="Arial" w:eastAsia="Arial" w:hAnsi="Arial"/>
                <w:sz w:val="15"/>
                <w:szCs w:val="15"/>
                <w:color w:val="auto"/>
              </w:rPr>
              <w:t>N/A</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0.01</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N/A</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9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492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0.88</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0.93</w:t>
            </w:r>
          </w:p>
        </w:tc>
        <w:tc>
          <w:tcPr>
            <w:tcW w:w="2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-5.4%</w:t>
            </w: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1.02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0.77</w:t>
            </w:r>
          </w:p>
        </w:tc>
        <w:tc>
          <w:tcPr>
            <w:tcW w:w="2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32.5%</w:t>
            </w: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5"/>
                <w:szCs w:val="15"/>
                <w:color w:val="auto"/>
              </w:rPr>
              <w:t>Net earnings per share - 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9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92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Continuing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0.85</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0.87</w:t>
            </w:r>
          </w:p>
        </w:tc>
        <w:tc>
          <w:tcPr>
            <w:tcW w:w="2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-2.3%</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0.73</w:t>
            </w:r>
          </w:p>
        </w:tc>
        <w:tc>
          <w:tcPr>
            <w:tcW w:w="2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37.0%</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45.2%</w:t>
            </w:r>
          </w:p>
        </w:tc>
        <w:tc>
          <w:tcPr>
            <w:tcW w:w="0" w:type="dxa"/>
            <w:vAlign w:val="bottom"/>
          </w:tcPr>
          <w:p>
            <w:pPr>
              <w:spacing w:after="0"/>
              <w:rPr>
                <w:sz w:val="1"/>
                <w:szCs w:val="1"/>
                <w:color w:val="auto"/>
              </w:rPr>
            </w:pPr>
          </w:p>
        </w:tc>
      </w:tr>
      <w:tr>
        <w:trPr>
          <w:trHeight w:val="188"/>
        </w:trPr>
        <w:tc>
          <w:tcPr>
            <w:tcW w:w="4920" w:type="dxa"/>
            <w:vAlign w:val="bottom"/>
            <w:gridSpan w:val="2"/>
          </w:tcPr>
          <w:p>
            <w:pPr>
              <w:ind w:left="180"/>
              <w:spacing w:after="0"/>
              <w:rPr>
                <w:sz w:val="20"/>
                <w:szCs w:val="20"/>
                <w:color w:val="auto"/>
              </w:rPr>
            </w:pPr>
            <w:r>
              <w:rPr>
                <w:rFonts w:ascii="Arial" w:cs="Arial" w:eastAsia="Arial" w:hAnsi="Arial"/>
                <w:sz w:val="15"/>
                <w:szCs w:val="15"/>
                <w:color w:val="auto"/>
              </w:rPr>
              <w:t>Discontinued operations</w:t>
            </w:r>
          </w:p>
        </w:tc>
        <w:tc>
          <w:tcPr>
            <w:tcW w:w="80" w:type="dxa"/>
            <w:vAlign w:val="bottom"/>
          </w:tcPr>
          <w:p>
            <w:pPr>
              <w:spacing w:after="0"/>
              <w:rPr>
                <w:sz w:val="16"/>
                <w:szCs w:val="16"/>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0.02</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340"/>
              <w:spacing w:after="0"/>
              <w:rPr>
                <w:sz w:val="20"/>
                <w:szCs w:val="20"/>
                <w:color w:val="auto"/>
              </w:rPr>
            </w:pPr>
            <w:r>
              <w:rPr>
                <w:rFonts w:ascii="Arial" w:cs="Arial" w:eastAsia="Arial" w:hAnsi="Arial"/>
                <w:sz w:val="15"/>
                <w:szCs w:val="15"/>
                <w:color w:val="auto"/>
              </w:rPr>
              <w:t>N/A</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0.01</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N/A</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9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492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0.87</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0.87</w:t>
            </w:r>
          </w:p>
        </w:tc>
        <w:tc>
          <w:tcPr>
            <w:tcW w:w="2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0.0%</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1.01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0.73</w:t>
            </w:r>
          </w:p>
        </w:tc>
        <w:tc>
          <w:tcPr>
            <w:tcW w:w="2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38.4%</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46.6%</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5"/>
                <w:szCs w:val="15"/>
                <w:color w:val="auto"/>
              </w:rPr>
              <w:t>Weighted average shares - basic</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-3.4%</w:t>
            </w: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vMerge w:val="restart"/>
          </w:tcPr>
          <w:p>
            <w:pPr>
              <w:jc w:val="right"/>
              <w:ind w:right="20"/>
              <w:spacing w:after="0"/>
              <w:rPr>
                <w:sz w:val="20"/>
                <w:szCs w:val="20"/>
                <w:color w:val="auto"/>
              </w:rPr>
            </w:pPr>
            <w:r>
              <w:rPr>
                <w:rFonts w:ascii="Arial" w:cs="Arial" w:eastAsia="Arial" w:hAnsi="Arial"/>
                <w:sz w:val="15"/>
                <w:szCs w:val="15"/>
                <w:color w:val="auto"/>
              </w:rPr>
              <w:t>-3.2%</w:t>
            </w: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9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87.0</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90.0</w:t>
            </w:r>
          </w:p>
        </w:tc>
        <w:tc>
          <w:tcPr>
            <w:tcW w:w="26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87.2</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90.1</w:t>
            </w:r>
          </w:p>
        </w:tc>
        <w:tc>
          <w:tcPr>
            <w:tcW w:w="28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9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Weighted average shares - diluted</w:t>
            </w: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88.2</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97.2</w:t>
            </w:r>
          </w:p>
        </w:tc>
        <w:tc>
          <w:tcPr>
            <w:tcW w:w="2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-9.2%</w:t>
            </w:r>
          </w:p>
        </w:tc>
        <w:tc>
          <w:tcPr>
            <w:tcW w:w="4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88.5</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97.5</w:t>
            </w:r>
          </w:p>
        </w:tc>
        <w:tc>
          <w:tcPr>
            <w:tcW w:w="2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-9.2%</w:t>
            </w: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6"/>
          </w:tcPr>
          <w:p>
            <w:pPr>
              <w:jc w:val="center"/>
              <w:ind w:right="160"/>
              <w:spacing w:after="0"/>
              <w:rPr>
                <w:sz w:val="20"/>
                <w:szCs w:val="20"/>
                <w:color w:val="auto"/>
              </w:rPr>
            </w:pPr>
            <w:r>
              <w:rPr>
                <w:rFonts w:ascii="Arial" w:cs="Arial" w:eastAsia="Arial" w:hAnsi="Arial"/>
                <w:sz w:val="12"/>
                <w:szCs w:val="12"/>
                <w:b w:val="1"/>
                <w:bCs w:val="1"/>
                <w:color w:val="auto"/>
                <w:w w:val="89"/>
              </w:rPr>
              <w:t>Nine Months Ended September 30</w:t>
            </w:r>
          </w:p>
        </w:tc>
        <w:tc>
          <w:tcPr>
            <w:tcW w:w="48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5"/>
          </w:tcPr>
          <w:p>
            <w:pPr>
              <w:jc w:val="center"/>
              <w:ind w:right="140"/>
              <w:spacing w:after="0"/>
              <w:rPr>
                <w:sz w:val="20"/>
                <w:szCs w:val="20"/>
                <w:color w:val="auto"/>
              </w:rPr>
            </w:pPr>
            <w:r>
              <w:rPr>
                <w:rFonts w:ascii="Arial" w:cs="Arial" w:eastAsia="Arial" w:hAnsi="Arial"/>
                <w:sz w:val="12"/>
                <w:szCs w:val="12"/>
                <w:b w:val="1"/>
                <w:bCs w:val="1"/>
                <w:color w:val="auto"/>
                <w:w w:val="88"/>
              </w:rPr>
              <w:t>Year Ended December 31</w:t>
            </w:r>
          </w:p>
        </w:tc>
        <w:tc>
          <w:tcPr>
            <w:tcW w:w="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94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tcBorders>
              <w:bottom w:val="single" w:sz="8" w:color="auto"/>
            </w:tcBorders>
            <w:gridSpan w:val="3"/>
          </w:tcPr>
          <w:p>
            <w:pPr>
              <w:ind w:left="360"/>
              <w:spacing w:after="0" w:line="121" w:lineRule="exact"/>
              <w:rPr>
                <w:sz w:val="20"/>
                <w:szCs w:val="20"/>
                <w:color w:val="auto"/>
              </w:rPr>
            </w:pPr>
            <w:r>
              <w:rPr>
                <w:rFonts w:ascii="Arial" w:cs="Arial" w:eastAsia="Arial" w:hAnsi="Arial"/>
                <w:sz w:val="12"/>
                <w:szCs w:val="12"/>
                <w:b w:val="1"/>
                <w:bCs w:val="1"/>
                <w:color w:val="auto"/>
              </w:rPr>
              <w:t>% Variance</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80" w:type="dxa"/>
            <w:vAlign w:val="bottom"/>
            <w:tcBorders>
              <w:bottom w:val="single" w:sz="8" w:color="auto"/>
            </w:tcBorders>
            <w:gridSpan w:val="4"/>
          </w:tcPr>
          <w:p>
            <w:pPr>
              <w:ind w:left="340"/>
              <w:spacing w:after="0" w:line="121" w:lineRule="exact"/>
              <w:rPr>
                <w:sz w:val="20"/>
                <w:szCs w:val="20"/>
                <w:color w:val="auto"/>
              </w:rPr>
            </w:pPr>
            <w:r>
              <w:rPr>
                <w:rFonts w:ascii="Arial" w:cs="Arial" w:eastAsia="Arial" w:hAnsi="Arial"/>
                <w:sz w:val="12"/>
                <w:szCs w:val="12"/>
                <w:b w:val="1"/>
                <w:bCs w:val="1"/>
                <w:color w:val="auto"/>
              </w:rPr>
              <w:t>% Variance</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940" w:type="dxa"/>
            <w:vAlign w:val="bottom"/>
          </w:tcPr>
          <w:p>
            <w:pPr>
              <w:spacing w:after="0"/>
              <w:rPr>
                <w:sz w:val="9"/>
                <w:szCs w:val="9"/>
                <w:color w:val="auto"/>
              </w:rPr>
            </w:pPr>
          </w:p>
        </w:tc>
        <w:tc>
          <w:tcPr>
            <w:tcW w:w="39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vMerge w:val="restart"/>
          </w:tcPr>
          <w:p>
            <w:pPr>
              <w:jc w:val="right"/>
              <w:ind w:right="125"/>
              <w:spacing w:after="0"/>
              <w:rPr>
                <w:sz w:val="20"/>
                <w:szCs w:val="20"/>
                <w:color w:val="auto"/>
              </w:rPr>
            </w:pPr>
            <w:r>
              <w:rPr>
                <w:rFonts w:ascii="Arial" w:cs="Arial" w:eastAsia="Arial" w:hAnsi="Arial"/>
                <w:sz w:val="12"/>
                <w:szCs w:val="12"/>
                <w:b w:val="1"/>
                <w:bCs w:val="1"/>
                <w:color w:val="auto"/>
              </w:rPr>
              <w:t>2005</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vMerge w:val="restart"/>
          </w:tcPr>
          <w:p>
            <w:pPr>
              <w:jc w:val="right"/>
              <w:ind w:right="125"/>
              <w:spacing w:after="0"/>
              <w:rPr>
                <w:sz w:val="20"/>
                <w:szCs w:val="20"/>
                <w:color w:val="auto"/>
              </w:rPr>
            </w:pPr>
            <w:r>
              <w:rPr>
                <w:rFonts w:ascii="Arial" w:cs="Arial" w:eastAsia="Arial" w:hAnsi="Arial"/>
                <w:sz w:val="12"/>
                <w:szCs w:val="12"/>
                <w:b w:val="1"/>
                <w:bCs w:val="1"/>
                <w:color w:val="auto"/>
              </w:rPr>
              <w:t>2004</w:t>
            </w:r>
          </w:p>
        </w:tc>
        <w:tc>
          <w:tcPr>
            <w:tcW w:w="260" w:type="dxa"/>
            <w:vAlign w:val="bottom"/>
          </w:tcPr>
          <w:p>
            <w:pPr>
              <w:spacing w:after="0"/>
              <w:rPr>
                <w:sz w:val="9"/>
                <w:szCs w:val="9"/>
                <w:color w:val="auto"/>
              </w:rPr>
            </w:pPr>
          </w:p>
        </w:tc>
        <w:tc>
          <w:tcPr>
            <w:tcW w:w="820" w:type="dxa"/>
            <w:vAlign w:val="bottom"/>
            <w:gridSpan w:val="2"/>
          </w:tcPr>
          <w:p>
            <w:pPr>
              <w:jc w:val="right"/>
              <w:ind w:right="380"/>
              <w:spacing w:after="0" w:line="110" w:lineRule="exact"/>
              <w:rPr>
                <w:sz w:val="20"/>
                <w:szCs w:val="20"/>
                <w:color w:val="auto"/>
              </w:rPr>
            </w:pPr>
            <w:r>
              <w:rPr>
                <w:rFonts w:ascii="Arial" w:cs="Arial" w:eastAsia="Arial" w:hAnsi="Arial"/>
                <w:sz w:val="12"/>
                <w:szCs w:val="12"/>
                <w:b w:val="1"/>
                <w:bCs w:val="1"/>
                <w:color w:val="auto"/>
                <w:w w:val="92"/>
              </w:rPr>
              <w:t>Amount</w:t>
            </w:r>
          </w:p>
        </w:tc>
        <w:tc>
          <w:tcPr>
            <w:tcW w:w="480" w:type="dxa"/>
            <w:vAlign w:val="bottom"/>
          </w:tcPr>
          <w:p>
            <w:pPr>
              <w:ind w:left="20"/>
              <w:spacing w:after="0" w:line="110" w:lineRule="exact"/>
              <w:rPr>
                <w:sz w:val="20"/>
                <w:szCs w:val="20"/>
                <w:color w:val="auto"/>
              </w:rPr>
            </w:pPr>
            <w:r>
              <w:rPr>
                <w:rFonts w:ascii="Arial" w:cs="Arial" w:eastAsia="Arial" w:hAnsi="Arial"/>
                <w:sz w:val="12"/>
                <w:szCs w:val="12"/>
                <w:b w:val="1"/>
                <w:bCs w:val="1"/>
                <w:color w:val="auto"/>
                <w:w w:val="84"/>
              </w:rPr>
              <w:t>Constant</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vMerge w:val="restart"/>
          </w:tcPr>
          <w:p>
            <w:pPr>
              <w:jc w:val="right"/>
              <w:ind w:right="104"/>
              <w:spacing w:after="0"/>
              <w:rPr>
                <w:sz w:val="20"/>
                <w:szCs w:val="20"/>
                <w:color w:val="auto"/>
              </w:rPr>
            </w:pPr>
            <w:r>
              <w:rPr>
                <w:rFonts w:ascii="Arial" w:cs="Arial" w:eastAsia="Arial" w:hAnsi="Arial"/>
                <w:sz w:val="12"/>
                <w:szCs w:val="12"/>
                <w:b w:val="1"/>
                <w:bCs w:val="1"/>
                <w:color w:val="auto"/>
              </w:rPr>
              <w:t>2005</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vMerge w:val="restart"/>
          </w:tcPr>
          <w:p>
            <w:pPr>
              <w:jc w:val="right"/>
              <w:ind w:right="125"/>
              <w:spacing w:after="0"/>
              <w:rPr>
                <w:sz w:val="20"/>
                <w:szCs w:val="20"/>
                <w:color w:val="auto"/>
              </w:rPr>
            </w:pPr>
            <w:r>
              <w:rPr>
                <w:rFonts w:ascii="Arial" w:cs="Arial" w:eastAsia="Arial" w:hAnsi="Arial"/>
                <w:sz w:val="12"/>
                <w:szCs w:val="12"/>
                <w:b w:val="1"/>
                <w:bCs w:val="1"/>
                <w:color w:val="auto"/>
              </w:rPr>
              <w:t>2004</w:t>
            </w:r>
          </w:p>
        </w:tc>
        <w:tc>
          <w:tcPr>
            <w:tcW w:w="280" w:type="dxa"/>
            <w:vAlign w:val="bottom"/>
          </w:tcPr>
          <w:p>
            <w:pPr>
              <w:spacing w:after="0"/>
              <w:rPr>
                <w:sz w:val="9"/>
                <w:szCs w:val="9"/>
                <w:color w:val="auto"/>
              </w:rPr>
            </w:pPr>
          </w:p>
        </w:tc>
        <w:tc>
          <w:tcPr>
            <w:tcW w:w="600" w:type="dxa"/>
            <w:vAlign w:val="bottom"/>
            <w:gridSpan w:val="2"/>
          </w:tcPr>
          <w:p>
            <w:pPr>
              <w:jc w:val="right"/>
              <w:ind w:right="160"/>
              <w:spacing w:after="0" w:line="110" w:lineRule="exact"/>
              <w:rPr>
                <w:sz w:val="20"/>
                <w:szCs w:val="20"/>
                <w:color w:val="auto"/>
              </w:rPr>
            </w:pPr>
            <w:r>
              <w:rPr>
                <w:rFonts w:ascii="Arial" w:cs="Arial" w:eastAsia="Arial" w:hAnsi="Arial"/>
                <w:sz w:val="12"/>
                <w:szCs w:val="12"/>
                <w:b w:val="1"/>
                <w:bCs w:val="1"/>
                <w:color w:val="auto"/>
                <w:w w:val="92"/>
              </w:rPr>
              <w:t>Amount</w:t>
            </w:r>
          </w:p>
        </w:tc>
        <w:tc>
          <w:tcPr>
            <w:tcW w:w="200" w:type="dxa"/>
            <w:vAlign w:val="bottom"/>
          </w:tcPr>
          <w:p>
            <w:pPr>
              <w:spacing w:after="0"/>
              <w:rPr>
                <w:sz w:val="9"/>
                <w:szCs w:val="9"/>
                <w:color w:val="auto"/>
              </w:rPr>
            </w:pPr>
          </w:p>
        </w:tc>
        <w:tc>
          <w:tcPr>
            <w:tcW w:w="480" w:type="dxa"/>
            <w:vAlign w:val="bottom"/>
          </w:tcPr>
          <w:p>
            <w:pPr>
              <w:ind w:left="20"/>
              <w:spacing w:after="0" w:line="110" w:lineRule="exact"/>
              <w:rPr>
                <w:sz w:val="20"/>
                <w:szCs w:val="20"/>
                <w:color w:val="auto"/>
              </w:rPr>
            </w:pPr>
            <w:r>
              <w:rPr>
                <w:rFonts w:ascii="Arial" w:cs="Arial" w:eastAsia="Arial" w:hAnsi="Arial"/>
                <w:sz w:val="12"/>
                <w:szCs w:val="12"/>
                <w:b w:val="1"/>
                <w:bCs w:val="1"/>
                <w:color w:val="auto"/>
                <w:w w:val="84"/>
              </w:rPr>
              <w:t>Constant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9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b w:val="1"/>
                <w:bCs w:val="1"/>
                <w:color w:val="auto"/>
                <w:w w:val="87"/>
              </w:rPr>
              <w:t>Reported</w:t>
            </w:r>
          </w:p>
        </w:tc>
        <w:tc>
          <w:tcPr>
            <w:tcW w:w="340" w:type="dxa"/>
            <w:vAlign w:val="bottom"/>
          </w:tcPr>
          <w:p>
            <w:pPr>
              <w:spacing w:after="0"/>
              <w:rPr>
                <w:sz w:val="12"/>
                <w:szCs w:val="12"/>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Currency</w:t>
            </w: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83"/>
              </w:rPr>
              <w:t>Reported</w:t>
            </w:r>
          </w:p>
        </w:tc>
        <w:tc>
          <w:tcPr>
            <w:tcW w:w="200" w:type="dxa"/>
            <w:vAlign w:val="bottom"/>
          </w:tcPr>
          <w:p>
            <w:pPr>
              <w:spacing w:after="0"/>
              <w:rPr>
                <w:sz w:val="12"/>
                <w:szCs w:val="12"/>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Currency</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94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gridSpan w:val="4"/>
          </w:tcPr>
          <w:p>
            <w:pPr>
              <w:jc w:val="center"/>
              <w:ind w:right="480"/>
              <w:spacing w:after="0" w:line="121" w:lineRule="exact"/>
              <w:rPr>
                <w:sz w:val="20"/>
                <w:szCs w:val="20"/>
                <w:color w:val="auto"/>
              </w:rPr>
            </w:pPr>
            <w:r>
              <w:rPr>
                <w:rFonts w:ascii="Arial" w:cs="Arial" w:eastAsia="Arial" w:hAnsi="Arial"/>
                <w:sz w:val="12"/>
                <w:szCs w:val="12"/>
                <w:b w:val="1"/>
                <w:bCs w:val="1"/>
                <w:color w:val="auto"/>
                <w:w w:val="92"/>
              </w:rPr>
              <w:t>(Unaudited)</w:t>
            </w: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gridSpan w:val="4"/>
          </w:tcPr>
          <w:p>
            <w:pPr>
              <w:jc w:val="center"/>
              <w:ind w:right="220"/>
              <w:spacing w:after="0" w:line="121" w:lineRule="exact"/>
              <w:rPr>
                <w:sz w:val="20"/>
                <w:szCs w:val="20"/>
                <w:color w:val="auto"/>
              </w:rPr>
            </w:pPr>
            <w:r>
              <w:rPr>
                <w:rFonts w:ascii="Arial" w:cs="Arial" w:eastAsia="Arial" w:hAnsi="Arial"/>
                <w:sz w:val="12"/>
                <w:szCs w:val="12"/>
                <w:b w:val="1"/>
                <w:bCs w:val="1"/>
                <w:color w:val="auto"/>
                <w:w w:val="89"/>
              </w:rPr>
              <w:t>(Unaudited)</w:t>
            </w: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49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Revenues from services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88"/>
              </w:rPr>
              <w:t>11,777.1</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$10,669.5</w:t>
            </w:r>
          </w:p>
        </w:tc>
        <w:tc>
          <w:tcPr>
            <w:tcW w:w="2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10.4%</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7.9%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88"/>
              </w:rPr>
              <w:t>15,845.4</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$14,675.0</w:t>
            </w:r>
          </w:p>
        </w:tc>
        <w:tc>
          <w:tcPr>
            <w:tcW w:w="2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8.0%</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7.9%</w:t>
            </w:r>
          </w:p>
        </w:tc>
        <w:tc>
          <w:tcPr>
            <w:tcW w:w="0" w:type="dxa"/>
            <w:vAlign w:val="bottom"/>
          </w:tcPr>
          <w:p>
            <w:pPr>
              <w:spacing w:after="0"/>
              <w:rPr>
                <w:sz w:val="1"/>
                <w:szCs w:val="1"/>
                <w:color w:val="auto"/>
              </w:rPr>
            </w:pPr>
          </w:p>
        </w:tc>
      </w:tr>
      <w:tr>
        <w:trPr>
          <w:trHeight w:val="188"/>
        </w:trPr>
        <w:tc>
          <w:tcPr>
            <w:tcW w:w="4920" w:type="dxa"/>
            <w:vAlign w:val="bottom"/>
            <w:gridSpan w:val="2"/>
          </w:tcPr>
          <w:p>
            <w:pPr>
              <w:spacing w:after="0"/>
              <w:rPr>
                <w:sz w:val="20"/>
                <w:szCs w:val="20"/>
                <w:color w:val="auto"/>
              </w:rPr>
            </w:pPr>
            <w:r>
              <w:rPr>
                <w:rFonts w:ascii="Arial" w:cs="Arial" w:eastAsia="Arial" w:hAnsi="Arial"/>
                <w:sz w:val="15"/>
                <w:szCs w:val="15"/>
                <w:color w:val="auto"/>
              </w:rPr>
              <w:t>Cost of services</w:t>
            </w:r>
          </w:p>
        </w:tc>
        <w:tc>
          <w:tcPr>
            <w:tcW w:w="80" w:type="dxa"/>
            <w:vAlign w:val="bottom"/>
          </w:tcPr>
          <w:p>
            <w:pPr>
              <w:spacing w:after="0"/>
              <w:rPr>
                <w:sz w:val="16"/>
                <w:szCs w:val="16"/>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9,691.7</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w w:val="95"/>
              </w:rPr>
              <w:t>8,735.3</w:t>
            </w:r>
          </w:p>
        </w:tc>
        <w:tc>
          <w:tcPr>
            <w:tcW w:w="26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10.9%</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w w:val="88"/>
              </w:rPr>
              <w:t>13,013.6</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w w:val="88"/>
              </w:rPr>
              <w:t>12,005.7</w:t>
            </w:r>
          </w:p>
        </w:tc>
        <w:tc>
          <w:tcPr>
            <w:tcW w:w="280" w:type="dxa"/>
            <w:vAlign w:val="bottom"/>
          </w:tcPr>
          <w:p>
            <w:pPr>
              <w:spacing w:after="0"/>
              <w:rPr>
                <w:sz w:val="16"/>
                <w:szCs w:val="16"/>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5"/>
                <w:szCs w:val="15"/>
                <w:color w:val="auto"/>
              </w:rPr>
              <w:t>8.4%</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9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492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Gross profit</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2,085.4</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1,934.2</w:t>
            </w:r>
          </w:p>
        </w:tc>
        <w:tc>
          <w:tcPr>
            <w:tcW w:w="2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7.8%</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5.5%</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2,831.8</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2,669.3</w:t>
            </w:r>
          </w:p>
        </w:tc>
        <w:tc>
          <w:tcPr>
            <w:tcW w:w="2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6.1%</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6.1%</w:t>
            </w:r>
          </w:p>
        </w:tc>
        <w:tc>
          <w:tcPr>
            <w:tcW w:w="0" w:type="dxa"/>
            <w:vAlign w:val="bottom"/>
          </w:tcPr>
          <w:p>
            <w:pPr>
              <w:spacing w:after="0"/>
              <w:rPr>
                <w:sz w:val="1"/>
                <w:szCs w:val="1"/>
                <w:color w:val="auto"/>
              </w:rPr>
            </w:pPr>
          </w:p>
        </w:tc>
      </w:tr>
      <w:tr>
        <w:trPr>
          <w:trHeight w:val="188"/>
        </w:trPr>
        <w:tc>
          <w:tcPr>
            <w:tcW w:w="4920" w:type="dxa"/>
            <w:vAlign w:val="bottom"/>
            <w:gridSpan w:val="2"/>
          </w:tcPr>
          <w:p>
            <w:pPr>
              <w:spacing w:after="0"/>
              <w:rPr>
                <w:sz w:val="20"/>
                <w:szCs w:val="20"/>
                <w:color w:val="auto"/>
              </w:rPr>
            </w:pPr>
            <w:r>
              <w:rPr>
                <w:rFonts w:ascii="Arial" w:cs="Arial" w:eastAsia="Arial" w:hAnsi="Arial"/>
                <w:sz w:val="15"/>
                <w:szCs w:val="15"/>
                <w:color w:val="auto"/>
              </w:rPr>
              <w:t>Selling and administrative expenses</w:t>
            </w:r>
          </w:p>
        </w:tc>
        <w:tc>
          <w:tcPr>
            <w:tcW w:w="80" w:type="dxa"/>
            <w:vAlign w:val="bottom"/>
          </w:tcPr>
          <w:p>
            <w:pPr>
              <w:spacing w:after="0"/>
              <w:rPr>
                <w:sz w:val="16"/>
                <w:szCs w:val="16"/>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1,787.4</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w w:val="95"/>
              </w:rPr>
              <w:t>1,654.3</w:t>
            </w:r>
          </w:p>
        </w:tc>
        <w:tc>
          <w:tcPr>
            <w:tcW w:w="26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8.0%</w:t>
            </w: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5.7%</w:t>
            </w:r>
          </w:p>
        </w:tc>
        <w:tc>
          <w:tcPr>
            <w:tcW w:w="80" w:type="dxa"/>
            <w:vAlign w:val="bottom"/>
          </w:tcPr>
          <w:p>
            <w:pPr>
              <w:spacing w:after="0"/>
              <w:rPr>
                <w:sz w:val="16"/>
                <w:szCs w:val="16"/>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2,403.0</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2,271.5</w:t>
            </w:r>
          </w:p>
        </w:tc>
        <w:tc>
          <w:tcPr>
            <w:tcW w:w="280" w:type="dxa"/>
            <w:vAlign w:val="bottom"/>
          </w:tcPr>
          <w:p>
            <w:pPr>
              <w:spacing w:after="0"/>
              <w:rPr>
                <w:sz w:val="16"/>
                <w:szCs w:val="16"/>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5"/>
                <w:szCs w:val="15"/>
                <w:color w:val="auto"/>
              </w:rPr>
              <w:t>5.8%</w:t>
            </w:r>
          </w:p>
        </w:tc>
        <w:tc>
          <w:tcPr>
            <w:tcW w:w="820" w:type="dxa"/>
            <w:vAlign w:val="bottom"/>
            <w:gridSpan w:val="3"/>
          </w:tcPr>
          <w:p>
            <w:pPr>
              <w:jc w:val="right"/>
              <w:spacing w:after="0"/>
              <w:rPr>
                <w:sz w:val="20"/>
                <w:szCs w:val="20"/>
                <w:color w:val="auto"/>
              </w:rPr>
            </w:pPr>
            <w:r>
              <w:rPr>
                <w:rFonts w:ascii="Arial" w:cs="Arial" w:eastAsia="Arial" w:hAnsi="Arial"/>
                <w:sz w:val="15"/>
                <w:szCs w:val="15"/>
                <w:color w:val="auto"/>
              </w:rPr>
              <w:t>5.7%</w:t>
            </w:r>
          </w:p>
        </w:tc>
        <w:tc>
          <w:tcPr>
            <w:tcW w:w="0" w:type="dxa"/>
            <w:vAlign w:val="bottom"/>
          </w:tcPr>
          <w:p>
            <w:pPr>
              <w:spacing w:after="0"/>
              <w:rPr>
                <w:sz w:val="1"/>
                <w:szCs w:val="1"/>
                <w:color w:val="auto"/>
              </w:rPr>
            </w:pPr>
          </w:p>
        </w:tc>
      </w:tr>
      <w:tr>
        <w:trPr>
          <w:trHeight w:val="24"/>
        </w:trPr>
        <w:tc>
          <w:tcPr>
            <w:tcW w:w="9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492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Operating profit</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298.0</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279.9</w:t>
            </w:r>
          </w:p>
        </w:tc>
        <w:tc>
          <w:tcPr>
            <w:tcW w:w="2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6.5%</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4.1%</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428.8</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397.8</w:t>
            </w:r>
          </w:p>
        </w:tc>
        <w:tc>
          <w:tcPr>
            <w:tcW w:w="2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7.8%</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8.4%</w:t>
            </w:r>
          </w:p>
        </w:tc>
        <w:tc>
          <w:tcPr>
            <w:tcW w:w="0" w:type="dxa"/>
            <w:vAlign w:val="bottom"/>
          </w:tcPr>
          <w:p>
            <w:pPr>
              <w:spacing w:after="0"/>
              <w:rPr>
                <w:sz w:val="1"/>
                <w:szCs w:val="1"/>
                <w:color w:val="auto"/>
              </w:rPr>
            </w:pPr>
          </w:p>
        </w:tc>
      </w:tr>
      <w:tr>
        <w:trPr>
          <w:trHeight w:val="188"/>
        </w:trPr>
        <w:tc>
          <w:tcPr>
            <w:tcW w:w="4920" w:type="dxa"/>
            <w:vAlign w:val="bottom"/>
            <w:gridSpan w:val="2"/>
          </w:tcPr>
          <w:p>
            <w:pPr>
              <w:spacing w:after="0"/>
              <w:rPr>
                <w:sz w:val="20"/>
                <w:szCs w:val="20"/>
                <w:color w:val="auto"/>
              </w:rPr>
            </w:pPr>
            <w:r>
              <w:rPr>
                <w:rFonts w:ascii="Arial" w:cs="Arial" w:eastAsia="Arial" w:hAnsi="Arial"/>
                <w:sz w:val="15"/>
                <w:szCs w:val="15"/>
                <w:color w:val="auto"/>
              </w:rPr>
              <w:t>Interest and other expenses</w:t>
            </w:r>
          </w:p>
        </w:tc>
        <w:tc>
          <w:tcPr>
            <w:tcW w:w="80" w:type="dxa"/>
            <w:vAlign w:val="bottom"/>
          </w:tcPr>
          <w:p>
            <w:pPr>
              <w:spacing w:after="0"/>
              <w:rPr>
                <w:sz w:val="16"/>
                <w:szCs w:val="16"/>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34.8</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17.3</w:t>
            </w:r>
          </w:p>
        </w:tc>
        <w:tc>
          <w:tcPr>
            <w:tcW w:w="260" w:type="dxa"/>
            <w:vAlign w:val="bottom"/>
          </w:tcPr>
          <w:p>
            <w:pPr>
              <w:spacing w:after="0"/>
              <w:rPr>
                <w:sz w:val="16"/>
                <w:szCs w:val="16"/>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5"/>
                <w:szCs w:val="15"/>
                <w:color w:val="auto"/>
              </w:rPr>
              <w:t>N/A</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41.8</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26.2</w:t>
            </w:r>
          </w:p>
        </w:tc>
        <w:tc>
          <w:tcPr>
            <w:tcW w:w="280" w:type="dxa"/>
            <w:vAlign w:val="bottom"/>
          </w:tcPr>
          <w:p>
            <w:pPr>
              <w:spacing w:after="0"/>
              <w:rPr>
                <w:sz w:val="16"/>
                <w:szCs w:val="16"/>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5"/>
                <w:szCs w:val="15"/>
                <w:color w:val="auto"/>
              </w:rPr>
              <w:t>59.2%</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9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492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Earnings before income taxes and discontinued operations</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263.2</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262.6</w:t>
            </w:r>
          </w:p>
        </w:tc>
        <w:tc>
          <w:tcPr>
            <w:tcW w:w="2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0.2%</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-1.7%</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387.0</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371.6</w:t>
            </w:r>
          </w:p>
        </w:tc>
        <w:tc>
          <w:tcPr>
            <w:tcW w:w="2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4.2%</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6.2%</w:t>
            </w:r>
          </w:p>
        </w:tc>
        <w:tc>
          <w:tcPr>
            <w:tcW w:w="0" w:type="dxa"/>
            <w:vAlign w:val="bottom"/>
          </w:tcPr>
          <w:p>
            <w:pPr>
              <w:spacing w:after="0"/>
              <w:rPr>
                <w:sz w:val="1"/>
                <w:szCs w:val="1"/>
                <w:color w:val="auto"/>
              </w:rPr>
            </w:pPr>
          </w:p>
        </w:tc>
      </w:tr>
      <w:tr>
        <w:trPr>
          <w:trHeight w:val="188"/>
        </w:trPr>
        <w:tc>
          <w:tcPr>
            <w:tcW w:w="4920" w:type="dxa"/>
            <w:vAlign w:val="bottom"/>
            <w:gridSpan w:val="2"/>
          </w:tcPr>
          <w:p>
            <w:pPr>
              <w:spacing w:after="0"/>
              <w:rPr>
                <w:sz w:val="20"/>
                <w:szCs w:val="20"/>
                <w:color w:val="auto"/>
              </w:rPr>
            </w:pPr>
            <w:r>
              <w:rPr>
                <w:rFonts w:ascii="Arial" w:cs="Arial" w:eastAsia="Arial" w:hAnsi="Arial"/>
                <w:sz w:val="15"/>
                <w:szCs w:val="15"/>
                <w:color w:val="auto"/>
              </w:rPr>
              <w:t>Provision for income taxes</w:t>
            </w:r>
          </w:p>
        </w:tc>
        <w:tc>
          <w:tcPr>
            <w:tcW w:w="80" w:type="dxa"/>
            <w:vAlign w:val="bottom"/>
          </w:tcPr>
          <w:p>
            <w:pPr>
              <w:spacing w:after="0"/>
              <w:rPr>
                <w:sz w:val="16"/>
                <w:szCs w:val="16"/>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96.5</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85.1</w:t>
            </w:r>
          </w:p>
        </w:tc>
        <w:tc>
          <w:tcPr>
            <w:tcW w:w="26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13.4%</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131.9</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124.3</w:t>
            </w:r>
          </w:p>
        </w:tc>
        <w:tc>
          <w:tcPr>
            <w:tcW w:w="280" w:type="dxa"/>
            <w:vAlign w:val="bottom"/>
          </w:tcPr>
          <w:p>
            <w:pPr>
              <w:spacing w:after="0"/>
              <w:rPr>
                <w:sz w:val="16"/>
                <w:szCs w:val="16"/>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5"/>
                <w:szCs w:val="15"/>
                <w:color w:val="auto"/>
              </w:rPr>
              <w:t>6.2%</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92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Net earnings from continuing operations</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166.7</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177.5</w:t>
            </w:r>
          </w:p>
        </w:tc>
        <w:tc>
          <w:tcPr>
            <w:tcW w:w="2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-6.1%</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-7.9%</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255.1</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247.3</w:t>
            </w:r>
          </w:p>
        </w:tc>
        <w:tc>
          <w:tcPr>
            <w:tcW w:w="2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3.1%</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5.2%</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5"/>
                <w:szCs w:val="15"/>
                <w:color w:val="auto"/>
              </w:rPr>
              <w:t>Income from discontinued operations, net of income taxes</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2"/>
            <w:vMerge w:val="restart"/>
          </w:tcPr>
          <w:p>
            <w:pPr>
              <w:jc w:val="right"/>
              <w:ind w:right="340"/>
              <w:spacing w:after="0"/>
              <w:rPr>
                <w:sz w:val="20"/>
                <w:szCs w:val="20"/>
                <w:color w:val="auto"/>
              </w:rPr>
            </w:pPr>
            <w:r>
              <w:rPr>
                <w:rFonts w:ascii="Arial" w:cs="Arial" w:eastAsia="Arial" w:hAnsi="Arial"/>
                <w:sz w:val="15"/>
                <w:szCs w:val="15"/>
                <w:color w:val="auto"/>
              </w:rPr>
              <w:t>N/A</w:t>
            </w: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N/A</w:t>
            </w: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9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4.3</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(1.4)</w:t>
            </w:r>
          </w:p>
        </w:tc>
        <w:tc>
          <w:tcPr>
            <w:tcW w:w="82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5.0</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(1.6)</w:t>
            </w:r>
          </w:p>
        </w:tc>
        <w:tc>
          <w:tcPr>
            <w:tcW w:w="6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9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492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Net earnings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171.0</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176.1</w:t>
            </w:r>
          </w:p>
        </w:tc>
        <w:tc>
          <w:tcPr>
            <w:tcW w:w="2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-2.9%</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260.1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245.7</w:t>
            </w:r>
          </w:p>
        </w:tc>
        <w:tc>
          <w:tcPr>
            <w:tcW w:w="2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5.9%</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7.9%</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5"/>
                <w:szCs w:val="15"/>
                <w:color w:val="auto"/>
              </w:rPr>
              <w:t>Net earnings per share - basic:</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9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92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Continuing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1.88</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w:t>
            </w:r>
          </w:p>
        </w:tc>
        <w:tc>
          <w:tcPr>
            <w:tcW w:w="2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-6.5%</w:t>
            </w: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2.89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2.78</w:t>
            </w:r>
          </w:p>
        </w:tc>
        <w:tc>
          <w:tcPr>
            <w:tcW w:w="2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4.0%</w:t>
            </w: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920" w:type="dxa"/>
            <w:vAlign w:val="bottom"/>
            <w:gridSpan w:val="2"/>
          </w:tcPr>
          <w:p>
            <w:pPr>
              <w:ind w:left="180"/>
              <w:spacing w:after="0"/>
              <w:rPr>
                <w:sz w:val="20"/>
                <w:szCs w:val="20"/>
                <w:color w:val="auto"/>
              </w:rPr>
            </w:pPr>
            <w:r>
              <w:rPr>
                <w:rFonts w:ascii="Arial" w:cs="Arial" w:eastAsia="Arial" w:hAnsi="Arial"/>
                <w:sz w:val="15"/>
                <w:szCs w:val="15"/>
                <w:color w:val="auto"/>
              </w:rPr>
              <w:t>Discontinued operations</w:t>
            </w:r>
          </w:p>
        </w:tc>
        <w:tc>
          <w:tcPr>
            <w:tcW w:w="80" w:type="dxa"/>
            <w:vAlign w:val="bottom"/>
          </w:tcPr>
          <w:p>
            <w:pPr>
              <w:spacing w:after="0"/>
              <w:rPr>
                <w:sz w:val="16"/>
                <w:szCs w:val="16"/>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0.05</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(0.02)</w:t>
            </w:r>
          </w:p>
        </w:tc>
        <w:tc>
          <w:tcPr>
            <w:tcW w:w="820" w:type="dxa"/>
            <w:vAlign w:val="bottom"/>
            <w:gridSpan w:val="2"/>
          </w:tcPr>
          <w:p>
            <w:pPr>
              <w:jc w:val="right"/>
              <w:ind w:right="340"/>
              <w:spacing w:after="0"/>
              <w:rPr>
                <w:sz w:val="20"/>
                <w:szCs w:val="20"/>
                <w:color w:val="auto"/>
              </w:rPr>
            </w:pPr>
            <w:r>
              <w:rPr>
                <w:rFonts w:ascii="Arial" w:cs="Arial" w:eastAsia="Arial" w:hAnsi="Arial"/>
                <w:sz w:val="15"/>
                <w:szCs w:val="15"/>
                <w:color w:val="auto"/>
              </w:rPr>
              <w:t>N/A</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0.06</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(0.02)</w:t>
            </w: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N/A</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9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492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1.93</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1.99</w:t>
            </w:r>
          </w:p>
        </w:tc>
        <w:tc>
          <w:tcPr>
            <w:tcW w:w="2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-3.0%</w:t>
            </w: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2.95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2.76</w:t>
            </w:r>
          </w:p>
        </w:tc>
        <w:tc>
          <w:tcPr>
            <w:tcW w:w="2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6.9%</w:t>
            </w: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5"/>
                <w:szCs w:val="15"/>
                <w:color w:val="auto"/>
              </w:rPr>
              <w:t>Net earnings per share - 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9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92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Continuing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1.83</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1.88</w:t>
            </w:r>
          </w:p>
        </w:tc>
        <w:tc>
          <w:tcPr>
            <w:tcW w:w="2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-2.7%</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2.81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2.61</w:t>
            </w:r>
          </w:p>
        </w:tc>
        <w:tc>
          <w:tcPr>
            <w:tcW w:w="2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7.7%</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8.4%</w:t>
            </w:r>
          </w:p>
        </w:tc>
        <w:tc>
          <w:tcPr>
            <w:tcW w:w="0" w:type="dxa"/>
            <w:vAlign w:val="bottom"/>
          </w:tcPr>
          <w:p>
            <w:pPr>
              <w:spacing w:after="0"/>
              <w:rPr>
                <w:sz w:val="1"/>
                <w:szCs w:val="1"/>
                <w:color w:val="auto"/>
              </w:rPr>
            </w:pPr>
          </w:p>
        </w:tc>
      </w:tr>
      <w:tr>
        <w:trPr>
          <w:trHeight w:val="188"/>
        </w:trPr>
        <w:tc>
          <w:tcPr>
            <w:tcW w:w="4920" w:type="dxa"/>
            <w:vAlign w:val="bottom"/>
            <w:gridSpan w:val="2"/>
          </w:tcPr>
          <w:p>
            <w:pPr>
              <w:ind w:left="180"/>
              <w:spacing w:after="0"/>
              <w:rPr>
                <w:sz w:val="20"/>
                <w:szCs w:val="20"/>
                <w:color w:val="auto"/>
              </w:rPr>
            </w:pPr>
            <w:r>
              <w:rPr>
                <w:rFonts w:ascii="Arial" w:cs="Arial" w:eastAsia="Arial" w:hAnsi="Arial"/>
                <w:sz w:val="15"/>
                <w:szCs w:val="15"/>
                <w:color w:val="auto"/>
              </w:rPr>
              <w:t>Discontinued operations</w:t>
            </w:r>
          </w:p>
        </w:tc>
        <w:tc>
          <w:tcPr>
            <w:tcW w:w="80" w:type="dxa"/>
            <w:vAlign w:val="bottom"/>
          </w:tcPr>
          <w:p>
            <w:pPr>
              <w:spacing w:after="0"/>
              <w:rPr>
                <w:sz w:val="16"/>
                <w:szCs w:val="16"/>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0.05</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(0.02)</w:t>
            </w:r>
          </w:p>
        </w:tc>
        <w:tc>
          <w:tcPr>
            <w:tcW w:w="820" w:type="dxa"/>
            <w:vAlign w:val="bottom"/>
            <w:gridSpan w:val="2"/>
          </w:tcPr>
          <w:p>
            <w:pPr>
              <w:jc w:val="right"/>
              <w:ind w:right="340"/>
              <w:spacing w:after="0"/>
              <w:rPr>
                <w:sz w:val="20"/>
                <w:szCs w:val="20"/>
                <w:color w:val="auto"/>
              </w:rPr>
            </w:pPr>
            <w:r>
              <w:rPr>
                <w:rFonts w:ascii="Arial" w:cs="Arial" w:eastAsia="Arial" w:hAnsi="Arial"/>
                <w:sz w:val="15"/>
                <w:szCs w:val="15"/>
                <w:color w:val="auto"/>
              </w:rPr>
              <w:t>N/A</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0.06</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(0.02)</w:t>
            </w: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N/A</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9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492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1.88</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1.86</w:t>
            </w:r>
          </w:p>
        </w:tc>
        <w:tc>
          <w:tcPr>
            <w:tcW w:w="2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1.1%</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2.87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2.59</w:t>
            </w:r>
          </w:p>
        </w:tc>
        <w:tc>
          <w:tcPr>
            <w:tcW w:w="2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10.8%</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11.6%</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5"/>
                <w:szCs w:val="15"/>
                <w:color w:val="auto"/>
              </w:rPr>
              <w:t>Weighted average shares - basic</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-0.1%</w:t>
            </w: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vMerge w:val="restart"/>
          </w:tcPr>
          <w:p>
            <w:pPr>
              <w:jc w:val="right"/>
              <w:ind w:right="20"/>
              <w:spacing w:after="0"/>
              <w:rPr>
                <w:sz w:val="20"/>
                <w:szCs w:val="20"/>
                <w:color w:val="auto"/>
              </w:rPr>
            </w:pPr>
            <w:r>
              <w:rPr>
                <w:rFonts w:ascii="Arial" w:cs="Arial" w:eastAsia="Arial" w:hAnsi="Arial"/>
                <w:sz w:val="15"/>
                <w:szCs w:val="15"/>
                <w:color w:val="auto"/>
              </w:rPr>
              <w:t>-0.9%</w:t>
            </w: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9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88.4</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88.5</w:t>
            </w:r>
          </w:p>
        </w:tc>
        <w:tc>
          <w:tcPr>
            <w:tcW w:w="26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88.1</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88.9</w:t>
            </w:r>
          </w:p>
        </w:tc>
        <w:tc>
          <w:tcPr>
            <w:tcW w:w="28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9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Weighted average shares - diluted</w:t>
            </w: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91.7</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96.4</w:t>
            </w:r>
          </w:p>
        </w:tc>
        <w:tc>
          <w:tcPr>
            <w:tcW w:w="2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-4.9%</w:t>
            </w:r>
          </w:p>
        </w:tc>
        <w:tc>
          <w:tcPr>
            <w:tcW w:w="4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91.1</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96.8</w:t>
            </w:r>
          </w:p>
        </w:tc>
        <w:tc>
          <w:tcPr>
            <w:tcW w:w="2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-5.8%</w:t>
            </w: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940" w:type="dxa"/>
            <w:vAlign w:val="bottom"/>
            <w:tcBorders>
              <w:bottom w:val="single" w:sz="8" w:color="auto"/>
            </w:tcBorders>
          </w:tcPr>
          <w:p>
            <w:pPr>
              <w:spacing w:after="0"/>
              <w:rPr>
                <w:sz w:val="7"/>
                <w:szCs w:val="7"/>
                <w:color w:val="auto"/>
              </w:rPr>
            </w:pPr>
          </w:p>
        </w:tc>
        <w:tc>
          <w:tcPr>
            <w:tcW w:w="39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5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p>
    <w:p>
      <w:pPr>
        <w:ind w:left="446" w:hanging="446"/>
        <w:spacing w:after="0"/>
        <w:tabs>
          <w:tab w:leader="none" w:pos="446" w:val="left"/>
        </w:tabs>
        <w:numPr>
          <w:ilvl w:val="0"/>
          <w:numId w:val="12"/>
        </w:numPr>
        <w:rPr>
          <w:rFonts w:ascii="Arial" w:cs="Arial" w:eastAsia="Arial" w:hAnsi="Arial"/>
          <w:sz w:val="20"/>
          <w:szCs w:val="20"/>
          <w:color w:val="auto"/>
          <w:vertAlign w:val="superscript"/>
        </w:rPr>
      </w:pPr>
      <w:r>
        <w:rPr>
          <w:rFonts w:ascii="Arial" w:cs="Arial" w:eastAsia="Arial" w:hAnsi="Arial"/>
          <w:sz w:val="15"/>
          <w:szCs w:val="15"/>
          <w:color w:val="auto"/>
        </w:rPr>
        <w:t>Restatement for discontinued operations and reclassifications of business tax and profit sharing expenses.</w:t>
      </w:r>
    </w:p>
    <w:p>
      <w:pPr>
        <w:sectPr>
          <w:pgSz w:w="11900" w:h="16838" w:orient="portrait"/>
          <w:cols w:equalWidth="0" w:num="1">
            <w:col w:w="11446"/>
          </w:cols>
          <w:pgMar w:left="234" w:top="262" w:right="219" w:bottom="1440" w:gutter="0" w:footer="0" w:header="0"/>
        </w:sectPr>
      </w:pPr>
    </w:p>
    <w:bookmarkStart w:id="34" w:name="page35"/>
    <w:bookmarkEnd w:id="34"/>
    <w:tbl>
      <w:tblPr>
        <w:tblLayout w:type="fixed"/>
        <w:tblInd w:w="6" w:type="dxa"/>
        <w:tblCellMar>
          <w:top w:w="0" w:type="dxa"/>
          <w:left w:w="0" w:type="dxa"/>
          <w:bottom w:w="0" w:type="dxa"/>
          <w:right w:w="0" w:type="dxa"/>
        </w:tblCellMar>
      </w:tblPr>
      <w:tr>
        <w:trPr>
          <w:trHeight w:val="194"/>
        </w:trPr>
        <w:tc>
          <w:tcPr>
            <w:tcW w:w="4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3"/>
          </w:tcPr>
          <w:p>
            <w:pPr>
              <w:jc w:val="right"/>
              <w:spacing w:after="0"/>
              <w:rPr>
                <w:sz w:val="20"/>
                <w:szCs w:val="20"/>
                <w:color w:val="auto"/>
              </w:rPr>
            </w:pPr>
            <w:r>
              <w:rPr>
                <w:rFonts w:ascii="Arial" w:cs="Arial" w:eastAsia="Arial" w:hAnsi="Arial"/>
                <w:sz w:val="15"/>
                <w:szCs w:val="15"/>
                <w:color w:val="auto"/>
                <w:w w:val="89"/>
              </w:rPr>
              <w:t>(Page 5 of 9)</w:t>
            </w:r>
          </w:p>
        </w:tc>
      </w:tr>
      <w:tr>
        <w:trPr>
          <w:trHeight w:val="323"/>
        </w:trPr>
        <w:tc>
          <w:tcPr>
            <w:tcW w:w="4440" w:type="dxa"/>
            <w:vAlign w:val="bottom"/>
          </w:tcPr>
          <w:p>
            <w:pPr>
              <w:spacing w:after="0"/>
              <w:rPr>
                <w:sz w:val="24"/>
                <w:szCs w:val="24"/>
                <w:color w:val="auto"/>
              </w:rPr>
            </w:pPr>
          </w:p>
        </w:tc>
        <w:tc>
          <w:tcPr>
            <w:tcW w:w="2180" w:type="dxa"/>
            <w:vAlign w:val="bottom"/>
            <w:gridSpan w:val="6"/>
          </w:tcPr>
          <w:p>
            <w:pPr>
              <w:jc w:val="center"/>
              <w:ind w:left="284"/>
              <w:spacing w:after="0"/>
              <w:rPr>
                <w:sz w:val="20"/>
                <w:szCs w:val="20"/>
                <w:color w:val="auto"/>
              </w:rPr>
            </w:pPr>
            <w:r>
              <w:rPr>
                <w:rFonts w:ascii="Arial" w:cs="Arial" w:eastAsia="Arial" w:hAnsi="Arial"/>
                <w:sz w:val="15"/>
                <w:szCs w:val="15"/>
                <w:color w:val="auto"/>
                <w:w w:val="95"/>
              </w:rPr>
              <w:t>Manpower Inc.</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8"/>
        </w:trPr>
        <w:tc>
          <w:tcPr>
            <w:tcW w:w="4440" w:type="dxa"/>
            <w:vAlign w:val="bottom"/>
          </w:tcPr>
          <w:p>
            <w:pPr>
              <w:spacing w:after="0"/>
              <w:rPr>
                <w:sz w:val="16"/>
                <w:szCs w:val="16"/>
                <w:color w:val="auto"/>
              </w:rPr>
            </w:pPr>
          </w:p>
        </w:tc>
        <w:tc>
          <w:tcPr>
            <w:tcW w:w="2180" w:type="dxa"/>
            <w:vAlign w:val="bottom"/>
            <w:gridSpan w:val="6"/>
          </w:tcPr>
          <w:p>
            <w:pPr>
              <w:jc w:val="center"/>
              <w:ind w:left="304"/>
              <w:spacing w:after="0" w:line="188" w:lineRule="exact"/>
              <w:rPr>
                <w:sz w:val="20"/>
                <w:szCs w:val="20"/>
                <w:color w:val="auto"/>
              </w:rPr>
            </w:pPr>
            <w:r>
              <w:rPr>
                <w:rFonts w:ascii="Arial" w:cs="Arial" w:eastAsia="Arial" w:hAnsi="Arial"/>
                <w:sz w:val="15"/>
                <w:szCs w:val="15"/>
                <w:color w:val="auto"/>
                <w:w w:val="90"/>
              </w:rPr>
              <w:t xml:space="preserve">Operating unit Results </w:t>
            </w:r>
            <w:r>
              <w:rPr>
                <w:rFonts w:ascii="Arial" w:cs="Arial" w:eastAsia="Arial" w:hAnsi="Arial"/>
                <w:sz w:val="19"/>
                <w:szCs w:val="19"/>
                <w:color w:val="auto"/>
                <w:w w:val="90"/>
                <w:vertAlign w:val="superscript"/>
              </w:rPr>
              <w:t>(1)</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4"/>
        </w:trPr>
        <w:tc>
          <w:tcPr>
            <w:tcW w:w="4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gridSpan w:val="4"/>
          </w:tcPr>
          <w:p>
            <w:pPr>
              <w:jc w:val="center"/>
              <w:ind w:right="40"/>
              <w:spacing w:after="0"/>
              <w:rPr>
                <w:sz w:val="20"/>
                <w:szCs w:val="20"/>
                <w:color w:val="auto"/>
              </w:rPr>
            </w:pPr>
            <w:r>
              <w:rPr>
                <w:rFonts w:ascii="Arial" w:cs="Arial" w:eastAsia="Arial" w:hAnsi="Arial"/>
                <w:sz w:val="15"/>
                <w:szCs w:val="15"/>
                <w:color w:val="auto"/>
              </w:rPr>
              <w:t>(In millions)</w:t>
            </w: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307"/>
        </w:trPr>
        <w:tc>
          <w:tcPr>
            <w:tcW w:w="4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2"/>
                <w:szCs w:val="12"/>
                <w:b w:val="1"/>
                <w:bCs w:val="1"/>
                <w:color w:val="auto"/>
                <w:w w:val="95"/>
              </w:rPr>
              <w:t>Three Months Ended March 31</w:t>
            </w:r>
          </w:p>
        </w:tc>
        <w:tc>
          <w:tcPr>
            <w:tcW w:w="5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6"/>
          </w:tcPr>
          <w:p>
            <w:pPr>
              <w:jc w:val="center"/>
              <w:spacing w:after="0"/>
              <w:rPr>
                <w:sz w:val="20"/>
                <w:szCs w:val="20"/>
                <w:color w:val="auto"/>
              </w:rPr>
            </w:pPr>
            <w:r>
              <w:rPr>
                <w:rFonts w:ascii="Arial" w:cs="Arial" w:eastAsia="Arial" w:hAnsi="Arial"/>
                <w:sz w:val="12"/>
                <w:szCs w:val="12"/>
                <w:b w:val="1"/>
                <w:bCs w:val="1"/>
                <w:color w:val="auto"/>
                <w:w w:val="89"/>
              </w:rPr>
              <w:t>Three Months Ended June 30</w:t>
            </w: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21"/>
        </w:trPr>
        <w:tc>
          <w:tcPr>
            <w:tcW w:w="44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tcBorders>
              <w:bottom w:val="single" w:sz="8" w:color="auto"/>
            </w:tcBorders>
            <w:gridSpan w:val="3"/>
          </w:tcPr>
          <w:p>
            <w:pPr>
              <w:jc w:val="right"/>
              <w:ind w:right="286"/>
              <w:spacing w:after="0" w:line="121" w:lineRule="exact"/>
              <w:rPr>
                <w:sz w:val="20"/>
                <w:szCs w:val="20"/>
                <w:color w:val="auto"/>
              </w:rPr>
            </w:pPr>
            <w:r>
              <w:rPr>
                <w:rFonts w:ascii="Arial" w:cs="Arial" w:eastAsia="Arial" w:hAnsi="Arial"/>
                <w:sz w:val="12"/>
                <w:szCs w:val="12"/>
                <w:b w:val="1"/>
                <w:bCs w:val="1"/>
                <w:color w:val="auto"/>
              </w:rPr>
              <w:t>% Variance</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tcBorders>
              <w:bottom w:val="single" w:sz="8" w:color="auto"/>
            </w:tcBorders>
            <w:gridSpan w:val="4"/>
          </w:tcPr>
          <w:p>
            <w:pPr>
              <w:ind w:left="360"/>
              <w:spacing w:after="0" w:line="121" w:lineRule="exact"/>
              <w:rPr>
                <w:sz w:val="20"/>
                <w:szCs w:val="20"/>
                <w:color w:val="auto"/>
              </w:rPr>
            </w:pPr>
            <w:r>
              <w:rPr>
                <w:rFonts w:ascii="Arial" w:cs="Arial" w:eastAsia="Arial" w:hAnsi="Arial"/>
                <w:sz w:val="12"/>
                <w:szCs w:val="12"/>
                <w:b w:val="1"/>
                <w:bCs w:val="1"/>
                <w:color w:val="auto"/>
              </w:rPr>
              <w:t>% Variance</w:t>
            </w:r>
          </w:p>
        </w:tc>
        <w:tc>
          <w:tcPr>
            <w:tcW w:w="140" w:type="dxa"/>
            <w:vAlign w:val="bottom"/>
          </w:tcPr>
          <w:p>
            <w:pPr>
              <w:spacing w:after="0"/>
              <w:rPr>
                <w:sz w:val="10"/>
                <w:szCs w:val="10"/>
                <w:color w:val="auto"/>
              </w:rPr>
            </w:pPr>
          </w:p>
        </w:tc>
      </w:tr>
      <w:tr>
        <w:trPr>
          <w:trHeight w:val="110"/>
        </w:trPr>
        <w:tc>
          <w:tcPr>
            <w:tcW w:w="444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gridSpan w:val="2"/>
          </w:tcPr>
          <w:p>
            <w:pPr>
              <w:jc w:val="right"/>
              <w:ind w:right="360"/>
              <w:spacing w:after="0" w:line="110" w:lineRule="exact"/>
              <w:rPr>
                <w:sz w:val="20"/>
                <w:szCs w:val="20"/>
                <w:color w:val="auto"/>
              </w:rPr>
            </w:pPr>
            <w:r>
              <w:rPr>
                <w:rFonts w:ascii="Arial" w:cs="Arial" w:eastAsia="Arial" w:hAnsi="Arial"/>
                <w:sz w:val="12"/>
                <w:szCs w:val="12"/>
                <w:b w:val="1"/>
                <w:bCs w:val="1"/>
                <w:color w:val="auto"/>
                <w:w w:val="92"/>
              </w:rPr>
              <w:t>Amount</w:t>
            </w:r>
          </w:p>
        </w:tc>
        <w:tc>
          <w:tcPr>
            <w:tcW w:w="500" w:type="dxa"/>
            <w:vAlign w:val="bottom"/>
          </w:tcPr>
          <w:p>
            <w:pPr>
              <w:jc w:val="right"/>
              <w:spacing w:after="0" w:line="110" w:lineRule="exact"/>
              <w:rPr>
                <w:sz w:val="20"/>
                <w:szCs w:val="20"/>
                <w:color w:val="auto"/>
              </w:rPr>
            </w:pPr>
            <w:r>
              <w:rPr>
                <w:rFonts w:ascii="Arial" w:cs="Arial" w:eastAsia="Arial" w:hAnsi="Arial"/>
                <w:sz w:val="12"/>
                <w:szCs w:val="12"/>
                <w:b w:val="1"/>
                <w:bCs w:val="1"/>
                <w:color w:val="auto"/>
                <w:w w:val="88"/>
              </w:rPr>
              <w:t>Constant</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gridSpan w:val="2"/>
          </w:tcPr>
          <w:p>
            <w:pPr>
              <w:jc w:val="center"/>
              <w:ind w:right="180"/>
              <w:spacing w:after="0" w:line="110" w:lineRule="exact"/>
              <w:rPr>
                <w:sz w:val="20"/>
                <w:szCs w:val="20"/>
                <w:color w:val="auto"/>
              </w:rPr>
            </w:pPr>
            <w:r>
              <w:rPr>
                <w:rFonts w:ascii="Arial" w:cs="Arial" w:eastAsia="Arial" w:hAnsi="Arial"/>
                <w:sz w:val="12"/>
                <w:szCs w:val="12"/>
                <w:b w:val="1"/>
                <w:bCs w:val="1"/>
                <w:color w:val="auto"/>
                <w:w w:val="92"/>
              </w:rPr>
              <w:t>Amount</w:t>
            </w:r>
          </w:p>
        </w:tc>
        <w:tc>
          <w:tcPr>
            <w:tcW w:w="180" w:type="dxa"/>
            <w:vAlign w:val="bottom"/>
          </w:tcPr>
          <w:p>
            <w:pPr>
              <w:spacing w:after="0"/>
              <w:rPr>
                <w:sz w:val="9"/>
                <w:szCs w:val="9"/>
                <w:color w:val="auto"/>
              </w:rPr>
            </w:pPr>
          </w:p>
        </w:tc>
        <w:tc>
          <w:tcPr>
            <w:tcW w:w="480" w:type="dxa"/>
            <w:vAlign w:val="bottom"/>
          </w:tcPr>
          <w:p>
            <w:pPr>
              <w:ind w:left="20"/>
              <w:spacing w:after="0" w:line="110" w:lineRule="exact"/>
              <w:rPr>
                <w:sz w:val="20"/>
                <w:szCs w:val="20"/>
                <w:color w:val="auto"/>
              </w:rPr>
            </w:pPr>
            <w:r>
              <w:rPr>
                <w:rFonts w:ascii="Arial" w:cs="Arial" w:eastAsia="Arial" w:hAnsi="Arial"/>
                <w:sz w:val="12"/>
                <w:szCs w:val="12"/>
                <w:b w:val="1"/>
                <w:bCs w:val="1"/>
                <w:color w:val="auto"/>
                <w:w w:val="84"/>
              </w:rPr>
              <w:t>Constant</w:t>
            </w:r>
          </w:p>
        </w:tc>
        <w:tc>
          <w:tcPr>
            <w:tcW w:w="140" w:type="dxa"/>
            <w:vAlign w:val="bottom"/>
          </w:tcPr>
          <w:p>
            <w:pPr>
              <w:spacing w:after="0"/>
              <w:rPr>
                <w:sz w:val="9"/>
                <w:szCs w:val="9"/>
                <w:color w:val="auto"/>
              </w:rPr>
            </w:pPr>
          </w:p>
        </w:tc>
      </w:tr>
      <w:tr>
        <w:trPr>
          <w:trHeight w:val="140"/>
        </w:trPr>
        <w:tc>
          <w:tcPr>
            <w:tcW w:w="4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64"/>
              <w:spacing w:after="0"/>
              <w:rPr>
                <w:sz w:val="20"/>
                <w:szCs w:val="20"/>
                <w:color w:val="auto"/>
              </w:rPr>
            </w:pPr>
            <w:r>
              <w:rPr>
                <w:rFonts w:ascii="Arial" w:cs="Arial" w:eastAsia="Arial" w:hAnsi="Arial"/>
                <w:sz w:val="12"/>
                <w:szCs w:val="12"/>
                <w:b w:val="1"/>
                <w:bCs w:val="1"/>
                <w:color w:val="auto"/>
              </w:rPr>
              <w:t>2006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85"/>
              <w:spacing w:after="0"/>
              <w:rPr>
                <w:sz w:val="20"/>
                <w:szCs w:val="20"/>
                <w:color w:val="auto"/>
              </w:rPr>
            </w:pPr>
            <w:r>
              <w:rPr>
                <w:rFonts w:ascii="Arial" w:cs="Arial" w:eastAsia="Arial" w:hAnsi="Arial"/>
                <w:sz w:val="12"/>
                <w:szCs w:val="12"/>
                <w:b w:val="1"/>
                <w:bCs w:val="1"/>
                <w:color w:val="auto"/>
              </w:rPr>
              <w:t>2005</w:t>
            </w:r>
          </w:p>
        </w:tc>
        <w:tc>
          <w:tcPr>
            <w:tcW w:w="1020" w:type="dxa"/>
            <w:vAlign w:val="bottom"/>
            <w:gridSpan w:val="3"/>
          </w:tcPr>
          <w:p>
            <w:pPr>
              <w:jc w:val="right"/>
              <w:ind w:right="340"/>
              <w:spacing w:after="0"/>
              <w:rPr>
                <w:sz w:val="20"/>
                <w:szCs w:val="20"/>
                <w:color w:val="auto"/>
              </w:rPr>
            </w:pPr>
            <w:r>
              <w:rPr>
                <w:rFonts w:ascii="Arial" w:cs="Arial" w:eastAsia="Arial" w:hAnsi="Arial"/>
                <w:sz w:val="12"/>
                <w:szCs w:val="12"/>
                <w:b w:val="1"/>
                <w:bCs w:val="1"/>
                <w:color w:val="auto"/>
              </w:rPr>
              <w:t>Reported</w:t>
            </w:r>
          </w:p>
        </w:tc>
        <w:tc>
          <w:tcPr>
            <w:tcW w:w="7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w w:val="87"/>
              </w:rPr>
              <w:t>Currency</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84"/>
              <w:spacing w:after="0"/>
              <w:rPr>
                <w:sz w:val="20"/>
                <w:szCs w:val="20"/>
                <w:color w:val="auto"/>
              </w:rPr>
            </w:pPr>
            <w:r>
              <w:rPr>
                <w:rFonts w:ascii="Arial" w:cs="Arial" w:eastAsia="Arial" w:hAnsi="Arial"/>
                <w:sz w:val="12"/>
                <w:szCs w:val="12"/>
                <w:b w:val="1"/>
                <w:bCs w:val="1"/>
                <w:color w:val="auto"/>
              </w:rPr>
              <w:t>2006</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85"/>
              <w:spacing w:after="0"/>
              <w:rPr>
                <w:sz w:val="20"/>
                <w:szCs w:val="20"/>
                <w:color w:val="auto"/>
              </w:rPr>
            </w:pPr>
            <w:r>
              <w:rPr>
                <w:rFonts w:ascii="Arial" w:cs="Arial" w:eastAsia="Arial" w:hAnsi="Arial"/>
                <w:sz w:val="12"/>
                <w:szCs w:val="12"/>
                <w:b w:val="1"/>
                <w:bCs w:val="1"/>
                <w:color w:val="auto"/>
              </w:rPr>
              <w:t>2005</w:t>
            </w:r>
          </w:p>
        </w:tc>
        <w:tc>
          <w:tcPr>
            <w:tcW w:w="220" w:type="dxa"/>
            <w:vAlign w:val="bottom"/>
          </w:tcPr>
          <w:p>
            <w:pPr>
              <w:spacing w:after="0"/>
              <w:rPr>
                <w:sz w:val="12"/>
                <w:szCs w:val="12"/>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7"/>
              </w:rPr>
              <w:t>Reported</w:t>
            </w:r>
          </w:p>
        </w:tc>
        <w:tc>
          <w:tcPr>
            <w:tcW w:w="180" w:type="dxa"/>
            <w:vAlign w:val="bottom"/>
          </w:tcPr>
          <w:p>
            <w:pPr>
              <w:spacing w:after="0"/>
              <w:rPr>
                <w:sz w:val="12"/>
                <w:szCs w:val="12"/>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Currency</w:t>
            </w:r>
          </w:p>
        </w:tc>
      </w:tr>
      <w:tr>
        <w:trPr>
          <w:trHeight w:val="20"/>
        </w:trPr>
        <w:tc>
          <w:tcPr>
            <w:tcW w:w="4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1"/>
        </w:trPr>
        <w:tc>
          <w:tcPr>
            <w:tcW w:w="44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80" w:type="dxa"/>
            <w:vAlign w:val="bottom"/>
            <w:gridSpan w:val="4"/>
          </w:tcPr>
          <w:p>
            <w:pPr>
              <w:jc w:val="right"/>
              <w:ind w:right="620"/>
              <w:spacing w:after="0" w:line="121" w:lineRule="exact"/>
              <w:rPr>
                <w:sz w:val="20"/>
                <w:szCs w:val="20"/>
                <w:color w:val="auto"/>
              </w:rPr>
            </w:pPr>
            <w:r>
              <w:rPr>
                <w:rFonts w:ascii="Arial" w:cs="Arial" w:eastAsia="Arial" w:hAnsi="Arial"/>
                <w:sz w:val="12"/>
                <w:szCs w:val="12"/>
                <w:b w:val="1"/>
                <w:bCs w:val="1"/>
                <w:color w:val="auto"/>
              </w:rPr>
              <w:t>(Unaudited)</w:t>
            </w: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4"/>
          </w:tcPr>
          <w:p>
            <w:pPr>
              <w:jc w:val="center"/>
              <w:ind w:right="180"/>
              <w:spacing w:after="0" w:line="121" w:lineRule="exact"/>
              <w:rPr>
                <w:sz w:val="20"/>
                <w:szCs w:val="20"/>
                <w:color w:val="auto"/>
              </w:rPr>
            </w:pPr>
            <w:r>
              <w:rPr>
                <w:rFonts w:ascii="Arial" w:cs="Arial" w:eastAsia="Arial" w:hAnsi="Arial"/>
                <w:sz w:val="12"/>
                <w:szCs w:val="12"/>
                <w:b w:val="1"/>
                <w:bCs w:val="1"/>
                <w:color w:val="auto"/>
                <w:w w:val="92"/>
              </w:rPr>
              <w:t>(Unaudited)</w:t>
            </w: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88"/>
        </w:trPr>
        <w:tc>
          <w:tcPr>
            <w:tcW w:w="44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Revenue from Services:</w:t>
            </w: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8"/>
        </w:trPr>
        <w:tc>
          <w:tcPr>
            <w:tcW w:w="4440" w:type="dxa"/>
            <w:vAlign w:val="bottom"/>
          </w:tcPr>
          <w:p>
            <w:pPr>
              <w:spacing w:after="0"/>
              <w:rPr>
                <w:sz w:val="20"/>
                <w:szCs w:val="20"/>
                <w:color w:val="auto"/>
              </w:rPr>
            </w:pPr>
            <w:r>
              <w:rPr>
                <w:rFonts w:ascii="Arial" w:cs="Arial" w:eastAsia="Arial" w:hAnsi="Arial"/>
                <w:sz w:val="15"/>
                <w:szCs w:val="15"/>
                <w:color w:val="auto"/>
              </w:rPr>
              <w:t>United States</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510.3</w:t>
            </w:r>
          </w:p>
        </w:tc>
        <w:tc>
          <w:tcPr>
            <w:tcW w:w="3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475.9</w:t>
            </w:r>
          </w:p>
        </w:tc>
        <w:tc>
          <w:tcPr>
            <w:tcW w:w="1020" w:type="dxa"/>
            <w:vAlign w:val="bottom"/>
            <w:gridSpan w:val="3"/>
          </w:tcPr>
          <w:p>
            <w:pPr>
              <w:jc w:val="right"/>
              <w:ind w:right="200"/>
              <w:spacing w:after="0"/>
              <w:rPr>
                <w:sz w:val="20"/>
                <w:szCs w:val="20"/>
                <w:color w:val="auto"/>
              </w:rPr>
            </w:pPr>
            <w:r>
              <w:rPr>
                <w:rFonts w:ascii="Arial" w:cs="Arial" w:eastAsia="Arial" w:hAnsi="Arial"/>
                <w:sz w:val="15"/>
                <w:szCs w:val="15"/>
                <w:color w:val="auto"/>
              </w:rPr>
              <w:t>7.2%</w:t>
            </w: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rPr>
              <w:t>7.2%</w:t>
            </w:r>
          </w:p>
        </w:tc>
        <w:tc>
          <w:tcPr>
            <w:tcW w:w="2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5"/>
                <w:szCs w:val="15"/>
                <w:color w:val="auto"/>
              </w:rPr>
              <w:t>534.6</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5"/>
                <w:szCs w:val="15"/>
                <w:color w:val="auto"/>
              </w:rPr>
              <w:t>506.7</w:t>
            </w:r>
          </w:p>
        </w:tc>
        <w:tc>
          <w:tcPr>
            <w:tcW w:w="640" w:type="dxa"/>
            <w:vAlign w:val="bottom"/>
            <w:gridSpan w:val="2"/>
          </w:tcPr>
          <w:p>
            <w:pPr>
              <w:jc w:val="right"/>
              <w:ind w:right="40"/>
              <w:spacing w:after="0"/>
              <w:rPr>
                <w:sz w:val="20"/>
                <w:szCs w:val="20"/>
                <w:color w:val="auto"/>
              </w:rPr>
            </w:pPr>
            <w:r>
              <w:rPr>
                <w:rFonts w:ascii="Arial" w:cs="Arial" w:eastAsia="Arial" w:hAnsi="Arial"/>
                <w:sz w:val="15"/>
                <w:szCs w:val="15"/>
                <w:color w:val="auto"/>
              </w:rPr>
              <w:t>5.5%</w:t>
            </w:r>
          </w:p>
        </w:tc>
        <w:tc>
          <w:tcPr>
            <w:tcW w:w="800" w:type="dxa"/>
            <w:vAlign w:val="bottom"/>
            <w:gridSpan w:val="3"/>
          </w:tcPr>
          <w:p>
            <w:pPr>
              <w:jc w:val="right"/>
              <w:spacing w:after="0"/>
              <w:rPr>
                <w:sz w:val="20"/>
                <w:szCs w:val="20"/>
                <w:color w:val="auto"/>
              </w:rPr>
            </w:pPr>
            <w:r>
              <w:rPr>
                <w:rFonts w:ascii="Arial" w:cs="Arial" w:eastAsia="Arial" w:hAnsi="Arial"/>
                <w:sz w:val="15"/>
                <w:szCs w:val="15"/>
                <w:color w:val="auto"/>
              </w:rPr>
              <w:t>5.5%</w:t>
            </w:r>
          </w:p>
        </w:tc>
      </w:tr>
      <w:tr>
        <w:trPr>
          <w:trHeight w:val="188"/>
        </w:trPr>
        <w:tc>
          <w:tcPr>
            <w:tcW w:w="4440" w:type="dxa"/>
            <w:vAlign w:val="bottom"/>
            <w:shd w:val="clear" w:color="auto" w:fill="CCEEFF"/>
          </w:tcPr>
          <w:p>
            <w:pPr>
              <w:spacing w:after="0"/>
              <w:rPr>
                <w:sz w:val="20"/>
                <w:szCs w:val="20"/>
                <w:color w:val="auto"/>
              </w:rPr>
            </w:pPr>
            <w:r>
              <w:rPr>
                <w:rFonts w:ascii="Arial" w:cs="Arial" w:eastAsia="Arial" w:hAnsi="Arial"/>
                <w:sz w:val="15"/>
                <w:szCs w:val="15"/>
                <w:color w:val="auto"/>
              </w:rPr>
              <w:t>France</w:t>
            </w: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1,240.5</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1,238.0</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0.2%</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9.2%</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7"/>
              </w:rPr>
              <w:t>1,535.6</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87"/>
              </w:rPr>
              <w:t>1,397.0</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9.9%</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9.8%</w:t>
            </w:r>
          </w:p>
        </w:tc>
      </w:tr>
      <w:tr>
        <w:trPr>
          <w:trHeight w:val="188"/>
        </w:trPr>
        <w:tc>
          <w:tcPr>
            <w:tcW w:w="4440" w:type="dxa"/>
            <w:vAlign w:val="bottom"/>
          </w:tcPr>
          <w:p>
            <w:pPr>
              <w:spacing w:after="0"/>
              <w:rPr>
                <w:sz w:val="20"/>
                <w:szCs w:val="20"/>
                <w:color w:val="auto"/>
              </w:rPr>
            </w:pPr>
            <w:r>
              <w:rPr>
                <w:rFonts w:ascii="Arial" w:cs="Arial" w:eastAsia="Arial" w:hAnsi="Arial"/>
                <w:sz w:val="15"/>
                <w:szCs w:val="15"/>
                <w:color w:val="auto"/>
              </w:rPr>
              <w:t>EMEA</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87"/>
              </w:rPr>
              <w:t>1,392.2</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87"/>
              </w:rPr>
              <w:t>1,289.5</w:t>
            </w:r>
          </w:p>
        </w:tc>
        <w:tc>
          <w:tcPr>
            <w:tcW w:w="1020" w:type="dxa"/>
            <w:vAlign w:val="bottom"/>
            <w:gridSpan w:val="3"/>
          </w:tcPr>
          <w:p>
            <w:pPr>
              <w:jc w:val="right"/>
              <w:ind w:right="200"/>
              <w:spacing w:after="0"/>
              <w:rPr>
                <w:sz w:val="20"/>
                <w:szCs w:val="20"/>
                <w:color w:val="auto"/>
              </w:rPr>
            </w:pPr>
            <w:r>
              <w:rPr>
                <w:rFonts w:ascii="Arial" w:cs="Arial" w:eastAsia="Arial" w:hAnsi="Arial"/>
                <w:sz w:val="15"/>
                <w:szCs w:val="15"/>
                <w:color w:val="auto"/>
              </w:rPr>
              <w:t>8.0%</w:t>
            </w: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rPr>
              <w:t>17.2%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5"/>
                <w:szCs w:val="15"/>
                <w:color w:val="auto"/>
                <w:w w:val="87"/>
              </w:rPr>
              <w:t>1,549.2</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5"/>
                <w:szCs w:val="15"/>
                <w:color w:val="auto"/>
                <w:w w:val="87"/>
              </w:rPr>
              <w:t>1,381.1</w:t>
            </w:r>
          </w:p>
        </w:tc>
        <w:tc>
          <w:tcPr>
            <w:tcW w:w="640" w:type="dxa"/>
            <w:vAlign w:val="bottom"/>
            <w:gridSpan w:val="2"/>
          </w:tcPr>
          <w:p>
            <w:pPr>
              <w:jc w:val="right"/>
              <w:ind w:right="40"/>
              <w:spacing w:after="0"/>
              <w:rPr>
                <w:sz w:val="20"/>
                <w:szCs w:val="20"/>
                <w:color w:val="auto"/>
              </w:rPr>
            </w:pPr>
            <w:r>
              <w:rPr>
                <w:rFonts w:ascii="Arial" w:cs="Arial" w:eastAsia="Arial" w:hAnsi="Arial"/>
                <w:sz w:val="15"/>
                <w:szCs w:val="15"/>
                <w:color w:val="auto"/>
              </w:rPr>
              <w:t>12.2%</w:t>
            </w:r>
          </w:p>
        </w:tc>
        <w:tc>
          <w:tcPr>
            <w:tcW w:w="800" w:type="dxa"/>
            <w:vAlign w:val="bottom"/>
            <w:gridSpan w:val="3"/>
          </w:tcPr>
          <w:p>
            <w:pPr>
              <w:jc w:val="right"/>
              <w:spacing w:after="0"/>
              <w:rPr>
                <w:sz w:val="20"/>
                <w:szCs w:val="20"/>
                <w:color w:val="auto"/>
              </w:rPr>
            </w:pPr>
            <w:r>
              <w:rPr>
                <w:rFonts w:ascii="Arial" w:cs="Arial" w:eastAsia="Arial" w:hAnsi="Arial"/>
                <w:sz w:val="15"/>
                <w:szCs w:val="15"/>
                <w:color w:val="auto"/>
              </w:rPr>
              <w:t>12.6%</w:t>
            </w:r>
          </w:p>
        </w:tc>
      </w:tr>
      <w:tr>
        <w:trPr>
          <w:trHeight w:val="188"/>
        </w:trPr>
        <w:tc>
          <w:tcPr>
            <w:tcW w:w="4440" w:type="dxa"/>
            <w:vAlign w:val="bottom"/>
            <w:shd w:val="clear" w:color="auto" w:fill="CCEEFF"/>
          </w:tcPr>
          <w:p>
            <w:pPr>
              <w:spacing w:after="0"/>
              <w:rPr>
                <w:sz w:val="20"/>
                <w:szCs w:val="20"/>
                <w:color w:val="auto"/>
              </w:rPr>
            </w:pPr>
            <w:r>
              <w:rPr>
                <w:rFonts w:ascii="Arial" w:cs="Arial" w:eastAsia="Arial" w:hAnsi="Arial"/>
                <w:sz w:val="15"/>
                <w:szCs w:val="15"/>
                <w:color w:val="auto"/>
              </w:rPr>
              <w:t>Jefferson Wells</w:t>
            </w: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95.5</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92.7</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3.0%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98.8</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93.5</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5.7%</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5.7%</w:t>
            </w:r>
          </w:p>
        </w:tc>
      </w:tr>
      <w:tr>
        <w:trPr>
          <w:trHeight w:val="188"/>
        </w:trPr>
        <w:tc>
          <w:tcPr>
            <w:tcW w:w="4440" w:type="dxa"/>
            <w:vAlign w:val="bottom"/>
          </w:tcPr>
          <w:p>
            <w:pPr>
              <w:spacing w:after="0"/>
              <w:rPr>
                <w:sz w:val="20"/>
                <w:szCs w:val="20"/>
                <w:color w:val="auto"/>
              </w:rPr>
            </w:pPr>
            <w:r>
              <w:rPr>
                <w:rFonts w:ascii="Arial" w:cs="Arial" w:eastAsia="Arial" w:hAnsi="Arial"/>
                <w:sz w:val="15"/>
                <w:szCs w:val="15"/>
                <w:color w:val="auto"/>
              </w:rPr>
              <w:t>Right Management</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95.3</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103.3</w:t>
            </w:r>
          </w:p>
        </w:tc>
        <w:tc>
          <w:tcPr>
            <w:tcW w:w="1020" w:type="dxa"/>
            <w:vAlign w:val="bottom"/>
            <w:gridSpan w:val="3"/>
          </w:tcPr>
          <w:p>
            <w:pPr>
              <w:jc w:val="right"/>
              <w:ind w:right="200"/>
              <w:spacing w:after="0"/>
              <w:rPr>
                <w:sz w:val="20"/>
                <w:szCs w:val="20"/>
                <w:color w:val="auto"/>
              </w:rPr>
            </w:pPr>
            <w:r>
              <w:rPr>
                <w:rFonts w:ascii="Arial" w:cs="Arial" w:eastAsia="Arial" w:hAnsi="Arial"/>
                <w:sz w:val="15"/>
                <w:szCs w:val="15"/>
                <w:color w:val="auto"/>
              </w:rPr>
              <w:t>-7.7%</w:t>
            </w: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rPr>
              <w:t>-4.4%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5"/>
                <w:szCs w:val="15"/>
                <w:color w:val="auto"/>
              </w:rPr>
              <w:t>102.6</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5"/>
                <w:szCs w:val="15"/>
                <w:color w:val="auto"/>
              </w:rPr>
              <w:t>107.1</w:t>
            </w:r>
          </w:p>
        </w:tc>
        <w:tc>
          <w:tcPr>
            <w:tcW w:w="640" w:type="dxa"/>
            <w:vAlign w:val="bottom"/>
            <w:gridSpan w:val="2"/>
          </w:tcPr>
          <w:p>
            <w:pPr>
              <w:jc w:val="right"/>
              <w:ind w:right="40"/>
              <w:spacing w:after="0"/>
              <w:rPr>
                <w:sz w:val="20"/>
                <w:szCs w:val="20"/>
                <w:color w:val="auto"/>
              </w:rPr>
            </w:pPr>
            <w:r>
              <w:rPr>
                <w:rFonts w:ascii="Arial" w:cs="Arial" w:eastAsia="Arial" w:hAnsi="Arial"/>
                <w:sz w:val="15"/>
                <w:szCs w:val="15"/>
                <w:color w:val="auto"/>
              </w:rPr>
              <w:t>-4.2%</w:t>
            </w:r>
          </w:p>
        </w:tc>
        <w:tc>
          <w:tcPr>
            <w:tcW w:w="800" w:type="dxa"/>
            <w:vAlign w:val="bottom"/>
            <w:gridSpan w:val="3"/>
          </w:tcPr>
          <w:p>
            <w:pPr>
              <w:jc w:val="right"/>
              <w:spacing w:after="0"/>
              <w:rPr>
                <w:sz w:val="20"/>
                <w:szCs w:val="20"/>
                <w:color w:val="auto"/>
              </w:rPr>
            </w:pPr>
            <w:r>
              <w:rPr>
                <w:rFonts w:ascii="Arial" w:cs="Arial" w:eastAsia="Arial" w:hAnsi="Arial"/>
                <w:sz w:val="15"/>
                <w:szCs w:val="15"/>
                <w:color w:val="auto"/>
              </w:rPr>
              <w:t>-4.2%</w:t>
            </w:r>
          </w:p>
        </w:tc>
      </w:tr>
      <w:tr>
        <w:trPr>
          <w:trHeight w:val="188"/>
        </w:trPr>
        <w:tc>
          <w:tcPr>
            <w:tcW w:w="4440" w:type="dxa"/>
            <w:vAlign w:val="bottom"/>
            <w:shd w:val="clear" w:color="auto" w:fill="CCEEFF"/>
          </w:tcPr>
          <w:p>
            <w:pPr>
              <w:spacing w:after="0"/>
              <w:rPr>
                <w:sz w:val="20"/>
                <w:szCs w:val="20"/>
                <w:color w:val="auto"/>
              </w:rPr>
            </w:pPr>
            <w:r>
              <w:rPr>
                <w:rFonts w:ascii="Arial" w:cs="Arial" w:eastAsia="Arial" w:hAnsi="Arial"/>
                <w:sz w:val="15"/>
                <w:szCs w:val="15"/>
                <w:color w:val="auto"/>
              </w:rPr>
              <w:t>Other Operations</w:t>
            </w:r>
          </w:p>
        </w:tc>
        <w:tc>
          <w:tcPr>
            <w:tcW w:w="8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543.4</w:t>
            </w:r>
          </w:p>
        </w:tc>
        <w:tc>
          <w:tcPr>
            <w:tcW w:w="2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496.7</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9.4%</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13.8%</w:t>
            </w: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563.8</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508.0</w:t>
            </w:r>
          </w:p>
        </w:tc>
        <w:tc>
          <w:tcPr>
            <w:tcW w:w="2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11.0%</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13.7%</w:t>
            </w:r>
          </w:p>
        </w:tc>
      </w:tr>
      <w:tr>
        <w:trPr>
          <w:trHeight w:val="191"/>
        </w:trPr>
        <w:tc>
          <w:tcPr>
            <w:tcW w:w="444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w w:val="87"/>
              </w:rPr>
              <w:t>3,877.2</w:t>
            </w:r>
          </w:p>
        </w:tc>
        <w:tc>
          <w:tcPr>
            <w:tcW w:w="320" w:type="dxa"/>
            <w:vAlign w:val="bottom"/>
            <w:gridSpan w:val="2"/>
          </w:tcPr>
          <w:p>
            <w:pPr>
              <w:jc w:val="right"/>
              <w:ind w:right="20"/>
              <w:spacing w:after="0"/>
              <w:rPr>
                <w:sz w:val="20"/>
                <w:szCs w:val="20"/>
                <w:color w:val="auto"/>
              </w:rPr>
            </w:pPr>
            <w:r>
              <w:rPr>
                <w:rFonts w:ascii="Arial" w:cs="Arial" w:eastAsia="Arial" w:hAnsi="Arial"/>
                <w:sz w:val="15"/>
                <w:szCs w:val="15"/>
                <w:u w:val="single" w:color="auto"/>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w w:val="87"/>
              </w:rPr>
              <w:t>3,696.1</w:t>
            </w:r>
          </w:p>
        </w:tc>
        <w:tc>
          <w:tcPr>
            <w:tcW w:w="1020" w:type="dxa"/>
            <w:vAlign w:val="bottom"/>
            <w:gridSpan w:val="3"/>
          </w:tcPr>
          <w:p>
            <w:pPr>
              <w:jc w:val="right"/>
              <w:ind w:right="200"/>
              <w:spacing w:after="0"/>
              <w:rPr>
                <w:sz w:val="20"/>
                <w:szCs w:val="20"/>
                <w:color w:val="auto"/>
              </w:rPr>
            </w:pPr>
            <w:r>
              <w:rPr>
                <w:rFonts w:ascii="Arial" w:cs="Arial" w:eastAsia="Arial" w:hAnsi="Arial"/>
                <w:sz w:val="15"/>
                <w:szCs w:val="15"/>
                <w:color w:val="auto"/>
              </w:rPr>
              <w:t>4.9%</w:t>
            </w: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rPr>
              <w:t>11.8%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5"/>
                <w:szCs w:val="15"/>
                <w:color w:val="auto"/>
                <w:w w:val="87"/>
              </w:rPr>
              <w:t>4,384.6</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5"/>
                <w:szCs w:val="15"/>
                <w:color w:val="auto"/>
                <w:w w:val="87"/>
              </w:rPr>
              <w:t>3,993.4</w:t>
            </w:r>
          </w:p>
        </w:tc>
        <w:tc>
          <w:tcPr>
            <w:tcW w:w="640" w:type="dxa"/>
            <w:vAlign w:val="bottom"/>
            <w:gridSpan w:val="2"/>
          </w:tcPr>
          <w:p>
            <w:pPr>
              <w:jc w:val="right"/>
              <w:ind w:right="40"/>
              <w:spacing w:after="0"/>
              <w:rPr>
                <w:sz w:val="20"/>
                <w:szCs w:val="20"/>
                <w:color w:val="auto"/>
              </w:rPr>
            </w:pPr>
            <w:r>
              <w:rPr>
                <w:rFonts w:ascii="Arial" w:cs="Arial" w:eastAsia="Arial" w:hAnsi="Arial"/>
                <w:sz w:val="15"/>
                <w:szCs w:val="15"/>
                <w:color w:val="auto"/>
              </w:rPr>
              <w:t>9.8%</w:t>
            </w:r>
          </w:p>
        </w:tc>
        <w:tc>
          <w:tcPr>
            <w:tcW w:w="800" w:type="dxa"/>
            <w:vAlign w:val="bottom"/>
            <w:gridSpan w:val="3"/>
          </w:tcPr>
          <w:p>
            <w:pPr>
              <w:jc w:val="right"/>
              <w:spacing w:after="0"/>
              <w:rPr>
                <w:sz w:val="20"/>
                <w:szCs w:val="20"/>
                <w:color w:val="auto"/>
              </w:rPr>
            </w:pPr>
            <w:r>
              <w:rPr>
                <w:rFonts w:ascii="Arial" w:cs="Arial" w:eastAsia="Arial" w:hAnsi="Arial"/>
                <w:sz w:val="15"/>
                <w:szCs w:val="15"/>
                <w:color w:val="auto"/>
              </w:rPr>
              <w:t>10.2%</w:t>
            </w:r>
          </w:p>
        </w:tc>
      </w:tr>
      <w:tr>
        <w:trPr>
          <w:trHeight w:val="20"/>
        </w:trPr>
        <w:tc>
          <w:tcPr>
            <w:tcW w:w="4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6"/>
        </w:trPr>
        <w:tc>
          <w:tcPr>
            <w:tcW w:w="44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Operating Unit Profit:</w:t>
            </w: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8"/>
        </w:trPr>
        <w:tc>
          <w:tcPr>
            <w:tcW w:w="4440" w:type="dxa"/>
            <w:vAlign w:val="bottom"/>
          </w:tcPr>
          <w:p>
            <w:pPr>
              <w:spacing w:after="0"/>
              <w:rPr>
                <w:sz w:val="20"/>
                <w:szCs w:val="20"/>
                <w:color w:val="auto"/>
              </w:rPr>
            </w:pPr>
            <w:r>
              <w:rPr>
                <w:rFonts w:ascii="Arial" w:cs="Arial" w:eastAsia="Arial" w:hAnsi="Arial"/>
                <w:sz w:val="15"/>
                <w:szCs w:val="15"/>
                <w:color w:val="auto"/>
              </w:rPr>
              <w:t>United States</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9.5</w:t>
            </w:r>
          </w:p>
        </w:tc>
        <w:tc>
          <w:tcPr>
            <w:tcW w:w="3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4.9</w:t>
            </w:r>
          </w:p>
        </w:tc>
        <w:tc>
          <w:tcPr>
            <w:tcW w:w="1020" w:type="dxa"/>
            <w:vAlign w:val="bottom"/>
            <w:gridSpan w:val="3"/>
          </w:tcPr>
          <w:p>
            <w:pPr>
              <w:jc w:val="right"/>
              <w:ind w:right="200"/>
              <w:spacing w:after="0"/>
              <w:rPr>
                <w:sz w:val="20"/>
                <w:szCs w:val="20"/>
                <w:color w:val="auto"/>
              </w:rPr>
            </w:pPr>
            <w:r>
              <w:rPr>
                <w:rFonts w:ascii="Arial" w:cs="Arial" w:eastAsia="Arial" w:hAnsi="Arial"/>
                <w:sz w:val="15"/>
                <w:szCs w:val="15"/>
                <w:color w:val="auto"/>
              </w:rPr>
              <w:t>93.3%</w:t>
            </w: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rPr>
              <w:t>93.3%</w:t>
            </w:r>
          </w:p>
        </w:tc>
        <w:tc>
          <w:tcPr>
            <w:tcW w:w="2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5"/>
                <w:szCs w:val="15"/>
                <w:color w:val="auto"/>
              </w:rPr>
              <w:t>22.5</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5"/>
                <w:szCs w:val="15"/>
                <w:color w:val="auto"/>
              </w:rPr>
              <w:t>18.0</w:t>
            </w:r>
          </w:p>
        </w:tc>
        <w:tc>
          <w:tcPr>
            <w:tcW w:w="640" w:type="dxa"/>
            <w:vAlign w:val="bottom"/>
            <w:gridSpan w:val="2"/>
          </w:tcPr>
          <w:p>
            <w:pPr>
              <w:jc w:val="right"/>
              <w:ind w:right="40"/>
              <w:spacing w:after="0"/>
              <w:rPr>
                <w:sz w:val="20"/>
                <w:szCs w:val="20"/>
                <w:color w:val="auto"/>
              </w:rPr>
            </w:pPr>
            <w:r>
              <w:rPr>
                <w:rFonts w:ascii="Arial" w:cs="Arial" w:eastAsia="Arial" w:hAnsi="Arial"/>
                <w:sz w:val="15"/>
                <w:szCs w:val="15"/>
                <w:color w:val="auto"/>
              </w:rPr>
              <w:t>25.2%</w:t>
            </w:r>
          </w:p>
        </w:tc>
        <w:tc>
          <w:tcPr>
            <w:tcW w:w="800" w:type="dxa"/>
            <w:vAlign w:val="bottom"/>
            <w:gridSpan w:val="3"/>
          </w:tcPr>
          <w:p>
            <w:pPr>
              <w:jc w:val="right"/>
              <w:spacing w:after="0"/>
              <w:rPr>
                <w:sz w:val="20"/>
                <w:szCs w:val="20"/>
                <w:color w:val="auto"/>
              </w:rPr>
            </w:pPr>
            <w:r>
              <w:rPr>
                <w:rFonts w:ascii="Arial" w:cs="Arial" w:eastAsia="Arial" w:hAnsi="Arial"/>
                <w:sz w:val="15"/>
                <w:szCs w:val="15"/>
                <w:color w:val="auto"/>
              </w:rPr>
              <w:t>25.2%</w:t>
            </w:r>
          </w:p>
        </w:tc>
      </w:tr>
      <w:tr>
        <w:trPr>
          <w:trHeight w:val="188"/>
        </w:trPr>
        <w:tc>
          <w:tcPr>
            <w:tcW w:w="4440" w:type="dxa"/>
            <w:vAlign w:val="bottom"/>
            <w:shd w:val="clear" w:color="auto" w:fill="CCEEFF"/>
          </w:tcPr>
          <w:p>
            <w:pPr>
              <w:spacing w:after="0"/>
              <w:rPr>
                <w:sz w:val="20"/>
                <w:szCs w:val="20"/>
                <w:color w:val="auto"/>
              </w:rPr>
            </w:pPr>
            <w:r>
              <w:rPr>
                <w:rFonts w:ascii="Arial" w:cs="Arial" w:eastAsia="Arial" w:hAnsi="Arial"/>
                <w:sz w:val="15"/>
                <w:szCs w:val="15"/>
                <w:color w:val="auto"/>
              </w:rPr>
              <w:t>France</w:t>
            </w: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30.4</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28.4</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7.1%</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16.7%</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49.7</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42.0</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18.3%</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17.7%</w:t>
            </w:r>
          </w:p>
        </w:tc>
      </w:tr>
      <w:tr>
        <w:trPr>
          <w:trHeight w:val="188"/>
        </w:trPr>
        <w:tc>
          <w:tcPr>
            <w:tcW w:w="4440" w:type="dxa"/>
            <w:vAlign w:val="bottom"/>
          </w:tcPr>
          <w:p>
            <w:pPr>
              <w:spacing w:after="0"/>
              <w:rPr>
                <w:sz w:val="20"/>
                <w:szCs w:val="20"/>
                <w:color w:val="auto"/>
              </w:rPr>
            </w:pPr>
            <w:r>
              <w:rPr>
                <w:rFonts w:ascii="Arial" w:cs="Arial" w:eastAsia="Arial" w:hAnsi="Arial"/>
                <w:sz w:val="15"/>
                <w:szCs w:val="15"/>
                <w:color w:val="auto"/>
              </w:rPr>
              <w:t>EMEA</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23.0</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12.1</w:t>
            </w:r>
          </w:p>
        </w:tc>
        <w:tc>
          <w:tcPr>
            <w:tcW w:w="1020" w:type="dxa"/>
            <w:vAlign w:val="bottom"/>
            <w:gridSpan w:val="3"/>
          </w:tcPr>
          <w:p>
            <w:pPr>
              <w:jc w:val="right"/>
              <w:ind w:right="200"/>
              <w:spacing w:after="0"/>
              <w:rPr>
                <w:sz w:val="20"/>
                <w:szCs w:val="20"/>
                <w:color w:val="auto"/>
              </w:rPr>
            </w:pPr>
            <w:r>
              <w:rPr>
                <w:rFonts w:ascii="Arial" w:cs="Arial" w:eastAsia="Arial" w:hAnsi="Arial"/>
                <w:sz w:val="15"/>
                <w:szCs w:val="15"/>
                <w:color w:val="auto"/>
              </w:rPr>
              <w:t>90.8%</w:t>
            </w: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rPr>
              <w:t>109.6%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5"/>
                <w:szCs w:val="15"/>
                <w:color w:val="auto"/>
              </w:rPr>
              <w:t>50.7</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5"/>
                <w:szCs w:val="15"/>
                <w:color w:val="auto"/>
              </w:rPr>
              <w:t>35.9</w:t>
            </w:r>
          </w:p>
        </w:tc>
        <w:tc>
          <w:tcPr>
            <w:tcW w:w="640" w:type="dxa"/>
            <w:vAlign w:val="bottom"/>
            <w:gridSpan w:val="2"/>
          </w:tcPr>
          <w:p>
            <w:pPr>
              <w:jc w:val="right"/>
              <w:ind w:right="40"/>
              <w:spacing w:after="0"/>
              <w:rPr>
                <w:sz w:val="20"/>
                <w:szCs w:val="20"/>
                <w:color w:val="auto"/>
              </w:rPr>
            </w:pPr>
            <w:r>
              <w:rPr>
                <w:rFonts w:ascii="Arial" w:cs="Arial" w:eastAsia="Arial" w:hAnsi="Arial"/>
                <w:sz w:val="15"/>
                <w:szCs w:val="15"/>
                <w:color w:val="auto"/>
              </w:rPr>
              <w:t>40.9%</w:t>
            </w:r>
          </w:p>
        </w:tc>
        <w:tc>
          <w:tcPr>
            <w:tcW w:w="800" w:type="dxa"/>
            <w:vAlign w:val="bottom"/>
            <w:gridSpan w:val="3"/>
          </w:tcPr>
          <w:p>
            <w:pPr>
              <w:jc w:val="right"/>
              <w:spacing w:after="0"/>
              <w:rPr>
                <w:sz w:val="20"/>
                <w:szCs w:val="20"/>
                <w:color w:val="auto"/>
              </w:rPr>
            </w:pPr>
            <w:r>
              <w:rPr>
                <w:rFonts w:ascii="Arial" w:cs="Arial" w:eastAsia="Arial" w:hAnsi="Arial"/>
                <w:sz w:val="15"/>
                <w:szCs w:val="15"/>
                <w:color w:val="auto"/>
              </w:rPr>
              <w:t>39.9%</w:t>
            </w:r>
          </w:p>
        </w:tc>
      </w:tr>
      <w:tr>
        <w:trPr>
          <w:trHeight w:val="188"/>
        </w:trPr>
        <w:tc>
          <w:tcPr>
            <w:tcW w:w="4440" w:type="dxa"/>
            <w:vAlign w:val="bottom"/>
            <w:shd w:val="clear" w:color="auto" w:fill="CCEEFF"/>
          </w:tcPr>
          <w:p>
            <w:pPr>
              <w:spacing w:after="0"/>
              <w:rPr>
                <w:sz w:val="20"/>
                <w:szCs w:val="20"/>
                <w:color w:val="auto"/>
              </w:rPr>
            </w:pPr>
            <w:r>
              <w:rPr>
                <w:rFonts w:ascii="Arial" w:cs="Arial" w:eastAsia="Arial" w:hAnsi="Arial"/>
                <w:sz w:val="15"/>
                <w:szCs w:val="15"/>
                <w:color w:val="auto"/>
              </w:rPr>
              <w:t>Jefferson Wells</w:t>
            </w: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-29.4%</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-29.4%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10.0</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9.3</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7.7%</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7.7%</w:t>
            </w:r>
          </w:p>
        </w:tc>
      </w:tr>
      <w:tr>
        <w:trPr>
          <w:trHeight w:val="188"/>
        </w:trPr>
        <w:tc>
          <w:tcPr>
            <w:tcW w:w="4440" w:type="dxa"/>
            <w:vAlign w:val="bottom"/>
          </w:tcPr>
          <w:p>
            <w:pPr>
              <w:spacing w:after="0"/>
              <w:rPr>
                <w:sz w:val="20"/>
                <w:szCs w:val="20"/>
                <w:color w:val="auto"/>
              </w:rPr>
            </w:pPr>
            <w:r>
              <w:rPr>
                <w:rFonts w:ascii="Arial" w:cs="Arial" w:eastAsia="Arial" w:hAnsi="Arial"/>
                <w:sz w:val="15"/>
                <w:szCs w:val="15"/>
                <w:color w:val="auto"/>
              </w:rPr>
              <w:t>Right Management</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4.6</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10.3</w:t>
            </w:r>
          </w:p>
        </w:tc>
        <w:tc>
          <w:tcPr>
            <w:tcW w:w="1020" w:type="dxa"/>
            <w:vAlign w:val="bottom"/>
            <w:gridSpan w:val="3"/>
          </w:tcPr>
          <w:p>
            <w:pPr>
              <w:jc w:val="right"/>
              <w:ind w:right="200"/>
              <w:spacing w:after="0"/>
              <w:rPr>
                <w:sz w:val="20"/>
                <w:szCs w:val="20"/>
                <w:color w:val="auto"/>
              </w:rPr>
            </w:pPr>
            <w:r>
              <w:rPr>
                <w:rFonts w:ascii="Arial" w:cs="Arial" w:eastAsia="Arial" w:hAnsi="Arial"/>
                <w:sz w:val="15"/>
                <w:szCs w:val="15"/>
                <w:color w:val="auto"/>
              </w:rPr>
              <w:t>-54.8%</w:t>
            </w: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rPr>
              <w:t>-55.5%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5"/>
                <w:szCs w:val="15"/>
                <w:color w:val="auto"/>
              </w:rPr>
              <w:t>11.1</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5"/>
                <w:szCs w:val="15"/>
                <w:color w:val="auto"/>
              </w:rPr>
              <w:t>9.5</w:t>
            </w:r>
          </w:p>
        </w:tc>
        <w:tc>
          <w:tcPr>
            <w:tcW w:w="640" w:type="dxa"/>
            <w:vAlign w:val="bottom"/>
            <w:gridSpan w:val="2"/>
          </w:tcPr>
          <w:p>
            <w:pPr>
              <w:jc w:val="right"/>
              <w:ind w:right="40"/>
              <w:spacing w:after="0"/>
              <w:rPr>
                <w:sz w:val="20"/>
                <w:szCs w:val="20"/>
                <w:color w:val="auto"/>
              </w:rPr>
            </w:pPr>
            <w:r>
              <w:rPr>
                <w:rFonts w:ascii="Arial" w:cs="Arial" w:eastAsia="Arial" w:hAnsi="Arial"/>
                <w:sz w:val="15"/>
                <w:szCs w:val="15"/>
                <w:color w:val="auto"/>
              </w:rPr>
              <w:t>15.8%</w:t>
            </w:r>
          </w:p>
        </w:tc>
        <w:tc>
          <w:tcPr>
            <w:tcW w:w="800" w:type="dxa"/>
            <w:vAlign w:val="bottom"/>
            <w:gridSpan w:val="3"/>
          </w:tcPr>
          <w:p>
            <w:pPr>
              <w:jc w:val="right"/>
              <w:spacing w:after="0"/>
              <w:rPr>
                <w:sz w:val="20"/>
                <w:szCs w:val="20"/>
                <w:color w:val="auto"/>
              </w:rPr>
            </w:pPr>
            <w:r>
              <w:rPr>
                <w:rFonts w:ascii="Arial" w:cs="Arial" w:eastAsia="Arial" w:hAnsi="Arial"/>
                <w:sz w:val="15"/>
                <w:szCs w:val="15"/>
                <w:color w:val="auto"/>
              </w:rPr>
              <w:t>14.3%</w:t>
            </w:r>
          </w:p>
        </w:tc>
      </w:tr>
      <w:tr>
        <w:trPr>
          <w:trHeight w:val="188"/>
        </w:trPr>
        <w:tc>
          <w:tcPr>
            <w:tcW w:w="4440" w:type="dxa"/>
            <w:vAlign w:val="bottom"/>
            <w:shd w:val="clear" w:color="auto" w:fill="CCEEFF"/>
          </w:tcPr>
          <w:p>
            <w:pPr>
              <w:spacing w:after="0"/>
              <w:rPr>
                <w:sz w:val="20"/>
                <w:szCs w:val="20"/>
                <w:color w:val="auto"/>
              </w:rPr>
            </w:pPr>
            <w:r>
              <w:rPr>
                <w:rFonts w:ascii="Arial" w:cs="Arial" w:eastAsia="Arial" w:hAnsi="Arial"/>
                <w:sz w:val="15"/>
                <w:szCs w:val="15"/>
                <w:color w:val="auto"/>
              </w:rPr>
              <w:t>Other Operations</w:t>
            </w:r>
          </w:p>
        </w:tc>
        <w:tc>
          <w:tcPr>
            <w:tcW w:w="8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17.6</w:t>
            </w:r>
          </w:p>
        </w:tc>
        <w:tc>
          <w:tcPr>
            <w:tcW w:w="2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12.1</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44.7%</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53.8%</w:t>
            </w: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14.8</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12.8</w:t>
            </w:r>
          </w:p>
        </w:tc>
        <w:tc>
          <w:tcPr>
            <w:tcW w:w="2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16.5%</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21.2%</w:t>
            </w:r>
          </w:p>
        </w:tc>
      </w:tr>
      <w:tr>
        <w:trPr>
          <w:trHeight w:val="191"/>
        </w:trPr>
        <w:tc>
          <w:tcPr>
            <w:tcW w:w="4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90.8</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75.9</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5"/>
                <w:szCs w:val="15"/>
                <w:color w:val="auto"/>
              </w:rPr>
              <w:t>158.8</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5"/>
                <w:szCs w:val="15"/>
                <w:color w:val="auto"/>
              </w:rPr>
              <w:t>127.5</w:t>
            </w: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9"/>
        </w:trPr>
        <w:tc>
          <w:tcPr>
            <w:tcW w:w="4440" w:type="dxa"/>
            <w:vAlign w:val="bottom"/>
            <w:shd w:val="clear" w:color="auto" w:fill="CCEEFF"/>
          </w:tcPr>
          <w:p>
            <w:pPr>
              <w:spacing w:after="0"/>
              <w:rPr>
                <w:sz w:val="20"/>
                <w:szCs w:val="20"/>
                <w:color w:val="auto"/>
              </w:rPr>
            </w:pPr>
            <w:r>
              <w:rPr>
                <w:rFonts w:ascii="Arial" w:cs="Arial" w:eastAsia="Arial" w:hAnsi="Arial"/>
                <w:sz w:val="15"/>
                <w:szCs w:val="15"/>
                <w:color w:val="auto"/>
              </w:rPr>
              <w:t>Corporate Expenses</w:t>
            </w: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27.3</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w:t>
            </w: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17.4</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16.7</w:t>
            </w: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2"/>
        </w:trPr>
        <w:tc>
          <w:tcPr>
            <w:tcW w:w="4440" w:type="dxa"/>
            <w:vAlign w:val="bottom"/>
          </w:tcPr>
          <w:p>
            <w:pPr>
              <w:spacing w:after="0"/>
              <w:rPr>
                <w:sz w:val="20"/>
                <w:szCs w:val="20"/>
                <w:color w:val="auto"/>
              </w:rPr>
            </w:pPr>
            <w:r>
              <w:rPr>
                <w:rFonts w:ascii="Arial" w:cs="Arial" w:eastAsia="Arial" w:hAnsi="Arial"/>
                <w:sz w:val="15"/>
                <w:szCs w:val="15"/>
                <w:color w:val="auto"/>
              </w:rPr>
              <w:t>Amortization of intangible assets</w:t>
            </w:r>
          </w:p>
        </w:tc>
        <w:tc>
          <w:tcPr>
            <w:tcW w:w="8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w:t>
            </w:r>
          </w:p>
        </w:tc>
        <w:tc>
          <w:tcPr>
            <w:tcW w:w="2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8"/>
        </w:trPr>
        <w:tc>
          <w:tcPr>
            <w:tcW w:w="44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Operating profit</w:t>
            </w: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60.3</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60.6</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-0.4%</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138.1</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107.5</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28.4%</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28.3%</w:t>
            </w:r>
          </w:p>
        </w:tc>
      </w:tr>
      <w:tr>
        <w:trPr>
          <w:trHeight w:val="192"/>
        </w:trPr>
        <w:tc>
          <w:tcPr>
            <w:tcW w:w="4440" w:type="dxa"/>
            <w:vAlign w:val="bottom"/>
          </w:tcPr>
          <w:p>
            <w:pPr>
              <w:spacing w:after="0"/>
              <w:rPr>
                <w:sz w:val="20"/>
                <w:szCs w:val="20"/>
                <w:color w:val="auto"/>
              </w:rPr>
            </w:pPr>
            <w:r>
              <w:rPr>
                <w:rFonts w:ascii="Arial" w:cs="Arial" w:eastAsia="Arial" w:hAnsi="Arial"/>
                <w:sz w:val="15"/>
                <w:szCs w:val="15"/>
                <w:color w:val="auto"/>
              </w:rPr>
              <w:t>Interest and other expenses</w:t>
            </w:r>
          </w:p>
        </w:tc>
        <w:tc>
          <w:tcPr>
            <w:tcW w:w="8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13.0</w:t>
            </w:r>
          </w:p>
        </w:tc>
        <w:tc>
          <w:tcPr>
            <w:tcW w:w="2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11.8</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12.5</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11.2</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8"/>
        </w:trPr>
        <w:tc>
          <w:tcPr>
            <w:tcW w:w="44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Earnings before income taxes and discontinued operations</w:t>
            </w: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48.8</w:t>
            </w: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125.6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96.3</w:t>
            </w: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0"/>
        </w:trPr>
        <w:tc>
          <w:tcPr>
            <w:tcW w:w="4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04"/>
        </w:trPr>
        <w:tc>
          <w:tcPr>
            <w:tcW w:w="4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6"/>
          </w:tcPr>
          <w:p>
            <w:pPr>
              <w:jc w:val="center"/>
              <w:spacing w:after="0"/>
              <w:rPr>
                <w:sz w:val="20"/>
                <w:szCs w:val="20"/>
                <w:color w:val="auto"/>
              </w:rPr>
            </w:pPr>
            <w:r>
              <w:rPr>
                <w:rFonts w:ascii="Arial" w:cs="Arial" w:eastAsia="Arial" w:hAnsi="Arial"/>
                <w:sz w:val="12"/>
                <w:szCs w:val="12"/>
                <w:b w:val="1"/>
                <w:bCs w:val="1"/>
                <w:color w:val="auto"/>
                <w:w w:val="88"/>
              </w:rPr>
              <w:t>Six Months Ended June 30</w:t>
            </w: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21"/>
        </w:trPr>
        <w:tc>
          <w:tcPr>
            <w:tcW w:w="44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tcBorders>
              <w:bottom w:val="single" w:sz="8" w:color="auto"/>
            </w:tcBorders>
            <w:gridSpan w:val="4"/>
          </w:tcPr>
          <w:p>
            <w:pPr>
              <w:ind w:left="360"/>
              <w:spacing w:after="0" w:line="121" w:lineRule="exact"/>
              <w:rPr>
                <w:sz w:val="20"/>
                <w:szCs w:val="20"/>
                <w:color w:val="auto"/>
              </w:rPr>
            </w:pPr>
            <w:r>
              <w:rPr>
                <w:rFonts w:ascii="Arial" w:cs="Arial" w:eastAsia="Arial" w:hAnsi="Arial"/>
                <w:sz w:val="12"/>
                <w:szCs w:val="12"/>
                <w:b w:val="1"/>
                <w:bCs w:val="1"/>
                <w:color w:val="auto"/>
              </w:rPr>
              <w:t>% Variance</w:t>
            </w:r>
          </w:p>
        </w:tc>
        <w:tc>
          <w:tcPr>
            <w:tcW w:w="140" w:type="dxa"/>
            <w:vAlign w:val="bottom"/>
          </w:tcPr>
          <w:p>
            <w:pPr>
              <w:spacing w:after="0"/>
              <w:rPr>
                <w:sz w:val="10"/>
                <w:szCs w:val="10"/>
                <w:color w:val="auto"/>
              </w:rPr>
            </w:pPr>
          </w:p>
        </w:tc>
      </w:tr>
      <w:tr>
        <w:trPr>
          <w:trHeight w:val="110"/>
        </w:trPr>
        <w:tc>
          <w:tcPr>
            <w:tcW w:w="444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gridSpan w:val="2"/>
          </w:tcPr>
          <w:p>
            <w:pPr>
              <w:jc w:val="center"/>
              <w:ind w:right="180"/>
              <w:spacing w:after="0" w:line="110" w:lineRule="exact"/>
              <w:rPr>
                <w:sz w:val="20"/>
                <w:szCs w:val="20"/>
                <w:color w:val="auto"/>
              </w:rPr>
            </w:pPr>
            <w:r>
              <w:rPr>
                <w:rFonts w:ascii="Arial" w:cs="Arial" w:eastAsia="Arial" w:hAnsi="Arial"/>
                <w:sz w:val="12"/>
                <w:szCs w:val="12"/>
                <w:b w:val="1"/>
                <w:bCs w:val="1"/>
                <w:color w:val="auto"/>
                <w:w w:val="92"/>
              </w:rPr>
              <w:t>Amount</w:t>
            </w:r>
          </w:p>
        </w:tc>
        <w:tc>
          <w:tcPr>
            <w:tcW w:w="180" w:type="dxa"/>
            <w:vAlign w:val="bottom"/>
          </w:tcPr>
          <w:p>
            <w:pPr>
              <w:spacing w:after="0"/>
              <w:rPr>
                <w:sz w:val="9"/>
                <w:szCs w:val="9"/>
                <w:color w:val="auto"/>
              </w:rPr>
            </w:pPr>
          </w:p>
        </w:tc>
        <w:tc>
          <w:tcPr>
            <w:tcW w:w="480" w:type="dxa"/>
            <w:vAlign w:val="bottom"/>
          </w:tcPr>
          <w:p>
            <w:pPr>
              <w:ind w:left="20"/>
              <w:spacing w:after="0" w:line="110" w:lineRule="exact"/>
              <w:rPr>
                <w:sz w:val="20"/>
                <w:szCs w:val="20"/>
                <w:color w:val="auto"/>
              </w:rPr>
            </w:pPr>
            <w:r>
              <w:rPr>
                <w:rFonts w:ascii="Arial" w:cs="Arial" w:eastAsia="Arial" w:hAnsi="Arial"/>
                <w:sz w:val="12"/>
                <w:szCs w:val="12"/>
                <w:b w:val="1"/>
                <w:bCs w:val="1"/>
                <w:color w:val="auto"/>
                <w:w w:val="84"/>
              </w:rPr>
              <w:t>Constant</w:t>
            </w:r>
          </w:p>
        </w:tc>
        <w:tc>
          <w:tcPr>
            <w:tcW w:w="140" w:type="dxa"/>
            <w:vAlign w:val="bottom"/>
          </w:tcPr>
          <w:p>
            <w:pPr>
              <w:spacing w:after="0"/>
              <w:rPr>
                <w:sz w:val="9"/>
                <w:szCs w:val="9"/>
                <w:color w:val="auto"/>
              </w:rPr>
            </w:pPr>
          </w:p>
        </w:tc>
      </w:tr>
      <w:tr>
        <w:trPr>
          <w:trHeight w:val="140"/>
        </w:trPr>
        <w:tc>
          <w:tcPr>
            <w:tcW w:w="4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84"/>
              <w:spacing w:after="0"/>
              <w:rPr>
                <w:sz w:val="20"/>
                <w:szCs w:val="20"/>
                <w:color w:val="auto"/>
              </w:rPr>
            </w:pPr>
            <w:r>
              <w:rPr>
                <w:rFonts w:ascii="Arial" w:cs="Arial" w:eastAsia="Arial" w:hAnsi="Arial"/>
                <w:sz w:val="12"/>
                <w:szCs w:val="12"/>
                <w:b w:val="1"/>
                <w:bCs w:val="1"/>
                <w:color w:val="auto"/>
              </w:rPr>
              <w:t>2006</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85"/>
              <w:spacing w:after="0"/>
              <w:rPr>
                <w:sz w:val="20"/>
                <w:szCs w:val="20"/>
                <w:color w:val="auto"/>
              </w:rPr>
            </w:pPr>
            <w:r>
              <w:rPr>
                <w:rFonts w:ascii="Arial" w:cs="Arial" w:eastAsia="Arial" w:hAnsi="Arial"/>
                <w:sz w:val="12"/>
                <w:szCs w:val="12"/>
                <w:b w:val="1"/>
                <w:bCs w:val="1"/>
                <w:color w:val="auto"/>
              </w:rPr>
              <w:t>2005</w:t>
            </w:r>
          </w:p>
        </w:tc>
        <w:tc>
          <w:tcPr>
            <w:tcW w:w="220" w:type="dxa"/>
            <w:vAlign w:val="bottom"/>
          </w:tcPr>
          <w:p>
            <w:pPr>
              <w:spacing w:after="0"/>
              <w:rPr>
                <w:sz w:val="12"/>
                <w:szCs w:val="12"/>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7"/>
              </w:rPr>
              <w:t>Reported</w:t>
            </w:r>
          </w:p>
        </w:tc>
        <w:tc>
          <w:tcPr>
            <w:tcW w:w="180" w:type="dxa"/>
            <w:vAlign w:val="bottom"/>
          </w:tcPr>
          <w:p>
            <w:pPr>
              <w:spacing w:after="0"/>
              <w:rPr>
                <w:sz w:val="12"/>
                <w:szCs w:val="12"/>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Currency</w:t>
            </w:r>
          </w:p>
        </w:tc>
      </w:tr>
      <w:tr>
        <w:trPr>
          <w:trHeight w:val="20"/>
        </w:trPr>
        <w:tc>
          <w:tcPr>
            <w:tcW w:w="4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1"/>
        </w:trPr>
        <w:tc>
          <w:tcPr>
            <w:tcW w:w="44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4"/>
          </w:tcPr>
          <w:p>
            <w:pPr>
              <w:jc w:val="center"/>
              <w:ind w:right="180"/>
              <w:spacing w:after="0" w:line="121" w:lineRule="exact"/>
              <w:rPr>
                <w:sz w:val="20"/>
                <w:szCs w:val="20"/>
                <w:color w:val="auto"/>
              </w:rPr>
            </w:pPr>
            <w:r>
              <w:rPr>
                <w:rFonts w:ascii="Arial" w:cs="Arial" w:eastAsia="Arial" w:hAnsi="Arial"/>
                <w:sz w:val="12"/>
                <w:szCs w:val="12"/>
                <w:b w:val="1"/>
                <w:bCs w:val="1"/>
                <w:color w:val="auto"/>
                <w:w w:val="92"/>
              </w:rPr>
              <w:t>(Unaudited)</w:t>
            </w: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88"/>
        </w:trPr>
        <w:tc>
          <w:tcPr>
            <w:tcW w:w="44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Revenue from Services:</w:t>
            </w: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8"/>
        </w:trPr>
        <w:tc>
          <w:tcPr>
            <w:tcW w:w="4440" w:type="dxa"/>
            <w:vAlign w:val="bottom"/>
          </w:tcPr>
          <w:p>
            <w:pPr>
              <w:spacing w:after="0"/>
              <w:rPr>
                <w:sz w:val="20"/>
                <w:szCs w:val="20"/>
                <w:color w:val="auto"/>
              </w:rPr>
            </w:pPr>
            <w:r>
              <w:rPr>
                <w:rFonts w:ascii="Arial" w:cs="Arial" w:eastAsia="Arial" w:hAnsi="Arial"/>
                <w:sz w:val="15"/>
                <w:szCs w:val="15"/>
                <w:color w:val="auto"/>
              </w:rPr>
              <w:t>United States</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5"/>
                <w:szCs w:val="15"/>
                <w:color w:val="auto"/>
                <w:w w:val="87"/>
              </w:rPr>
              <w:t>1,044.9</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5"/>
                <w:szCs w:val="15"/>
                <w:color w:val="auto"/>
              </w:rPr>
              <w:t>982.6</w:t>
            </w:r>
          </w:p>
        </w:tc>
        <w:tc>
          <w:tcPr>
            <w:tcW w:w="640" w:type="dxa"/>
            <w:vAlign w:val="bottom"/>
            <w:gridSpan w:val="2"/>
          </w:tcPr>
          <w:p>
            <w:pPr>
              <w:jc w:val="right"/>
              <w:ind w:right="40"/>
              <w:spacing w:after="0"/>
              <w:rPr>
                <w:sz w:val="20"/>
                <w:szCs w:val="20"/>
                <w:color w:val="auto"/>
              </w:rPr>
            </w:pPr>
            <w:r>
              <w:rPr>
                <w:rFonts w:ascii="Arial" w:cs="Arial" w:eastAsia="Arial" w:hAnsi="Arial"/>
                <w:sz w:val="15"/>
                <w:szCs w:val="15"/>
                <w:color w:val="auto"/>
              </w:rPr>
              <w:t>6.3%</w:t>
            </w:r>
          </w:p>
        </w:tc>
        <w:tc>
          <w:tcPr>
            <w:tcW w:w="800" w:type="dxa"/>
            <w:vAlign w:val="bottom"/>
            <w:gridSpan w:val="3"/>
          </w:tcPr>
          <w:p>
            <w:pPr>
              <w:jc w:val="right"/>
              <w:spacing w:after="0"/>
              <w:rPr>
                <w:sz w:val="20"/>
                <w:szCs w:val="20"/>
                <w:color w:val="auto"/>
              </w:rPr>
            </w:pPr>
            <w:r>
              <w:rPr>
                <w:rFonts w:ascii="Arial" w:cs="Arial" w:eastAsia="Arial" w:hAnsi="Arial"/>
                <w:sz w:val="15"/>
                <w:szCs w:val="15"/>
                <w:color w:val="auto"/>
              </w:rPr>
              <w:t>6.3%</w:t>
            </w:r>
          </w:p>
        </w:tc>
      </w:tr>
      <w:tr>
        <w:trPr>
          <w:trHeight w:val="188"/>
        </w:trPr>
        <w:tc>
          <w:tcPr>
            <w:tcW w:w="4440" w:type="dxa"/>
            <w:vAlign w:val="bottom"/>
            <w:shd w:val="clear" w:color="auto" w:fill="CCEEFF"/>
          </w:tcPr>
          <w:p>
            <w:pPr>
              <w:spacing w:after="0"/>
              <w:rPr>
                <w:sz w:val="20"/>
                <w:szCs w:val="20"/>
                <w:color w:val="auto"/>
              </w:rPr>
            </w:pPr>
            <w:r>
              <w:rPr>
                <w:rFonts w:ascii="Arial" w:cs="Arial" w:eastAsia="Arial" w:hAnsi="Arial"/>
                <w:sz w:val="15"/>
                <w:szCs w:val="15"/>
                <w:color w:val="auto"/>
              </w:rPr>
              <w:t>France</w:t>
            </w: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7"/>
              </w:rPr>
              <w:t>2,776.1</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87"/>
              </w:rPr>
              <w:t>2,635.0</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5.4%</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9.5%</w:t>
            </w:r>
          </w:p>
        </w:tc>
      </w:tr>
      <w:tr>
        <w:trPr>
          <w:trHeight w:val="188"/>
        </w:trPr>
        <w:tc>
          <w:tcPr>
            <w:tcW w:w="4440" w:type="dxa"/>
            <w:vAlign w:val="bottom"/>
          </w:tcPr>
          <w:p>
            <w:pPr>
              <w:spacing w:after="0"/>
              <w:rPr>
                <w:sz w:val="20"/>
                <w:szCs w:val="20"/>
                <w:color w:val="auto"/>
              </w:rPr>
            </w:pPr>
            <w:r>
              <w:rPr>
                <w:rFonts w:ascii="Arial" w:cs="Arial" w:eastAsia="Arial" w:hAnsi="Arial"/>
                <w:sz w:val="15"/>
                <w:szCs w:val="15"/>
                <w:color w:val="auto"/>
              </w:rPr>
              <w:t>EMEA</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5"/>
                <w:szCs w:val="15"/>
                <w:color w:val="auto"/>
                <w:w w:val="87"/>
              </w:rPr>
              <w:t>2,941.4</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5"/>
                <w:szCs w:val="15"/>
                <w:color w:val="auto"/>
                <w:w w:val="87"/>
              </w:rPr>
              <w:t>2,670.6</w:t>
            </w:r>
          </w:p>
        </w:tc>
        <w:tc>
          <w:tcPr>
            <w:tcW w:w="640" w:type="dxa"/>
            <w:vAlign w:val="bottom"/>
            <w:gridSpan w:val="2"/>
          </w:tcPr>
          <w:p>
            <w:pPr>
              <w:jc w:val="right"/>
              <w:ind w:right="40"/>
              <w:spacing w:after="0"/>
              <w:rPr>
                <w:sz w:val="20"/>
                <w:szCs w:val="20"/>
                <w:color w:val="auto"/>
              </w:rPr>
            </w:pPr>
            <w:r>
              <w:rPr>
                <w:rFonts w:ascii="Arial" w:cs="Arial" w:eastAsia="Arial" w:hAnsi="Arial"/>
                <w:sz w:val="15"/>
                <w:szCs w:val="15"/>
                <w:color w:val="auto"/>
              </w:rPr>
              <w:t>10.1%</w:t>
            </w:r>
          </w:p>
        </w:tc>
        <w:tc>
          <w:tcPr>
            <w:tcW w:w="800" w:type="dxa"/>
            <w:vAlign w:val="bottom"/>
            <w:gridSpan w:val="3"/>
          </w:tcPr>
          <w:p>
            <w:pPr>
              <w:jc w:val="right"/>
              <w:spacing w:after="0"/>
              <w:rPr>
                <w:sz w:val="20"/>
                <w:szCs w:val="20"/>
                <w:color w:val="auto"/>
              </w:rPr>
            </w:pPr>
            <w:r>
              <w:rPr>
                <w:rFonts w:ascii="Arial" w:cs="Arial" w:eastAsia="Arial" w:hAnsi="Arial"/>
                <w:sz w:val="15"/>
                <w:szCs w:val="15"/>
                <w:color w:val="auto"/>
              </w:rPr>
              <w:t>14.8%</w:t>
            </w:r>
          </w:p>
        </w:tc>
      </w:tr>
      <w:tr>
        <w:trPr>
          <w:trHeight w:val="188"/>
        </w:trPr>
        <w:tc>
          <w:tcPr>
            <w:tcW w:w="4440" w:type="dxa"/>
            <w:vAlign w:val="bottom"/>
            <w:shd w:val="clear" w:color="auto" w:fill="CCEEFF"/>
          </w:tcPr>
          <w:p>
            <w:pPr>
              <w:spacing w:after="0"/>
              <w:rPr>
                <w:sz w:val="20"/>
                <w:szCs w:val="20"/>
                <w:color w:val="auto"/>
              </w:rPr>
            </w:pPr>
            <w:r>
              <w:rPr>
                <w:rFonts w:ascii="Arial" w:cs="Arial" w:eastAsia="Arial" w:hAnsi="Arial"/>
                <w:sz w:val="15"/>
                <w:szCs w:val="15"/>
                <w:color w:val="auto"/>
              </w:rPr>
              <w:t>Jefferson Wells</w:t>
            </w: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194.3</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186.2</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4.3%</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4.3%</w:t>
            </w:r>
          </w:p>
        </w:tc>
      </w:tr>
      <w:tr>
        <w:trPr>
          <w:trHeight w:val="188"/>
        </w:trPr>
        <w:tc>
          <w:tcPr>
            <w:tcW w:w="4440" w:type="dxa"/>
            <w:vAlign w:val="bottom"/>
          </w:tcPr>
          <w:p>
            <w:pPr>
              <w:spacing w:after="0"/>
              <w:rPr>
                <w:sz w:val="20"/>
                <w:szCs w:val="20"/>
                <w:color w:val="auto"/>
              </w:rPr>
            </w:pPr>
            <w:r>
              <w:rPr>
                <w:rFonts w:ascii="Arial" w:cs="Arial" w:eastAsia="Arial" w:hAnsi="Arial"/>
                <w:sz w:val="15"/>
                <w:szCs w:val="15"/>
                <w:color w:val="auto"/>
              </w:rPr>
              <w:t>Right Management</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5"/>
                <w:szCs w:val="15"/>
                <w:color w:val="auto"/>
              </w:rPr>
              <w:t>197.9</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5"/>
                <w:szCs w:val="15"/>
                <w:color w:val="auto"/>
              </w:rPr>
              <w:t>210.4</w:t>
            </w:r>
          </w:p>
        </w:tc>
        <w:tc>
          <w:tcPr>
            <w:tcW w:w="640" w:type="dxa"/>
            <w:vAlign w:val="bottom"/>
            <w:gridSpan w:val="2"/>
          </w:tcPr>
          <w:p>
            <w:pPr>
              <w:jc w:val="right"/>
              <w:ind w:right="40"/>
              <w:spacing w:after="0"/>
              <w:rPr>
                <w:sz w:val="20"/>
                <w:szCs w:val="20"/>
                <w:color w:val="auto"/>
              </w:rPr>
            </w:pPr>
            <w:r>
              <w:rPr>
                <w:rFonts w:ascii="Arial" w:cs="Arial" w:eastAsia="Arial" w:hAnsi="Arial"/>
                <w:sz w:val="15"/>
                <w:szCs w:val="15"/>
                <w:color w:val="auto"/>
              </w:rPr>
              <w:t>-6.0%</w:t>
            </w:r>
          </w:p>
        </w:tc>
        <w:tc>
          <w:tcPr>
            <w:tcW w:w="800" w:type="dxa"/>
            <w:vAlign w:val="bottom"/>
            <w:gridSpan w:val="3"/>
          </w:tcPr>
          <w:p>
            <w:pPr>
              <w:jc w:val="right"/>
              <w:spacing w:after="0"/>
              <w:rPr>
                <w:sz w:val="20"/>
                <w:szCs w:val="20"/>
                <w:color w:val="auto"/>
              </w:rPr>
            </w:pPr>
            <w:r>
              <w:rPr>
                <w:rFonts w:ascii="Arial" w:cs="Arial" w:eastAsia="Arial" w:hAnsi="Arial"/>
                <w:sz w:val="15"/>
                <w:szCs w:val="15"/>
                <w:color w:val="auto"/>
              </w:rPr>
              <w:t>-4.3%</w:t>
            </w:r>
          </w:p>
        </w:tc>
      </w:tr>
      <w:tr>
        <w:trPr>
          <w:trHeight w:val="188"/>
        </w:trPr>
        <w:tc>
          <w:tcPr>
            <w:tcW w:w="4440" w:type="dxa"/>
            <w:vAlign w:val="bottom"/>
            <w:shd w:val="clear" w:color="auto" w:fill="CCEEFF"/>
          </w:tcPr>
          <w:p>
            <w:pPr>
              <w:spacing w:after="0"/>
              <w:rPr>
                <w:sz w:val="20"/>
                <w:szCs w:val="20"/>
                <w:color w:val="auto"/>
              </w:rPr>
            </w:pPr>
            <w:r>
              <w:rPr>
                <w:rFonts w:ascii="Arial" w:cs="Arial" w:eastAsia="Arial" w:hAnsi="Arial"/>
                <w:sz w:val="15"/>
                <w:szCs w:val="15"/>
                <w:color w:val="auto"/>
              </w:rPr>
              <w:t>Other Operations</w:t>
            </w: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7"/>
              </w:rPr>
              <w:t>1,107.2</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7"/>
              </w:rPr>
              <w:t>1,004.7</w:t>
            </w:r>
          </w:p>
        </w:tc>
        <w:tc>
          <w:tcPr>
            <w:tcW w:w="2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10.2%</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13.8%</w:t>
            </w:r>
          </w:p>
        </w:tc>
      </w:tr>
      <w:tr>
        <w:trPr>
          <w:trHeight w:val="191"/>
        </w:trPr>
        <w:tc>
          <w:tcPr>
            <w:tcW w:w="4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5"/>
                <w:szCs w:val="15"/>
                <w:u w:val="single" w:color="auto"/>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5"/>
                <w:szCs w:val="15"/>
                <w:color w:val="auto"/>
                <w:w w:val="87"/>
              </w:rPr>
              <w:t>8,261.8</w:t>
            </w:r>
          </w:p>
        </w:tc>
        <w:tc>
          <w:tcPr>
            <w:tcW w:w="920" w:type="dxa"/>
            <w:vAlign w:val="bottom"/>
            <w:gridSpan w:val="4"/>
          </w:tcPr>
          <w:p>
            <w:pPr>
              <w:jc w:val="right"/>
              <w:ind w:right="220"/>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7,689.5</w:t>
            </w:r>
          </w:p>
        </w:tc>
        <w:tc>
          <w:tcPr>
            <w:tcW w:w="640" w:type="dxa"/>
            <w:vAlign w:val="bottom"/>
            <w:gridSpan w:val="2"/>
          </w:tcPr>
          <w:p>
            <w:pPr>
              <w:jc w:val="right"/>
              <w:ind w:right="40"/>
              <w:spacing w:after="0"/>
              <w:rPr>
                <w:sz w:val="20"/>
                <w:szCs w:val="20"/>
                <w:color w:val="auto"/>
              </w:rPr>
            </w:pPr>
            <w:r>
              <w:rPr>
                <w:rFonts w:ascii="Arial" w:cs="Arial" w:eastAsia="Arial" w:hAnsi="Arial"/>
                <w:sz w:val="15"/>
                <w:szCs w:val="15"/>
                <w:color w:val="auto"/>
              </w:rPr>
              <w:t>7.4%</w:t>
            </w:r>
          </w:p>
        </w:tc>
        <w:tc>
          <w:tcPr>
            <w:tcW w:w="800" w:type="dxa"/>
            <w:vAlign w:val="bottom"/>
            <w:gridSpan w:val="3"/>
          </w:tcPr>
          <w:p>
            <w:pPr>
              <w:jc w:val="right"/>
              <w:spacing w:after="0"/>
              <w:rPr>
                <w:sz w:val="20"/>
                <w:szCs w:val="20"/>
                <w:color w:val="auto"/>
              </w:rPr>
            </w:pPr>
            <w:r>
              <w:rPr>
                <w:rFonts w:ascii="Arial" w:cs="Arial" w:eastAsia="Arial" w:hAnsi="Arial"/>
                <w:sz w:val="15"/>
                <w:szCs w:val="15"/>
                <w:color w:val="auto"/>
              </w:rPr>
              <w:t>11.0%</w:t>
            </w:r>
          </w:p>
        </w:tc>
      </w:tr>
      <w:tr>
        <w:trPr>
          <w:trHeight w:val="20"/>
        </w:trPr>
        <w:tc>
          <w:tcPr>
            <w:tcW w:w="4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6"/>
        </w:trPr>
        <w:tc>
          <w:tcPr>
            <w:tcW w:w="44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Operating Unit Profit:</w:t>
            </w: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8"/>
        </w:trPr>
        <w:tc>
          <w:tcPr>
            <w:tcW w:w="4440" w:type="dxa"/>
            <w:vAlign w:val="bottom"/>
          </w:tcPr>
          <w:p>
            <w:pPr>
              <w:spacing w:after="0"/>
              <w:rPr>
                <w:sz w:val="20"/>
                <w:szCs w:val="20"/>
                <w:color w:val="auto"/>
              </w:rPr>
            </w:pPr>
            <w:r>
              <w:rPr>
                <w:rFonts w:ascii="Arial" w:cs="Arial" w:eastAsia="Arial" w:hAnsi="Arial"/>
                <w:sz w:val="15"/>
                <w:szCs w:val="15"/>
                <w:color w:val="auto"/>
              </w:rPr>
              <w:t>United States</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5"/>
                <w:szCs w:val="15"/>
                <w:color w:val="auto"/>
              </w:rPr>
              <w:t>32.0</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5"/>
                <w:szCs w:val="15"/>
                <w:color w:val="auto"/>
              </w:rPr>
              <w:t>22.9</w:t>
            </w:r>
          </w:p>
        </w:tc>
        <w:tc>
          <w:tcPr>
            <w:tcW w:w="640" w:type="dxa"/>
            <w:vAlign w:val="bottom"/>
            <w:gridSpan w:val="2"/>
          </w:tcPr>
          <w:p>
            <w:pPr>
              <w:jc w:val="right"/>
              <w:ind w:right="40"/>
              <w:spacing w:after="0"/>
              <w:rPr>
                <w:sz w:val="20"/>
                <w:szCs w:val="20"/>
                <w:color w:val="auto"/>
              </w:rPr>
            </w:pPr>
            <w:r>
              <w:rPr>
                <w:rFonts w:ascii="Arial" w:cs="Arial" w:eastAsia="Arial" w:hAnsi="Arial"/>
                <w:sz w:val="15"/>
                <w:szCs w:val="15"/>
                <w:color w:val="auto"/>
              </w:rPr>
              <w:t>39.8%</w:t>
            </w:r>
          </w:p>
        </w:tc>
        <w:tc>
          <w:tcPr>
            <w:tcW w:w="800" w:type="dxa"/>
            <w:vAlign w:val="bottom"/>
            <w:gridSpan w:val="3"/>
          </w:tcPr>
          <w:p>
            <w:pPr>
              <w:jc w:val="right"/>
              <w:spacing w:after="0"/>
              <w:rPr>
                <w:sz w:val="20"/>
                <w:szCs w:val="20"/>
                <w:color w:val="auto"/>
              </w:rPr>
            </w:pPr>
            <w:r>
              <w:rPr>
                <w:rFonts w:ascii="Arial" w:cs="Arial" w:eastAsia="Arial" w:hAnsi="Arial"/>
                <w:sz w:val="15"/>
                <w:szCs w:val="15"/>
                <w:color w:val="auto"/>
              </w:rPr>
              <w:t>39.8%</w:t>
            </w:r>
          </w:p>
        </w:tc>
      </w:tr>
      <w:tr>
        <w:trPr>
          <w:trHeight w:val="188"/>
        </w:trPr>
        <w:tc>
          <w:tcPr>
            <w:tcW w:w="4440" w:type="dxa"/>
            <w:vAlign w:val="bottom"/>
            <w:shd w:val="clear" w:color="auto" w:fill="CCEEFF"/>
          </w:tcPr>
          <w:p>
            <w:pPr>
              <w:spacing w:after="0"/>
              <w:rPr>
                <w:sz w:val="20"/>
                <w:szCs w:val="20"/>
                <w:color w:val="auto"/>
              </w:rPr>
            </w:pPr>
            <w:r>
              <w:rPr>
                <w:rFonts w:ascii="Arial" w:cs="Arial" w:eastAsia="Arial" w:hAnsi="Arial"/>
                <w:sz w:val="15"/>
                <w:szCs w:val="15"/>
                <w:color w:val="auto"/>
              </w:rPr>
              <w:t>France</w:t>
            </w: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80.1</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70.4</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13.8%</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17.3%</w:t>
            </w:r>
          </w:p>
        </w:tc>
      </w:tr>
      <w:tr>
        <w:trPr>
          <w:trHeight w:val="188"/>
        </w:trPr>
        <w:tc>
          <w:tcPr>
            <w:tcW w:w="4440" w:type="dxa"/>
            <w:vAlign w:val="bottom"/>
          </w:tcPr>
          <w:p>
            <w:pPr>
              <w:spacing w:after="0"/>
              <w:rPr>
                <w:sz w:val="20"/>
                <w:szCs w:val="20"/>
                <w:color w:val="auto"/>
              </w:rPr>
            </w:pPr>
            <w:r>
              <w:rPr>
                <w:rFonts w:ascii="Arial" w:cs="Arial" w:eastAsia="Arial" w:hAnsi="Arial"/>
                <w:sz w:val="15"/>
                <w:szCs w:val="15"/>
                <w:color w:val="auto"/>
              </w:rPr>
              <w:t>EMEA</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5"/>
                <w:szCs w:val="15"/>
                <w:color w:val="auto"/>
              </w:rPr>
              <w:t>73.7</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5"/>
                <w:szCs w:val="15"/>
                <w:color w:val="auto"/>
              </w:rPr>
              <w:t>48.0</w:t>
            </w:r>
          </w:p>
        </w:tc>
        <w:tc>
          <w:tcPr>
            <w:tcW w:w="640" w:type="dxa"/>
            <w:vAlign w:val="bottom"/>
            <w:gridSpan w:val="2"/>
          </w:tcPr>
          <w:p>
            <w:pPr>
              <w:jc w:val="right"/>
              <w:ind w:right="40"/>
              <w:spacing w:after="0"/>
              <w:rPr>
                <w:sz w:val="20"/>
                <w:szCs w:val="20"/>
                <w:color w:val="auto"/>
              </w:rPr>
            </w:pPr>
            <w:r>
              <w:rPr>
                <w:rFonts w:ascii="Arial" w:cs="Arial" w:eastAsia="Arial" w:hAnsi="Arial"/>
                <w:sz w:val="15"/>
                <w:szCs w:val="15"/>
                <w:color w:val="auto"/>
              </w:rPr>
              <w:t>53.4%</w:t>
            </w:r>
          </w:p>
        </w:tc>
        <w:tc>
          <w:tcPr>
            <w:tcW w:w="800" w:type="dxa"/>
            <w:vAlign w:val="bottom"/>
            <w:gridSpan w:val="3"/>
          </w:tcPr>
          <w:p>
            <w:pPr>
              <w:jc w:val="right"/>
              <w:spacing w:after="0"/>
              <w:rPr>
                <w:sz w:val="20"/>
                <w:szCs w:val="20"/>
                <w:color w:val="auto"/>
              </w:rPr>
            </w:pPr>
            <w:r>
              <w:rPr>
                <w:rFonts w:ascii="Arial" w:cs="Arial" w:eastAsia="Arial" w:hAnsi="Arial"/>
                <w:sz w:val="15"/>
                <w:szCs w:val="15"/>
                <w:color w:val="auto"/>
              </w:rPr>
              <w:t>57.4%</w:t>
            </w:r>
          </w:p>
        </w:tc>
      </w:tr>
      <w:tr>
        <w:trPr>
          <w:trHeight w:val="188"/>
        </w:trPr>
        <w:tc>
          <w:tcPr>
            <w:tcW w:w="4440" w:type="dxa"/>
            <w:vAlign w:val="bottom"/>
            <w:shd w:val="clear" w:color="auto" w:fill="CCEEFF"/>
          </w:tcPr>
          <w:p>
            <w:pPr>
              <w:spacing w:after="0"/>
              <w:rPr>
                <w:sz w:val="20"/>
                <w:szCs w:val="20"/>
                <w:color w:val="auto"/>
              </w:rPr>
            </w:pPr>
            <w:r>
              <w:rPr>
                <w:rFonts w:ascii="Arial" w:cs="Arial" w:eastAsia="Arial" w:hAnsi="Arial"/>
                <w:sz w:val="15"/>
                <w:szCs w:val="15"/>
                <w:color w:val="auto"/>
              </w:rPr>
              <w:t>Jefferson Wells</w:t>
            </w: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15.7</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17.4</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-9.6%</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-9.6%</w:t>
            </w:r>
          </w:p>
        </w:tc>
      </w:tr>
      <w:tr>
        <w:trPr>
          <w:trHeight w:val="188"/>
        </w:trPr>
        <w:tc>
          <w:tcPr>
            <w:tcW w:w="4440" w:type="dxa"/>
            <w:vAlign w:val="bottom"/>
          </w:tcPr>
          <w:p>
            <w:pPr>
              <w:spacing w:after="0"/>
              <w:rPr>
                <w:sz w:val="20"/>
                <w:szCs w:val="20"/>
                <w:color w:val="auto"/>
              </w:rPr>
            </w:pPr>
            <w:r>
              <w:rPr>
                <w:rFonts w:ascii="Arial" w:cs="Arial" w:eastAsia="Arial" w:hAnsi="Arial"/>
                <w:sz w:val="15"/>
                <w:szCs w:val="15"/>
                <w:color w:val="auto"/>
              </w:rPr>
              <w:t>Right Management</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5"/>
                <w:szCs w:val="15"/>
                <w:color w:val="auto"/>
              </w:rPr>
              <w:t>15.7</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5"/>
                <w:szCs w:val="15"/>
                <w:color w:val="auto"/>
              </w:rPr>
              <w:t>19.8</w:t>
            </w:r>
          </w:p>
        </w:tc>
        <w:tc>
          <w:tcPr>
            <w:tcW w:w="640" w:type="dxa"/>
            <w:vAlign w:val="bottom"/>
            <w:gridSpan w:val="2"/>
          </w:tcPr>
          <w:p>
            <w:pPr>
              <w:jc w:val="right"/>
              <w:ind w:right="40"/>
              <w:spacing w:after="0"/>
              <w:rPr>
                <w:sz w:val="20"/>
                <w:szCs w:val="20"/>
                <w:color w:val="auto"/>
              </w:rPr>
            </w:pPr>
            <w:r>
              <w:rPr>
                <w:rFonts w:ascii="Arial" w:cs="Arial" w:eastAsia="Arial" w:hAnsi="Arial"/>
                <w:sz w:val="15"/>
                <w:szCs w:val="15"/>
                <w:color w:val="auto"/>
              </w:rPr>
              <w:t>-20.9%</w:t>
            </w:r>
          </w:p>
        </w:tc>
        <w:tc>
          <w:tcPr>
            <w:tcW w:w="800" w:type="dxa"/>
            <w:vAlign w:val="bottom"/>
            <w:gridSpan w:val="3"/>
          </w:tcPr>
          <w:p>
            <w:pPr>
              <w:jc w:val="right"/>
              <w:spacing w:after="0"/>
              <w:rPr>
                <w:sz w:val="20"/>
                <w:szCs w:val="20"/>
                <w:color w:val="auto"/>
              </w:rPr>
            </w:pPr>
            <w:r>
              <w:rPr>
                <w:rFonts w:ascii="Arial" w:cs="Arial" w:eastAsia="Arial" w:hAnsi="Arial"/>
                <w:sz w:val="15"/>
                <w:szCs w:val="15"/>
                <w:color w:val="auto"/>
              </w:rPr>
              <w:t>-21.9%</w:t>
            </w:r>
          </w:p>
        </w:tc>
      </w:tr>
      <w:tr>
        <w:trPr>
          <w:trHeight w:val="188"/>
        </w:trPr>
        <w:tc>
          <w:tcPr>
            <w:tcW w:w="4440" w:type="dxa"/>
            <w:vAlign w:val="bottom"/>
            <w:shd w:val="clear" w:color="auto" w:fill="CCEEFF"/>
          </w:tcPr>
          <w:p>
            <w:pPr>
              <w:spacing w:after="0"/>
              <w:rPr>
                <w:sz w:val="20"/>
                <w:szCs w:val="20"/>
                <w:color w:val="auto"/>
              </w:rPr>
            </w:pPr>
            <w:r>
              <w:rPr>
                <w:rFonts w:ascii="Arial" w:cs="Arial" w:eastAsia="Arial" w:hAnsi="Arial"/>
                <w:sz w:val="15"/>
                <w:szCs w:val="15"/>
                <w:color w:val="auto"/>
              </w:rPr>
              <w:t>Other Operations</w:t>
            </w: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32.4</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24.9</w:t>
            </w:r>
          </w:p>
        </w:tc>
        <w:tc>
          <w:tcPr>
            <w:tcW w:w="2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30.3%</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37.2%</w:t>
            </w:r>
          </w:p>
        </w:tc>
      </w:tr>
      <w:tr>
        <w:trPr>
          <w:trHeight w:val="191"/>
        </w:trPr>
        <w:tc>
          <w:tcPr>
            <w:tcW w:w="4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5"/>
                <w:szCs w:val="15"/>
                <w:color w:val="auto"/>
              </w:rPr>
              <w:t>249.6</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5"/>
                <w:szCs w:val="15"/>
                <w:color w:val="auto"/>
              </w:rPr>
              <w:t>203.4</w:t>
            </w: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9"/>
        </w:trPr>
        <w:tc>
          <w:tcPr>
            <w:tcW w:w="4440" w:type="dxa"/>
            <w:vAlign w:val="bottom"/>
            <w:shd w:val="clear" w:color="auto" w:fill="CCEEFF"/>
          </w:tcPr>
          <w:p>
            <w:pPr>
              <w:spacing w:after="0"/>
              <w:rPr>
                <w:sz w:val="20"/>
                <w:szCs w:val="20"/>
                <w:color w:val="auto"/>
              </w:rPr>
            </w:pPr>
            <w:r>
              <w:rPr>
                <w:rFonts w:ascii="Arial" w:cs="Arial" w:eastAsia="Arial" w:hAnsi="Arial"/>
                <w:sz w:val="15"/>
                <w:szCs w:val="15"/>
                <w:color w:val="auto"/>
              </w:rPr>
              <w:t>Corporate Expenses</w:t>
            </w: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44.7</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28.8</w:t>
            </w: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2"/>
        </w:trPr>
        <w:tc>
          <w:tcPr>
            <w:tcW w:w="4440" w:type="dxa"/>
            <w:vAlign w:val="bottom"/>
          </w:tcPr>
          <w:p>
            <w:pPr>
              <w:spacing w:after="0"/>
              <w:rPr>
                <w:sz w:val="20"/>
                <w:szCs w:val="20"/>
                <w:color w:val="auto"/>
              </w:rPr>
            </w:pPr>
            <w:r>
              <w:rPr>
                <w:rFonts w:ascii="Arial" w:cs="Arial" w:eastAsia="Arial" w:hAnsi="Arial"/>
                <w:sz w:val="15"/>
                <w:szCs w:val="15"/>
                <w:color w:val="auto"/>
              </w:rPr>
              <w:t>Amortization of intangible assets</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8"/>
        </w:trPr>
        <w:tc>
          <w:tcPr>
            <w:tcW w:w="44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Operating profit</w:t>
            </w: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198.4</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168.1</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18.0%</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21.5%</w:t>
            </w:r>
          </w:p>
        </w:tc>
      </w:tr>
      <w:tr>
        <w:trPr>
          <w:trHeight w:val="192"/>
        </w:trPr>
        <w:tc>
          <w:tcPr>
            <w:tcW w:w="4440" w:type="dxa"/>
            <w:vAlign w:val="bottom"/>
          </w:tcPr>
          <w:p>
            <w:pPr>
              <w:spacing w:after="0"/>
              <w:rPr>
                <w:sz w:val="20"/>
                <w:szCs w:val="20"/>
                <w:color w:val="auto"/>
              </w:rPr>
            </w:pPr>
            <w:r>
              <w:rPr>
                <w:rFonts w:ascii="Arial" w:cs="Arial" w:eastAsia="Arial" w:hAnsi="Arial"/>
                <w:sz w:val="15"/>
                <w:szCs w:val="15"/>
                <w:color w:val="auto"/>
              </w:rPr>
              <w:t>Interest and other expenses</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25.5</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23.0</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8"/>
        </w:trPr>
        <w:tc>
          <w:tcPr>
            <w:tcW w:w="44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Earnings before income taxes and discontinued operations</w:t>
            </w: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172.9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145.1</w:t>
            </w: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0"/>
        </w:trPr>
        <w:tc>
          <w:tcPr>
            <w:tcW w:w="4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p>
    <w:p>
      <w:pPr>
        <w:ind w:left="446" w:hanging="446"/>
        <w:spacing w:after="0"/>
        <w:tabs>
          <w:tab w:leader="none" w:pos="446" w:val="left"/>
        </w:tabs>
        <w:numPr>
          <w:ilvl w:val="0"/>
          <w:numId w:val="13"/>
        </w:numPr>
        <w:rPr>
          <w:rFonts w:ascii="Arial" w:cs="Arial" w:eastAsia="Arial" w:hAnsi="Arial"/>
          <w:sz w:val="20"/>
          <w:szCs w:val="20"/>
          <w:color w:val="auto"/>
          <w:vertAlign w:val="superscript"/>
        </w:rPr>
      </w:pPr>
      <w:r>
        <w:rPr>
          <w:rFonts w:ascii="Arial" w:cs="Arial" w:eastAsia="Arial" w:hAnsi="Arial"/>
          <w:sz w:val="15"/>
          <w:szCs w:val="15"/>
          <w:color w:val="auto"/>
        </w:rPr>
        <w:t>Restatement for discontinued operations and reclass of segment results.</w:t>
      </w:r>
    </w:p>
    <w:p>
      <w:pPr>
        <w:sectPr>
          <w:pgSz w:w="11900" w:h="16838" w:orient="portrait"/>
          <w:cols w:equalWidth="0" w:num="1">
            <w:col w:w="11446"/>
          </w:cols>
          <w:pgMar w:left="234" w:top="262" w:right="219" w:bottom="1440" w:gutter="0" w:footer="0" w:header="0"/>
        </w:sectPr>
      </w:pPr>
    </w:p>
    <w:bookmarkStart w:id="35" w:name="page36"/>
    <w:bookmarkEnd w:id="35"/>
    <w:p>
      <w:pPr>
        <w:jc w:val="right"/>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4720" cy="24765"/>
                    </a:xfrm>
                    <a:prstGeom prst="rect">
                      <a:avLst/>
                    </a:prstGeom>
                    <a:noFill/>
                  </pic:spPr>
                </pic:pic>
              </a:graphicData>
            </a:graphic>
          </wp:anchor>
        </w:drawing>
        <w:t>(Page 6 of 9)</w:t>
      </w:r>
    </w:p>
    <w:p>
      <w:pPr>
        <w:spacing w:after="0" w:line="157"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Manpower Inc.</w:t>
      </w:r>
    </w:p>
    <w:p>
      <w:pPr>
        <w:jc w:val="center"/>
        <w:ind w:right="-5"/>
        <w:spacing w:after="0" w:line="236" w:lineRule="auto"/>
        <w:rPr>
          <w:sz w:val="20"/>
          <w:szCs w:val="20"/>
          <w:color w:val="auto"/>
        </w:rPr>
      </w:pPr>
      <w:r>
        <w:rPr>
          <w:rFonts w:ascii="Arial" w:cs="Arial" w:eastAsia="Arial" w:hAnsi="Arial"/>
          <w:sz w:val="15"/>
          <w:szCs w:val="15"/>
          <w:color w:val="auto"/>
        </w:rPr>
        <w:t xml:space="preserve">Operating unit Results </w:t>
      </w:r>
      <w:r>
        <w:rPr>
          <w:rFonts w:ascii="Arial" w:cs="Arial" w:eastAsia="Arial" w:hAnsi="Arial"/>
          <w:sz w:val="19"/>
          <w:szCs w:val="19"/>
          <w:color w:val="auto"/>
          <w:vertAlign w:val="superscript"/>
        </w:rPr>
        <w:t>(1)</w:t>
      </w:r>
    </w:p>
    <w:p>
      <w:pPr>
        <w:spacing w:after="0" w:line="1"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(In millions)</w:t>
      </w:r>
    </w:p>
    <w:p>
      <w:pPr>
        <w:spacing w:after="0" w:line="176" w:lineRule="exact"/>
        <w:rPr>
          <w:sz w:val="20"/>
          <w:szCs w:val="20"/>
          <w:color w:val="auto"/>
        </w:rPr>
      </w:pPr>
    </w:p>
    <w:tbl>
      <w:tblPr>
        <w:tblLayout w:type="fixed"/>
        <w:tblInd w:w="6" w:type="dxa"/>
        <w:tblCellMar>
          <w:top w:w="0" w:type="dxa"/>
          <w:left w:w="0" w:type="dxa"/>
          <w:bottom w:w="0" w:type="dxa"/>
          <w:right w:w="0" w:type="dxa"/>
        </w:tblCellMar>
      </w:tblPr>
      <w:tr>
        <w:trPr>
          <w:trHeight w:val="140"/>
        </w:trPr>
        <w:tc>
          <w:tcPr>
            <w:tcW w:w="94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140" w:type="dxa"/>
            <w:vAlign w:val="bottom"/>
            <w:tcBorders>
              <w:bottom w:val="single" w:sz="8" w:color="auto"/>
            </w:tcBorders>
            <w:gridSpan w:val="6"/>
          </w:tcPr>
          <w:p>
            <w:pPr>
              <w:jc w:val="center"/>
              <w:ind w:right="200"/>
              <w:spacing w:after="0"/>
              <w:rPr>
                <w:sz w:val="20"/>
                <w:szCs w:val="20"/>
                <w:color w:val="auto"/>
              </w:rPr>
            </w:pPr>
            <w:r>
              <w:rPr>
                <w:rFonts w:ascii="Arial" w:cs="Arial" w:eastAsia="Arial" w:hAnsi="Arial"/>
                <w:sz w:val="12"/>
                <w:szCs w:val="12"/>
                <w:b w:val="1"/>
                <w:bCs w:val="1"/>
                <w:color w:val="auto"/>
                <w:w w:val="88"/>
              </w:rPr>
              <w:t>Three Months Ended September 30</w:t>
            </w:r>
          </w:p>
        </w:tc>
        <w:tc>
          <w:tcPr>
            <w:tcW w:w="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94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0" w:type="dxa"/>
            <w:vAlign w:val="bottom"/>
            <w:tcBorders>
              <w:bottom w:val="single" w:sz="8" w:color="auto"/>
            </w:tcBorders>
            <w:gridSpan w:val="3"/>
          </w:tcPr>
          <w:p>
            <w:pPr>
              <w:ind w:left="400"/>
              <w:spacing w:after="0" w:line="121" w:lineRule="exact"/>
              <w:rPr>
                <w:sz w:val="20"/>
                <w:szCs w:val="20"/>
                <w:color w:val="auto"/>
              </w:rPr>
            </w:pPr>
            <w:r>
              <w:rPr>
                <w:rFonts w:ascii="Arial" w:cs="Arial" w:eastAsia="Arial" w:hAnsi="Arial"/>
                <w:sz w:val="12"/>
                <w:szCs w:val="12"/>
                <w:b w:val="1"/>
                <w:bCs w:val="1"/>
                <w:color w:val="auto"/>
              </w:rPr>
              <w:t>% Variance</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940" w:type="dxa"/>
            <w:vAlign w:val="bottom"/>
          </w:tcPr>
          <w:p>
            <w:pPr>
              <w:spacing w:after="0"/>
              <w:rPr>
                <w:sz w:val="9"/>
                <w:szCs w:val="9"/>
                <w:color w:val="auto"/>
              </w:rPr>
            </w:pPr>
          </w:p>
        </w:tc>
        <w:tc>
          <w:tcPr>
            <w:tcW w:w="502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20" w:type="dxa"/>
            <w:vAlign w:val="bottom"/>
            <w:gridSpan w:val="2"/>
          </w:tcPr>
          <w:p>
            <w:pPr>
              <w:jc w:val="center"/>
              <w:ind w:right="460"/>
              <w:spacing w:after="0" w:line="110" w:lineRule="exact"/>
              <w:rPr>
                <w:sz w:val="20"/>
                <w:szCs w:val="20"/>
                <w:color w:val="auto"/>
              </w:rPr>
            </w:pPr>
            <w:r>
              <w:rPr>
                <w:rFonts w:ascii="Arial" w:cs="Arial" w:eastAsia="Arial" w:hAnsi="Arial"/>
                <w:sz w:val="12"/>
                <w:szCs w:val="12"/>
                <w:b w:val="1"/>
                <w:bCs w:val="1"/>
                <w:color w:val="auto"/>
                <w:w w:val="92"/>
              </w:rPr>
              <w:t>Amount</w:t>
            </w:r>
          </w:p>
        </w:tc>
        <w:tc>
          <w:tcPr>
            <w:tcW w:w="480" w:type="dxa"/>
            <w:vAlign w:val="bottom"/>
          </w:tcPr>
          <w:p>
            <w:pPr>
              <w:ind w:left="20"/>
              <w:spacing w:after="0" w:line="110" w:lineRule="exact"/>
              <w:rPr>
                <w:sz w:val="20"/>
                <w:szCs w:val="20"/>
                <w:color w:val="auto"/>
              </w:rPr>
            </w:pPr>
            <w:r>
              <w:rPr>
                <w:rFonts w:ascii="Arial" w:cs="Arial" w:eastAsia="Arial" w:hAnsi="Arial"/>
                <w:sz w:val="12"/>
                <w:szCs w:val="12"/>
                <w:b w:val="1"/>
                <w:bCs w:val="1"/>
                <w:color w:val="auto"/>
                <w:w w:val="84"/>
              </w:rPr>
              <w:t>Constant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94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124"/>
              <w:spacing w:after="0"/>
              <w:rPr>
                <w:sz w:val="20"/>
                <w:szCs w:val="20"/>
                <w:color w:val="auto"/>
              </w:rPr>
            </w:pPr>
            <w:r>
              <w:rPr>
                <w:rFonts w:ascii="Arial" w:cs="Arial" w:eastAsia="Arial" w:hAnsi="Arial"/>
                <w:sz w:val="12"/>
                <w:szCs w:val="12"/>
                <w:b w:val="1"/>
                <w:bCs w:val="1"/>
                <w:color w:val="auto"/>
              </w:rPr>
              <w:t>2006</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105"/>
              <w:spacing w:after="0"/>
              <w:rPr>
                <w:sz w:val="20"/>
                <w:szCs w:val="20"/>
                <w:color w:val="auto"/>
              </w:rPr>
            </w:pPr>
            <w:r>
              <w:rPr>
                <w:rFonts w:ascii="Arial" w:cs="Arial" w:eastAsia="Arial" w:hAnsi="Arial"/>
                <w:sz w:val="12"/>
                <w:szCs w:val="12"/>
                <w:b w:val="1"/>
                <w:bCs w:val="1"/>
                <w:color w:val="auto"/>
              </w:rPr>
              <w:t>2005</w:t>
            </w:r>
          </w:p>
        </w:tc>
        <w:tc>
          <w:tcPr>
            <w:tcW w:w="340" w:type="dxa"/>
            <w:vAlign w:val="bottom"/>
          </w:tcPr>
          <w:p>
            <w:pPr>
              <w:spacing w:after="0"/>
              <w:rPr>
                <w:sz w:val="12"/>
                <w:szCs w:val="12"/>
                <w:color w:val="auto"/>
              </w:rPr>
            </w:pPr>
          </w:p>
        </w:tc>
        <w:tc>
          <w:tcPr>
            <w:tcW w:w="92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87"/>
              </w:rPr>
              <w:t>Reported</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Currency</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94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60" w:type="dxa"/>
            <w:vAlign w:val="bottom"/>
            <w:gridSpan w:val="4"/>
          </w:tcPr>
          <w:p>
            <w:pPr>
              <w:jc w:val="center"/>
              <w:ind w:right="580"/>
              <w:spacing w:after="0" w:line="121" w:lineRule="exact"/>
              <w:rPr>
                <w:sz w:val="20"/>
                <w:szCs w:val="20"/>
                <w:color w:val="auto"/>
              </w:rPr>
            </w:pPr>
            <w:r>
              <w:rPr>
                <w:rFonts w:ascii="Arial" w:cs="Arial" w:eastAsia="Arial" w:hAnsi="Arial"/>
                <w:sz w:val="12"/>
                <w:szCs w:val="12"/>
                <w:b w:val="1"/>
                <w:bCs w:val="1"/>
                <w:color w:val="auto"/>
                <w:w w:val="92"/>
              </w:rPr>
              <w:t>(Unaudited)</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596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Revenue from Services:</w:t>
            </w:r>
          </w:p>
        </w:tc>
        <w:tc>
          <w:tcPr>
            <w:tcW w:w="2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960" w:type="dxa"/>
            <w:vAlign w:val="bottom"/>
            <w:gridSpan w:val="2"/>
          </w:tcPr>
          <w:p>
            <w:pPr>
              <w:spacing w:after="0"/>
              <w:rPr>
                <w:sz w:val="20"/>
                <w:szCs w:val="20"/>
                <w:color w:val="auto"/>
              </w:rPr>
            </w:pPr>
            <w:r>
              <w:rPr>
                <w:rFonts w:ascii="Arial" w:cs="Arial" w:eastAsia="Arial" w:hAnsi="Arial"/>
                <w:sz w:val="15"/>
                <w:szCs w:val="15"/>
                <w:color w:val="auto"/>
              </w:rPr>
              <w:t>United States</w:t>
            </w:r>
          </w:p>
        </w:tc>
        <w:tc>
          <w:tcPr>
            <w:tcW w:w="2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5"/>
                <w:szCs w:val="15"/>
                <w:color w:val="auto"/>
              </w:rPr>
              <w:t>542.1</w:t>
            </w:r>
          </w:p>
        </w:tc>
        <w:tc>
          <w:tcPr>
            <w:tcW w:w="3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5"/>
                <w:szCs w:val="15"/>
                <w:color w:val="auto"/>
              </w:rPr>
              <w:t>531.5</w:t>
            </w: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2.0%</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188"/>
        </w:trPr>
        <w:tc>
          <w:tcPr>
            <w:tcW w:w="59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France</w:t>
            </w:r>
          </w:p>
        </w:tc>
        <w:tc>
          <w:tcPr>
            <w:tcW w:w="2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1,654.0</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w w:val="95"/>
              </w:rPr>
              <w:t>1,479.3</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11.8%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7.0%</w:t>
            </w:r>
          </w:p>
        </w:tc>
        <w:tc>
          <w:tcPr>
            <w:tcW w:w="0" w:type="dxa"/>
            <w:vAlign w:val="bottom"/>
          </w:tcPr>
          <w:p>
            <w:pPr>
              <w:spacing w:after="0"/>
              <w:rPr>
                <w:sz w:val="1"/>
                <w:szCs w:val="1"/>
                <w:color w:val="auto"/>
              </w:rPr>
            </w:pPr>
          </w:p>
        </w:tc>
      </w:tr>
      <w:tr>
        <w:trPr>
          <w:trHeight w:val="188"/>
        </w:trPr>
        <w:tc>
          <w:tcPr>
            <w:tcW w:w="5960" w:type="dxa"/>
            <w:vAlign w:val="bottom"/>
            <w:gridSpan w:val="2"/>
          </w:tcPr>
          <w:p>
            <w:pPr>
              <w:spacing w:after="0"/>
              <w:rPr>
                <w:sz w:val="20"/>
                <w:szCs w:val="20"/>
                <w:color w:val="auto"/>
              </w:rPr>
            </w:pPr>
            <w:r>
              <w:rPr>
                <w:rFonts w:ascii="Arial" w:cs="Arial" w:eastAsia="Arial" w:hAnsi="Arial"/>
                <w:sz w:val="15"/>
                <w:szCs w:val="15"/>
                <w:color w:val="auto"/>
              </w:rPr>
              <w:t>EMEA</w:t>
            </w: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5"/>
                <w:szCs w:val="15"/>
                <w:color w:val="auto"/>
              </w:rPr>
              <w:t>1,629.7</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5"/>
                <w:szCs w:val="15"/>
                <w:color w:val="auto"/>
                <w:w w:val="95"/>
              </w:rPr>
              <w:t>1,355.9</w:t>
            </w: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20.2%</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15.1%</w:t>
            </w:r>
          </w:p>
        </w:tc>
        <w:tc>
          <w:tcPr>
            <w:tcW w:w="0" w:type="dxa"/>
            <w:vAlign w:val="bottom"/>
          </w:tcPr>
          <w:p>
            <w:pPr>
              <w:spacing w:after="0"/>
              <w:rPr>
                <w:sz w:val="1"/>
                <w:szCs w:val="1"/>
                <w:color w:val="auto"/>
              </w:rPr>
            </w:pPr>
          </w:p>
        </w:tc>
      </w:tr>
      <w:tr>
        <w:trPr>
          <w:trHeight w:val="188"/>
        </w:trPr>
        <w:tc>
          <w:tcPr>
            <w:tcW w:w="59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Jefferson Wells</w:t>
            </w:r>
          </w:p>
        </w:tc>
        <w:tc>
          <w:tcPr>
            <w:tcW w:w="2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93.9</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103.9</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-9.6%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-9.6%</w:t>
            </w:r>
          </w:p>
        </w:tc>
        <w:tc>
          <w:tcPr>
            <w:tcW w:w="0" w:type="dxa"/>
            <w:vAlign w:val="bottom"/>
          </w:tcPr>
          <w:p>
            <w:pPr>
              <w:spacing w:after="0"/>
              <w:rPr>
                <w:sz w:val="1"/>
                <w:szCs w:val="1"/>
                <w:color w:val="auto"/>
              </w:rPr>
            </w:pPr>
          </w:p>
        </w:tc>
      </w:tr>
      <w:tr>
        <w:trPr>
          <w:trHeight w:val="188"/>
        </w:trPr>
        <w:tc>
          <w:tcPr>
            <w:tcW w:w="5960" w:type="dxa"/>
            <w:vAlign w:val="bottom"/>
            <w:gridSpan w:val="2"/>
          </w:tcPr>
          <w:p>
            <w:pPr>
              <w:spacing w:after="0"/>
              <w:rPr>
                <w:sz w:val="20"/>
                <w:szCs w:val="20"/>
                <w:color w:val="auto"/>
              </w:rPr>
            </w:pPr>
            <w:r>
              <w:rPr>
                <w:rFonts w:ascii="Arial" w:cs="Arial" w:eastAsia="Arial" w:hAnsi="Arial"/>
                <w:sz w:val="15"/>
                <w:szCs w:val="15"/>
                <w:color w:val="auto"/>
              </w:rPr>
              <w:t>Right Management</w:t>
            </w: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5"/>
                <w:szCs w:val="15"/>
                <w:color w:val="auto"/>
              </w:rPr>
              <w:t>90.5</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5"/>
                <w:szCs w:val="15"/>
                <w:color w:val="auto"/>
              </w:rPr>
              <w:t>94.8</w:t>
            </w: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-4.6%</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-6.7%</w:t>
            </w:r>
          </w:p>
        </w:tc>
        <w:tc>
          <w:tcPr>
            <w:tcW w:w="0" w:type="dxa"/>
            <w:vAlign w:val="bottom"/>
          </w:tcPr>
          <w:p>
            <w:pPr>
              <w:spacing w:after="0"/>
              <w:rPr>
                <w:sz w:val="1"/>
                <w:szCs w:val="1"/>
                <w:color w:val="auto"/>
              </w:rPr>
            </w:pPr>
          </w:p>
        </w:tc>
      </w:tr>
      <w:tr>
        <w:trPr>
          <w:trHeight w:val="188"/>
        </w:trPr>
        <w:tc>
          <w:tcPr>
            <w:tcW w:w="59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 Operations</w:t>
            </w:r>
          </w:p>
        </w:tc>
        <w:tc>
          <w:tcPr>
            <w:tcW w:w="2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579.8</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522.2</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11.0%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12.8%</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gridSpan w:val="2"/>
            <w:vMerge w:val="restart"/>
          </w:tcPr>
          <w:p>
            <w:pPr>
              <w:jc w:val="right"/>
              <w:ind w:right="320"/>
              <w:spacing w:after="0"/>
              <w:rPr>
                <w:sz w:val="20"/>
                <w:szCs w:val="20"/>
                <w:color w:val="auto"/>
              </w:rPr>
            </w:pPr>
            <w:r>
              <w:rPr>
                <w:rFonts w:ascii="Arial" w:cs="Arial" w:eastAsia="Arial" w:hAnsi="Arial"/>
                <w:sz w:val="15"/>
                <w:szCs w:val="15"/>
                <w:color w:val="auto"/>
              </w:rPr>
              <w:t>12.3%</w:t>
            </w:r>
          </w:p>
        </w:tc>
        <w:tc>
          <w:tcPr>
            <w:tcW w:w="620" w:type="dxa"/>
            <w:vAlign w:val="bottom"/>
            <w:gridSpan w:val="2"/>
            <w:vMerge w:val="restart"/>
          </w:tcPr>
          <w:p>
            <w:pPr>
              <w:jc w:val="right"/>
              <w:spacing w:after="0"/>
              <w:rPr>
                <w:sz w:val="20"/>
                <w:szCs w:val="20"/>
                <w:color w:val="auto"/>
              </w:rPr>
            </w:pPr>
            <w:r>
              <w:rPr>
                <w:rFonts w:ascii="Arial" w:cs="Arial" w:eastAsia="Arial" w:hAnsi="Arial"/>
                <w:sz w:val="15"/>
                <w:szCs w:val="15"/>
                <w:color w:val="auto"/>
              </w:rPr>
              <w:t>9.0%</w:t>
            </w:r>
          </w:p>
        </w:tc>
        <w:tc>
          <w:tcPr>
            <w:tcW w:w="0" w:type="dxa"/>
            <w:vAlign w:val="bottom"/>
          </w:tcPr>
          <w:p>
            <w:pPr>
              <w:spacing w:after="0" w:line="20" w:lineRule="exact"/>
              <w:rPr>
                <w:sz w:val="1"/>
                <w:szCs w:val="1"/>
                <w:color w:val="auto"/>
              </w:rPr>
            </w:pPr>
          </w:p>
        </w:tc>
      </w:tr>
      <w:tr>
        <w:trPr>
          <w:trHeight w:val="191"/>
        </w:trPr>
        <w:tc>
          <w:tcPr>
            <w:tcW w:w="94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4,590.0</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340"/>
              <w:spacing w:after="0"/>
              <w:rPr>
                <w:sz w:val="20"/>
                <w:szCs w:val="20"/>
                <w:color w:val="auto"/>
              </w:rPr>
            </w:pPr>
            <w:r>
              <w:rPr>
                <w:rFonts w:ascii="Arial" w:cs="Arial" w:eastAsia="Arial" w:hAnsi="Arial"/>
                <w:sz w:val="15"/>
                <w:szCs w:val="15"/>
                <w:color w:val="auto"/>
                <w:w w:val="95"/>
              </w:rPr>
              <w:t>4,087.6</w:t>
            </w:r>
          </w:p>
        </w:tc>
        <w:tc>
          <w:tcPr>
            <w:tcW w:w="920" w:type="dxa"/>
            <w:vAlign w:val="bottom"/>
            <w:gridSpan w:val="2"/>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96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Operating Unit Profit:</w:t>
            </w:r>
          </w:p>
        </w:tc>
        <w:tc>
          <w:tcPr>
            <w:tcW w:w="2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960" w:type="dxa"/>
            <w:vAlign w:val="bottom"/>
            <w:gridSpan w:val="2"/>
          </w:tcPr>
          <w:p>
            <w:pPr>
              <w:spacing w:after="0"/>
              <w:rPr>
                <w:sz w:val="20"/>
                <w:szCs w:val="20"/>
                <w:color w:val="auto"/>
              </w:rPr>
            </w:pPr>
            <w:r>
              <w:rPr>
                <w:rFonts w:ascii="Arial" w:cs="Arial" w:eastAsia="Arial" w:hAnsi="Arial"/>
                <w:sz w:val="15"/>
                <w:szCs w:val="15"/>
                <w:color w:val="auto"/>
              </w:rPr>
              <w:t>United States</w:t>
            </w:r>
          </w:p>
        </w:tc>
        <w:tc>
          <w:tcPr>
            <w:tcW w:w="2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5"/>
                <w:szCs w:val="15"/>
                <w:color w:val="auto"/>
              </w:rPr>
              <w:t>28.6</w:t>
            </w:r>
          </w:p>
        </w:tc>
        <w:tc>
          <w:tcPr>
            <w:tcW w:w="3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5"/>
                <w:szCs w:val="15"/>
                <w:color w:val="auto"/>
              </w:rPr>
              <w:t>22.6</w:t>
            </w: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26.7%</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26.7%</w:t>
            </w:r>
          </w:p>
        </w:tc>
        <w:tc>
          <w:tcPr>
            <w:tcW w:w="0" w:type="dxa"/>
            <w:vAlign w:val="bottom"/>
          </w:tcPr>
          <w:p>
            <w:pPr>
              <w:spacing w:after="0"/>
              <w:rPr>
                <w:sz w:val="1"/>
                <w:szCs w:val="1"/>
                <w:color w:val="auto"/>
              </w:rPr>
            </w:pPr>
          </w:p>
        </w:tc>
      </w:tr>
      <w:tr>
        <w:trPr>
          <w:trHeight w:val="188"/>
        </w:trPr>
        <w:tc>
          <w:tcPr>
            <w:tcW w:w="59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France</w:t>
            </w:r>
          </w:p>
        </w:tc>
        <w:tc>
          <w:tcPr>
            <w:tcW w:w="2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62.0</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50.6</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22.4%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17.1%</w:t>
            </w:r>
          </w:p>
        </w:tc>
        <w:tc>
          <w:tcPr>
            <w:tcW w:w="0" w:type="dxa"/>
            <w:vAlign w:val="bottom"/>
          </w:tcPr>
          <w:p>
            <w:pPr>
              <w:spacing w:after="0"/>
              <w:rPr>
                <w:sz w:val="1"/>
                <w:szCs w:val="1"/>
                <w:color w:val="auto"/>
              </w:rPr>
            </w:pPr>
          </w:p>
        </w:tc>
      </w:tr>
      <w:tr>
        <w:trPr>
          <w:trHeight w:val="188"/>
        </w:trPr>
        <w:tc>
          <w:tcPr>
            <w:tcW w:w="5960" w:type="dxa"/>
            <w:vAlign w:val="bottom"/>
            <w:gridSpan w:val="2"/>
          </w:tcPr>
          <w:p>
            <w:pPr>
              <w:spacing w:after="0"/>
              <w:rPr>
                <w:sz w:val="20"/>
                <w:szCs w:val="20"/>
                <w:color w:val="auto"/>
              </w:rPr>
            </w:pPr>
            <w:r>
              <w:rPr>
                <w:rFonts w:ascii="Arial" w:cs="Arial" w:eastAsia="Arial" w:hAnsi="Arial"/>
                <w:sz w:val="15"/>
                <w:szCs w:val="15"/>
                <w:color w:val="auto"/>
              </w:rPr>
              <w:t>EMEA</w:t>
            </w: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5"/>
                <w:szCs w:val="15"/>
                <w:color w:val="auto"/>
              </w:rPr>
              <w:t>65.9</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5"/>
                <w:szCs w:val="15"/>
                <w:color w:val="auto"/>
              </w:rPr>
              <w:t>44.2</w:t>
            </w: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49.2%</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43.0%</w:t>
            </w:r>
          </w:p>
        </w:tc>
        <w:tc>
          <w:tcPr>
            <w:tcW w:w="0" w:type="dxa"/>
            <w:vAlign w:val="bottom"/>
          </w:tcPr>
          <w:p>
            <w:pPr>
              <w:spacing w:after="0"/>
              <w:rPr>
                <w:sz w:val="1"/>
                <w:szCs w:val="1"/>
                <w:color w:val="auto"/>
              </w:rPr>
            </w:pPr>
          </w:p>
        </w:tc>
      </w:tr>
      <w:tr>
        <w:trPr>
          <w:trHeight w:val="188"/>
        </w:trPr>
        <w:tc>
          <w:tcPr>
            <w:tcW w:w="59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Jefferson Wells</w:t>
            </w:r>
          </w:p>
        </w:tc>
        <w:tc>
          <w:tcPr>
            <w:tcW w:w="2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10.0</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11.5</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-13.7%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-13.7%</w:t>
            </w:r>
          </w:p>
        </w:tc>
        <w:tc>
          <w:tcPr>
            <w:tcW w:w="0" w:type="dxa"/>
            <w:vAlign w:val="bottom"/>
          </w:tcPr>
          <w:p>
            <w:pPr>
              <w:spacing w:after="0"/>
              <w:rPr>
                <w:sz w:val="1"/>
                <w:szCs w:val="1"/>
                <w:color w:val="auto"/>
              </w:rPr>
            </w:pPr>
          </w:p>
        </w:tc>
      </w:tr>
      <w:tr>
        <w:trPr>
          <w:trHeight w:val="188"/>
        </w:trPr>
        <w:tc>
          <w:tcPr>
            <w:tcW w:w="5960" w:type="dxa"/>
            <w:vAlign w:val="bottom"/>
            <w:gridSpan w:val="2"/>
          </w:tcPr>
          <w:p>
            <w:pPr>
              <w:spacing w:after="0"/>
              <w:rPr>
                <w:sz w:val="20"/>
                <w:szCs w:val="20"/>
                <w:color w:val="auto"/>
              </w:rPr>
            </w:pPr>
            <w:r>
              <w:rPr>
                <w:rFonts w:ascii="Arial" w:cs="Arial" w:eastAsia="Arial" w:hAnsi="Arial"/>
                <w:sz w:val="15"/>
                <w:szCs w:val="15"/>
                <w:color w:val="auto"/>
              </w:rPr>
              <w:t>Right Management</w:t>
            </w: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5"/>
                <w:szCs w:val="15"/>
                <w:color w:val="auto"/>
              </w:rPr>
              <w:t>2.2</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5"/>
                <w:szCs w:val="15"/>
                <w:color w:val="auto"/>
              </w:rPr>
              <w:t>2.3</w:t>
            </w: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-5.2%</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-10.3%</w:t>
            </w:r>
          </w:p>
        </w:tc>
        <w:tc>
          <w:tcPr>
            <w:tcW w:w="0" w:type="dxa"/>
            <w:vAlign w:val="bottom"/>
          </w:tcPr>
          <w:p>
            <w:pPr>
              <w:spacing w:after="0"/>
              <w:rPr>
                <w:sz w:val="1"/>
                <w:szCs w:val="1"/>
                <w:color w:val="auto"/>
              </w:rPr>
            </w:pPr>
          </w:p>
        </w:tc>
      </w:tr>
      <w:tr>
        <w:trPr>
          <w:trHeight w:val="188"/>
        </w:trPr>
        <w:tc>
          <w:tcPr>
            <w:tcW w:w="59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 Operations</w:t>
            </w:r>
          </w:p>
        </w:tc>
        <w:tc>
          <w:tcPr>
            <w:tcW w:w="2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16.4</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16.3</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1.3%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3.8%</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94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185.1</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5"/>
                <w:szCs w:val="15"/>
                <w:color w:val="auto"/>
              </w:rPr>
              <w:t>147.5</w:t>
            </w: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Corporate Expenses</w:t>
            </w:r>
          </w:p>
        </w:tc>
        <w:tc>
          <w:tcPr>
            <w:tcW w:w="2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17.9</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14.3</w:t>
            </w:r>
          </w:p>
        </w:tc>
        <w:tc>
          <w:tcPr>
            <w:tcW w:w="4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960" w:type="dxa"/>
            <w:vAlign w:val="bottom"/>
            <w:gridSpan w:val="2"/>
          </w:tcPr>
          <w:p>
            <w:pPr>
              <w:spacing w:after="0"/>
              <w:rPr>
                <w:sz w:val="20"/>
                <w:szCs w:val="20"/>
                <w:color w:val="auto"/>
              </w:rPr>
            </w:pPr>
            <w:r>
              <w:rPr>
                <w:rFonts w:ascii="Arial" w:cs="Arial" w:eastAsia="Arial" w:hAnsi="Arial"/>
                <w:sz w:val="15"/>
                <w:szCs w:val="15"/>
                <w:color w:val="auto"/>
              </w:rPr>
              <w:t>Amortization of intangible assets</w:t>
            </w: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3.3</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5"/>
                <w:szCs w:val="15"/>
                <w:color w:val="auto"/>
              </w:rPr>
              <w:t>3.3</w:t>
            </w: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9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59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Operating profit</w:t>
            </w:r>
          </w:p>
        </w:tc>
        <w:tc>
          <w:tcPr>
            <w:tcW w:w="2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163.9</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129.9</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26.2%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22.3%</w:t>
            </w:r>
          </w:p>
        </w:tc>
        <w:tc>
          <w:tcPr>
            <w:tcW w:w="0" w:type="dxa"/>
            <w:vAlign w:val="bottom"/>
          </w:tcPr>
          <w:p>
            <w:pPr>
              <w:spacing w:after="0"/>
              <w:rPr>
                <w:sz w:val="1"/>
                <w:szCs w:val="1"/>
                <w:color w:val="auto"/>
              </w:rPr>
            </w:pPr>
          </w:p>
        </w:tc>
      </w:tr>
      <w:tr>
        <w:trPr>
          <w:trHeight w:val="188"/>
        </w:trPr>
        <w:tc>
          <w:tcPr>
            <w:tcW w:w="5960" w:type="dxa"/>
            <w:vAlign w:val="bottom"/>
            <w:gridSpan w:val="2"/>
          </w:tcPr>
          <w:p>
            <w:pPr>
              <w:spacing w:after="0"/>
              <w:rPr>
                <w:sz w:val="20"/>
                <w:szCs w:val="20"/>
                <w:color w:val="auto"/>
              </w:rPr>
            </w:pPr>
            <w:r>
              <w:rPr>
                <w:rFonts w:ascii="Arial" w:cs="Arial" w:eastAsia="Arial" w:hAnsi="Arial"/>
                <w:sz w:val="15"/>
                <w:szCs w:val="15"/>
                <w:color w:val="auto"/>
              </w:rPr>
              <w:t>Interest and other expenses</w:t>
            </w: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10.6</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5"/>
                <w:szCs w:val="15"/>
                <w:color w:val="auto"/>
              </w:rPr>
              <w:t>11.8</w:t>
            </w: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9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59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Earnings before income taxes and discontinued operations</w:t>
            </w:r>
          </w:p>
        </w:tc>
        <w:tc>
          <w:tcPr>
            <w:tcW w:w="20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153.3</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118.1</w:t>
            </w:r>
          </w:p>
        </w:tc>
        <w:tc>
          <w:tcPr>
            <w:tcW w:w="4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6"/>
          </w:tcPr>
          <w:p>
            <w:pPr>
              <w:jc w:val="center"/>
              <w:ind w:right="220"/>
              <w:spacing w:after="0"/>
              <w:rPr>
                <w:sz w:val="20"/>
                <w:szCs w:val="20"/>
                <w:color w:val="auto"/>
              </w:rPr>
            </w:pPr>
            <w:r>
              <w:rPr>
                <w:rFonts w:ascii="Arial" w:cs="Arial" w:eastAsia="Arial" w:hAnsi="Arial"/>
                <w:sz w:val="12"/>
                <w:szCs w:val="12"/>
                <w:b w:val="1"/>
                <w:bCs w:val="1"/>
                <w:color w:val="auto"/>
                <w:w w:val="88"/>
              </w:rPr>
              <w:t>Nine Months Ended September 30</w:t>
            </w:r>
          </w:p>
        </w:tc>
        <w:tc>
          <w:tcPr>
            <w:tcW w:w="4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94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0" w:type="dxa"/>
            <w:vAlign w:val="bottom"/>
            <w:tcBorders>
              <w:bottom w:val="single" w:sz="8" w:color="auto"/>
            </w:tcBorders>
            <w:gridSpan w:val="3"/>
          </w:tcPr>
          <w:p>
            <w:pPr>
              <w:ind w:left="400"/>
              <w:spacing w:after="0" w:line="121" w:lineRule="exact"/>
              <w:rPr>
                <w:sz w:val="20"/>
                <w:szCs w:val="20"/>
                <w:color w:val="auto"/>
              </w:rPr>
            </w:pPr>
            <w:r>
              <w:rPr>
                <w:rFonts w:ascii="Arial" w:cs="Arial" w:eastAsia="Arial" w:hAnsi="Arial"/>
                <w:sz w:val="12"/>
                <w:szCs w:val="12"/>
                <w:b w:val="1"/>
                <w:bCs w:val="1"/>
                <w:color w:val="auto"/>
              </w:rPr>
              <w:t>% Variance</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940" w:type="dxa"/>
            <w:vAlign w:val="bottom"/>
          </w:tcPr>
          <w:p>
            <w:pPr>
              <w:spacing w:after="0"/>
              <w:rPr>
                <w:sz w:val="9"/>
                <w:szCs w:val="9"/>
                <w:color w:val="auto"/>
              </w:rPr>
            </w:pPr>
          </w:p>
        </w:tc>
        <w:tc>
          <w:tcPr>
            <w:tcW w:w="502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20" w:type="dxa"/>
            <w:vAlign w:val="bottom"/>
            <w:gridSpan w:val="2"/>
          </w:tcPr>
          <w:p>
            <w:pPr>
              <w:jc w:val="center"/>
              <w:ind w:right="460"/>
              <w:spacing w:after="0" w:line="110" w:lineRule="exact"/>
              <w:rPr>
                <w:sz w:val="20"/>
                <w:szCs w:val="20"/>
                <w:color w:val="auto"/>
              </w:rPr>
            </w:pPr>
            <w:r>
              <w:rPr>
                <w:rFonts w:ascii="Arial" w:cs="Arial" w:eastAsia="Arial" w:hAnsi="Arial"/>
                <w:sz w:val="12"/>
                <w:szCs w:val="12"/>
                <w:b w:val="1"/>
                <w:bCs w:val="1"/>
                <w:color w:val="auto"/>
                <w:w w:val="92"/>
              </w:rPr>
              <w:t>Amount</w:t>
            </w:r>
          </w:p>
        </w:tc>
        <w:tc>
          <w:tcPr>
            <w:tcW w:w="480" w:type="dxa"/>
            <w:vAlign w:val="bottom"/>
          </w:tcPr>
          <w:p>
            <w:pPr>
              <w:ind w:left="20"/>
              <w:spacing w:after="0" w:line="110" w:lineRule="exact"/>
              <w:rPr>
                <w:sz w:val="20"/>
                <w:szCs w:val="20"/>
                <w:color w:val="auto"/>
              </w:rPr>
            </w:pPr>
            <w:r>
              <w:rPr>
                <w:rFonts w:ascii="Arial" w:cs="Arial" w:eastAsia="Arial" w:hAnsi="Arial"/>
                <w:sz w:val="12"/>
                <w:szCs w:val="12"/>
                <w:b w:val="1"/>
                <w:bCs w:val="1"/>
                <w:color w:val="auto"/>
                <w:w w:val="84"/>
              </w:rPr>
              <w:t>Constant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94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124"/>
              <w:spacing w:after="0"/>
              <w:rPr>
                <w:sz w:val="20"/>
                <w:szCs w:val="20"/>
                <w:color w:val="auto"/>
              </w:rPr>
            </w:pPr>
            <w:r>
              <w:rPr>
                <w:rFonts w:ascii="Arial" w:cs="Arial" w:eastAsia="Arial" w:hAnsi="Arial"/>
                <w:sz w:val="12"/>
                <w:szCs w:val="12"/>
                <w:b w:val="1"/>
                <w:bCs w:val="1"/>
                <w:color w:val="auto"/>
              </w:rPr>
              <w:t>2006</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105"/>
              <w:spacing w:after="0"/>
              <w:rPr>
                <w:sz w:val="20"/>
                <w:szCs w:val="20"/>
                <w:color w:val="auto"/>
              </w:rPr>
            </w:pPr>
            <w:r>
              <w:rPr>
                <w:rFonts w:ascii="Arial" w:cs="Arial" w:eastAsia="Arial" w:hAnsi="Arial"/>
                <w:sz w:val="12"/>
                <w:szCs w:val="12"/>
                <w:b w:val="1"/>
                <w:bCs w:val="1"/>
                <w:color w:val="auto"/>
              </w:rPr>
              <w:t>2005</w:t>
            </w:r>
          </w:p>
        </w:tc>
        <w:tc>
          <w:tcPr>
            <w:tcW w:w="340" w:type="dxa"/>
            <w:vAlign w:val="bottom"/>
          </w:tcPr>
          <w:p>
            <w:pPr>
              <w:spacing w:after="0"/>
              <w:rPr>
                <w:sz w:val="12"/>
                <w:szCs w:val="12"/>
                <w:color w:val="auto"/>
              </w:rPr>
            </w:pPr>
          </w:p>
        </w:tc>
        <w:tc>
          <w:tcPr>
            <w:tcW w:w="92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87"/>
              </w:rPr>
              <w:t>Reported</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Currency</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94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60" w:type="dxa"/>
            <w:vAlign w:val="bottom"/>
            <w:gridSpan w:val="4"/>
          </w:tcPr>
          <w:p>
            <w:pPr>
              <w:jc w:val="center"/>
              <w:ind w:right="580"/>
              <w:spacing w:after="0" w:line="121" w:lineRule="exact"/>
              <w:rPr>
                <w:sz w:val="20"/>
                <w:szCs w:val="20"/>
                <w:color w:val="auto"/>
              </w:rPr>
            </w:pPr>
            <w:r>
              <w:rPr>
                <w:rFonts w:ascii="Arial" w:cs="Arial" w:eastAsia="Arial" w:hAnsi="Arial"/>
                <w:sz w:val="12"/>
                <w:szCs w:val="12"/>
                <w:b w:val="1"/>
                <w:bCs w:val="1"/>
                <w:color w:val="auto"/>
                <w:w w:val="92"/>
              </w:rPr>
              <w:t>(Unaudited)</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596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Revenue from Services:</w:t>
            </w:r>
          </w:p>
        </w:tc>
        <w:tc>
          <w:tcPr>
            <w:tcW w:w="2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960" w:type="dxa"/>
            <w:vAlign w:val="bottom"/>
            <w:gridSpan w:val="2"/>
          </w:tcPr>
          <w:p>
            <w:pPr>
              <w:spacing w:after="0"/>
              <w:rPr>
                <w:sz w:val="20"/>
                <w:szCs w:val="20"/>
                <w:color w:val="auto"/>
              </w:rPr>
            </w:pPr>
            <w:r>
              <w:rPr>
                <w:rFonts w:ascii="Arial" w:cs="Arial" w:eastAsia="Arial" w:hAnsi="Arial"/>
                <w:sz w:val="15"/>
                <w:szCs w:val="15"/>
                <w:color w:val="auto"/>
              </w:rPr>
              <w:t>United States</w:t>
            </w:r>
          </w:p>
        </w:tc>
        <w:tc>
          <w:tcPr>
            <w:tcW w:w="2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5"/>
                <w:szCs w:val="15"/>
                <w:color w:val="auto"/>
              </w:rPr>
              <w:t>1,587.0</w:t>
            </w:r>
          </w:p>
        </w:tc>
        <w:tc>
          <w:tcPr>
            <w:tcW w:w="3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5"/>
                <w:szCs w:val="15"/>
                <w:color w:val="auto"/>
                <w:w w:val="95"/>
              </w:rPr>
              <w:t>1,514.1</w:t>
            </w: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4.8%</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4.8%</w:t>
            </w:r>
          </w:p>
        </w:tc>
        <w:tc>
          <w:tcPr>
            <w:tcW w:w="0" w:type="dxa"/>
            <w:vAlign w:val="bottom"/>
          </w:tcPr>
          <w:p>
            <w:pPr>
              <w:spacing w:after="0"/>
              <w:rPr>
                <w:sz w:val="1"/>
                <w:szCs w:val="1"/>
                <w:color w:val="auto"/>
              </w:rPr>
            </w:pPr>
          </w:p>
        </w:tc>
      </w:tr>
      <w:tr>
        <w:trPr>
          <w:trHeight w:val="188"/>
        </w:trPr>
        <w:tc>
          <w:tcPr>
            <w:tcW w:w="59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France</w:t>
            </w:r>
          </w:p>
        </w:tc>
        <w:tc>
          <w:tcPr>
            <w:tcW w:w="2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4,430.1</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w w:val="95"/>
              </w:rPr>
              <w:t>4,114.3</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7.7%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8.6%</w:t>
            </w:r>
          </w:p>
        </w:tc>
        <w:tc>
          <w:tcPr>
            <w:tcW w:w="0" w:type="dxa"/>
            <w:vAlign w:val="bottom"/>
          </w:tcPr>
          <w:p>
            <w:pPr>
              <w:spacing w:after="0"/>
              <w:rPr>
                <w:sz w:val="1"/>
                <w:szCs w:val="1"/>
                <w:color w:val="auto"/>
              </w:rPr>
            </w:pPr>
          </w:p>
        </w:tc>
      </w:tr>
      <w:tr>
        <w:trPr>
          <w:trHeight w:val="188"/>
        </w:trPr>
        <w:tc>
          <w:tcPr>
            <w:tcW w:w="5960" w:type="dxa"/>
            <w:vAlign w:val="bottom"/>
            <w:gridSpan w:val="2"/>
          </w:tcPr>
          <w:p>
            <w:pPr>
              <w:spacing w:after="0"/>
              <w:rPr>
                <w:sz w:val="20"/>
                <w:szCs w:val="20"/>
                <w:color w:val="auto"/>
              </w:rPr>
            </w:pPr>
            <w:r>
              <w:rPr>
                <w:rFonts w:ascii="Arial" w:cs="Arial" w:eastAsia="Arial" w:hAnsi="Arial"/>
                <w:sz w:val="15"/>
                <w:szCs w:val="15"/>
                <w:color w:val="auto"/>
              </w:rPr>
              <w:t>EMEA</w:t>
            </w: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5"/>
                <w:szCs w:val="15"/>
                <w:color w:val="auto"/>
              </w:rPr>
              <w:t>4,571.1</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5"/>
                <w:szCs w:val="15"/>
                <w:color w:val="auto"/>
                <w:w w:val="95"/>
              </w:rPr>
              <w:t>4,026.5</w:t>
            </w: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13.5%</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14.9%</w:t>
            </w:r>
          </w:p>
        </w:tc>
        <w:tc>
          <w:tcPr>
            <w:tcW w:w="0" w:type="dxa"/>
            <w:vAlign w:val="bottom"/>
          </w:tcPr>
          <w:p>
            <w:pPr>
              <w:spacing w:after="0"/>
              <w:rPr>
                <w:sz w:val="1"/>
                <w:szCs w:val="1"/>
                <w:color w:val="auto"/>
              </w:rPr>
            </w:pPr>
          </w:p>
        </w:tc>
      </w:tr>
      <w:tr>
        <w:trPr>
          <w:trHeight w:val="188"/>
        </w:trPr>
        <w:tc>
          <w:tcPr>
            <w:tcW w:w="59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Jefferson Wells</w:t>
            </w:r>
          </w:p>
        </w:tc>
        <w:tc>
          <w:tcPr>
            <w:tcW w:w="2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288.2</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290.1</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-0.6%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-0.6%</w:t>
            </w:r>
          </w:p>
        </w:tc>
        <w:tc>
          <w:tcPr>
            <w:tcW w:w="0" w:type="dxa"/>
            <w:vAlign w:val="bottom"/>
          </w:tcPr>
          <w:p>
            <w:pPr>
              <w:spacing w:after="0"/>
              <w:rPr>
                <w:sz w:val="1"/>
                <w:szCs w:val="1"/>
                <w:color w:val="auto"/>
              </w:rPr>
            </w:pPr>
          </w:p>
        </w:tc>
      </w:tr>
      <w:tr>
        <w:trPr>
          <w:trHeight w:val="188"/>
        </w:trPr>
        <w:tc>
          <w:tcPr>
            <w:tcW w:w="5960" w:type="dxa"/>
            <w:vAlign w:val="bottom"/>
            <w:gridSpan w:val="2"/>
          </w:tcPr>
          <w:p>
            <w:pPr>
              <w:spacing w:after="0"/>
              <w:rPr>
                <w:sz w:val="20"/>
                <w:szCs w:val="20"/>
                <w:color w:val="auto"/>
              </w:rPr>
            </w:pPr>
            <w:r>
              <w:rPr>
                <w:rFonts w:ascii="Arial" w:cs="Arial" w:eastAsia="Arial" w:hAnsi="Arial"/>
                <w:sz w:val="15"/>
                <w:szCs w:val="15"/>
                <w:color w:val="auto"/>
              </w:rPr>
              <w:t>Right Management</w:t>
            </w: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5"/>
                <w:szCs w:val="15"/>
                <w:color w:val="auto"/>
              </w:rPr>
              <w:t>288.4</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5"/>
                <w:szCs w:val="15"/>
                <w:color w:val="auto"/>
              </w:rPr>
              <w:t>305.2</w:t>
            </w: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-5.5%</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-5.0%</w:t>
            </w:r>
          </w:p>
        </w:tc>
        <w:tc>
          <w:tcPr>
            <w:tcW w:w="0" w:type="dxa"/>
            <w:vAlign w:val="bottom"/>
          </w:tcPr>
          <w:p>
            <w:pPr>
              <w:spacing w:after="0"/>
              <w:rPr>
                <w:sz w:val="1"/>
                <w:szCs w:val="1"/>
                <w:color w:val="auto"/>
              </w:rPr>
            </w:pPr>
          </w:p>
        </w:tc>
      </w:tr>
      <w:tr>
        <w:trPr>
          <w:trHeight w:val="188"/>
        </w:trPr>
        <w:tc>
          <w:tcPr>
            <w:tcW w:w="59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 Operations</w:t>
            </w:r>
          </w:p>
        </w:tc>
        <w:tc>
          <w:tcPr>
            <w:tcW w:w="2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1,687.0</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w w:val="95"/>
              </w:rPr>
              <w:t>1,526.9</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10.5%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13.4%</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gridSpan w:val="2"/>
            <w:vMerge w:val="restart"/>
          </w:tcPr>
          <w:p>
            <w:pPr>
              <w:jc w:val="right"/>
              <w:ind w:right="320"/>
              <w:spacing w:after="0"/>
              <w:rPr>
                <w:sz w:val="20"/>
                <w:szCs w:val="20"/>
                <w:color w:val="auto"/>
              </w:rPr>
            </w:pPr>
            <w:r>
              <w:rPr>
                <w:rFonts w:ascii="Arial" w:cs="Arial" w:eastAsia="Arial" w:hAnsi="Arial"/>
                <w:sz w:val="15"/>
                <w:szCs w:val="15"/>
                <w:color w:val="auto"/>
              </w:rPr>
              <w:t>9.1%</w:t>
            </w:r>
          </w:p>
        </w:tc>
        <w:tc>
          <w:tcPr>
            <w:tcW w:w="620" w:type="dxa"/>
            <w:vAlign w:val="bottom"/>
            <w:gridSpan w:val="2"/>
            <w:vMerge w:val="restart"/>
          </w:tcPr>
          <w:p>
            <w:pPr>
              <w:jc w:val="right"/>
              <w:spacing w:after="0"/>
              <w:rPr>
                <w:sz w:val="20"/>
                <w:szCs w:val="20"/>
                <w:color w:val="auto"/>
              </w:rPr>
            </w:pPr>
            <w:r>
              <w:rPr>
                <w:rFonts w:ascii="Arial" w:cs="Arial" w:eastAsia="Arial" w:hAnsi="Arial"/>
                <w:sz w:val="15"/>
                <w:szCs w:val="15"/>
                <w:color w:val="auto"/>
              </w:rPr>
              <w:t>10.3%</w:t>
            </w:r>
          </w:p>
        </w:tc>
        <w:tc>
          <w:tcPr>
            <w:tcW w:w="0" w:type="dxa"/>
            <w:vAlign w:val="bottom"/>
          </w:tcPr>
          <w:p>
            <w:pPr>
              <w:spacing w:after="0" w:line="20" w:lineRule="exact"/>
              <w:rPr>
                <w:sz w:val="1"/>
                <w:szCs w:val="1"/>
                <w:color w:val="auto"/>
              </w:rPr>
            </w:pPr>
          </w:p>
        </w:tc>
      </w:tr>
      <w:tr>
        <w:trPr>
          <w:trHeight w:val="191"/>
        </w:trPr>
        <w:tc>
          <w:tcPr>
            <w:tcW w:w="94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Pr>
          <w:p>
            <w:pPr>
              <w:jc w:val="right"/>
              <w:spacing w:after="0"/>
              <w:rPr>
                <w:sz w:val="20"/>
                <w:szCs w:val="20"/>
                <w:color w:val="auto"/>
              </w:rPr>
            </w:pPr>
            <w:r>
              <w:rPr>
                <w:rFonts w:ascii="Arial" w:cs="Arial" w:eastAsia="Arial" w:hAnsi="Arial"/>
                <w:sz w:val="15"/>
                <w:szCs w:val="15"/>
                <w:color w:val="auto"/>
                <w:w w:val="88"/>
              </w:rPr>
              <w:t>12,851.8</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3"/>
          </w:tcPr>
          <w:p>
            <w:pPr>
              <w:jc w:val="right"/>
              <w:ind w:right="340"/>
              <w:spacing w:after="0"/>
              <w:rPr>
                <w:sz w:val="20"/>
                <w:szCs w:val="20"/>
                <w:color w:val="auto"/>
              </w:rPr>
            </w:pPr>
            <w:r>
              <w:rPr>
                <w:rFonts w:ascii="Arial" w:cs="Arial" w:eastAsia="Arial" w:hAnsi="Arial"/>
                <w:sz w:val="15"/>
                <w:szCs w:val="15"/>
                <w:u w:val="single" w:color="auto"/>
                <w:color w:val="auto"/>
                <w:w w:val="84"/>
              </w:rPr>
              <w:t>$</w:t>
            </w:r>
            <w:r>
              <w:rPr>
                <w:rFonts w:ascii="Arial" w:cs="Arial" w:eastAsia="Arial" w:hAnsi="Arial"/>
                <w:sz w:val="15"/>
                <w:szCs w:val="15"/>
                <w:color w:val="auto"/>
                <w:w w:val="84"/>
              </w:rPr>
              <w:t xml:space="preserve"> 11,777.1</w:t>
            </w:r>
          </w:p>
        </w:tc>
        <w:tc>
          <w:tcPr>
            <w:tcW w:w="920" w:type="dxa"/>
            <w:vAlign w:val="bottom"/>
            <w:gridSpan w:val="2"/>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96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Operating Unit Profit:</w:t>
            </w:r>
          </w:p>
        </w:tc>
        <w:tc>
          <w:tcPr>
            <w:tcW w:w="2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960" w:type="dxa"/>
            <w:vAlign w:val="bottom"/>
            <w:gridSpan w:val="2"/>
          </w:tcPr>
          <w:p>
            <w:pPr>
              <w:spacing w:after="0"/>
              <w:rPr>
                <w:sz w:val="20"/>
                <w:szCs w:val="20"/>
                <w:color w:val="auto"/>
              </w:rPr>
            </w:pPr>
            <w:r>
              <w:rPr>
                <w:rFonts w:ascii="Arial" w:cs="Arial" w:eastAsia="Arial" w:hAnsi="Arial"/>
                <w:sz w:val="15"/>
                <w:szCs w:val="15"/>
                <w:color w:val="auto"/>
              </w:rPr>
              <w:t>United States</w:t>
            </w:r>
          </w:p>
        </w:tc>
        <w:tc>
          <w:tcPr>
            <w:tcW w:w="2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5"/>
                <w:szCs w:val="15"/>
                <w:color w:val="auto"/>
              </w:rPr>
              <w:t>60.6</w:t>
            </w:r>
          </w:p>
        </w:tc>
        <w:tc>
          <w:tcPr>
            <w:tcW w:w="3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5"/>
                <w:szCs w:val="15"/>
                <w:color w:val="auto"/>
              </w:rPr>
              <w:t>45.5</w:t>
            </w: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33.3%</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33.3%</w:t>
            </w:r>
          </w:p>
        </w:tc>
        <w:tc>
          <w:tcPr>
            <w:tcW w:w="0" w:type="dxa"/>
            <w:vAlign w:val="bottom"/>
          </w:tcPr>
          <w:p>
            <w:pPr>
              <w:spacing w:after="0"/>
              <w:rPr>
                <w:sz w:val="1"/>
                <w:szCs w:val="1"/>
                <w:color w:val="auto"/>
              </w:rPr>
            </w:pPr>
          </w:p>
        </w:tc>
      </w:tr>
      <w:tr>
        <w:trPr>
          <w:trHeight w:val="188"/>
        </w:trPr>
        <w:tc>
          <w:tcPr>
            <w:tcW w:w="59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France</w:t>
            </w:r>
          </w:p>
        </w:tc>
        <w:tc>
          <w:tcPr>
            <w:tcW w:w="2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142.1</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121.0</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17.4%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17.2%</w:t>
            </w:r>
          </w:p>
        </w:tc>
        <w:tc>
          <w:tcPr>
            <w:tcW w:w="0" w:type="dxa"/>
            <w:vAlign w:val="bottom"/>
          </w:tcPr>
          <w:p>
            <w:pPr>
              <w:spacing w:after="0"/>
              <w:rPr>
                <w:sz w:val="1"/>
                <w:szCs w:val="1"/>
                <w:color w:val="auto"/>
              </w:rPr>
            </w:pPr>
          </w:p>
        </w:tc>
      </w:tr>
      <w:tr>
        <w:trPr>
          <w:trHeight w:val="188"/>
        </w:trPr>
        <w:tc>
          <w:tcPr>
            <w:tcW w:w="5960" w:type="dxa"/>
            <w:vAlign w:val="bottom"/>
            <w:gridSpan w:val="2"/>
          </w:tcPr>
          <w:p>
            <w:pPr>
              <w:spacing w:after="0"/>
              <w:rPr>
                <w:sz w:val="20"/>
                <w:szCs w:val="20"/>
                <w:color w:val="auto"/>
              </w:rPr>
            </w:pPr>
            <w:r>
              <w:rPr>
                <w:rFonts w:ascii="Arial" w:cs="Arial" w:eastAsia="Arial" w:hAnsi="Arial"/>
                <w:sz w:val="15"/>
                <w:szCs w:val="15"/>
                <w:color w:val="auto"/>
              </w:rPr>
              <w:t>EMEA</w:t>
            </w: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5"/>
                <w:szCs w:val="15"/>
                <w:color w:val="auto"/>
              </w:rPr>
              <w:t>139.6</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5"/>
                <w:szCs w:val="15"/>
                <w:color w:val="auto"/>
              </w:rPr>
              <w:t>92.2</w:t>
            </w: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51.4%</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50.5%</w:t>
            </w:r>
          </w:p>
        </w:tc>
        <w:tc>
          <w:tcPr>
            <w:tcW w:w="0" w:type="dxa"/>
            <w:vAlign w:val="bottom"/>
          </w:tcPr>
          <w:p>
            <w:pPr>
              <w:spacing w:after="0"/>
              <w:rPr>
                <w:sz w:val="1"/>
                <w:szCs w:val="1"/>
                <w:color w:val="auto"/>
              </w:rPr>
            </w:pPr>
          </w:p>
        </w:tc>
      </w:tr>
      <w:tr>
        <w:trPr>
          <w:trHeight w:val="188"/>
        </w:trPr>
        <w:tc>
          <w:tcPr>
            <w:tcW w:w="59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Jefferson Wells</w:t>
            </w:r>
          </w:p>
        </w:tc>
        <w:tc>
          <w:tcPr>
            <w:tcW w:w="2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25.7</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28.9</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-11.2%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-11.2%</w:t>
            </w:r>
          </w:p>
        </w:tc>
        <w:tc>
          <w:tcPr>
            <w:tcW w:w="0" w:type="dxa"/>
            <w:vAlign w:val="bottom"/>
          </w:tcPr>
          <w:p>
            <w:pPr>
              <w:spacing w:after="0"/>
              <w:rPr>
                <w:sz w:val="1"/>
                <w:szCs w:val="1"/>
                <w:color w:val="auto"/>
              </w:rPr>
            </w:pPr>
          </w:p>
        </w:tc>
      </w:tr>
      <w:tr>
        <w:trPr>
          <w:trHeight w:val="188"/>
        </w:trPr>
        <w:tc>
          <w:tcPr>
            <w:tcW w:w="5960" w:type="dxa"/>
            <w:vAlign w:val="bottom"/>
            <w:gridSpan w:val="2"/>
          </w:tcPr>
          <w:p>
            <w:pPr>
              <w:spacing w:after="0"/>
              <w:rPr>
                <w:sz w:val="20"/>
                <w:szCs w:val="20"/>
                <w:color w:val="auto"/>
              </w:rPr>
            </w:pPr>
            <w:r>
              <w:rPr>
                <w:rFonts w:ascii="Arial" w:cs="Arial" w:eastAsia="Arial" w:hAnsi="Arial"/>
                <w:sz w:val="15"/>
                <w:szCs w:val="15"/>
                <w:color w:val="auto"/>
              </w:rPr>
              <w:t>Right Management</w:t>
            </w: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5"/>
                <w:szCs w:val="15"/>
                <w:color w:val="auto"/>
              </w:rPr>
              <w:t>17.9</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5"/>
                <w:szCs w:val="15"/>
                <w:color w:val="auto"/>
              </w:rPr>
              <w:t>22.1</w:t>
            </w: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-19.2%</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-20.7%</w:t>
            </w:r>
          </w:p>
        </w:tc>
        <w:tc>
          <w:tcPr>
            <w:tcW w:w="0" w:type="dxa"/>
            <w:vAlign w:val="bottom"/>
          </w:tcPr>
          <w:p>
            <w:pPr>
              <w:spacing w:after="0"/>
              <w:rPr>
                <w:sz w:val="1"/>
                <w:szCs w:val="1"/>
                <w:color w:val="auto"/>
              </w:rPr>
            </w:pPr>
          </w:p>
        </w:tc>
      </w:tr>
      <w:tr>
        <w:trPr>
          <w:trHeight w:val="188"/>
        </w:trPr>
        <w:tc>
          <w:tcPr>
            <w:tcW w:w="59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 Operations</w:t>
            </w:r>
          </w:p>
        </w:tc>
        <w:tc>
          <w:tcPr>
            <w:tcW w:w="2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48.8</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41.2</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18.8%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23.9%</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94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434.7</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5"/>
                <w:szCs w:val="15"/>
                <w:color w:val="auto"/>
              </w:rPr>
              <w:t>350.9</w:t>
            </w: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Corporate Expenses</w:t>
            </w:r>
          </w:p>
        </w:tc>
        <w:tc>
          <w:tcPr>
            <w:tcW w:w="2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62.6</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43.1</w:t>
            </w:r>
          </w:p>
        </w:tc>
        <w:tc>
          <w:tcPr>
            <w:tcW w:w="4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960" w:type="dxa"/>
            <w:vAlign w:val="bottom"/>
            <w:gridSpan w:val="2"/>
          </w:tcPr>
          <w:p>
            <w:pPr>
              <w:spacing w:after="0"/>
              <w:rPr>
                <w:sz w:val="20"/>
                <w:szCs w:val="20"/>
                <w:color w:val="auto"/>
              </w:rPr>
            </w:pPr>
            <w:r>
              <w:rPr>
                <w:rFonts w:ascii="Arial" w:cs="Arial" w:eastAsia="Arial" w:hAnsi="Arial"/>
                <w:sz w:val="15"/>
                <w:szCs w:val="15"/>
                <w:color w:val="auto"/>
              </w:rPr>
              <w:t>Amortization of intangible assets</w:t>
            </w: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9.8</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5"/>
                <w:szCs w:val="15"/>
                <w:color w:val="auto"/>
              </w:rPr>
              <w:t>9.8</w:t>
            </w: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9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59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Operating profit</w:t>
            </w:r>
          </w:p>
        </w:tc>
        <w:tc>
          <w:tcPr>
            <w:tcW w:w="2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362.3</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298.0</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21.6%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21.8%</w:t>
            </w:r>
          </w:p>
        </w:tc>
        <w:tc>
          <w:tcPr>
            <w:tcW w:w="0" w:type="dxa"/>
            <w:vAlign w:val="bottom"/>
          </w:tcPr>
          <w:p>
            <w:pPr>
              <w:spacing w:after="0"/>
              <w:rPr>
                <w:sz w:val="1"/>
                <w:szCs w:val="1"/>
                <w:color w:val="auto"/>
              </w:rPr>
            </w:pPr>
          </w:p>
        </w:tc>
      </w:tr>
      <w:tr>
        <w:trPr>
          <w:trHeight w:val="188"/>
        </w:trPr>
        <w:tc>
          <w:tcPr>
            <w:tcW w:w="5960" w:type="dxa"/>
            <w:vAlign w:val="bottom"/>
            <w:gridSpan w:val="2"/>
          </w:tcPr>
          <w:p>
            <w:pPr>
              <w:spacing w:after="0"/>
              <w:rPr>
                <w:sz w:val="20"/>
                <w:szCs w:val="20"/>
                <w:color w:val="auto"/>
              </w:rPr>
            </w:pPr>
            <w:r>
              <w:rPr>
                <w:rFonts w:ascii="Arial" w:cs="Arial" w:eastAsia="Arial" w:hAnsi="Arial"/>
                <w:sz w:val="15"/>
                <w:szCs w:val="15"/>
                <w:color w:val="auto"/>
              </w:rPr>
              <w:t>Interest and other expenses</w:t>
            </w: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36.1</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5"/>
                <w:szCs w:val="15"/>
                <w:color w:val="auto"/>
              </w:rPr>
              <w:t>34.8</w:t>
            </w: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9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59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Earnings before income taxes and discontinued operations</w:t>
            </w:r>
          </w:p>
        </w:tc>
        <w:tc>
          <w:tcPr>
            <w:tcW w:w="20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326.2</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263.2</w:t>
            </w:r>
          </w:p>
        </w:tc>
        <w:tc>
          <w:tcPr>
            <w:tcW w:w="4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940" w:type="dxa"/>
            <w:vAlign w:val="bottom"/>
            <w:tcBorders>
              <w:bottom w:val="single" w:sz="8" w:color="auto"/>
            </w:tcBorders>
          </w:tcPr>
          <w:p>
            <w:pPr>
              <w:spacing w:after="0"/>
              <w:rPr>
                <w:sz w:val="7"/>
                <w:szCs w:val="7"/>
                <w:color w:val="auto"/>
              </w:rPr>
            </w:pPr>
          </w:p>
        </w:tc>
        <w:tc>
          <w:tcPr>
            <w:tcW w:w="502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51" w:lineRule="exact"/>
        <w:rPr>
          <w:sz w:val="20"/>
          <w:szCs w:val="20"/>
          <w:color w:val="auto"/>
        </w:rPr>
      </w:pPr>
    </w:p>
    <w:p>
      <w:pPr>
        <w:ind w:left="446" w:hanging="446"/>
        <w:spacing w:after="0"/>
        <w:tabs>
          <w:tab w:leader="none" w:pos="446" w:val="left"/>
        </w:tabs>
        <w:numPr>
          <w:ilvl w:val="0"/>
          <w:numId w:val="14"/>
        </w:numPr>
        <w:rPr>
          <w:rFonts w:ascii="Arial" w:cs="Arial" w:eastAsia="Arial" w:hAnsi="Arial"/>
          <w:sz w:val="20"/>
          <w:szCs w:val="20"/>
          <w:color w:val="auto"/>
          <w:vertAlign w:val="superscript"/>
        </w:rPr>
      </w:pPr>
      <w:r>
        <w:rPr>
          <w:rFonts w:ascii="Arial" w:cs="Arial" w:eastAsia="Arial" w:hAnsi="Arial"/>
          <w:sz w:val="15"/>
          <w:szCs w:val="15"/>
          <w:color w:val="auto"/>
        </w:rPr>
        <w:t>Restatement for discontinued operations and reclass of segment results.</w:t>
      </w:r>
    </w:p>
    <w:p>
      <w:pPr>
        <w:sectPr>
          <w:pgSz w:w="11900" w:h="16838" w:orient="portrait"/>
          <w:cols w:equalWidth="0" w:num="1">
            <w:col w:w="11446"/>
          </w:cols>
          <w:pgMar w:left="234" w:top="262" w:right="219" w:bottom="1440" w:gutter="0" w:footer="0" w:header="0"/>
        </w:sectPr>
      </w:pPr>
    </w:p>
    <w:bookmarkStart w:id="36" w:name="page37"/>
    <w:bookmarkEnd w:id="36"/>
    <w:tbl>
      <w:tblPr>
        <w:tblLayout w:type="fixed"/>
        <w:tblInd w:w="6" w:type="dxa"/>
        <w:tblCellMar>
          <w:top w:w="0" w:type="dxa"/>
          <w:left w:w="0" w:type="dxa"/>
          <w:bottom w:w="0" w:type="dxa"/>
          <w:right w:w="0" w:type="dxa"/>
        </w:tblCellMar>
      </w:tblPr>
      <w:tr>
        <w:trPr>
          <w:trHeight w:val="194"/>
        </w:trPr>
        <w:tc>
          <w:tcPr>
            <w:tcW w:w="9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color w:val="auto"/>
                <w:w w:val="92"/>
              </w:rPr>
              <w:t>(Page 7 of 9)</w:t>
            </w:r>
          </w:p>
        </w:tc>
      </w:tr>
      <w:tr>
        <w:trPr>
          <w:trHeight w:val="323"/>
        </w:trPr>
        <w:tc>
          <w:tcPr>
            <w:tcW w:w="9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320" w:type="dxa"/>
            <w:vAlign w:val="bottom"/>
            <w:gridSpan w:val="7"/>
          </w:tcPr>
          <w:p>
            <w:pPr>
              <w:jc w:val="center"/>
              <w:ind w:left="144"/>
              <w:spacing w:after="0"/>
              <w:rPr>
                <w:sz w:val="20"/>
                <w:szCs w:val="20"/>
                <w:color w:val="auto"/>
              </w:rPr>
            </w:pPr>
            <w:r>
              <w:rPr>
                <w:rFonts w:ascii="Arial" w:cs="Arial" w:eastAsia="Arial" w:hAnsi="Arial"/>
                <w:sz w:val="15"/>
                <w:szCs w:val="15"/>
                <w:color w:val="auto"/>
                <w:w w:val="95"/>
              </w:rPr>
              <w:t>Manpower Inc.</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8"/>
        </w:trPr>
        <w:tc>
          <w:tcPr>
            <w:tcW w:w="9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2320" w:type="dxa"/>
            <w:vAlign w:val="bottom"/>
            <w:gridSpan w:val="7"/>
          </w:tcPr>
          <w:p>
            <w:pPr>
              <w:jc w:val="center"/>
              <w:ind w:left="164"/>
              <w:spacing w:after="0" w:line="188" w:lineRule="exact"/>
              <w:rPr>
                <w:sz w:val="20"/>
                <w:szCs w:val="20"/>
                <w:color w:val="auto"/>
              </w:rPr>
            </w:pPr>
            <w:r>
              <w:rPr>
                <w:rFonts w:ascii="Arial" w:cs="Arial" w:eastAsia="Arial" w:hAnsi="Arial"/>
                <w:sz w:val="15"/>
                <w:szCs w:val="15"/>
                <w:color w:val="auto"/>
                <w:w w:val="90"/>
              </w:rPr>
              <w:t xml:space="preserve">Operating unit Results </w:t>
            </w:r>
            <w:r>
              <w:rPr>
                <w:rFonts w:ascii="Arial" w:cs="Arial" w:eastAsia="Arial" w:hAnsi="Arial"/>
                <w:sz w:val="19"/>
                <w:szCs w:val="19"/>
                <w:color w:val="auto"/>
                <w:w w:val="90"/>
                <w:vertAlign w:val="superscript"/>
              </w:rPr>
              <w:t>(1)</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4"/>
        </w:trPr>
        <w:tc>
          <w:tcPr>
            <w:tcW w:w="9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40" w:type="dxa"/>
            <w:vAlign w:val="bottom"/>
            <w:gridSpan w:val="4"/>
          </w:tcPr>
          <w:p>
            <w:pPr>
              <w:jc w:val="center"/>
              <w:spacing w:after="0"/>
              <w:rPr>
                <w:sz w:val="20"/>
                <w:szCs w:val="20"/>
                <w:color w:val="auto"/>
              </w:rPr>
            </w:pPr>
            <w:r>
              <w:rPr>
                <w:rFonts w:ascii="Arial" w:cs="Arial" w:eastAsia="Arial" w:hAnsi="Arial"/>
                <w:sz w:val="15"/>
                <w:szCs w:val="15"/>
                <w:color w:val="auto"/>
              </w:rPr>
              <w:t>(In millions)</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307"/>
        </w:trPr>
        <w:tc>
          <w:tcPr>
            <w:tcW w:w="9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40" w:type="dxa"/>
            <w:vAlign w:val="bottom"/>
            <w:gridSpan w:val="7"/>
          </w:tcPr>
          <w:p>
            <w:pPr>
              <w:jc w:val="right"/>
              <w:ind w:right="160"/>
              <w:spacing w:after="0"/>
              <w:rPr>
                <w:sz w:val="20"/>
                <w:szCs w:val="20"/>
                <w:color w:val="auto"/>
              </w:rPr>
            </w:pPr>
            <w:r>
              <w:rPr>
                <w:rFonts w:ascii="Arial" w:cs="Arial" w:eastAsia="Arial" w:hAnsi="Arial"/>
                <w:sz w:val="12"/>
                <w:szCs w:val="12"/>
                <w:b w:val="1"/>
                <w:bCs w:val="1"/>
                <w:color w:val="auto"/>
                <w:w w:val="95"/>
              </w:rPr>
              <w:t>Three Months Ended March 31</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0" w:type="dxa"/>
            <w:vAlign w:val="bottom"/>
            <w:gridSpan w:val="9"/>
          </w:tcPr>
          <w:p>
            <w:pPr>
              <w:jc w:val="center"/>
              <w:ind w:right="680"/>
              <w:spacing w:after="0"/>
              <w:rPr>
                <w:sz w:val="20"/>
                <w:szCs w:val="20"/>
                <w:color w:val="auto"/>
              </w:rPr>
            </w:pPr>
            <w:r>
              <w:rPr>
                <w:rFonts w:ascii="Arial" w:cs="Arial" w:eastAsia="Arial" w:hAnsi="Arial"/>
                <w:sz w:val="12"/>
                <w:szCs w:val="12"/>
                <w:b w:val="1"/>
                <w:bCs w:val="1"/>
                <w:color w:val="auto"/>
                <w:w w:val="88"/>
              </w:rPr>
              <w:t>Three Months Ended June 30</w:t>
            </w:r>
          </w:p>
        </w:tc>
      </w:tr>
      <w:tr>
        <w:trPr>
          <w:trHeight w:val="121"/>
        </w:trPr>
        <w:tc>
          <w:tcPr>
            <w:tcW w:w="94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80" w:type="dxa"/>
            <w:vAlign w:val="bottom"/>
            <w:tcBorders>
              <w:top w:val="single" w:sz="8" w:color="auto"/>
              <w:bottom w:val="single" w:sz="8" w:color="auto"/>
            </w:tcBorders>
            <w:gridSpan w:val="3"/>
          </w:tcPr>
          <w:p>
            <w:pPr>
              <w:ind w:left="340"/>
              <w:spacing w:after="0" w:line="121" w:lineRule="exact"/>
              <w:rPr>
                <w:sz w:val="20"/>
                <w:szCs w:val="20"/>
                <w:color w:val="auto"/>
              </w:rPr>
            </w:pPr>
            <w:r>
              <w:rPr>
                <w:rFonts w:ascii="Arial" w:cs="Arial" w:eastAsia="Arial" w:hAnsi="Arial"/>
                <w:sz w:val="12"/>
                <w:szCs w:val="12"/>
                <w:b w:val="1"/>
                <w:bCs w:val="1"/>
                <w:color w:val="auto"/>
              </w:rPr>
              <w:t>% Variance</w:t>
            </w: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80" w:type="dxa"/>
            <w:vAlign w:val="bottom"/>
            <w:tcBorders>
              <w:top w:val="single" w:sz="8" w:color="auto"/>
              <w:bottom w:val="single" w:sz="8" w:color="auto"/>
            </w:tcBorders>
            <w:gridSpan w:val="4"/>
          </w:tcPr>
          <w:p>
            <w:pPr>
              <w:ind w:left="340"/>
              <w:spacing w:after="0" w:line="121" w:lineRule="exact"/>
              <w:rPr>
                <w:sz w:val="20"/>
                <w:szCs w:val="20"/>
                <w:color w:val="auto"/>
              </w:rPr>
            </w:pPr>
            <w:r>
              <w:rPr>
                <w:rFonts w:ascii="Arial" w:cs="Arial" w:eastAsia="Arial" w:hAnsi="Arial"/>
                <w:sz w:val="12"/>
                <w:szCs w:val="12"/>
                <w:b w:val="1"/>
                <w:bCs w:val="1"/>
                <w:color w:val="auto"/>
              </w:rPr>
              <w:t>% Variance</w:t>
            </w:r>
          </w:p>
        </w:tc>
        <w:tc>
          <w:tcPr>
            <w:tcW w:w="140" w:type="dxa"/>
            <w:vAlign w:val="bottom"/>
          </w:tcPr>
          <w:p>
            <w:pPr>
              <w:spacing w:after="0"/>
              <w:rPr>
                <w:sz w:val="10"/>
                <w:szCs w:val="10"/>
                <w:color w:val="auto"/>
              </w:rPr>
            </w:pPr>
          </w:p>
        </w:tc>
      </w:tr>
      <w:tr>
        <w:trPr>
          <w:trHeight w:val="110"/>
        </w:trPr>
        <w:tc>
          <w:tcPr>
            <w:tcW w:w="940" w:type="dxa"/>
            <w:vAlign w:val="bottom"/>
          </w:tcPr>
          <w:p>
            <w:pPr>
              <w:spacing w:after="0"/>
              <w:rPr>
                <w:sz w:val="9"/>
                <w:szCs w:val="9"/>
                <w:color w:val="auto"/>
              </w:rPr>
            </w:pPr>
          </w:p>
        </w:tc>
        <w:tc>
          <w:tcPr>
            <w:tcW w:w="35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tcPr>
          <w:p>
            <w:pPr>
              <w:jc w:val="right"/>
              <w:ind w:right="360"/>
              <w:spacing w:after="0" w:line="110" w:lineRule="exact"/>
              <w:rPr>
                <w:sz w:val="20"/>
                <w:szCs w:val="20"/>
                <w:color w:val="auto"/>
              </w:rPr>
            </w:pPr>
            <w:r>
              <w:rPr>
                <w:rFonts w:ascii="Arial" w:cs="Arial" w:eastAsia="Arial" w:hAnsi="Arial"/>
                <w:sz w:val="12"/>
                <w:szCs w:val="12"/>
                <w:b w:val="1"/>
                <w:bCs w:val="1"/>
                <w:color w:val="auto"/>
                <w:w w:val="92"/>
              </w:rPr>
              <w:t>Amount</w:t>
            </w:r>
          </w:p>
        </w:tc>
        <w:tc>
          <w:tcPr>
            <w:tcW w:w="480" w:type="dxa"/>
            <w:vAlign w:val="bottom"/>
          </w:tcPr>
          <w:p>
            <w:pPr>
              <w:ind w:left="20"/>
              <w:spacing w:after="0" w:line="110" w:lineRule="exact"/>
              <w:rPr>
                <w:sz w:val="20"/>
                <w:szCs w:val="20"/>
                <w:color w:val="auto"/>
              </w:rPr>
            </w:pPr>
            <w:r>
              <w:rPr>
                <w:rFonts w:ascii="Arial" w:cs="Arial" w:eastAsia="Arial" w:hAnsi="Arial"/>
                <w:sz w:val="12"/>
                <w:szCs w:val="12"/>
                <w:b w:val="1"/>
                <w:bCs w:val="1"/>
                <w:color w:val="auto"/>
                <w:w w:val="84"/>
              </w:rPr>
              <w:t>Constant</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gridSpan w:val="2"/>
          </w:tcPr>
          <w:p>
            <w:pPr>
              <w:jc w:val="center"/>
              <w:ind w:right="140"/>
              <w:spacing w:after="0" w:line="110" w:lineRule="exact"/>
              <w:rPr>
                <w:sz w:val="20"/>
                <w:szCs w:val="20"/>
                <w:color w:val="auto"/>
              </w:rPr>
            </w:pPr>
            <w:r>
              <w:rPr>
                <w:rFonts w:ascii="Arial" w:cs="Arial" w:eastAsia="Arial" w:hAnsi="Arial"/>
                <w:sz w:val="12"/>
                <w:szCs w:val="12"/>
                <w:b w:val="1"/>
                <w:bCs w:val="1"/>
                <w:color w:val="auto"/>
                <w:w w:val="92"/>
              </w:rPr>
              <w:t>Amount</w:t>
            </w:r>
          </w:p>
        </w:tc>
        <w:tc>
          <w:tcPr>
            <w:tcW w:w="200" w:type="dxa"/>
            <w:vAlign w:val="bottom"/>
          </w:tcPr>
          <w:p>
            <w:pPr>
              <w:spacing w:after="0"/>
              <w:rPr>
                <w:sz w:val="9"/>
                <w:szCs w:val="9"/>
                <w:color w:val="auto"/>
              </w:rPr>
            </w:pPr>
          </w:p>
        </w:tc>
        <w:tc>
          <w:tcPr>
            <w:tcW w:w="480" w:type="dxa"/>
            <w:vAlign w:val="bottom"/>
          </w:tcPr>
          <w:p>
            <w:pPr>
              <w:ind w:left="20"/>
              <w:spacing w:after="0" w:line="110" w:lineRule="exact"/>
              <w:rPr>
                <w:sz w:val="20"/>
                <w:szCs w:val="20"/>
                <w:color w:val="auto"/>
              </w:rPr>
            </w:pPr>
            <w:r>
              <w:rPr>
                <w:rFonts w:ascii="Arial" w:cs="Arial" w:eastAsia="Arial" w:hAnsi="Arial"/>
                <w:sz w:val="12"/>
                <w:szCs w:val="12"/>
                <w:b w:val="1"/>
                <w:bCs w:val="1"/>
                <w:color w:val="auto"/>
                <w:w w:val="84"/>
              </w:rPr>
              <w:t>Constant</w:t>
            </w:r>
          </w:p>
        </w:tc>
        <w:tc>
          <w:tcPr>
            <w:tcW w:w="140" w:type="dxa"/>
            <w:vAlign w:val="bottom"/>
          </w:tcPr>
          <w:p>
            <w:pPr>
              <w:spacing w:after="0"/>
              <w:rPr>
                <w:sz w:val="9"/>
                <w:szCs w:val="9"/>
                <w:color w:val="auto"/>
              </w:rPr>
            </w:pPr>
          </w:p>
        </w:tc>
      </w:tr>
      <w:tr>
        <w:trPr>
          <w:trHeight w:val="140"/>
        </w:trPr>
        <w:tc>
          <w:tcPr>
            <w:tcW w:w="9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64"/>
              <w:spacing w:after="0"/>
              <w:rPr>
                <w:sz w:val="20"/>
                <w:szCs w:val="20"/>
                <w:color w:val="auto"/>
              </w:rPr>
            </w:pPr>
            <w:r>
              <w:rPr>
                <w:rFonts w:ascii="Arial" w:cs="Arial" w:eastAsia="Arial" w:hAnsi="Arial"/>
                <w:sz w:val="12"/>
                <w:szCs w:val="12"/>
                <w:b w:val="1"/>
                <w:bCs w:val="1"/>
                <w:color w:val="auto"/>
              </w:rPr>
              <w:t>2005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85"/>
              <w:spacing w:after="0"/>
              <w:rPr>
                <w:sz w:val="20"/>
                <w:szCs w:val="20"/>
                <w:color w:val="auto"/>
              </w:rPr>
            </w:pPr>
            <w:r>
              <w:rPr>
                <w:rFonts w:ascii="Arial" w:cs="Arial" w:eastAsia="Arial" w:hAnsi="Arial"/>
                <w:sz w:val="12"/>
                <w:szCs w:val="12"/>
                <w:b w:val="1"/>
                <w:bCs w:val="1"/>
                <w:color w:val="auto"/>
              </w:rPr>
              <w:t>2004</w:t>
            </w:r>
          </w:p>
        </w:tc>
        <w:tc>
          <w:tcPr>
            <w:tcW w:w="160" w:type="dxa"/>
            <w:vAlign w:val="bottom"/>
          </w:tcPr>
          <w:p>
            <w:pPr>
              <w:spacing w:after="0"/>
              <w:rPr>
                <w:sz w:val="12"/>
                <w:szCs w:val="12"/>
                <w:color w:val="auto"/>
              </w:rPr>
            </w:pPr>
          </w:p>
        </w:tc>
        <w:tc>
          <w:tcPr>
            <w:tcW w:w="920" w:type="dxa"/>
            <w:vAlign w:val="bottom"/>
            <w:gridSpan w:val="3"/>
          </w:tcPr>
          <w:p>
            <w:pPr>
              <w:jc w:val="right"/>
              <w:ind w:right="340"/>
              <w:spacing w:after="0"/>
              <w:rPr>
                <w:sz w:val="20"/>
                <w:szCs w:val="20"/>
                <w:color w:val="auto"/>
              </w:rPr>
            </w:pPr>
            <w:r>
              <w:rPr>
                <w:rFonts w:ascii="Arial" w:cs="Arial" w:eastAsia="Arial" w:hAnsi="Arial"/>
                <w:sz w:val="12"/>
                <w:szCs w:val="12"/>
                <w:b w:val="1"/>
                <w:bCs w:val="1"/>
                <w:color w:val="auto"/>
              </w:rPr>
              <w:t>Reported</w:t>
            </w:r>
          </w:p>
        </w:tc>
        <w:tc>
          <w:tcPr>
            <w:tcW w:w="82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w w:val="87"/>
              </w:rPr>
              <w:t>Currency</w:t>
            </w:r>
          </w:p>
        </w:tc>
        <w:tc>
          <w:tcPr>
            <w:tcW w:w="80" w:type="dxa"/>
            <w:vAlign w:val="bottom"/>
          </w:tcPr>
          <w:p>
            <w:pPr>
              <w:spacing w:after="0"/>
              <w:rPr>
                <w:sz w:val="12"/>
                <w:szCs w:val="12"/>
                <w:color w:val="auto"/>
              </w:rPr>
            </w:pPr>
          </w:p>
        </w:tc>
        <w:tc>
          <w:tcPr>
            <w:tcW w:w="460" w:type="dxa"/>
            <w:vAlign w:val="bottom"/>
          </w:tcPr>
          <w:p>
            <w:pPr>
              <w:jc w:val="right"/>
              <w:ind w:right="64"/>
              <w:spacing w:after="0"/>
              <w:rPr>
                <w:sz w:val="20"/>
                <w:szCs w:val="20"/>
                <w:color w:val="auto"/>
              </w:rPr>
            </w:pPr>
            <w:r>
              <w:rPr>
                <w:rFonts w:ascii="Arial" w:cs="Arial" w:eastAsia="Arial" w:hAnsi="Arial"/>
                <w:sz w:val="12"/>
                <w:szCs w:val="12"/>
                <w:b w:val="1"/>
                <w:bCs w:val="1"/>
                <w:color w:val="auto"/>
              </w:rPr>
              <w:t>2005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85"/>
              <w:spacing w:after="0"/>
              <w:rPr>
                <w:sz w:val="20"/>
                <w:szCs w:val="20"/>
                <w:color w:val="auto"/>
              </w:rPr>
            </w:pPr>
            <w:r>
              <w:rPr>
                <w:rFonts w:ascii="Arial" w:cs="Arial" w:eastAsia="Arial" w:hAnsi="Arial"/>
                <w:sz w:val="12"/>
                <w:szCs w:val="12"/>
                <w:b w:val="1"/>
                <w:bCs w:val="1"/>
                <w:color w:val="auto"/>
              </w:rPr>
              <w:t>2004</w:t>
            </w:r>
          </w:p>
        </w:tc>
        <w:tc>
          <w:tcPr>
            <w:tcW w:w="220" w:type="dxa"/>
            <w:vAlign w:val="bottom"/>
          </w:tcPr>
          <w:p>
            <w:pPr>
              <w:spacing w:after="0"/>
              <w:rPr>
                <w:sz w:val="12"/>
                <w:szCs w:val="12"/>
                <w:color w:val="auto"/>
              </w:rPr>
            </w:pPr>
          </w:p>
        </w:tc>
        <w:tc>
          <w:tcPr>
            <w:tcW w:w="6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7"/>
              </w:rPr>
              <w:t>Reported</w:t>
            </w:r>
          </w:p>
        </w:tc>
        <w:tc>
          <w:tcPr>
            <w:tcW w:w="200" w:type="dxa"/>
            <w:vAlign w:val="bottom"/>
          </w:tcPr>
          <w:p>
            <w:pPr>
              <w:spacing w:after="0"/>
              <w:rPr>
                <w:sz w:val="12"/>
                <w:szCs w:val="12"/>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Currency</w:t>
            </w:r>
          </w:p>
        </w:tc>
      </w:tr>
      <w:tr>
        <w:trPr>
          <w:trHeight w:val="20"/>
        </w:trPr>
        <w:tc>
          <w:tcPr>
            <w:tcW w:w="9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1"/>
        </w:trPr>
        <w:tc>
          <w:tcPr>
            <w:tcW w:w="94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gridSpan w:val="5"/>
          </w:tcPr>
          <w:p>
            <w:pPr>
              <w:jc w:val="right"/>
              <w:ind w:right="640"/>
              <w:spacing w:after="0" w:line="121" w:lineRule="exact"/>
              <w:rPr>
                <w:sz w:val="20"/>
                <w:szCs w:val="20"/>
                <w:color w:val="auto"/>
              </w:rPr>
            </w:pPr>
            <w:r>
              <w:rPr>
                <w:rFonts w:ascii="Arial" w:cs="Arial" w:eastAsia="Arial" w:hAnsi="Arial"/>
                <w:sz w:val="12"/>
                <w:szCs w:val="12"/>
                <w:b w:val="1"/>
                <w:bCs w:val="1"/>
                <w:color w:val="auto"/>
              </w:rPr>
              <w:t>(Unaudited)</w:t>
            </w: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4"/>
          </w:tcPr>
          <w:p>
            <w:pPr>
              <w:jc w:val="center"/>
              <w:ind w:right="160"/>
              <w:spacing w:after="0" w:line="121" w:lineRule="exact"/>
              <w:rPr>
                <w:sz w:val="20"/>
                <w:szCs w:val="20"/>
                <w:color w:val="auto"/>
              </w:rPr>
            </w:pPr>
            <w:r>
              <w:rPr>
                <w:rFonts w:ascii="Arial" w:cs="Arial" w:eastAsia="Arial" w:hAnsi="Arial"/>
                <w:sz w:val="12"/>
                <w:szCs w:val="12"/>
                <w:b w:val="1"/>
                <w:bCs w:val="1"/>
                <w:color w:val="auto"/>
                <w:w w:val="89"/>
              </w:rPr>
              <w:t>(Unaudited)</w:t>
            </w: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88"/>
        </w:trPr>
        <w:tc>
          <w:tcPr>
            <w:tcW w:w="444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Revenue from Services:</w:t>
            </w: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8"/>
        </w:trPr>
        <w:tc>
          <w:tcPr>
            <w:tcW w:w="4440" w:type="dxa"/>
            <w:vAlign w:val="bottom"/>
            <w:gridSpan w:val="2"/>
          </w:tcPr>
          <w:p>
            <w:pPr>
              <w:spacing w:after="0"/>
              <w:rPr>
                <w:sz w:val="20"/>
                <w:szCs w:val="20"/>
                <w:color w:val="auto"/>
              </w:rPr>
            </w:pPr>
            <w:r>
              <w:rPr>
                <w:rFonts w:ascii="Arial" w:cs="Arial" w:eastAsia="Arial" w:hAnsi="Arial"/>
                <w:sz w:val="15"/>
                <w:szCs w:val="15"/>
                <w:color w:val="auto"/>
              </w:rPr>
              <w:t>United States</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475.9</w:t>
            </w:r>
          </w:p>
        </w:tc>
        <w:tc>
          <w:tcPr>
            <w:tcW w:w="3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474.6</w:t>
            </w:r>
          </w:p>
        </w:tc>
        <w:tc>
          <w:tcPr>
            <w:tcW w:w="160" w:type="dxa"/>
            <w:vAlign w:val="bottom"/>
          </w:tcPr>
          <w:p>
            <w:pPr>
              <w:spacing w:after="0"/>
              <w:rPr>
                <w:sz w:val="16"/>
                <w:szCs w:val="16"/>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5"/>
                <w:szCs w:val="15"/>
                <w:color w:val="auto"/>
              </w:rPr>
              <w:t>0.3%</w:t>
            </w: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0.3%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506.7</w:t>
            </w:r>
          </w:p>
        </w:tc>
        <w:tc>
          <w:tcPr>
            <w:tcW w:w="3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517.3</w:t>
            </w:r>
          </w:p>
        </w:tc>
        <w:tc>
          <w:tcPr>
            <w:tcW w:w="220" w:type="dxa"/>
            <w:vAlign w:val="bottom"/>
          </w:tcPr>
          <w:p>
            <w:pPr>
              <w:spacing w:after="0"/>
              <w:rPr>
                <w:sz w:val="16"/>
                <w:szCs w:val="16"/>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5"/>
                <w:szCs w:val="15"/>
                <w:color w:val="auto"/>
              </w:rPr>
              <w:t>-2.1%</w:t>
            </w:r>
          </w:p>
        </w:tc>
        <w:tc>
          <w:tcPr>
            <w:tcW w:w="820" w:type="dxa"/>
            <w:vAlign w:val="bottom"/>
            <w:gridSpan w:val="3"/>
          </w:tcPr>
          <w:p>
            <w:pPr>
              <w:jc w:val="right"/>
              <w:spacing w:after="0"/>
              <w:rPr>
                <w:sz w:val="20"/>
                <w:szCs w:val="20"/>
                <w:color w:val="auto"/>
              </w:rPr>
            </w:pPr>
            <w:r>
              <w:rPr>
                <w:rFonts w:ascii="Arial" w:cs="Arial" w:eastAsia="Arial" w:hAnsi="Arial"/>
                <w:sz w:val="15"/>
                <w:szCs w:val="15"/>
                <w:color w:val="auto"/>
              </w:rPr>
              <w:t>-2.1%</w:t>
            </w:r>
          </w:p>
        </w:tc>
      </w:tr>
      <w:tr>
        <w:trPr>
          <w:trHeight w:val="188"/>
        </w:trPr>
        <w:tc>
          <w:tcPr>
            <w:tcW w:w="44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France</w:t>
            </w: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1,238.0</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1,131.4</w:t>
            </w:r>
          </w:p>
        </w:tc>
        <w:tc>
          <w:tcPr>
            <w:tcW w:w="16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9.4%</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4.3%</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1,397.0</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1,272.7</w:t>
            </w:r>
          </w:p>
        </w:tc>
        <w:tc>
          <w:tcPr>
            <w:tcW w:w="2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9.8%</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5.3%</w:t>
            </w:r>
          </w:p>
        </w:tc>
      </w:tr>
      <w:tr>
        <w:trPr>
          <w:trHeight w:val="188"/>
        </w:trPr>
        <w:tc>
          <w:tcPr>
            <w:tcW w:w="4440" w:type="dxa"/>
            <w:vAlign w:val="bottom"/>
            <w:gridSpan w:val="2"/>
          </w:tcPr>
          <w:p>
            <w:pPr>
              <w:spacing w:after="0"/>
              <w:rPr>
                <w:sz w:val="20"/>
                <w:szCs w:val="20"/>
                <w:color w:val="auto"/>
              </w:rPr>
            </w:pPr>
            <w:r>
              <w:rPr>
                <w:rFonts w:ascii="Arial" w:cs="Arial" w:eastAsia="Arial" w:hAnsi="Arial"/>
                <w:sz w:val="15"/>
                <w:szCs w:val="15"/>
                <w:color w:val="auto"/>
              </w:rPr>
              <w:t>EMEA</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87"/>
              </w:rPr>
              <w:t>1,289.5</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87"/>
              </w:rPr>
              <w:t>1,088.0</w:t>
            </w:r>
          </w:p>
        </w:tc>
        <w:tc>
          <w:tcPr>
            <w:tcW w:w="160" w:type="dxa"/>
            <w:vAlign w:val="bottom"/>
          </w:tcPr>
          <w:p>
            <w:pPr>
              <w:spacing w:after="0"/>
              <w:rPr>
                <w:sz w:val="16"/>
                <w:szCs w:val="16"/>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5"/>
                <w:szCs w:val="15"/>
                <w:color w:val="auto"/>
              </w:rPr>
              <w:t>18.5%</w:t>
            </w: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13.5%</w:t>
            </w: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87"/>
              </w:rPr>
              <w:t>1,381.1</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87"/>
              </w:rPr>
              <w:t>1,152.2</w:t>
            </w:r>
          </w:p>
        </w:tc>
        <w:tc>
          <w:tcPr>
            <w:tcW w:w="220" w:type="dxa"/>
            <w:vAlign w:val="bottom"/>
          </w:tcPr>
          <w:p>
            <w:pPr>
              <w:spacing w:after="0"/>
              <w:rPr>
                <w:sz w:val="16"/>
                <w:szCs w:val="16"/>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5"/>
                <w:szCs w:val="15"/>
                <w:color w:val="auto"/>
              </w:rPr>
              <w:t>19.9%</w:t>
            </w:r>
          </w:p>
        </w:tc>
        <w:tc>
          <w:tcPr>
            <w:tcW w:w="820" w:type="dxa"/>
            <w:vAlign w:val="bottom"/>
            <w:gridSpan w:val="3"/>
          </w:tcPr>
          <w:p>
            <w:pPr>
              <w:jc w:val="right"/>
              <w:spacing w:after="0"/>
              <w:rPr>
                <w:sz w:val="20"/>
                <w:szCs w:val="20"/>
                <w:color w:val="auto"/>
              </w:rPr>
            </w:pPr>
            <w:r>
              <w:rPr>
                <w:rFonts w:ascii="Arial" w:cs="Arial" w:eastAsia="Arial" w:hAnsi="Arial"/>
                <w:sz w:val="15"/>
                <w:szCs w:val="15"/>
                <w:color w:val="auto"/>
              </w:rPr>
              <w:t>15.4%</w:t>
            </w:r>
          </w:p>
        </w:tc>
      </w:tr>
      <w:tr>
        <w:trPr>
          <w:trHeight w:val="188"/>
        </w:trPr>
        <w:tc>
          <w:tcPr>
            <w:tcW w:w="44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Jefferson Wells</w:t>
            </w: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92.7</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50.5</w:t>
            </w:r>
          </w:p>
        </w:tc>
        <w:tc>
          <w:tcPr>
            <w:tcW w:w="16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83.7%</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83.7%</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93.5</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76.6</w:t>
            </w:r>
          </w:p>
        </w:tc>
        <w:tc>
          <w:tcPr>
            <w:tcW w:w="2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22.0%</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22.0%</w:t>
            </w:r>
          </w:p>
        </w:tc>
      </w:tr>
      <w:tr>
        <w:trPr>
          <w:trHeight w:val="188"/>
        </w:trPr>
        <w:tc>
          <w:tcPr>
            <w:tcW w:w="4440" w:type="dxa"/>
            <w:vAlign w:val="bottom"/>
            <w:gridSpan w:val="2"/>
          </w:tcPr>
          <w:p>
            <w:pPr>
              <w:spacing w:after="0"/>
              <w:rPr>
                <w:sz w:val="20"/>
                <w:szCs w:val="20"/>
                <w:color w:val="auto"/>
              </w:rPr>
            </w:pPr>
            <w:r>
              <w:rPr>
                <w:rFonts w:ascii="Arial" w:cs="Arial" w:eastAsia="Arial" w:hAnsi="Arial"/>
                <w:sz w:val="15"/>
                <w:szCs w:val="15"/>
                <w:color w:val="auto"/>
              </w:rPr>
              <w:t>Right Management</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103.3</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100.4</w:t>
            </w:r>
          </w:p>
        </w:tc>
        <w:tc>
          <w:tcPr>
            <w:tcW w:w="160" w:type="dxa"/>
            <w:vAlign w:val="bottom"/>
          </w:tcPr>
          <w:p>
            <w:pPr>
              <w:spacing w:after="0"/>
              <w:rPr>
                <w:sz w:val="16"/>
                <w:szCs w:val="16"/>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5"/>
                <w:szCs w:val="15"/>
                <w:color w:val="auto"/>
              </w:rPr>
              <w:t>2.9%</w:t>
            </w: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0.4%</w:t>
            </w: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107.1</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118.1</w:t>
            </w:r>
          </w:p>
        </w:tc>
        <w:tc>
          <w:tcPr>
            <w:tcW w:w="220" w:type="dxa"/>
            <w:vAlign w:val="bottom"/>
          </w:tcPr>
          <w:p>
            <w:pPr>
              <w:spacing w:after="0"/>
              <w:rPr>
                <w:sz w:val="16"/>
                <w:szCs w:val="16"/>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5"/>
                <w:szCs w:val="15"/>
                <w:color w:val="auto"/>
              </w:rPr>
              <w:t>-9.4%</w:t>
            </w:r>
          </w:p>
        </w:tc>
        <w:tc>
          <w:tcPr>
            <w:tcW w:w="820" w:type="dxa"/>
            <w:vAlign w:val="bottom"/>
            <w:gridSpan w:val="3"/>
          </w:tcPr>
          <w:p>
            <w:pPr>
              <w:jc w:val="right"/>
              <w:spacing w:after="0"/>
              <w:rPr>
                <w:sz w:val="20"/>
                <w:szCs w:val="20"/>
                <w:color w:val="auto"/>
              </w:rPr>
            </w:pPr>
            <w:r>
              <w:rPr>
                <w:rFonts w:ascii="Arial" w:cs="Arial" w:eastAsia="Arial" w:hAnsi="Arial"/>
                <w:sz w:val="15"/>
                <w:szCs w:val="15"/>
                <w:color w:val="auto"/>
              </w:rPr>
              <w:t>-11.8%</w:t>
            </w:r>
          </w:p>
        </w:tc>
      </w:tr>
      <w:tr>
        <w:trPr>
          <w:trHeight w:val="188"/>
        </w:trPr>
        <w:tc>
          <w:tcPr>
            <w:tcW w:w="44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 Operations</w:t>
            </w:r>
          </w:p>
        </w:tc>
        <w:tc>
          <w:tcPr>
            <w:tcW w:w="8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496.7</w:t>
            </w:r>
          </w:p>
        </w:tc>
        <w:tc>
          <w:tcPr>
            <w:tcW w:w="2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425.9</w:t>
            </w:r>
          </w:p>
        </w:tc>
        <w:tc>
          <w:tcPr>
            <w:tcW w:w="16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16.6%</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13.9%</w:t>
            </w:r>
          </w:p>
        </w:tc>
        <w:tc>
          <w:tcPr>
            <w:tcW w:w="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508.0</w:t>
            </w:r>
          </w:p>
        </w:tc>
        <w:tc>
          <w:tcPr>
            <w:tcW w:w="2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423.6</w:t>
            </w:r>
          </w:p>
        </w:tc>
        <w:tc>
          <w:tcPr>
            <w:tcW w:w="2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20.0%</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14.9%</w:t>
            </w:r>
          </w:p>
        </w:tc>
      </w:tr>
      <w:tr>
        <w:trPr>
          <w:trHeight w:val="191"/>
        </w:trPr>
        <w:tc>
          <w:tcPr>
            <w:tcW w:w="9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w w:val="87"/>
              </w:rPr>
              <w:t>3,696.1</w:t>
            </w:r>
          </w:p>
        </w:tc>
        <w:tc>
          <w:tcPr>
            <w:tcW w:w="30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w w:val="87"/>
              </w:rPr>
              <w:t>3,270.8</w:t>
            </w:r>
          </w:p>
        </w:tc>
        <w:tc>
          <w:tcPr>
            <w:tcW w:w="160" w:type="dxa"/>
            <w:vAlign w:val="bottom"/>
          </w:tcPr>
          <w:p>
            <w:pPr>
              <w:spacing w:after="0"/>
              <w:rPr>
                <w:sz w:val="16"/>
                <w:szCs w:val="16"/>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5"/>
                <w:szCs w:val="15"/>
                <w:color w:val="auto"/>
              </w:rPr>
              <w:t>13.0%</w:t>
            </w: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9.1%</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tcPr>
          <w:p>
            <w:pPr>
              <w:jc w:val="right"/>
              <w:spacing w:after="0"/>
              <w:rPr>
                <w:sz w:val="20"/>
                <w:szCs w:val="20"/>
                <w:color w:val="auto"/>
              </w:rPr>
            </w:pPr>
            <w:r>
              <w:rPr>
                <w:rFonts w:ascii="Arial" w:cs="Arial" w:eastAsia="Arial" w:hAnsi="Arial"/>
                <w:sz w:val="15"/>
                <w:szCs w:val="15"/>
                <w:color w:val="auto"/>
                <w:w w:val="87"/>
              </w:rPr>
              <w:t>3,993.4</w:t>
            </w:r>
          </w:p>
        </w:tc>
        <w:tc>
          <w:tcPr>
            <w:tcW w:w="760" w:type="dxa"/>
            <w:vAlign w:val="bottom"/>
            <w:gridSpan w:val="3"/>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3,560.5</w:t>
            </w:r>
          </w:p>
        </w:tc>
        <w:tc>
          <w:tcPr>
            <w:tcW w:w="220" w:type="dxa"/>
            <w:vAlign w:val="bottom"/>
          </w:tcPr>
          <w:p>
            <w:pPr>
              <w:spacing w:after="0"/>
              <w:rPr>
                <w:sz w:val="16"/>
                <w:szCs w:val="16"/>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5"/>
                <w:szCs w:val="15"/>
                <w:color w:val="auto"/>
              </w:rPr>
              <w:t>12.2%</w:t>
            </w:r>
          </w:p>
        </w:tc>
        <w:tc>
          <w:tcPr>
            <w:tcW w:w="820" w:type="dxa"/>
            <w:vAlign w:val="bottom"/>
            <w:gridSpan w:val="3"/>
          </w:tcPr>
          <w:p>
            <w:pPr>
              <w:jc w:val="right"/>
              <w:spacing w:after="0"/>
              <w:rPr>
                <w:sz w:val="20"/>
                <w:szCs w:val="20"/>
                <w:color w:val="auto"/>
              </w:rPr>
            </w:pPr>
            <w:r>
              <w:rPr>
                <w:rFonts w:ascii="Arial" w:cs="Arial" w:eastAsia="Arial" w:hAnsi="Arial"/>
                <w:sz w:val="15"/>
                <w:szCs w:val="15"/>
                <w:color w:val="auto"/>
              </w:rPr>
              <w:t>8.4%</w:t>
            </w:r>
          </w:p>
        </w:tc>
      </w:tr>
      <w:tr>
        <w:trPr>
          <w:trHeight w:val="20"/>
        </w:trPr>
        <w:tc>
          <w:tcPr>
            <w:tcW w:w="9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6"/>
        </w:trPr>
        <w:tc>
          <w:tcPr>
            <w:tcW w:w="444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Operating Unit Profit:</w:t>
            </w: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8"/>
        </w:trPr>
        <w:tc>
          <w:tcPr>
            <w:tcW w:w="4440" w:type="dxa"/>
            <w:vAlign w:val="bottom"/>
            <w:gridSpan w:val="2"/>
          </w:tcPr>
          <w:p>
            <w:pPr>
              <w:spacing w:after="0"/>
              <w:rPr>
                <w:sz w:val="20"/>
                <w:szCs w:val="20"/>
                <w:color w:val="auto"/>
              </w:rPr>
            </w:pPr>
            <w:r>
              <w:rPr>
                <w:rFonts w:ascii="Arial" w:cs="Arial" w:eastAsia="Arial" w:hAnsi="Arial"/>
                <w:sz w:val="15"/>
                <w:szCs w:val="15"/>
                <w:color w:val="auto"/>
              </w:rPr>
              <w:t>United States</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4.9</w:t>
            </w:r>
          </w:p>
        </w:tc>
        <w:tc>
          <w:tcPr>
            <w:tcW w:w="3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2.8</w:t>
            </w:r>
          </w:p>
        </w:tc>
        <w:tc>
          <w:tcPr>
            <w:tcW w:w="160" w:type="dxa"/>
            <w:vAlign w:val="bottom"/>
          </w:tcPr>
          <w:p>
            <w:pPr>
              <w:spacing w:after="0"/>
              <w:rPr>
                <w:sz w:val="16"/>
                <w:szCs w:val="16"/>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5"/>
                <w:szCs w:val="15"/>
                <w:color w:val="auto"/>
              </w:rPr>
              <w:t>74.6%</w:t>
            </w: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74.6%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18.0</w:t>
            </w:r>
          </w:p>
        </w:tc>
        <w:tc>
          <w:tcPr>
            <w:tcW w:w="3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14.1</w:t>
            </w:r>
          </w:p>
        </w:tc>
        <w:tc>
          <w:tcPr>
            <w:tcW w:w="220" w:type="dxa"/>
            <w:vAlign w:val="bottom"/>
          </w:tcPr>
          <w:p>
            <w:pPr>
              <w:spacing w:after="0"/>
              <w:rPr>
                <w:sz w:val="16"/>
                <w:szCs w:val="16"/>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5"/>
                <w:szCs w:val="15"/>
                <w:color w:val="auto"/>
              </w:rPr>
              <w:t>27.3%</w:t>
            </w:r>
          </w:p>
        </w:tc>
        <w:tc>
          <w:tcPr>
            <w:tcW w:w="820" w:type="dxa"/>
            <w:vAlign w:val="bottom"/>
            <w:gridSpan w:val="3"/>
          </w:tcPr>
          <w:p>
            <w:pPr>
              <w:jc w:val="right"/>
              <w:spacing w:after="0"/>
              <w:rPr>
                <w:sz w:val="20"/>
                <w:szCs w:val="20"/>
                <w:color w:val="auto"/>
              </w:rPr>
            </w:pPr>
            <w:r>
              <w:rPr>
                <w:rFonts w:ascii="Arial" w:cs="Arial" w:eastAsia="Arial" w:hAnsi="Arial"/>
                <w:sz w:val="15"/>
                <w:szCs w:val="15"/>
                <w:color w:val="auto"/>
              </w:rPr>
              <w:t>27.3%</w:t>
            </w:r>
          </w:p>
        </w:tc>
      </w:tr>
      <w:tr>
        <w:trPr>
          <w:trHeight w:val="188"/>
        </w:trPr>
        <w:tc>
          <w:tcPr>
            <w:tcW w:w="44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France</w:t>
            </w: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28.4</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28.8</w:t>
            </w:r>
          </w:p>
        </w:tc>
        <w:tc>
          <w:tcPr>
            <w:tcW w:w="16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-1.5%</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-6.7%</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42.0</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39.5</w:t>
            </w:r>
          </w:p>
        </w:tc>
        <w:tc>
          <w:tcPr>
            <w:tcW w:w="2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6.5%</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2.5%</w:t>
            </w:r>
          </w:p>
        </w:tc>
      </w:tr>
      <w:tr>
        <w:trPr>
          <w:trHeight w:val="188"/>
        </w:trPr>
        <w:tc>
          <w:tcPr>
            <w:tcW w:w="4440" w:type="dxa"/>
            <w:vAlign w:val="bottom"/>
            <w:gridSpan w:val="2"/>
          </w:tcPr>
          <w:p>
            <w:pPr>
              <w:spacing w:after="0"/>
              <w:rPr>
                <w:sz w:val="20"/>
                <w:szCs w:val="20"/>
                <w:color w:val="auto"/>
              </w:rPr>
            </w:pPr>
            <w:r>
              <w:rPr>
                <w:rFonts w:ascii="Arial" w:cs="Arial" w:eastAsia="Arial" w:hAnsi="Arial"/>
                <w:sz w:val="15"/>
                <w:szCs w:val="15"/>
                <w:color w:val="auto"/>
              </w:rPr>
              <w:t>EMEA</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12.1</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14.1</w:t>
            </w:r>
          </w:p>
        </w:tc>
        <w:tc>
          <w:tcPr>
            <w:tcW w:w="160" w:type="dxa"/>
            <w:vAlign w:val="bottom"/>
          </w:tcPr>
          <w:p>
            <w:pPr>
              <w:spacing w:after="0"/>
              <w:rPr>
                <w:sz w:val="16"/>
                <w:szCs w:val="16"/>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5"/>
                <w:szCs w:val="15"/>
                <w:color w:val="auto"/>
              </w:rPr>
              <w:t>-14.1%</w:t>
            </w: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-17.8%</w:t>
            </w: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35.9</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26.8</w:t>
            </w:r>
          </w:p>
        </w:tc>
        <w:tc>
          <w:tcPr>
            <w:tcW w:w="220" w:type="dxa"/>
            <w:vAlign w:val="bottom"/>
          </w:tcPr>
          <w:p>
            <w:pPr>
              <w:spacing w:after="0"/>
              <w:rPr>
                <w:sz w:val="16"/>
                <w:szCs w:val="16"/>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5"/>
                <w:szCs w:val="15"/>
                <w:color w:val="auto"/>
              </w:rPr>
              <w:t>34.4%</w:t>
            </w:r>
          </w:p>
        </w:tc>
        <w:tc>
          <w:tcPr>
            <w:tcW w:w="820" w:type="dxa"/>
            <w:vAlign w:val="bottom"/>
            <w:gridSpan w:val="3"/>
          </w:tcPr>
          <w:p>
            <w:pPr>
              <w:jc w:val="right"/>
              <w:spacing w:after="0"/>
              <w:rPr>
                <w:sz w:val="20"/>
                <w:szCs w:val="20"/>
                <w:color w:val="auto"/>
              </w:rPr>
            </w:pPr>
            <w:r>
              <w:rPr>
                <w:rFonts w:ascii="Arial" w:cs="Arial" w:eastAsia="Arial" w:hAnsi="Arial"/>
                <w:sz w:val="15"/>
                <w:szCs w:val="15"/>
                <w:color w:val="auto"/>
              </w:rPr>
              <w:t>29.7%</w:t>
            </w:r>
          </w:p>
        </w:tc>
      </w:tr>
      <w:tr>
        <w:trPr>
          <w:trHeight w:val="188"/>
        </w:trPr>
        <w:tc>
          <w:tcPr>
            <w:tcW w:w="44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Jefferson Wells</w:t>
            </w: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N/A</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N/A</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w:t>
            </w:r>
          </w:p>
        </w:tc>
        <w:tc>
          <w:tcPr>
            <w:tcW w:w="2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-16.0%</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-16.0%</w:t>
            </w:r>
          </w:p>
        </w:tc>
      </w:tr>
      <w:tr>
        <w:trPr>
          <w:trHeight w:val="188"/>
        </w:trPr>
        <w:tc>
          <w:tcPr>
            <w:tcW w:w="4440" w:type="dxa"/>
            <w:vAlign w:val="bottom"/>
            <w:gridSpan w:val="2"/>
          </w:tcPr>
          <w:p>
            <w:pPr>
              <w:spacing w:after="0"/>
              <w:rPr>
                <w:sz w:val="20"/>
                <w:szCs w:val="20"/>
                <w:color w:val="auto"/>
              </w:rPr>
            </w:pPr>
            <w:r>
              <w:rPr>
                <w:rFonts w:ascii="Arial" w:cs="Arial" w:eastAsia="Arial" w:hAnsi="Arial"/>
                <w:sz w:val="15"/>
                <w:szCs w:val="15"/>
                <w:color w:val="auto"/>
              </w:rPr>
              <w:t>Right Management</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10.3</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9.6</w:t>
            </w:r>
          </w:p>
        </w:tc>
        <w:tc>
          <w:tcPr>
            <w:tcW w:w="160" w:type="dxa"/>
            <w:vAlign w:val="bottom"/>
          </w:tcPr>
          <w:p>
            <w:pPr>
              <w:spacing w:after="0"/>
              <w:rPr>
                <w:sz w:val="16"/>
                <w:szCs w:val="16"/>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5"/>
                <w:szCs w:val="15"/>
                <w:color w:val="auto"/>
              </w:rPr>
              <w:t>7.4%</w:t>
            </w: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4.9%</w:t>
            </w: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9.5</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12.6</w:t>
            </w:r>
          </w:p>
        </w:tc>
        <w:tc>
          <w:tcPr>
            <w:tcW w:w="220" w:type="dxa"/>
            <w:vAlign w:val="bottom"/>
          </w:tcPr>
          <w:p>
            <w:pPr>
              <w:spacing w:after="0"/>
              <w:rPr>
                <w:sz w:val="16"/>
                <w:szCs w:val="16"/>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5"/>
                <w:szCs w:val="15"/>
                <w:color w:val="auto"/>
              </w:rPr>
              <w:t>-25.0%</w:t>
            </w:r>
          </w:p>
        </w:tc>
        <w:tc>
          <w:tcPr>
            <w:tcW w:w="820" w:type="dxa"/>
            <w:vAlign w:val="bottom"/>
            <w:gridSpan w:val="3"/>
          </w:tcPr>
          <w:p>
            <w:pPr>
              <w:jc w:val="right"/>
              <w:spacing w:after="0"/>
              <w:rPr>
                <w:sz w:val="20"/>
                <w:szCs w:val="20"/>
                <w:color w:val="auto"/>
              </w:rPr>
            </w:pPr>
            <w:r>
              <w:rPr>
                <w:rFonts w:ascii="Arial" w:cs="Arial" w:eastAsia="Arial" w:hAnsi="Arial"/>
                <w:sz w:val="15"/>
                <w:szCs w:val="15"/>
                <w:color w:val="auto"/>
              </w:rPr>
              <w:t>-27.2%</w:t>
            </w:r>
          </w:p>
        </w:tc>
      </w:tr>
      <w:tr>
        <w:trPr>
          <w:trHeight w:val="188"/>
        </w:trPr>
        <w:tc>
          <w:tcPr>
            <w:tcW w:w="44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 Operations</w:t>
            </w:r>
          </w:p>
        </w:tc>
        <w:tc>
          <w:tcPr>
            <w:tcW w:w="8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12.1</w:t>
            </w:r>
          </w:p>
        </w:tc>
        <w:tc>
          <w:tcPr>
            <w:tcW w:w="2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15.2</w:t>
            </w:r>
          </w:p>
        </w:tc>
        <w:tc>
          <w:tcPr>
            <w:tcW w:w="16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-20.0%</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-21.9%</w:t>
            </w:r>
          </w:p>
        </w:tc>
        <w:tc>
          <w:tcPr>
            <w:tcW w:w="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12.8</w:t>
            </w:r>
          </w:p>
        </w:tc>
        <w:tc>
          <w:tcPr>
            <w:tcW w:w="2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9.3</w:t>
            </w:r>
          </w:p>
        </w:tc>
        <w:tc>
          <w:tcPr>
            <w:tcW w:w="2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36.1%</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30.0%</w:t>
            </w:r>
          </w:p>
        </w:tc>
      </w:tr>
      <w:tr>
        <w:trPr>
          <w:trHeight w:val="191"/>
        </w:trPr>
        <w:tc>
          <w:tcPr>
            <w:tcW w:w="9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75.9</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72.5</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127.5</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113.4</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9"/>
        </w:trPr>
        <w:tc>
          <w:tcPr>
            <w:tcW w:w="44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Corporate Expenses</w:t>
            </w: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16.7</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w:t>
            </w: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2"/>
        </w:trPr>
        <w:tc>
          <w:tcPr>
            <w:tcW w:w="4440" w:type="dxa"/>
            <w:vAlign w:val="bottom"/>
            <w:gridSpan w:val="2"/>
          </w:tcPr>
          <w:p>
            <w:pPr>
              <w:spacing w:after="0"/>
              <w:rPr>
                <w:sz w:val="20"/>
                <w:szCs w:val="20"/>
                <w:color w:val="auto"/>
              </w:rPr>
            </w:pPr>
            <w:r>
              <w:rPr>
                <w:rFonts w:ascii="Arial" w:cs="Arial" w:eastAsia="Arial" w:hAnsi="Arial"/>
                <w:sz w:val="15"/>
                <w:szCs w:val="15"/>
                <w:color w:val="auto"/>
              </w:rPr>
              <w:t>Amortization of intangible assets</w:t>
            </w:r>
          </w:p>
        </w:tc>
        <w:tc>
          <w:tcPr>
            <w:tcW w:w="8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w:t>
            </w: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w:t>
            </w: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8"/>
        </w:trPr>
        <w:tc>
          <w:tcPr>
            <w:tcW w:w="444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Operating profit</w:t>
            </w: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60.6</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57.0</w:t>
            </w:r>
          </w:p>
        </w:tc>
        <w:tc>
          <w:tcPr>
            <w:tcW w:w="16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6.4%</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1.9%</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107.5</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95.6</w:t>
            </w:r>
          </w:p>
        </w:tc>
        <w:tc>
          <w:tcPr>
            <w:tcW w:w="2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12.4%</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8.6%</w:t>
            </w:r>
          </w:p>
        </w:tc>
      </w:tr>
      <w:tr>
        <w:trPr>
          <w:trHeight w:val="188"/>
        </w:trPr>
        <w:tc>
          <w:tcPr>
            <w:tcW w:w="4440" w:type="dxa"/>
            <w:vAlign w:val="bottom"/>
            <w:gridSpan w:val="2"/>
          </w:tcPr>
          <w:p>
            <w:pPr>
              <w:spacing w:after="0"/>
              <w:rPr>
                <w:sz w:val="20"/>
                <w:szCs w:val="20"/>
                <w:color w:val="auto"/>
              </w:rPr>
            </w:pPr>
            <w:r>
              <w:rPr>
                <w:rFonts w:ascii="Arial" w:cs="Arial" w:eastAsia="Arial" w:hAnsi="Arial"/>
                <w:sz w:val="15"/>
                <w:szCs w:val="15"/>
                <w:color w:val="auto"/>
              </w:rPr>
              <w:t>Interest and other expenses</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11.8</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5"/>
                <w:szCs w:val="15"/>
                <w:color w:val="auto"/>
              </w:rPr>
              <w:t>(3.9)</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11.2</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12.2</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4"/>
        </w:trPr>
        <w:tc>
          <w:tcPr>
            <w:tcW w:w="9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88"/>
        </w:trPr>
        <w:tc>
          <w:tcPr>
            <w:tcW w:w="444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Earnings before income taxes and discontinued operations</w:t>
            </w: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48.8</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60.9</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83.4</w:t>
            </w: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0"/>
        </w:trPr>
        <w:tc>
          <w:tcPr>
            <w:tcW w:w="9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04"/>
        </w:trPr>
        <w:tc>
          <w:tcPr>
            <w:tcW w:w="9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6"/>
          </w:tcPr>
          <w:p>
            <w:pPr>
              <w:jc w:val="center"/>
              <w:ind w:left="88"/>
              <w:spacing w:after="0"/>
              <w:rPr>
                <w:sz w:val="20"/>
                <w:szCs w:val="20"/>
                <w:color w:val="auto"/>
              </w:rPr>
            </w:pPr>
            <w:r>
              <w:rPr>
                <w:rFonts w:ascii="Arial" w:cs="Arial" w:eastAsia="Arial" w:hAnsi="Arial"/>
                <w:sz w:val="12"/>
                <w:szCs w:val="12"/>
                <w:b w:val="1"/>
                <w:bCs w:val="1"/>
                <w:color w:val="auto"/>
                <w:w w:val="88"/>
              </w:rPr>
              <w:t>Six Months Ended June 30</w:t>
            </w:r>
          </w:p>
        </w:tc>
        <w:tc>
          <w:tcPr>
            <w:tcW w:w="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21"/>
        </w:trPr>
        <w:tc>
          <w:tcPr>
            <w:tcW w:w="94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Borders>
              <w:bottom w:val="single" w:sz="8" w:color="auto"/>
            </w:tcBorders>
            <w:gridSpan w:val="4"/>
          </w:tcPr>
          <w:p>
            <w:pPr>
              <w:ind w:left="340"/>
              <w:spacing w:after="0" w:line="121" w:lineRule="exact"/>
              <w:rPr>
                <w:sz w:val="20"/>
                <w:szCs w:val="20"/>
                <w:color w:val="auto"/>
              </w:rPr>
            </w:pPr>
            <w:r>
              <w:rPr>
                <w:rFonts w:ascii="Arial" w:cs="Arial" w:eastAsia="Arial" w:hAnsi="Arial"/>
                <w:sz w:val="12"/>
                <w:szCs w:val="12"/>
                <w:b w:val="1"/>
                <w:bCs w:val="1"/>
                <w:color w:val="auto"/>
              </w:rPr>
              <w:t>% Variance</w:t>
            </w:r>
          </w:p>
        </w:tc>
        <w:tc>
          <w:tcPr>
            <w:tcW w:w="140" w:type="dxa"/>
            <w:vAlign w:val="bottom"/>
          </w:tcPr>
          <w:p>
            <w:pPr>
              <w:spacing w:after="0"/>
              <w:rPr>
                <w:sz w:val="10"/>
                <w:szCs w:val="10"/>
                <w:color w:val="auto"/>
              </w:rPr>
            </w:pPr>
          </w:p>
        </w:tc>
      </w:tr>
      <w:tr>
        <w:trPr>
          <w:trHeight w:val="110"/>
        </w:trPr>
        <w:tc>
          <w:tcPr>
            <w:tcW w:w="940" w:type="dxa"/>
            <w:vAlign w:val="bottom"/>
          </w:tcPr>
          <w:p>
            <w:pPr>
              <w:spacing w:after="0"/>
              <w:rPr>
                <w:sz w:val="9"/>
                <w:szCs w:val="9"/>
                <w:color w:val="auto"/>
              </w:rPr>
            </w:pPr>
          </w:p>
        </w:tc>
        <w:tc>
          <w:tcPr>
            <w:tcW w:w="35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gridSpan w:val="2"/>
          </w:tcPr>
          <w:p>
            <w:pPr>
              <w:jc w:val="center"/>
              <w:ind w:right="140"/>
              <w:spacing w:after="0" w:line="110" w:lineRule="exact"/>
              <w:rPr>
                <w:sz w:val="20"/>
                <w:szCs w:val="20"/>
                <w:color w:val="auto"/>
              </w:rPr>
            </w:pPr>
            <w:r>
              <w:rPr>
                <w:rFonts w:ascii="Arial" w:cs="Arial" w:eastAsia="Arial" w:hAnsi="Arial"/>
                <w:sz w:val="12"/>
                <w:szCs w:val="12"/>
                <w:b w:val="1"/>
                <w:bCs w:val="1"/>
                <w:color w:val="auto"/>
                <w:w w:val="92"/>
              </w:rPr>
              <w:t>Amount</w:t>
            </w:r>
          </w:p>
        </w:tc>
        <w:tc>
          <w:tcPr>
            <w:tcW w:w="200" w:type="dxa"/>
            <w:vAlign w:val="bottom"/>
          </w:tcPr>
          <w:p>
            <w:pPr>
              <w:spacing w:after="0"/>
              <w:rPr>
                <w:sz w:val="9"/>
                <w:szCs w:val="9"/>
                <w:color w:val="auto"/>
              </w:rPr>
            </w:pPr>
          </w:p>
        </w:tc>
        <w:tc>
          <w:tcPr>
            <w:tcW w:w="480" w:type="dxa"/>
            <w:vAlign w:val="bottom"/>
          </w:tcPr>
          <w:p>
            <w:pPr>
              <w:ind w:left="20"/>
              <w:spacing w:after="0" w:line="110" w:lineRule="exact"/>
              <w:rPr>
                <w:sz w:val="20"/>
                <w:szCs w:val="20"/>
                <w:color w:val="auto"/>
              </w:rPr>
            </w:pPr>
            <w:r>
              <w:rPr>
                <w:rFonts w:ascii="Arial" w:cs="Arial" w:eastAsia="Arial" w:hAnsi="Arial"/>
                <w:sz w:val="12"/>
                <w:szCs w:val="12"/>
                <w:b w:val="1"/>
                <w:bCs w:val="1"/>
                <w:color w:val="auto"/>
                <w:w w:val="84"/>
              </w:rPr>
              <w:t>Constant</w:t>
            </w:r>
          </w:p>
        </w:tc>
        <w:tc>
          <w:tcPr>
            <w:tcW w:w="140" w:type="dxa"/>
            <w:vAlign w:val="bottom"/>
          </w:tcPr>
          <w:p>
            <w:pPr>
              <w:spacing w:after="0"/>
              <w:rPr>
                <w:sz w:val="9"/>
                <w:szCs w:val="9"/>
                <w:color w:val="auto"/>
              </w:rPr>
            </w:pPr>
          </w:p>
        </w:tc>
      </w:tr>
      <w:tr>
        <w:trPr>
          <w:trHeight w:val="140"/>
        </w:trPr>
        <w:tc>
          <w:tcPr>
            <w:tcW w:w="9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64"/>
              <w:spacing w:after="0"/>
              <w:rPr>
                <w:sz w:val="20"/>
                <w:szCs w:val="20"/>
                <w:color w:val="auto"/>
              </w:rPr>
            </w:pPr>
            <w:r>
              <w:rPr>
                <w:rFonts w:ascii="Arial" w:cs="Arial" w:eastAsia="Arial" w:hAnsi="Arial"/>
                <w:sz w:val="12"/>
                <w:szCs w:val="12"/>
                <w:b w:val="1"/>
                <w:bCs w:val="1"/>
                <w:color w:val="auto"/>
              </w:rPr>
              <w:t>2005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85"/>
              <w:spacing w:after="0"/>
              <w:rPr>
                <w:sz w:val="20"/>
                <w:szCs w:val="20"/>
                <w:color w:val="auto"/>
              </w:rPr>
            </w:pPr>
            <w:r>
              <w:rPr>
                <w:rFonts w:ascii="Arial" w:cs="Arial" w:eastAsia="Arial" w:hAnsi="Arial"/>
                <w:sz w:val="12"/>
                <w:szCs w:val="12"/>
                <w:b w:val="1"/>
                <w:bCs w:val="1"/>
                <w:color w:val="auto"/>
              </w:rPr>
              <w:t>2004</w:t>
            </w:r>
          </w:p>
        </w:tc>
        <w:tc>
          <w:tcPr>
            <w:tcW w:w="220" w:type="dxa"/>
            <w:vAlign w:val="bottom"/>
          </w:tcPr>
          <w:p>
            <w:pPr>
              <w:spacing w:after="0"/>
              <w:rPr>
                <w:sz w:val="12"/>
                <w:szCs w:val="12"/>
                <w:color w:val="auto"/>
              </w:rPr>
            </w:pPr>
          </w:p>
        </w:tc>
        <w:tc>
          <w:tcPr>
            <w:tcW w:w="6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7"/>
              </w:rPr>
              <w:t>Reported</w:t>
            </w:r>
          </w:p>
        </w:tc>
        <w:tc>
          <w:tcPr>
            <w:tcW w:w="200" w:type="dxa"/>
            <w:vAlign w:val="bottom"/>
          </w:tcPr>
          <w:p>
            <w:pPr>
              <w:spacing w:after="0"/>
              <w:rPr>
                <w:sz w:val="12"/>
                <w:szCs w:val="12"/>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Currency</w:t>
            </w:r>
          </w:p>
        </w:tc>
      </w:tr>
      <w:tr>
        <w:trPr>
          <w:trHeight w:val="20"/>
        </w:trPr>
        <w:tc>
          <w:tcPr>
            <w:tcW w:w="9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1"/>
        </w:trPr>
        <w:tc>
          <w:tcPr>
            <w:tcW w:w="94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4"/>
          </w:tcPr>
          <w:p>
            <w:pPr>
              <w:jc w:val="center"/>
              <w:ind w:right="160"/>
              <w:spacing w:after="0" w:line="121" w:lineRule="exact"/>
              <w:rPr>
                <w:sz w:val="20"/>
                <w:szCs w:val="20"/>
                <w:color w:val="auto"/>
              </w:rPr>
            </w:pPr>
            <w:r>
              <w:rPr>
                <w:rFonts w:ascii="Arial" w:cs="Arial" w:eastAsia="Arial" w:hAnsi="Arial"/>
                <w:sz w:val="12"/>
                <w:szCs w:val="12"/>
                <w:b w:val="1"/>
                <w:bCs w:val="1"/>
                <w:color w:val="auto"/>
                <w:w w:val="89"/>
              </w:rPr>
              <w:t>(Unaudited)</w:t>
            </w: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88"/>
        </w:trPr>
        <w:tc>
          <w:tcPr>
            <w:tcW w:w="444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Revenue from Services:</w:t>
            </w: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8"/>
        </w:trPr>
        <w:tc>
          <w:tcPr>
            <w:tcW w:w="4440" w:type="dxa"/>
            <w:vAlign w:val="bottom"/>
            <w:gridSpan w:val="2"/>
          </w:tcPr>
          <w:p>
            <w:pPr>
              <w:spacing w:after="0"/>
              <w:rPr>
                <w:sz w:val="20"/>
                <w:szCs w:val="20"/>
                <w:color w:val="auto"/>
              </w:rPr>
            </w:pPr>
            <w:r>
              <w:rPr>
                <w:rFonts w:ascii="Arial" w:cs="Arial" w:eastAsia="Arial" w:hAnsi="Arial"/>
                <w:sz w:val="15"/>
                <w:szCs w:val="15"/>
                <w:color w:val="auto"/>
              </w:rPr>
              <w:t>United States</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982.6</w:t>
            </w:r>
          </w:p>
        </w:tc>
        <w:tc>
          <w:tcPr>
            <w:tcW w:w="3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991.9</w:t>
            </w:r>
          </w:p>
        </w:tc>
        <w:tc>
          <w:tcPr>
            <w:tcW w:w="220" w:type="dxa"/>
            <w:vAlign w:val="bottom"/>
          </w:tcPr>
          <w:p>
            <w:pPr>
              <w:spacing w:after="0"/>
              <w:rPr>
                <w:sz w:val="16"/>
                <w:szCs w:val="16"/>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5"/>
                <w:szCs w:val="15"/>
                <w:color w:val="auto"/>
              </w:rPr>
              <w:t>-0.9%</w:t>
            </w:r>
          </w:p>
        </w:tc>
        <w:tc>
          <w:tcPr>
            <w:tcW w:w="820" w:type="dxa"/>
            <w:vAlign w:val="bottom"/>
            <w:gridSpan w:val="3"/>
          </w:tcPr>
          <w:p>
            <w:pPr>
              <w:jc w:val="right"/>
              <w:spacing w:after="0"/>
              <w:rPr>
                <w:sz w:val="20"/>
                <w:szCs w:val="20"/>
                <w:color w:val="auto"/>
              </w:rPr>
            </w:pPr>
            <w:r>
              <w:rPr>
                <w:rFonts w:ascii="Arial" w:cs="Arial" w:eastAsia="Arial" w:hAnsi="Arial"/>
                <w:sz w:val="15"/>
                <w:szCs w:val="15"/>
                <w:color w:val="auto"/>
              </w:rPr>
              <w:t>-0.9%</w:t>
            </w:r>
          </w:p>
        </w:tc>
      </w:tr>
      <w:tr>
        <w:trPr>
          <w:trHeight w:val="188"/>
        </w:trPr>
        <w:tc>
          <w:tcPr>
            <w:tcW w:w="44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France</w:t>
            </w: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2,635.0</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2,404.1</w:t>
            </w:r>
          </w:p>
        </w:tc>
        <w:tc>
          <w:tcPr>
            <w:tcW w:w="2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9.6%</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4.8%</w:t>
            </w:r>
          </w:p>
        </w:tc>
      </w:tr>
      <w:tr>
        <w:trPr>
          <w:trHeight w:val="188"/>
        </w:trPr>
        <w:tc>
          <w:tcPr>
            <w:tcW w:w="4440" w:type="dxa"/>
            <w:vAlign w:val="bottom"/>
            <w:gridSpan w:val="2"/>
          </w:tcPr>
          <w:p>
            <w:pPr>
              <w:spacing w:after="0"/>
              <w:rPr>
                <w:sz w:val="20"/>
                <w:szCs w:val="20"/>
                <w:color w:val="auto"/>
              </w:rPr>
            </w:pPr>
            <w:r>
              <w:rPr>
                <w:rFonts w:ascii="Arial" w:cs="Arial" w:eastAsia="Arial" w:hAnsi="Arial"/>
                <w:sz w:val="15"/>
                <w:szCs w:val="15"/>
                <w:color w:val="auto"/>
              </w:rPr>
              <w:t>EMEA</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87"/>
              </w:rPr>
              <w:t>2,670.6</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87"/>
              </w:rPr>
              <w:t>2,240.2</w:t>
            </w:r>
          </w:p>
        </w:tc>
        <w:tc>
          <w:tcPr>
            <w:tcW w:w="220" w:type="dxa"/>
            <w:vAlign w:val="bottom"/>
          </w:tcPr>
          <w:p>
            <w:pPr>
              <w:spacing w:after="0"/>
              <w:rPr>
                <w:sz w:val="16"/>
                <w:szCs w:val="16"/>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5"/>
                <w:szCs w:val="15"/>
                <w:color w:val="auto"/>
              </w:rPr>
              <w:t>19.2%</w:t>
            </w:r>
          </w:p>
        </w:tc>
        <w:tc>
          <w:tcPr>
            <w:tcW w:w="820" w:type="dxa"/>
            <w:vAlign w:val="bottom"/>
            <w:gridSpan w:val="3"/>
          </w:tcPr>
          <w:p>
            <w:pPr>
              <w:jc w:val="right"/>
              <w:spacing w:after="0"/>
              <w:rPr>
                <w:sz w:val="20"/>
                <w:szCs w:val="20"/>
                <w:color w:val="auto"/>
              </w:rPr>
            </w:pPr>
            <w:r>
              <w:rPr>
                <w:rFonts w:ascii="Arial" w:cs="Arial" w:eastAsia="Arial" w:hAnsi="Arial"/>
                <w:sz w:val="15"/>
                <w:szCs w:val="15"/>
                <w:color w:val="auto"/>
              </w:rPr>
              <w:t>14.5%</w:t>
            </w:r>
          </w:p>
        </w:tc>
      </w:tr>
      <w:tr>
        <w:trPr>
          <w:trHeight w:val="188"/>
        </w:trPr>
        <w:tc>
          <w:tcPr>
            <w:tcW w:w="44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Jefferson Wells</w:t>
            </w: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186.2</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127.1</w:t>
            </w:r>
          </w:p>
        </w:tc>
        <w:tc>
          <w:tcPr>
            <w:tcW w:w="2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46.5%</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46.5%</w:t>
            </w:r>
          </w:p>
        </w:tc>
      </w:tr>
      <w:tr>
        <w:trPr>
          <w:trHeight w:val="188"/>
        </w:trPr>
        <w:tc>
          <w:tcPr>
            <w:tcW w:w="4440" w:type="dxa"/>
            <w:vAlign w:val="bottom"/>
            <w:gridSpan w:val="2"/>
          </w:tcPr>
          <w:p>
            <w:pPr>
              <w:spacing w:after="0"/>
              <w:rPr>
                <w:sz w:val="20"/>
                <w:szCs w:val="20"/>
                <w:color w:val="auto"/>
              </w:rPr>
            </w:pPr>
            <w:r>
              <w:rPr>
                <w:rFonts w:ascii="Arial" w:cs="Arial" w:eastAsia="Arial" w:hAnsi="Arial"/>
                <w:sz w:val="15"/>
                <w:szCs w:val="15"/>
                <w:color w:val="auto"/>
              </w:rPr>
              <w:t>Right Management</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210.4</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218.5</w:t>
            </w:r>
          </w:p>
        </w:tc>
        <w:tc>
          <w:tcPr>
            <w:tcW w:w="220" w:type="dxa"/>
            <w:vAlign w:val="bottom"/>
          </w:tcPr>
          <w:p>
            <w:pPr>
              <w:spacing w:after="0"/>
              <w:rPr>
                <w:sz w:val="16"/>
                <w:szCs w:val="16"/>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5"/>
                <w:szCs w:val="15"/>
                <w:color w:val="auto"/>
              </w:rPr>
              <w:t>-3.7%</w:t>
            </w:r>
          </w:p>
        </w:tc>
        <w:tc>
          <w:tcPr>
            <w:tcW w:w="820" w:type="dxa"/>
            <w:vAlign w:val="bottom"/>
            <w:gridSpan w:val="3"/>
          </w:tcPr>
          <w:p>
            <w:pPr>
              <w:jc w:val="right"/>
              <w:spacing w:after="0"/>
              <w:rPr>
                <w:sz w:val="20"/>
                <w:szCs w:val="20"/>
                <w:color w:val="auto"/>
              </w:rPr>
            </w:pPr>
            <w:r>
              <w:rPr>
                <w:rFonts w:ascii="Arial" w:cs="Arial" w:eastAsia="Arial" w:hAnsi="Arial"/>
                <w:sz w:val="15"/>
                <w:szCs w:val="15"/>
                <w:color w:val="auto"/>
              </w:rPr>
              <w:t>-6.2%</w:t>
            </w:r>
          </w:p>
        </w:tc>
      </w:tr>
      <w:tr>
        <w:trPr>
          <w:trHeight w:val="188"/>
        </w:trPr>
        <w:tc>
          <w:tcPr>
            <w:tcW w:w="44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 Operations</w:t>
            </w: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7"/>
              </w:rPr>
              <w:t>1,004.7</w:t>
            </w:r>
          </w:p>
        </w:tc>
        <w:tc>
          <w:tcPr>
            <w:tcW w:w="2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849.5</w:t>
            </w:r>
          </w:p>
        </w:tc>
        <w:tc>
          <w:tcPr>
            <w:tcW w:w="2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18.3%</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14.4%</w:t>
            </w:r>
          </w:p>
        </w:tc>
      </w:tr>
      <w:tr>
        <w:trPr>
          <w:trHeight w:val="191"/>
        </w:trPr>
        <w:tc>
          <w:tcPr>
            <w:tcW w:w="9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7"/>
              </w:rPr>
              <w:t>7,689.5</w:t>
            </w: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7"/>
              </w:rPr>
              <w:t>6,831.3</w:t>
            </w:r>
          </w:p>
        </w:tc>
        <w:tc>
          <w:tcPr>
            <w:tcW w:w="220" w:type="dxa"/>
            <w:vAlign w:val="bottom"/>
          </w:tcPr>
          <w:p>
            <w:pPr>
              <w:spacing w:after="0"/>
              <w:rPr>
                <w:sz w:val="16"/>
                <w:szCs w:val="16"/>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5"/>
                <w:szCs w:val="15"/>
                <w:color w:val="auto"/>
              </w:rPr>
              <w:t>12.6%</w:t>
            </w:r>
          </w:p>
        </w:tc>
        <w:tc>
          <w:tcPr>
            <w:tcW w:w="820" w:type="dxa"/>
            <w:vAlign w:val="bottom"/>
            <w:gridSpan w:val="3"/>
          </w:tcPr>
          <w:p>
            <w:pPr>
              <w:jc w:val="right"/>
              <w:spacing w:after="0"/>
              <w:rPr>
                <w:sz w:val="20"/>
                <w:szCs w:val="20"/>
                <w:color w:val="auto"/>
              </w:rPr>
            </w:pPr>
            <w:r>
              <w:rPr>
                <w:rFonts w:ascii="Arial" w:cs="Arial" w:eastAsia="Arial" w:hAnsi="Arial"/>
                <w:sz w:val="15"/>
                <w:szCs w:val="15"/>
                <w:color w:val="auto"/>
              </w:rPr>
              <w:t>8.8%</w:t>
            </w:r>
          </w:p>
        </w:tc>
      </w:tr>
      <w:tr>
        <w:trPr>
          <w:trHeight w:val="20"/>
        </w:trPr>
        <w:tc>
          <w:tcPr>
            <w:tcW w:w="9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6"/>
        </w:trPr>
        <w:tc>
          <w:tcPr>
            <w:tcW w:w="444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Operating Unit Profit:</w:t>
            </w: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8"/>
        </w:trPr>
        <w:tc>
          <w:tcPr>
            <w:tcW w:w="4440" w:type="dxa"/>
            <w:vAlign w:val="bottom"/>
            <w:gridSpan w:val="2"/>
          </w:tcPr>
          <w:p>
            <w:pPr>
              <w:spacing w:after="0"/>
              <w:rPr>
                <w:sz w:val="20"/>
                <w:szCs w:val="20"/>
                <w:color w:val="auto"/>
              </w:rPr>
            </w:pPr>
            <w:r>
              <w:rPr>
                <w:rFonts w:ascii="Arial" w:cs="Arial" w:eastAsia="Arial" w:hAnsi="Arial"/>
                <w:sz w:val="15"/>
                <w:szCs w:val="15"/>
                <w:color w:val="auto"/>
              </w:rPr>
              <w:t>United States</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22.9</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16.9</w:t>
            </w:r>
          </w:p>
        </w:tc>
        <w:tc>
          <w:tcPr>
            <w:tcW w:w="220" w:type="dxa"/>
            <w:vAlign w:val="bottom"/>
          </w:tcPr>
          <w:p>
            <w:pPr>
              <w:spacing w:after="0"/>
              <w:rPr>
                <w:sz w:val="16"/>
                <w:szCs w:val="16"/>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5"/>
                <w:szCs w:val="15"/>
                <w:color w:val="auto"/>
              </w:rPr>
              <w:t>35.2%</w:t>
            </w:r>
          </w:p>
        </w:tc>
        <w:tc>
          <w:tcPr>
            <w:tcW w:w="820" w:type="dxa"/>
            <w:vAlign w:val="bottom"/>
            <w:gridSpan w:val="3"/>
          </w:tcPr>
          <w:p>
            <w:pPr>
              <w:jc w:val="right"/>
              <w:spacing w:after="0"/>
              <w:rPr>
                <w:sz w:val="20"/>
                <w:szCs w:val="20"/>
                <w:color w:val="auto"/>
              </w:rPr>
            </w:pPr>
            <w:r>
              <w:rPr>
                <w:rFonts w:ascii="Arial" w:cs="Arial" w:eastAsia="Arial" w:hAnsi="Arial"/>
                <w:sz w:val="15"/>
                <w:szCs w:val="15"/>
                <w:color w:val="auto"/>
              </w:rPr>
              <w:t>35.2%</w:t>
            </w:r>
          </w:p>
        </w:tc>
      </w:tr>
      <w:tr>
        <w:trPr>
          <w:trHeight w:val="188"/>
        </w:trPr>
        <w:tc>
          <w:tcPr>
            <w:tcW w:w="44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France</w:t>
            </w: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70.4</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68.3</w:t>
            </w:r>
          </w:p>
        </w:tc>
        <w:tc>
          <w:tcPr>
            <w:tcW w:w="2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3.1%</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-1.4%</w:t>
            </w:r>
          </w:p>
        </w:tc>
      </w:tr>
      <w:tr>
        <w:trPr>
          <w:trHeight w:val="188"/>
        </w:trPr>
        <w:tc>
          <w:tcPr>
            <w:tcW w:w="4440" w:type="dxa"/>
            <w:vAlign w:val="bottom"/>
            <w:gridSpan w:val="2"/>
          </w:tcPr>
          <w:p>
            <w:pPr>
              <w:spacing w:after="0"/>
              <w:rPr>
                <w:sz w:val="20"/>
                <w:szCs w:val="20"/>
                <w:color w:val="auto"/>
              </w:rPr>
            </w:pPr>
            <w:r>
              <w:rPr>
                <w:rFonts w:ascii="Arial" w:cs="Arial" w:eastAsia="Arial" w:hAnsi="Arial"/>
                <w:sz w:val="15"/>
                <w:szCs w:val="15"/>
                <w:color w:val="auto"/>
              </w:rPr>
              <w:t>EMEA</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48.0</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40.9</w:t>
            </w:r>
          </w:p>
        </w:tc>
        <w:tc>
          <w:tcPr>
            <w:tcW w:w="220" w:type="dxa"/>
            <w:vAlign w:val="bottom"/>
          </w:tcPr>
          <w:p>
            <w:pPr>
              <w:spacing w:after="0"/>
              <w:rPr>
                <w:sz w:val="16"/>
                <w:szCs w:val="16"/>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5"/>
                <w:szCs w:val="15"/>
                <w:color w:val="auto"/>
              </w:rPr>
              <w:t>17.7%</w:t>
            </w:r>
          </w:p>
        </w:tc>
        <w:tc>
          <w:tcPr>
            <w:tcW w:w="820" w:type="dxa"/>
            <w:vAlign w:val="bottom"/>
            <w:gridSpan w:val="3"/>
          </w:tcPr>
          <w:p>
            <w:pPr>
              <w:jc w:val="right"/>
              <w:spacing w:after="0"/>
              <w:rPr>
                <w:sz w:val="20"/>
                <w:szCs w:val="20"/>
                <w:color w:val="auto"/>
              </w:rPr>
            </w:pPr>
            <w:r>
              <w:rPr>
                <w:rFonts w:ascii="Arial" w:cs="Arial" w:eastAsia="Arial" w:hAnsi="Arial"/>
                <w:sz w:val="15"/>
                <w:szCs w:val="15"/>
                <w:color w:val="auto"/>
              </w:rPr>
              <w:t>13.3%</w:t>
            </w:r>
          </w:p>
        </w:tc>
      </w:tr>
      <w:tr>
        <w:trPr>
          <w:trHeight w:val="188"/>
        </w:trPr>
        <w:tc>
          <w:tcPr>
            <w:tcW w:w="44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Jefferson Wells</w:t>
            </w: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w:t>
            </w:r>
          </w:p>
        </w:tc>
        <w:tc>
          <w:tcPr>
            <w:tcW w:w="2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32.7%</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32.7%</w:t>
            </w:r>
          </w:p>
        </w:tc>
      </w:tr>
      <w:tr>
        <w:trPr>
          <w:trHeight w:val="188"/>
        </w:trPr>
        <w:tc>
          <w:tcPr>
            <w:tcW w:w="4440" w:type="dxa"/>
            <w:vAlign w:val="bottom"/>
            <w:gridSpan w:val="2"/>
          </w:tcPr>
          <w:p>
            <w:pPr>
              <w:spacing w:after="0"/>
              <w:rPr>
                <w:sz w:val="20"/>
                <w:szCs w:val="20"/>
                <w:color w:val="auto"/>
              </w:rPr>
            </w:pPr>
            <w:r>
              <w:rPr>
                <w:rFonts w:ascii="Arial" w:cs="Arial" w:eastAsia="Arial" w:hAnsi="Arial"/>
                <w:sz w:val="15"/>
                <w:szCs w:val="15"/>
                <w:color w:val="auto"/>
              </w:rPr>
              <w:t>Right Management</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19.8</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22.2</w:t>
            </w:r>
          </w:p>
        </w:tc>
        <w:tc>
          <w:tcPr>
            <w:tcW w:w="220" w:type="dxa"/>
            <w:vAlign w:val="bottom"/>
          </w:tcPr>
          <w:p>
            <w:pPr>
              <w:spacing w:after="0"/>
              <w:rPr>
                <w:sz w:val="16"/>
                <w:szCs w:val="16"/>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5"/>
                <w:szCs w:val="15"/>
                <w:color w:val="auto"/>
              </w:rPr>
              <w:t>-11.1%</w:t>
            </w:r>
          </w:p>
        </w:tc>
        <w:tc>
          <w:tcPr>
            <w:tcW w:w="820" w:type="dxa"/>
            <w:vAlign w:val="bottom"/>
            <w:gridSpan w:val="3"/>
          </w:tcPr>
          <w:p>
            <w:pPr>
              <w:jc w:val="right"/>
              <w:spacing w:after="0"/>
              <w:rPr>
                <w:sz w:val="20"/>
                <w:szCs w:val="20"/>
                <w:color w:val="auto"/>
              </w:rPr>
            </w:pPr>
            <w:r>
              <w:rPr>
                <w:rFonts w:ascii="Arial" w:cs="Arial" w:eastAsia="Arial" w:hAnsi="Arial"/>
                <w:sz w:val="15"/>
                <w:szCs w:val="15"/>
                <w:color w:val="auto"/>
              </w:rPr>
              <w:t>-13.4%</w:t>
            </w:r>
          </w:p>
        </w:tc>
      </w:tr>
      <w:tr>
        <w:trPr>
          <w:trHeight w:val="188"/>
        </w:trPr>
        <w:tc>
          <w:tcPr>
            <w:tcW w:w="44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 Operations</w:t>
            </w: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24.9</w:t>
            </w:r>
          </w:p>
        </w:tc>
        <w:tc>
          <w:tcPr>
            <w:tcW w:w="2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24.5</w:t>
            </w:r>
          </w:p>
        </w:tc>
        <w:tc>
          <w:tcPr>
            <w:tcW w:w="2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1.4%</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-2.1%</w:t>
            </w:r>
          </w:p>
        </w:tc>
      </w:tr>
      <w:tr>
        <w:trPr>
          <w:trHeight w:val="191"/>
        </w:trPr>
        <w:tc>
          <w:tcPr>
            <w:tcW w:w="9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203.4</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185.9</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9"/>
        </w:trPr>
        <w:tc>
          <w:tcPr>
            <w:tcW w:w="44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Corporate Expenses</w:t>
            </w: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28.8</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27.6</w:t>
            </w: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2"/>
        </w:trPr>
        <w:tc>
          <w:tcPr>
            <w:tcW w:w="4440" w:type="dxa"/>
            <w:vAlign w:val="bottom"/>
            <w:gridSpan w:val="2"/>
          </w:tcPr>
          <w:p>
            <w:pPr>
              <w:spacing w:after="0"/>
              <w:rPr>
                <w:sz w:val="20"/>
                <w:szCs w:val="20"/>
                <w:color w:val="auto"/>
              </w:rPr>
            </w:pPr>
            <w:r>
              <w:rPr>
                <w:rFonts w:ascii="Arial" w:cs="Arial" w:eastAsia="Arial" w:hAnsi="Arial"/>
                <w:sz w:val="15"/>
                <w:szCs w:val="15"/>
                <w:color w:val="auto"/>
              </w:rPr>
              <w:t>Amortization of intangible assets</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w:t>
            </w: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8"/>
        </w:trPr>
        <w:tc>
          <w:tcPr>
            <w:tcW w:w="444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Operating profit</w:t>
            </w: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168.1</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152.6</w:t>
            </w:r>
          </w:p>
        </w:tc>
        <w:tc>
          <w:tcPr>
            <w:tcW w:w="2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10.2%</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6.1%</w:t>
            </w:r>
          </w:p>
        </w:tc>
      </w:tr>
      <w:tr>
        <w:trPr>
          <w:trHeight w:val="192"/>
        </w:trPr>
        <w:tc>
          <w:tcPr>
            <w:tcW w:w="4440" w:type="dxa"/>
            <w:vAlign w:val="bottom"/>
            <w:gridSpan w:val="2"/>
          </w:tcPr>
          <w:p>
            <w:pPr>
              <w:spacing w:after="0"/>
              <w:rPr>
                <w:sz w:val="20"/>
                <w:szCs w:val="20"/>
                <w:color w:val="auto"/>
              </w:rPr>
            </w:pPr>
            <w:r>
              <w:rPr>
                <w:rFonts w:ascii="Arial" w:cs="Arial" w:eastAsia="Arial" w:hAnsi="Arial"/>
                <w:sz w:val="15"/>
                <w:szCs w:val="15"/>
                <w:color w:val="auto"/>
              </w:rPr>
              <w:t>Interest and other expenses</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23.0</w:t>
            </w: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8"/>
        </w:trPr>
        <w:tc>
          <w:tcPr>
            <w:tcW w:w="444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Earnings before income taxes and discontinued operations</w:t>
            </w: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144.3</w:t>
            </w: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0"/>
        </w:trPr>
        <w:tc>
          <w:tcPr>
            <w:tcW w:w="9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81"/>
        </w:trPr>
        <w:tc>
          <w:tcPr>
            <w:tcW w:w="940" w:type="dxa"/>
            <w:vAlign w:val="bottom"/>
            <w:tcBorders>
              <w:bottom w:val="single" w:sz="8" w:color="auto"/>
            </w:tcBorders>
          </w:tcPr>
          <w:p>
            <w:pPr>
              <w:spacing w:after="0"/>
              <w:rPr>
                <w:sz w:val="7"/>
                <w:szCs w:val="7"/>
                <w:color w:val="auto"/>
              </w:rPr>
            </w:pPr>
          </w:p>
        </w:tc>
        <w:tc>
          <w:tcPr>
            <w:tcW w:w="350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r>
    </w:tbl>
    <w:p>
      <w:pPr>
        <w:spacing w:after="0" w:line="5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p>
    <w:p>
      <w:pPr>
        <w:ind w:left="446" w:hanging="446"/>
        <w:spacing w:after="0"/>
        <w:tabs>
          <w:tab w:leader="none" w:pos="446" w:val="left"/>
        </w:tabs>
        <w:numPr>
          <w:ilvl w:val="0"/>
          <w:numId w:val="15"/>
        </w:numPr>
        <w:rPr>
          <w:rFonts w:ascii="Arial" w:cs="Arial" w:eastAsia="Arial" w:hAnsi="Arial"/>
          <w:sz w:val="20"/>
          <w:szCs w:val="20"/>
          <w:color w:val="auto"/>
          <w:vertAlign w:val="superscript"/>
        </w:rPr>
      </w:pPr>
      <w:r>
        <w:rPr>
          <w:rFonts w:ascii="Arial" w:cs="Arial" w:eastAsia="Arial" w:hAnsi="Arial"/>
          <w:sz w:val="15"/>
          <w:szCs w:val="15"/>
          <w:color w:val="auto"/>
        </w:rPr>
        <w:t>Restatement for discontinued operations and reclass of segment results.</w:t>
      </w:r>
    </w:p>
    <w:p>
      <w:pPr>
        <w:sectPr>
          <w:pgSz w:w="11900" w:h="16838" w:orient="portrait"/>
          <w:cols w:equalWidth="0" w:num="1">
            <w:col w:w="11446"/>
          </w:cols>
          <w:pgMar w:left="234" w:top="262" w:right="219" w:bottom="1440" w:gutter="0" w:footer="0" w:header="0"/>
        </w:sectPr>
      </w:pPr>
    </w:p>
    <w:bookmarkStart w:id="37" w:name="page38"/>
    <w:bookmarkEnd w:id="37"/>
    <w:tbl>
      <w:tblPr>
        <w:tblLayout w:type="fixed"/>
        <w:tblInd w:w="6" w:type="dxa"/>
        <w:tblCellMar>
          <w:top w:w="0" w:type="dxa"/>
          <w:left w:w="0" w:type="dxa"/>
          <w:bottom w:w="0" w:type="dxa"/>
          <w:right w:w="0" w:type="dxa"/>
        </w:tblCellMar>
      </w:tblPr>
      <w:tr>
        <w:trPr>
          <w:trHeight w:val="194"/>
        </w:trPr>
        <w:tc>
          <w:tcPr>
            <w:tcW w:w="9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color w:val="auto"/>
                <w:w w:val="92"/>
              </w:rPr>
              <w:t>(Page 8 of 9)</w:t>
            </w:r>
          </w:p>
        </w:tc>
        <w:tc>
          <w:tcPr>
            <w:tcW w:w="0" w:type="dxa"/>
            <w:vAlign w:val="bottom"/>
          </w:tcPr>
          <w:p>
            <w:pPr>
              <w:spacing w:after="0"/>
              <w:rPr>
                <w:sz w:val="1"/>
                <w:szCs w:val="1"/>
                <w:color w:val="auto"/>
              </w:rPr>
            </w:pPr>
          </w:p>
        </w:tc>
      </w:tr>
      <w:tr>
        <w:trPr>
          <w:trHeight w:val="323"/>
        </w:trPr>
        <w:tc>
          <w:tcPr>
            <w:tcW w:w="9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5"/>
          </w:tcPr>
          <w:p>
            <w:pPr>
              <w:jc w:val="center"/>
              <w:ind w:right="280"/>
              <w:spacing w:after="0"/>
              <w:rPr>
                <w:sz w:val="20"/>
                <w:szCs w:val="20"/>
                <w:color w:val="auto"/>
              </w:rPr>
            </w:pPr>
            <w:r>
              <w:rPr>
                <w:rFonts w:ascii="Arial" w:cs="Arial" w:eastAsia="Arial" w:hAnsi="Arial"/>
                <w:sz w:val="15"/>
                <w:szCs w:val="15"/>
                <w:color w:val="auto"/>
                <w:w w:val="95"/>
              </w:rPr>
              <w:t>Manpower Inc.</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9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2200" w:type="dxa"/>
            <w:vAlign w:val="bottom"/>
            <w:gridSpan w:val="7"/>
          </w:tcPr>
          <w:p>
            <w:pPr>
              <w:jc w:val="center"/>
              <w:ind w:left="284"/>
              <w:spacing w:after="0" w:line="188" w:lineRule="exact"/>
              <w:rPr>
                <w:sz w:val="20"/>
                <w:szCs w:val="20"/>
                <w:color w:val="auto"/>
              </w:rPr>
            </w:pPr>
            <w:r>
              <w:rPr>
                <w:rFonts w:ascii="Arial" w:cs="Arial" w:eastAsia="Arial" w:hAnsi="Arial"/>
                <w:sz w:val="15"/>
                <w:szCs w:val="15"/>
                <w:color w:val="auto"/>
                <w:w w:val="90"/>
              </w:rPr>
              <w:t xml:space="preserve">Operating unit Results </w:t>
            </w:r>
            <w:r>
              <w:rPr>
                <w:rFonts w:ascii="Arial" w:cs="Arial" w:eastAsia="Arial" w:hAnsi="Arial"/>
                <w:sz w:val="19"/>
                <w:szCs w:val="19"/>
                <w:color w:val="auto"/>
                <w:w w:val="90"/>
                <w:vertAlign w:val="superscript"/>
              </w:rPr>
              <w:t>(1)</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gridSpan w:val="5"/>
          </w:tcPr>
          <w:p>
            <w:pPr>
              <w:jc w:val="center"/>
              <w:ind w:right="280"/>
              <w:spacing w:after="0"/>
              <w:rPr>
                <w:sz w:val="20"/>
                <w:szCs w:val="20"/>
                <w:color w:val="auto"/>
              </w:rPr>
            </w:pPr>
            <w:r>
              <w:rPr>
                <w:rFonts w:ascii="Arial" w:cs="Arial" w:eastAsia="Arial" w:hAnsi="Arial"/>
                <w:sz w:val="15"/>
                <w:szCs w:val="15"/>
                <w:color w:val="auto"/>
              </w:rPr>
              <w:t>(In millions)</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7"/>
        </w:trPr>
        <w:tc>
          <w:tcPr>
            <w:tcW w:w="9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0" w:type="dxa"/>
            <w:vAlign w:val="bottom"/>
            <w:gridSpan w:val="7"/>
          </w:tcPr>
          <w:p>
            <w:pPr>
              <w:jc w:val="center"/>
              <w:ind w:left="325"/>
              <w:spacing w:after="0"/>
              <w:rPr>
                <w:sz w:val="20"/>
                <w:szCs w:val="20"/>
                <w:color w:val="auto"/>
              </w:rPr>
            </w:pPr>
            <w:r>
              <w:rPr>
                <w:rFonts w:ascii="Arial" w:cs="Arial" w:eastAsia="Arial" w:hAnsi="Arial"/>
                <w:sz w:val="12"/>
                <w:szCs w:val="12"/>
                <w:b w:val="1"/>
                <w:bCs w:val="1"/>
                <w:color w:val="auto"/>
                <w:w w:val="89"/>
              </w:rPr>
              <w:t>Three Months Ended September 30</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20" w:type="dxa"/>
            <w:vAlign w:val="bottom"/>
            <w:gridSpan w:val="9"/>
          </w:tcPr>
          <w:p>
            <w:pPr>
              <w:jc w:val="center"/>
              <w:ind w:right="760"/>
              <w:spacing w:after="0"/>
              <w:rPr>
                <w:sz w:val="20"/>
                <w:szCs w:val="20"/>
                <w:color w:val="auto"/>
              </w:rPr>
            </w:pPr>
            <w:r>
              <w:rPr>
                <w:rFonts w:ascii="Arial" w:cs="Arial" w:eastAsia="Arial" w:hAnsi="Arial"/>
                <w:sz w:val="12"/>
                <w:szCs w:val="12"/>
                <w:b w:val="1"/>
                <w:bCs w:val="1"/>
                <w:color w:val="auto"/>
                <w:w w:val="89"/>
              </w:rPr>
              <w:t>Three Months Ended December 31</w:t>
            </w:r>
          </w:p>
        </w:tc>
        <w:tc>
          <w:tcPr>
            <w:tcW w:w="0" w:type="dxa"/>
            <w:vAlign w:val="bottom"/>
          </w:tcPr>
          <w:p>
            <w:pPr>
              <w:spacing w:after="0"/>
              <w:rPr>
                <w:sz w:val="1"/>
                <w:szCs w:val="1"/>
                <w:color w:val="auto"/>
              </w:rPr>
            </w:pPr>
          </w:p>
        </w:tc>
      </w:tr>
      <w:tr>
        <w:trPr>
          <w:trHeight w:val="121"/>
        </w:trPr>
        <w:tc>
          <w:tcPr>
            <w:tcW w:w="94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300" w:type="dxa"/>
            <w:vAlign w:val="bottom"/>
            <w:tcBorders>
              <w:top w:val="single" w:sz="8" w:color="auto"/>
              <w:bottom w:val="single" w:sz="8" w:color="auto"/>
            </w:tcBorders>
            <w:gridSpan w:val="3"/>
          </w:tcPr>
          <w:p>
            <w:pPr>
              <w:ind w:left="360"/>
              <w:spacing w:after="0" w:line="121" w:lineRule="exact"/>
              <w:rPr>
                <w:sz w:val="20"/>
                <w:szCs w:val="20"/>
                <w:color w:val="auto"/>
              </w:rPr>
            </w:pPr>
            <w:r>
              <w:rPr>
                <w:rFonts w:ascii="Arial" w:cs="Arial" w:eastAsia="Arial" w:hAnsi="Arial"/>
                <w:sz w:val="12"/>
                <w:szCs w:val="12"/>
                <w:b w:val="1"/>
                <w:bCs w:val="1"/>
                <w:color w:val="auto"/>
              </w:rPr>
              <w:t>% Variance</w:t>
            </w: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80" w:type="dxa"/>
            <w:vAlign w:val="bottom"/>
            <w:tcBorders>
              <w:top w:val="single" w:sz="8" w:color="auto"/>
              <w:bottom w:val="single" w:sz="8" w:color="auto"/>
            </w:tcBorders>
            <w:gridSpan w:val="4"/>
          </w:tcPr>
          <w:p>
            <w:pPr>
              <w:jc w:val="right"/>
              <w:ind w:right="278"/>
              <w:spacing w:after="0" w:line="121" w:lineRule="exact"/>
              <w:rPr>
                <w:sz w:val="20"/>
                <w:szCs w:val="20"/>
                <w:color w:val="auto"/>
              </w:rPr>
            </w:pPr>
            <w:r>
              <w:rPr>
                <w:rFonts w:ascii="Arial" w:cs="Arial" w:eastAsia="Arial" w:hAnsi="Arial"/>
                <w:sz w:val="12"/>
                <w:szCs w:val="12"/>
                <w:b w:val="1"/>
                <w:bCs w:val="1"/>
                <w:color w:val="auto"/>
              </w:rPr>
              <w:t>% Variance</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940" w:type="dxa"/>
            <w:vAlign w:val="bottom"/>
          </w:tcPr>
          <w:p>
            <w:pPr>
              <w:spacing w:after="0"/>
              <w:rPr>
                <w:sz w:val="9"/>
                <w:szCs w:val="9"/>
                <w:color w:val="auto"/>
              </w:rPr>
            </w:pPr>
          </w:p>
        </w:tc>
        <w:tc>
          <w:tcPr>
            <w:tcW w:w="3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vMerge w:val="restart"/>
          </w:tcPr>
          <w:p>
            <w:pPr>
              <w:jc w:val="right"/>
              <w:ind w:right="125"/>
              <w:spacing w:after="0"/>
              <w:rPr>
                <w:sz w:val="20"/>
                <w:szCs w:val="20"/>
                <w:color w:val="auto"/>
              </w:rPr>
            </w:pPr>
            <w:r>
              <w:rPr>
                <w:rFonts w:ascii="Arial" w:cs="Arial" w:eastAsia="Arial" w:hAnsi="Arial"/>
                <w:sz w:val="12"/>
                <w:szCs w:val="12"/>
                <w:b w:val="1"/>
                <w:bCs w:val="1"/>
                <w:color w:val="auto"/>
              </w:rPr>
              <w:t>2005</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vMerge w:val="restart"/>
          </w:tcPr>
          <w:p>
            <w:pPr>
              <w:jc w:val="right"/>
              <w:ind w:right="125"/>
              <w:spacing w:after="0"/>
              <w:rPr>
                <w:sz w:val="20"/>
                <w:szCs w:val="20"/>
                <w:color w:val="auto"/>
              </w:rPr>
            </w:pPr>
            <w:r>
              <w:rPr>
                <w:rFonts w:ascii="Arial" w:cs="Arial" w:eastAsia="Arial" w:hAnsi="Arial"/>
                <w:sz w:val="12"/>
                <w:szCs w:val="12"/>
                <w:b w:val="1"/>
                <w:bCs w:val="1"/>
                <w:color w:val="auto"/>
              </w:rPr>
              <w:t>2004</w:t>
            </w:r>
          </w:p>
        </w:tc>
        <w:tc>
          <w:tcPr>
            <w:tcW w:w="200" w:type="dxa"/>
            <w:vAlign w:val="bottom"/>
          </w:tcPr>
          <w:p>
            <w:pPr>
              <w:spacing w:after="0"/>
              <w:rPr>
                <w:sz w:val="9"/>
                <w:szCs w:val="9"/>
                <w:color w:val="auto"/>
              </w:rPr>
            </w:pPr>
          </w:p>
        </w:tc>
        <w:tc>
          <w:tcPr>
            <w:tcW w:w="820" w:type="dxa"/>
            <w:vAlign w:val="bottom"/>
            <w:gridSpan w:val="2"/>
          </w:tcPr>
          <w:p>
            <w:pPr>
              <w:jc w:val="center"/>
              <w:ind w:right="340"/>
              <w:spacing w:after="0" w:line="110" w:lineRule="exact"/>
              <w:rPr>
                <w:sz w:val="20"/>
                <w:szCs w:val="20"/>
                <w:color w:val="auto"/>
              </w:rPr>
            </w:pPr>
            <w:r>
              <w:rPr>
                <w:rFonts w:ascii="Arial" w:cs="Arial" w:eastAsia="Arial" w:hAnsi="Arial"/>
                <w:sz w:val="12"/>
                <w:szCs w:val="12"/>
                <w:b w:val="1"/>
                <w:bCs w:val="1"/>
                <w:color w:val="auto"/>
                <w:w w:val="88"/>
              </w:rPr>
              <w:t>Amount</w:t>
            </w:r>
          </w:p>
        </w:tc>
        <w:tc>
          <w:tcPr>
            <w:tcW w:w="480" w:type="dxa"/>
            <w:vAlign w:val="bottom"/>
          </w:tcPr>
          <w:p>
            <w:pPr>
              <w:ind w:left="20"/>
              <w:spacing w:after="0" w:line="110" w:lineRule="exact"/>
              <w:rPr>
                <w:sz w:val="20"/>
                <w:szCs w:val="20"/>
                <w:color w:val="auto"/>
              </w:rPr>
            </w:pPr>
            <w:r>
              <w:rPr>
                <w:rFonts w:ascii="Arial" w:cs="Arial" w:eastAsia="Arial" w:hAnsi="Arial"/>
                <w:sz w:val="12"/>
                <w:szCs w:val="12"/>
                <w:b w:val="1"/>
                <w:bCs w:val="1"/>
                <w:color w:val="auto"/>
                <w:w w:val="84"/>
              </w:rPr>
              <w:t>Constant</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vMerge w:val="restart"/>
          </w:tcPr>
          <w:p>
            <w:pPr>
              <w:jc w:val="right"/>
              <w:ind w:right="104"/>
              <w:spacing w:after="0"/>
              <w:rPr>
                <w:sz w:val="20"/>
                <w:szCs w:val="20"/>
                <w:color w:val="auto"/>
              </w:rPr>
            </w:pPr>
            <w:r>
              <w:rPr>
                <w:rFonts w:ascii="Arial" w:cs="Arial" w:eastAsia="Arial" w:hAnsi="Arial"/>
                <w:sz w:val="12"/>
                <w:szCs w:val="12"/>
                <w:b w:val="1"/>
                <w:bCs w:val="1"/>
                <w:color w:val="auto"/>
              </w:rPr>
              <w:t>2005</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vMerge w:val="restart"/>
          </w:tcPr>
          <w:p>
            <w:pPr>
              <w:jc w:val="right"/>
              <w:ind w:right="125"/>
              <w:spacing w:after="0"/>
              <w:rPr>
                <w:sz w:val="20"/>
                <w:szCs w:val="20"/>
                <w:color w:val="auto"/>
              </w:rPr>
            </w:pPr>
            <w:r>
              <w:rPr>
                <w:rFonts w:ascii="Arial" w:cs="Arial" w:eastAsia="Arial" w:hAnsi="Arial"/>
                <w:sz w:val="12"/>
                <w:szCs w:val="12"/>
                <w:b w:val="1"/>
                <w:bCs w:val="1"/>
                <w:color w:val="auto"/>
              </w:rPr>
              <w:t>2004</w:t>
            </w:r>
          </w:p>
        </w:tc>
        <w:tc>
          <w:tcPr>
            <w:tcW w:w="280" w:type="dxa"/>
            <w:vAlign w:val="bottom"/>
          </w:tcPr>
          <w:p>
            <w:pPr>
              <w:spacing w:after="0"/>
              <w:rPr>
                <w:sz w:val="9"/>
                <w:szCs w:val="9"/>
                <w:color w:val="auto"/>
              </w:rPr>
            </w:pPr>
          </w:p>
        </w:tc>
        <w:tc>
          <w:tcPr>
            <w:tcW w:w="600" w:type="dxa"/>
            <w:vAlign w:val="bottom"/>
            <w:gridSpan w:val="2"/>
          </w:tcPr>
          <w:p>
            <w:pPr>
              <w:jc w:val="center"/>
              <w:ind w:right="140"/>
              <w:spacing w:after="0" w:line="110" w:lineRule="exact"/>
              <w:rPr>
                <w:sz w:val="20"/>
                <w:szCs w:val="20"/>
                <w:color w:val="auto"/>
              </w:rPr>
            </w:pPr>
            <w:r>
              <w:rPr>
                <w:rFonts w:ascii="Arial" w:cs="Arial" w:eastAsia="Arial" w:hAnsi="Arial"/>
                <w:sz w:val="12"/>
                <w:szCs w:val="12"/>
                <w:b w:val="1"/>
                <w:bCs w:val="1"/>
                <w:color w:val="auto"/>
                <w:w w:val="92"/>
              </w:rPr>
              <w:t>Amount</w:t>
            </w:r>
          </w:p>
        </w:tc>
        <w:tc>
          <w:tcPr>
            <w:tcW w:w="200" w:type="dxa"/>
            <w:vAlign w:val="bottom"/>
          </w:tcPr>
          <w:p>
            <w:pPr>
              <w:spacing w:after="0"/>
              <w:rPr>
                <w:sz w:val="9"/>
                <w:szCs w:val="9"/>
                <w:color w:val="auto"/>
              </w:rPr>
            </w:pPr>
          </w:p>
        </w:tc>
        <w:tc>
          <w:tcPr>
            <w:tcW w:w="480" w:type="dxa"/>
            <w:vAlign w:val="bottom"/>
          </w:tcPr>
          <w:p>
            <w:pPr>
              <w:jc w:val="right"/>
              <w:spacing w:after="0" w:line="110" w:lineRule="exact"/>
              <w:rPr>
                <w:sz w:val="20"/>
                <w:szCs w:val="20"/>
                <w:color w:val="auto"/>
              </w:rPr>
            </w:pPr>
            <w:r>
              <w:rPr>
                <w:rFonts w:ascii="Arial" w:cs="Arial" w:eastAsia="Arial" w:hAnsi="Arial"/>
                <w:sz w:val="12"/>
                <w:szCs w:val="12"/>
                <w:b w:val="1"/>
                <w:bCs w:val="1"/>
                <w:color w:val="auto"/>
                <w:w w:val="88"/>
              </w:rPr>
              <w:t>Constant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9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2"/>
                <w:szCs w:val="12"/>
                <w:b w:val="1"/>
                <w:bCs w:val="1"/>
                <w:color w:val="auto"/>
                <w:w w:val="91"/>
              </w:rPr>
              <w:t>Reported</w:t>
            </w:r>
          </w:p>
        </w:tc>
        <w:tc>
          <w:tcPr>
            <w:tcW w:w="340" w:type="dxa"/>
            <w:vAlign w:val="bottom"/>
          </w:tcPr>
          <w:p>
            <w:pPr>
              <w:spacing w:after="0"/>
              <w:rPr>
                <w:sz w:val="12"/>
                <w:szCs w:val="12"/>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Currency</w:t>
            </w: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7"/>
              </w:rPr>
              <w:t>Reported</w:t>
            </w:r>
          </w:p>
        </w:tc>
        <w:tc>
          <w:tcPr>
            <w:tcW w:w="20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87"/>
              </w:rPr>
              <w:t>Currency</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94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60" w:type="dxa"/>
            <w:vAlign w:val="bottom"/>
            <w:gridSpan w:val="4"/>
          </w:tcPr>
          <w:p>
            <w:pPr>
              <w:jc w:val="center"/>
              <w:ind w:right="440"/>
              <w:spacing w:after="0" w:line="121" w:lineRule="exact"/>
              <w:rPr>
                <w:sz w:val="20"/>
                <w:szCs w:val="20"/>
                <w:color w:val="auto"/>
              </w:rPr>
            </w:pPr>
            <w:r>
              <w:rPr>
                <w:rFonts w:ascii="Arial" w:cs="Arial" w:eastAsia="Arial" w:hAnsi="Arial"/>
                <w:sz w:val="12"/>
                <w:szCs w:val="12"/>
                <w:b w:val="1"/>
                <w:bCs w:val="1"/>
                <w:color w:val="auto"/>
                <w:w w:val="89"/>
              </w:rPr>
              <w:t>(Unaudited)</w:t>
            </w: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4"/>
          </w:tcPr>
          <w:p>
            <w:pPr>
              <w:jc w:val="center"/>
              <w:ind w:right="260"/>
              <w:spacing w:after="0" w:line="121" w:lineRule="exact"/>
              <w:rPr>
                <w:sz w:val="20"/>
                <w:szCs w:val="20"/>
                <w:color w:val="auto"/>
              </w:rPr>
            </w:pPr>
            <w:r>
              <w:rPr>
                <w:rFonts w:ascii="Arial" w:cs="Arial" w:eastAsia="Arial" w:hAnsi="Arial"/>
                <w:sz w:val="12"/>
                <w:szCs w:val="12"/>
                <w:b w:val="1"/>
                <w:bCs w:val="1"/>
                <w:color w:val="auto"/>
                <w:w w:val="89"/>
              </w:rPr>
              <w:t>(Unaudited)</w:t>
            </w: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444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Revenue from Services:</w:t>
            </w: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440" w:type="dxa"/>
            <w:vAlign w:val="bottom"/>
            <w:gridSpan w:val="2"/>
          </w:tcPr>
          <w:p>
            <w:pPr>
              <w:spacing w:after="0"/>
              <w:rPr>
                <w:sz w:val="20"/>
                <w:szCs w:val="20"/>
                <w:color w:val="auto"/>
              </w:rPr>
            </w:pPr>
            <w:r>
              <w:rPr>
                <w:rFonts w:ascii="Arial" w:cs="Arial" w:eastAsia="Arial" w:hAnsi="Arial"/>
                <w:sz w:val="15"/>
                <w:szCs w:val="15"/>
                <w:color w:val="auto"/>
              </w:rPr>
              <w:t>United States</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531.5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531.8</w:t>
            </w:r>
          </w:p>
        </w:tc>
        <w:tc>
          <w:tcPr>
            <w:tcW w:w="200" w:type="dxa"/>
            <w:vAlign w:val="bottom"/>
          </w:tcPr>
          <w:p>
            <w:pPr>
              <w:spacing w:after="0"/>
              <w:rPr>
                <w:sz w:val="16"/>
                <w:szCs w:val="16"/>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42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534.2</w:t>
            </w:r>
          </w:p>
        </w:tc>
        <w:tc>
          <w:tcPr>
            <w:tcW w:w="3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517.4</w:t>
            </w:r>
          </w:p>
        </w:tc>
        <w:tc>
          <w:tcPr>
            <w:tcW w:w="280" w:type="dxa"/>
            <w:vAlign w:val="bottom"/>
          </w:tcPr>
          <w:p>
            <w:pPr>
              <w:spacing w:after="0"/>
              <w:rPr>
                <w:sz w:val="16"/>
                <w:szCs w:val="16"/>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5"/>
                <w:szCs w:val="15"/>
                <w:color w:val="auto"/>
              </w:rPr>
              <w:t>3.2%</w:t>
            </w:r>
          </w:p>
        </w:tc>
        <w:tc>
          <w:tcPr>
            <w:tcW w:w="820" w:type="dxa"/>
            <w:vAlign w:val="bottom"/>
            <w:gridSpan w:val="3"/>
          </w:tcPr>
          <w:p>
            <w:pPr>
              <w:jc w:val="right"/>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188"/>
        </w:trPr>
        <w:tc>
          <w:tcPr>
            <w:tcW w:w="44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France</w:t>
            </w: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1,479.3</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1,394.8</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6.1%</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6.4%</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1,361.5</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1,401.2</w:t>
            </w:r>
          </w:p>
        </w:tc>
        <w:tc>
          <w:tcPr>
            <w:tcW w:w="2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-2.8%</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6.0%</w:t>
            </w:r>
          </w:p>
        </w:tc>
        <w:tc>
          <w:tcPr>
            <w:tcW w:w="0" w:type="dxa"/>
            <w:vAlign w:val="bottom"/>
          </w:tcPr>
          <w:p>
            <w:pPr>
              <w:spacing w:after="0"/>
              <w:rPr>
                <w:sz w:val="1"/>
                <w:szCs w:val="1"/>
                <w:color w:val="auto"/>
              </w:rPr>
            </w:pPr>
          </w:p>
        </w:tc>
      </w:tr>
      <w:tr>
        <w:trPr>
          <w:trHeight w:val="188"/>
        </w:trPr>
        <w:tc>
          <w:tcPr>
            <w:tcW w:w="4440" w:type="dxa"/>
            <w:vAlign w:val="bottom"/>
            <w:gridSpan w:val="2"/>
          </w:tcPr>
          <w:p>
            <w:pPr>
              <w:spacing w:after="0"/>
              <w:rPr>
                <w:sz w:val="20"/>
                <w:szCs w:val="20"/>
                <w:color w:val="auto"/>
              </w:rPr>
            </w:pPr>
            <w:r>
              <w:rPr>
                <w:rFonts w:ascii="Arial" w:cs="Arial" w:eastAsia="Arial" w:hAnsi="Arial"/>
                <w:sz w:val="15"/>
                <w:szCs w:val="15"/>
                <w:color w:val="auto"/>
              </w:rPr>
              <w:t>EMEA</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1,355.9</w:t>
            </w: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1,257.3</w:t>
            </w:r>
          </w:p>
        </w:tc>
        <w:tc>
          <w:tcPr>
            <w:tcW w:w="20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7.8%</w:t>
            </w: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8.4%</w:t>
            </w:r>
          </w:p>
        </w:tc>
        <w:tc>
          <w:tcPr>
            <w:tcW w:w="80" w:type="dxa"/>
            <w:vAlign w:val="bottom"/>
          </w:tcPr>
          <w:p>
            <w:pPr>
              <w:spacing w:after="0"/>
              <w:rPr>
                <w:sz w:val="16"/>
                <w:szCs w:val="16"/>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1,444.7</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w w:val="95"/>
              </w:rPr>
              <w:t>1,385.5</w:t>
            </w:r>
          </w:p>
        </w:tc>
        <w:tc>
          <w:tcPr>
            <w:tcW w:w="280" w:type="dxa"/>
            <w:vAlign w:val="bottom"/>
          </w:tcPr>
          <w:p>
            <w:pPr>
              <w:spacing w:after="0"/>
              <w:rPr>
                <w:sz w:val="16"/>
                <w:szCs w:val="16"/>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5"/>
                <w:szCs w:val="15"/>
                <w:color w:val="auto"/>
              </w:rPr>
              <w:t>4.3%</w:t>
            </w:r>
          </w:p>
        </w:tc>
        <w:tc>
          <w:tcPr>
            <w:tcW w:w="820" w:type="dxa"/>
            <w:vAlign w:val="bottom"/>
            <w:gridSpan w:val="3"/>
          </w:tcPr>
          <w:p>
            <w:pPr>
              <w:jc w:val="right"/>
              <w:spacing w:after="0"/>
              <w:rPr>
                <w:sz w:val="20"/>
                <w:szCs w:val="20"/>
                <w:color w:val="auto"/>
              </w:rPr>
            </w:pPr>
            <w:r>
              <w:rPr>
                <w:rFonts w:ascii="Arial" w:cs="Arial" w:eastAsia="Arial" w:hAnsi="Arial"/>
                <w:sz w:val="15"/>
                <w:szCs w:val="15"/>
                <w:color w:val="auto"/>
              </w:rPr>
              <w:t>12.9%</w:t>
            </w:r>
          </w:p>
        </w:tc>
        <w:tc>
          <w:tcPr>
            <w:tcW w:w="0" w:type="dxa"/>
            <w:vAlign w:val="bottom"/>
          </w:tcPr>
          <w:p>
            <w:pPr>
              <w:spacing w:after="0"/>
              <w:rPr>
                <w:sz w:val="1"/>
                <w:szCs w:val="1"/>
                <w:color w:val="auto"/>
              </w:rPr>
            </w:pPr>
          </w:p>
        </w:tc>
      </w:tr>
      <w:tr>
        <w:trPr>
          <w:trHeight w:val="188"/>
        </w:trPr>
        <w:tc>
          <w:tcPr>
            <w:tcW w:w="44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Jefferson Wells</w:t>
            </w: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103.9</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110.6</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-6.1%</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-6.1%</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96.1</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102.9</w:t>
            </w:r>
          </w:p>
        </w:tc>
        <w:tc>
          <w:tcPr>
            <w:tcW w:w="2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-6.5%</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-6.5%</w:t>
            </w:r>
          </w:p>
        </w:tc>
        <w:tc>
          <w:tcPr>
            <w:tcW w:w="0" w:type="dxa"/>
            <w:vAlign w:val="bottom"/>
          </w:tcPr>
          <w:p>
            <w:pPr>
              <w:spacing w:after="0"/>
              <w:rPr>
                <w:sz w:val="1"/>
                <w:szCs w:val="1"/>
                <w:color w:val="auto"/>
              </w:rPr>
            </w:pPr>
          </w:p>
        </w:tc>
      </w:tr>
      <w:tr>
        <w:trPr>
          <w:trHeight w:val="188"/>
        </w:trPr>
        <w:tc>
          <w:tcPr>
            <w:tcW w:w="4440" w:type="dxa"/>
            <w:vAlign w:val="bottom"/>
            <w:gridSpan w:val="2"/>
          </w:tcPr>
          <w:p>
            <w:pPr>
              <w:spacing w:after="0"/>
              <w:rPr>
                <w:sz w:val="20"/>
                <w:szCs w:val="20"/>
                <w:color w:val="auto"/>
              </w:rPr>
            </w:pPr>
            <w:r>
              <w:rPr>
                <w:rFonts w:ascii="Arial" w:cs="Arial" w:eastAsia="Arial" w:hAnsi="Arial"/>
                <w:sz w:val="15"/>
                <w:szCs w:val="15"/>
                <w:color w:val="auto"/>
              </w:rPr>
              <w:t>Right Management</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94.8</w:t>
            </w: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100.7</w:t>
            </w:r>
          </w:p>
        </w:tc>
        <w:tc>
          <w:tcPr>
            <w:tcW w:w="20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-5.8%</w:t>
            </w: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-6.3%</w:t>
            </w:r>
          </w:p>
        </w:tc>
        <w:tc>
          <w:tcPr>
            <w:tcW w:w="80" w:type="dxa"/>
            <w:vAlign w:val="bottom"/>
          </w:tcPr>
          <w:p>
            <w:pPr>
              <w:spacing w:after="0"/>
              <w:rPr>
                <w:sz w:val="16"/>
                <w:szCs w:val="16"/>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96.6</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105.4</w:t>
            </w:r>
          </w:p>
        </w:tc>
        <w:tc>
          <w:tcPr>
            <w:tcW w:w="280" w:type="dxa"/>
            <w:vAlign w:val="bottom"/>
          </w:tcPr>
          <w:p>
            <w:pPr>
              <w:spacing w:after="0"/>
              <w:rPr>
                <w:sz w:val="16"/>
                <w:szCs w:val="16"/>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5"/>
                <w:szCs w:val="15"/>
                <w:color w:val="auto"/>
              </w:rPr>
              <w:t>-8.3%</w:t>
            </w:r>
          </w:p>
        </w:tc>
        <w:tc>
          <w:tcPr>
            <w:tcW w:w="820" w:type="dxa"/>
            <w:vAlign w:val="bottom"/>
            <w:gridSpan w:val="3"/>
          </w:tcPr>
          <w:p>
            <w:pPr>
              <w:jc w:val="right"/>
              <w:spacing w:after="0"/>
              <w:rPr>
                <w:sz w:val="20"/>
                <w:szCs w:val="20"/>
                <w:color w:val="auto"/>
              </w:rPr>
            </w:pPr>
            <w:r>
              <w:rPr>
                <w:rFonts w:ascii="Arial" w:cs="Arial" w:eastAsia="Arial" w:hAnsi="Arial"/>
                <w:sz w:val="15"/>
                <w:szCs w:val="15"/>
                <w:color w:val="auto"/>
              </w:rPr>
              <w:t>-4.7%</w:t>
            </w:r>
          </w:p>
        </w:tc>
        <w:tc>
          <w:tcPr>
            <w:tcW w:w="0" w:type="dxa"/>
            <w:vAlign w:val="bottom"/>
          </w:tcPr>
          <w:p>
            <w:pPr>
              <w:spacing w:after="0"/>
              <w:rPr>
                <w:sz w:val="1"/>
                <w:szCs w:val="1"/>
                <w:color w:val="auto"/>
              </w:rPr>
            </w:pPr>
          </w:p>
        </w:tc>
      </w:tr>
      <w:tr>
        <w:trPr>
          <w:trHeight w:val="188"/>
        </w:trPr>
        <w:tc>
          <w:tcPr>
            <w:tcW w:w="44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 Operations</w:t>
            </w: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522.2</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443.0</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17.9%</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14.0%</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535.2</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493.1</w:t>
            </w:r>
          </w:p>
        </w:tc>
        <w:tc>
          <w:tcPr>
            <w:tcW w:w="2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8.5%</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11.5%</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6.5%</w:t>
            </w: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6.3%</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vMerge w:val="restart"/>
          </w:tcPr>
          <w:p>
            <w:pPr>
              <w:jc w:val="right"/>
              <w:ind w:right="20"/>
              <w:spacing w:after="0"/>
              <w:rPr>
                <w:sz w:val="20"/>
                <w:szCs w:val="20"/>
                <w:color w:val="auto"/>
              </w:rPr>
            </w:pPr>
            <w:r>
              <w:rPr>
                <w:rFonts w:ascii="Arial" w:cs="Arial" w:eastAsia="Arial" w:hAnsi="Arial"/>
                <w:sz w:val="15"/>
                <w:szCs w:val="15"/>
                <w:color w:val="auto"/>
              </w:rPr>
              <w:t>1.6%</w:t>
            </w:r>
          </w:p>
        </w:tc>
        <w:tc>
          <w:tcPr>
            <w:tcW w:w="820" w:type="dxa"/>
            <w:vAlign w:val="bottom"/>
            <w:gridSpan w:val="3"/>
            <w:vMerge w:val="restart"/>
          </w:tcPr>
          <w:p>
            <w:pPr>
              <w:jc w:val="right"/>
              <w:spacing w:after="0"/>
              <w:rPr>
                <w:sz w:val="20"/>
                <w:szCs w:val="20"/>
                <w:color w:val="auto"/>
              </w:rPr>
            </w:pPr>
            <w:r>
              <w:rPr>
                <w:rFonts w:ascii="Arial" w:cs="Arial" w:eastAsia="Arial" w:hAnsi="Arial"/>
                <w:sz w:val="15"/>
                <w:szCs w:val="15"/>
                <w:color w:val="auto"/>
              </w:rPr>
              <w:t>8.1%</w:t>
            </w:r>
          </w:p>
        </w:tc>
        <w:tc>
          <w:tcPr>
            <w:tcW w:w="0" w:type="dxa"/>
            <w:vAlign w:val="bottom"/>
          </w:tcPr>
          <w:p>
            <w:pPr>
              <w:spacing w:after="0" w:line="20" w:lineRule="exact"/>
              <w:rPr>
                <w:sz w:val="1"/>
                <w:szCs w:val="1"/>
                <w:color w:val="auto"/>
              </w:rPr>
            </w:pPr>
          </w:p>
        </w:tc>
      </w:tr>
      <w:tr>
        <w:trPr>
          <w:trHeight w:val="191"/>
        </w:trPr>
        <w:tc>
          <w:tcPr>
            <w:tcW w:w="9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4,087.6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3,838.2</w:t>
            </w:r>
          </w:p>
        </w:tc>
        <w:tc>
          <w:tcPr>
            <w:tcW w:w="2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4,068.3</w:t>
            </w:r>
          </w:p>
        </w:tc>
        <w:tc>
          <w:tcPr>
            <w:tcW w:w="3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w w:val="95"/>
              </w:rPr>
              <w:t>4,005.5</w:t>
            </w:r>
          </w:p>
        </w:tc>
        <w:tc>
          <w:tcPr>
            <w:tcW w:w="28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44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Operating Unit Profit:</w:t>
            </w: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440" w:type="dxa"/>
            <w:vAlign w:val="bottom"/>
            <w:gridSpan w:val="2"/>
          </w:tcPr>
          <w:p>
            <w:pPr>
              <w:spacing w:after="0"/>
              <w:rPr>
                <w:sz w:val="20"/>
                <w:szCs w:val="20"/>
                <w:color w:val="auto"/>
              </w:rPr>
            </w:pPr>
            <w:r>
              <w:rPr>
                <w:rFonts w:ascii="Arial" w:cs="Arial" w:eastAsia="Arial" w:hAnsi="Arial"/>
                <w:sz w:val="15"/>
                <w:szCs w:val="15"/>
                <w:color w:val="auto"/>
              </w:rPr>
              <w:t>United States</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22.6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15.6</w:t>
            </w:r>
          </w:p>
        </w:tc>
        <w:tc>
          <w:tcPr>
            <w:tcW w:w="20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44.7%</w:t>
            </w: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44.7%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23.2</w:t>
            </w:r>
          </w:p>
        </w:tc>
        <w:tc>
          <w:tcPr>
            <w:tcW w:w="3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16.8</w:t>
            </w:r>
          </w:p>
        </w:tc>
        <w:tc>
          <w:tcPr>
            <w:tcW w:w="280" w:type="dxa"/>
            <w:vAlign w:val="bottom"/>
          </w:tcPr>
          <w:p>
            <w:pPr>
              <w:spacing w:after="0"/>
              <w:rPr>
                <w:sz w:val="16"/>
                <w:szCs w:val="16"/>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5"/>
                <w:szCs w:val="15"/>
                <w:color w:val="auto"/>
              </w:rPr>
              <w:t>38.4%</w:t>
            </w:r>
          </w:p>
        </w:tc>
        <w:tc>
          <w:tcPr>
            <w:tcW w:w="820" w:type="dxa"/>
            <w:vAlign w:val="bottom"/>
            <w:gridSpan w:val="3"/>
          </w:tcPr>
          <w:p>
            <w:pPr>
              <w:jc w:val="right"/>
              <w:spacing w:after="0"/>
              <w:rPr>
                <w:sz w:val="20"/>
                <w:szCs w:val="20"/>
                <w:color w:val="auto"/>
              </w:rPr>
            </w:pPr>
            <w:r>
              <w:rPr>
                <w:rFonts w:ascii="Arial" w:cs="Arial" w:eastAsia="Arial" w:hAnsi="Arial"/>
                <w:sz w:val="15"/>
                <w:szCs w:val="15"/>
                <w:color w:val="auto"/>
              </w:rPr>
              <w:t>38.4%</w:t>
            </w:r>
          </w:p>
        </w:tc>
        <w:tc>
          <w:tcPr>
            <w:tcW w:w="0" w:type="dxa"/>
            <w:vAlign w:val="bottom"/>
          </w:tcPr>
          <w:p>
            <w:pPr>
              <w:spacing w:after="0"/>
              <w:rPr>
                <w:sz w:val="1"/>
                <w:szCs w:val="1"/>
                <w:color w:val="auto"/>
              </w:rPr>
            </w:pPr>
          </w:p>
        </w:tc>
      </w:tr>
      <w:tr>
        <w:trPr>
          <w:trHeight w:val="188"/>
        </w:trPr>
        <w:tc>
          <w:tcPr>
            <w:tcW w:w="44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France</w:t>
            </w: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50.6</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55.4</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-8.7%</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-8.3%</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47.7</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55.1</w:t>
            </w:r>
          </w:p>
        </w:tc>
        <w:tc>
          <w:tcPr>
            <w:tcW w:w="2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-13.5%</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-5.5%</w:t>
            </w:r>
          </w:p>
        </w:tc>
        <w:tc>
          <w:tcPr>
            <w:tcW w:w="0" w:type="dxa"/>
            <w:vAlign w:val="bottom"/>
          </w:tcPr>
          <w:p>
            <w:pPr>
              <w:spacing w:after="0"/>
              <w:rPr>
                <w:sz w:val="1"/>
                <w:szCs w:val="1"/>
                <w:color w:val="auto"/>
              </w:rPr>
            </w:pPr>
          </w:p>
        </w:tc>
      </w:tr>
      <w:tr>
        <w:trPr>
          <w:trHeight w:val="188"/>
        </w:trPr>
        <w:tc>
          <w:tcPr>
            <w:tcW w:w="4440" w:type="dxa"/>
            <w:vAlign w:val="bottom"/>
            <w:gridSpan w:val="2"/>
          </w:tcPr>
          <w:p>
            <w:pPr>
              <w:spacing w:after="0"/>
              <w:rPr>
                <w:sz w:val="20"/>
                <w:szCs w:val="20"/>
                <w:color w:val="auto"/>
              </w:rPr>
            </w:pPr>
            <w:r>
              <w:rPr>
                <w:rFonts w:ascii="Arial" w:cs="Arial" w:eastAsia="Arial" w:hAnsi="Arial"/>
                <w:sz w:val="15"/>
                <w:szCs w:val="15"/>
                <w:color w:val="auto"/>
              </w:rPr>
              <w:t>EMEA</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44.2</w:t>
            </w: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34.4</w:t>
            </w:r>
          </w:p>
        </w:tc>
        <w:tc>
          <w:tcPr>
            <w:tcW w:w="20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27.7%</w:t>
            </w: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28.2%</w:t>
            </w:r>
          </w:p>
        </w:tc>
        <w:tc>
          <w:tcPr>
            <w:tcW w:w="80" w:type="dxa"/>
            <w:vAlign w:val="bottom"/>
          </w:tcPr>
          <w:p>
            <w:pPr>
              <w:spacing w:after="0"/>
              <w:rPr>
                <w:sz w:val="16"/>
                <w:szCs w:val="16"/>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51.9</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41.6</w:t>
            </w:r>
          </w:p>
        </w:tc>
        <w:tc>
          <w:tcPr>
            <w:tcW w:w="280" w:type="dxa"/>
            <w:vAlign w:val="bottom"/>
          </w:tcPr>
          <w:p>
            <w:pPr>
              <w:spacing w:after="0"/>
              <w:rPr>
                <w:sz w:val="16"/>
                <w:szCs w:val="16"/>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5"/>
                <w:szCs w:val="15"/>
                <w:color w:val="auto"/>
              </w:rPr>
              <w:t>24.7%</w:t>
            </w:r>
          </w:p>
        </w:tc>
        <w:tc>
          <w:tcPr>
            <w:tcW w:w="820" w:type="dxa"/>
            <w:vAlign w:val="bottom"/>
            <w:gridSpan w:val="3"/>
          </w:tcPr>
          <w:p>
            <w:pPr>
              <w:jc w:val="right"/>
              <w:spacing w:after="0"/>
              <w:rPr>
                <w:sz w:val="20"/>
                <w:szCs w:val="20"/>
                <w:color w:val="auto"/>
              </w:rPr>
            </w:pPr>
            <w:r>
              <w:rPr>
                <w:rFonts w:ascii="Arial" w:cs="Arial" w:eastAsia="Arial" w:hAnsi="Arial"/>
                <w:sz w:val="15"/>
                <w:szCs w:val="15"/>
                <w:color w:val="auto"/>
              </w:rPr>
              <w:t>36.3%</w:t>
            </w:r>
          </w:p>
        </w:tc>
        <w:tc>
          <w:tcPr>
            <w:tcW w:w="0" w:type="dxa"/>
            <w:vAlign w:val="bottom"/>
          </w:tcPr>
          <w:p>
            <w:pPr>
              <w:spacing w:after="0"/>
              <w:rPr>
                <w:sz w:val="1"/>
                <w:szCs w:val="1"/>
                <w:color w:val="auto"/>
              </w:rPr>
            </w:pPr>
          </w:p>
        </w:tc>
      </w:tr>
      <w:tr>
        <w:trPr>
          <w:trHeight w:val="188"/>
        </w:trPr>
        <w:tc>
          <w:tcPr>
            <w:tcW w:w="44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Jefferson Wells</w:t>
            </w: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11.5</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25.1</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-54.2%</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-54.2%</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4.4</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w:t>
            </w:r>
          </w:p>
        </w:tc>
        <w:tc>
          <w:tcPr>
            <w:tcW w:w="2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-66.5%</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-66.5%</w:t>
            </w:r>
          </w:p>
        </w:tc>
        <w:tc>
          <w:tcPr>
            <w:tcW w:w="0" w:type="dxa"/>
            <w:vAlign w:val="bottom"/>
          </w:tcPr>
          <w:p>
            <w:pPr>
              <w:spacing w:after="0"/>
              <w:rPr>
                <w:sz w:val="1"/>
                <w:szCs w:val="1"/>
                <w:color w:val="auto"/>
              </w:rPr>
            </w:pPr>
          </w:p>
        </w:tc>
      </w:tr>
      <w:tr>
        <w:trPr>
          <w:trHeight w:val="188"/>
        </w:trPr>
        <w:tc>
          <w:tcPr>
            <w:tcW w:w="4440" w:type="dxa"/>
            <w:vAlign w:val="bottom"/>
            <w:gridSpan w:val="2"/>
          </w:tcPr>
          <w:p>
            <w:pPr>
              <w:spacing w:after="0"/>
              <w:rPr>
                <w:sz w:val="20"/>
                <w:szCs w:val="20"/>
                <w:color w:val="auto"/>
              </w:rPr>
            </w:pPr>
            <w:r>
              <w:rPr>
                <w:rFonts w:ascii="Arial" w:cs="Arial" w:eastAsia="Arial" w:hAnsi="Arial"/>
                <w:sz w:val="15"/>
                <w:szCs w:val="15"/>
                <w:color w:val="auto"/>
              </w:rPr>
              <w:t>Right Management</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2.3</w:t>
            </w: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3.5</w:t>
            </w:r>
          </w:p>
        </w:tc>
        <w:tc>
          <w:tcPr>
            <w:tcW w:w="20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-32.0%</w:t>
            </w: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-35.9%</w:t>
            </w:r>
          </w:p>
        </w:tc>
        <w:tc>
          <w:tcPr>
            <w:tcW w:w="80" w:type="dxa"/>
            <w:vAlign w:val="bottom"/>
          </w:tcPr>
          <w:p>
            <w:pPr>
              <w:spacing w:after="0"/>
              <w:rPr>
                <w:sz w:val="16"/>
                <w:szCs w:val="16"/>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3.6</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(0.3)</w:t>
            </w: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N/A</w:t>
            </w:r>
          </w:p>
        </w:tc>
        <w:tc>
          <w:tcPr>
            <w:tcW w:w="20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88"/>
        </w:trPr>
        <w:tc>
          <w:tcPr>
            <w:tcW w:w="44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 Operations</w:t>
            </w: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16.3</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55.1%</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49.4%</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19.2</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w:t>
            </w:r>
          </w:p>
        </w:tc>
        <w:tc>
          <w:tcPr>
            <w:tcW w:w="2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87.0%</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91.2%</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9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147.5</w:t>
            </w: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144.6</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150.0</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136.6</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Corporate Expenses</w:t>
            </w: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14.3</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w:t>
            </w: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15.9</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w:t>
            </w: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440" w:type="dxa"/>
            <w:vAlign w:val="bottom"/>
            <w:gridSpan w:val="2"/>
          </w:tcPr>
          <w:p>
            <w:pPr>
              <w:spacing w:after="0"/>
              <w:rPr>
                <w:sz w:val="20"/>
                <w:szCs w:val="20"/>
                <w:color w:val="auto"/>
              </w:rPr>
            </w:pPr>
            <w:r>
              <w:rPr>
                <w:rFonts w:ascii="Arial" w:cs="Arial" w:eastAsia="Arial" w:hAnsi="Arial"/>
                <w:sz w:val="15"/>
                <w:szCs w:val="15"/>
                <w:color w:val="auto"/>
              </w:rPr>
              <w:t>Amortization of intangible assets</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3.3</w:t>
            </w: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3.3</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3.3</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3.3</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9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444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Operating profit</w:t>
            </w: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129.9</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127.3</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2.0%</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1.7%</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130.8</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117.9</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10.9%</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18.7%</w:t>
            </w:r>
          </w:p>
        </w:tc>
        <w:tc>
          <w:tcPr>
            <w:tcW w:w="0" w:type="dxa"/>
            <w:vAlign w:val="bottom"/>
          </w:tcPr>
          <w:p>
            <w:pPr>
              <w:spacing w:after="0"/>
              <w:rPr>
                <w:sz w:val="1"/>
                <w:szCs w:val="1"/>
                <w:color w:val="auto"/>
              </w:rPr>
            </w:pPr>
          </w:p>
        </w:tc>
      </w:tr>
      <w:tr>
        <w:trPr>
          <w:trHeight w:val="188"/>
        </w:trPr>
        <w:tc>
          <w:tcPr>
            <w:tcW w:w="4440" w:type="dxa"/>
            <w:vAlign w:val="bottom"/>
            <w:gridSpan w:val="2"/>
          </w:tcPr>
          <w:p>
            <w:pPr>
              <w:spacing w:after="0"/>
              <w:rPr>
                <w:sz w:val="20"/>
                <w:szCs w:val="20"/>
                <w:color w:val="auto"/>
              </w:rPr>
            </w:pPr>
            <w:r>
              <w:rPr>
                <w:rFonts w:ascii="Arial" w:cs="Arial" w:eastAsia="Arial" w:hAnsi="Arial"/>
                <w:sz w:val="15"/>
                <w:szCs w:val="15"/>
                <w:color w:val="auto"/>
              </w:rPr>
              <w:t>Interest and other expenses</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11.8</w:t>
            </w: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9.0</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7.0</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8.9</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9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444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Earnings before income taxes and discontinued operations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118.1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118.3</w:t>
            </w: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123.8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109.0</w:t>
            </w: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7"/>
          </w:tcPr>
          <w:p>
            <w:pPr>
              <w:jc w:val="center"/>
              <w:ind w:left="325"/>
              <w:spacing w:after="0"/>
              <w:rPr>
                <w:sz w:val="20"/>
                <w:szCs w:val="20"/>
                <w:color w:val="auto"/>
              </w:rPr>
            </w:pPr>
            <w:r>
              <w:rPr>
                <w:rFonts w:ascii="Arial" w:cs="Arial" w:eastAsia="Arial" w:hAnsi="Arial"/>
                <w:sz w:val="12"/>
                <w:szCs w:val="12"/>
                <w:b w:val="1"/>
                <w:bCs w:val="1"/>
                <w:color w:val="auto"/>
                <w:w w:val="88"/>
              </w:rPr>
              <w:t>Nine Months Ended September 30</w:t>
            </w:r>
          </w:p>
        </w:tc>
        <w:tc>
          <w:tcPr>
            <w:tcW w:w="48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5"/>
          </w:tcPr>
          <w:p>
            <w:pPr>
              <w:jc w:val="center"/>
              <w:ind w:right="140"/>
              <w:spacing w:after="0"/>
              <w:rPr>
                <w:sz w:val="20"/>
                <w:szCs w:val="20"/>
                <w:color w:val="auto"/>
              </w:rPr>
            </w:pPr>
            <w:r>
              <w:rPr>
                <w:rFonts w:ascii="Arial" w:cs="Arial" w:eastAsia="Arial" w:hAnsi="Arial"/>
                <w:sz w:val="12"/>
                <w:szCs w:val="12"/>
                <w:b w:val="1"/>
                <w:bCs w:val="1"/>
                <w:color w:val="auto"/>
                <w:w w:val="88"/>
              </w:rPr>
              <w:t>Year Ended December 31</w:t>
            </w:r>
          </w:p>
        </w:tc>
        <w:tc>
          <w:tcPr>
            <w:tcW w:w="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94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tcBorders>
              <w:bottom w:val="single" w:sz="8" w:color="auto"/>
            </w:tcBorders>
            <w:gridSpan w:val="3"/>
          </w:tcPr>
          <w:p>
            <w:pPr>
              <w:ind w:left="360"/>
              <w:spacing w:after="0" w:line="121" w:lineRule="exact"/>
              <w:rPr>
                <w:sz w:val="20"/>
                <w:szCs w:val="20"/>
                <w:color w:val="auto"/>
              </w:rPr>
            </w:pPr>
            <w:r>
              <w:rPr>
                <w:rFonts w:ascii="Arial" w:cs="Arial" w:eastAsia="Arial" w:hAnsi="Arial"/>
                <w:sz w:val="12"/>
                <w:szCs w:val="12"/>
                <w:b w:val="1"/>
                <w:bCs w:val="1"/>
                <w:color w:val="auto"/>
              </w:rPr>
              <w:t>% Variance</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80" w:type="dxa"/>
            <w:vAlign w:val="bottom"/>
            <w:tcBorders>
              <w:bottom w:val="single" w:sz="8" w:color="auto"/>
            </w:tcBorders>
            <w:gridSpan w:val="4"/>
          </w:tcPr>
          <w:p>
            <w:pPr>
              <w:jc w:val="right"/>
              <w:ind w:right="278"/>
              <w:spacing w:after="0" w:line="121" w:lineRule="exact"/>
              <w:rPr>
                <w:sz w:val="20"/>
                <w:szCs w:val="20"/>
                <w:color w:val="auto"/>
              </w:rPr>
            </w:pPr>
            <w:r>
              <w:rPr>
                <w:rFonts w:ascii="Arial" w:cs="Arial" w:eastAsia="Arial" w:hAnsi="Arial"/>
                <w:sz w:val="12"/>
                <w:szCs w:val="12"/>
                <w:b w:val="1"/>
                <w:bCs w:val="1"/>
                <w:color w:val="auto"/>
              </w:rPr>
              <w:t>% Variance</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940" w:type="dxa"/>
            <w:vAlign w:val="bottom"/>
          </w:tcPr>
          <w:p>
            <w:pPr>
              <w:spacing w:after="0"/>
              <w:rPr>
                <w:sz w:val="9"/>
                <w:szCs w:val="9"/>
                <w:color w:val="auto"/>
              </w:rPr>
            </w:pPr>
          </w:p>
        </w:tc>
        <w:tc>
          <w:tcPr>
            <w:tcW w:w="3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vMerge w:val="restart"/>
          </w:tcPr>
          <w:p>
            <w:pPr>
              <w:jc w:val="right"/>
              <w:ind w:right="125"/>
              <w:spacing w:after="0"/>
              <w:rPr>
                <w:sz w:val="20"/>
                <w:szCs w:val="20"/>
                <w:color w:val="auto"/>
              </w:rPr>
            </w:pPr>
            <w:r>
              <w:rPr>
                <w:rFonts w:ascii="Arial" w:cs="Arial" w:eastAsia="Arial" w:hAnsi="Arial"/>
                <w:sz w:val="12"/>
                <w:szCs w:val="12"/>
                <w:b w:val="1"/>
                <w:bCs w:val="1"/>
                <w:color w:val="auto"/>
              </w:rPr>
              <w:t>2005</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vMerge w:val="restart"/>
          </w:tcPr>
          <w:p>
            <w:pPr>
              <w:jc w:val="right"/>
              <w:ind w:right="125"/>
              <w:spacing w:after="0"/>
              <w:rPr>
                <w:sz w:val="20"/>
                <w:szCs w:val="20"/>
                <w:color w:val="auto"/>
              </w:rPr>
            </w:pPr>
            <w:r>
              <w:rPr>
                <w:rFonts w:ascii="Arial" w:cs="Arial" w:eastAsia="Arial" w:hAnsi="Arial"/>
                <w:sz w:val="12"/>
                <w:szCs w:val="12"/>
                <w:b w:val="1"/>
                <w:bCs w:val="1"/>
                <w:color w:val="auto"/>
              </w:rPr>
              <w:t>2004</w:t>
            </w:r>
          </w:p>
        </w:tc>
        <w:tc>
          <w:tcPr>
            <w:tcW w:w="200" w:type="dxa"/>
            <w:vAlign w:val="bottom"/>
          </w:tcPr>
          <w:p>
            <w:pPr>
              <w:spacing w:after="0"/>
              <w:rPr>
                <w:sz w:val="9"/>
                <w:szCs w:val="9"/>
                <w:color w:val="auto"/>
              </w:rPr>
            </w:pPr>
          </w:p>
        </w:tc>
        <w:tc>
          <w:tcPr>
            <w:tcW w:w="820" w:type="dxa"/>
            <w:vAlign w:val="bottom"/>
            <w:gridSpan w:val="2"/>
          </w:tcPr>
          <w:p>
            <w:pPr>
              <w:jc w:val="center"/>
              <w:ind w:right="340"/>
              <w:spacing w:after="0" w:line="110" w:lineRule="exact"/>
              <w:rPr>
                <w:sz w:val="20"/>
                <w:szCs w:val="20"/>
                <w:color w:val="auto"/>
              </w:rPr>
            </w:pPr>
            <w:r>
              <w:rPr>
                <w:rFonts w:ascii="Arial" w:cs="Arial" w:eastAsia="Arial" w:hAnsi="Arial"/>
                <w:sz w:val="12"/>
                <w:szCs w:val="12"/>
                <w:b w:val="1"/>
                <w:bCs w:val="1"/>
                <w:color w:val="auto"/>
                <w:w w:val="88"/>
              </w:rPr>
              <w:t>Amount</w:t>
            </w:r>
          </w:p>
        </w:tc>
        <w:tc>
          <w:tcPr>
            <w:tcW w:w="480" w:type="dxa"/>
            <w:vAlign w:val="bottom"/>
          </w:tcPr>
          <w:p>
            <w:pPr>
              <w:ind w:left="20"/>
              <w:spacing w:after="0" w:line="110" w:lineRule="exact"/>
              <w:rPr>
                <w:sz w:val="20"/>
                <w:szCs w:val="20"/>
                <w:color w:val="auto"/>
              </w:rPr>
            </w:pPr>
            <w:r>
              <w:rPr>
                <w:rFonts w:ascii="Arial" w:cs="Arial" w:eastAsia="Arial" w:hAnsi="Arial"/>
                <w:sz w:val="12"/>
                <w:szCs w:val="12"/>
                <w:b w:val="1"/>
                <w:bCs w:val="1"/>
                <w:color w:val="auto"/>
                <w:w w:val="84"/>
              </w:rPr>
              <w:t>Constant</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vMerge w:val="restart"/>
          </w:tcPr>
          <w:p>
            <w:pPr>
              <w:jc w:val="right"/>
              <w:ind w:right="104"/>
              <w:spacing w:after="0"/>
              <w:rPr>
                <w:sz w:val="20"/>
                <w:szCs w:val="20"/>
                <w:color w:val="auto"/>
              </w:rPr>
            </w:pPr>
            <w:r>
              <w:rPr>
                <w:rFonts w:ascii="Arial" w:cs="Arial" w:eastAsia="Arial" w:hAnsi="Arial"/>
                <w:sz w:val="12"/>
                <w:szCs w:val="12"/>
                <w:b w:val="1"/>
                <w:bCs w:val="1"/>
                <w:color w:val="auto"/>
              </w:rPr>
              <w:t>2005</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vMerge w:val="restart"/>
          </w:tcPr>
          <w:p>
            <w:pPr>
              <w:jc w:val="right"/>
              <w:ind w:right="125"/>
              <w:spacing w:after="0"/>
              <w:rPr>
                <w:sz w:val="20"/>
                <w:szCs w:val="20"/>
                <w:color w:val="auto"/>
              </w:rPr>
            </w:pPr>
            <w:r>
              <w:rPr>
                <w:rFonts w:ascii="Arial" w:cs="Arial" w:eastAsia="Arial" w:hAnsi="Arial"/>
                <w:sz w:val="12"/>
                <w:szCs w:val="12"/>
                <w:b w:val="1"/>
                <w:bCs w:val="1"/>
                <w:color w:val="auto"/>
              </w:rPr>
              <w:t>2004</w:t>
            </w:r>
          </w:p>
        </w:tc>
        <w:tc>
          <w:tcPr>
            <w:tcW w:w="280" w:type="dxa"/>
            <w:vAlign w:val="bottom"/>
          </w:tcPr>
          <w:p>
            <w:pPr>
              <w:spacing w:after="0"/>
              <w:rPr>
                <w:sz w:val="9"/>
                <w:szCs w:val="9"/>
                <w:color w:val="auto"/>
              </w:rPr>
            </w:pPr>
          </w:p>
        </w:tc>
        <w:tc>
          <w:tcPr>
            <w:tcW w:w="600" w:type="dxa"/>
            <w:vAlign w:val="bottom"/>
            <w:gridSpan w:val="2"/>
          </w:tcPr>
          <w:p>
            <w:pPr>
              <w:jc w:val="center"/>
              <w:ind w:right="140"/>
              <w:spacing w:after="0" w:line="110" w:lineRule="exact"/>
              <w:rPr>
                <w:sz w:val="20"/>
                <w:szCs w:val="20"/>
                <w:color w:val="auto"/>
              </w:rPr>
            </w:pPr>
            <w:r>
              <w:rPr>
                <w:rFonts w:ascii="Arial" w:cs="Arial" w:eastAsia="Arial" w:hAnsi="Arial"/>
                <w:sz w:val="12"/>
                <w:szCs w:val="12"/>
                <w:b w:val="1"/>
                <w:bCs w:val="1"/>
                <w:color w:val="auto"/>
                <w:w w:val="92"/>
              </w:rPr>
              <w:t>Amount</w:t>
            </w:r>
          </w:p>
        </w:tc>
        <w:tc>
          <w:tcPr>
            <w:tcW w:w="200" w:type="dxa"/>
            <w:vAlign w:val="bottom"/>
          </w:tcPr>
          <w:p>
            <w:pPr>
              <w:spacing w:after="0"/>
              <w:rPr>
                <w:sz w:val="9"/>
                <w:szCs w:val="9"/>
                <w:color w:val="auto"/>
              </w:rPr>
            </w:pPr>
          </w:p>
        </w:tc>
        <w:tc>
          <w:tcPr>
            <w:tcW w:w="480" w:type="dxa"/>
            <w:vAlign w:val="bottom"/>
          </w:tcPr>
          <w:p>
            <w:pPr>
              <w:jc w:val="right"/>
              <w:spacing w:after="0" w:line="110" w:lineRule="exact"/>
              <w:rPr>
                <w:sz w:val="20"/>
                <w:szCs w:val="20"/>
                <w:color w:val="auto"/>
              </w:rPr>
            </w:pPr>
            <w:r>
              <w:rPr>
                <w:rFonts w:ascii="Arial" w:cs="Arial" w:eastAsia="Arial" w:hAnsi="Arial"/>
                <w:sz w:val="12"/>
                <w:szCs w:val="12"/>
                <w:b w:val="1"/>
                <w:bCs w:val="1"/>
                <w:color w:val="auto"/>
                <w:w w:val="88"/>
              </w:rPr>
              <w:t>Constant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9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2"/>
                <w:szCs w:val="12"/>
                <w:b w:val="1"/>
                <w:bCs w:val="1"/>
                <w:color w:val="auto"/>
                <w:w w:val="91"/>
              </w:rPr>
              <w:t>Reported</w:t>
            </w:r>
          </w:p>
        </w:tc>
        <w:tc>
          <w:tcPr>
            <w:tcW w:w="340" w:type="dxa"/>
            <w:vAlign w:val="bottom"/>
          </w:tcPr>
          <w:p>
            <w:pPr>
              <w:spacing w:after="0"/>
              <w:rPr>
                <w:sz w:val="12"/>
                <w:szCs w:val="12"/>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Currency</w:t>
            </w: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7"/>
              </w:rPr>
              <w:t>Reported</w:t>
            </w:r>
          </w:p>
        </w:tc>
        <w:tc>
          <w:tcPr>
            <w:tcW w:w="20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87"/>
              </w:rPr>
              <w:t>Currency</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94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60" w:type="dxa"/>
            <w:vAlign w:val="bottom"/>
            <w:gridSpan w:val="4"/>
          </w:tcPr>
          <w:p>
            <w:pPr>
              <w:jc w:val="center"/>
              <w:ind w:right="440"/>
              <w:spacing w:after="0" w:line="121" w:lineRule="exact"/>
              <w:rPr>
                <w:sz w:val="20"/>
                <w:szCs w:val="20"/>
                <w:color w:val="auto"/>
              </w:rPr>
            </w:pPr>
            <w:r>
              <w:rPr>
                <w:rFonts w:ascii="Arial" w:cs="Arial" w:eastAsia="Arial" w:hAnsi="Arial"/>
                <w:sz w:val="12"/>
                <w:szCs w:val="12"/>
                <w:b w:val="1"/>
                <w:bCs w:val="1"/>
                <w:color w:val="auto"/>
                <w:w w:val="89"/>
              </w:rPr>
              <w:t>(Unaudited)</w:t>
            </w: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4"/>
          </w:tcPr>
          <w:p>
            <w:pPr>
              <w:jc w:val="center"/>
              <w:ind w:right="260"/>
              <w:spacing w:after="0" w:line="121" w:lineRule="exact"/>
              <w:rPr>
                <w:sz w:val="20"/>
                <w:szCs w:val="20"/>
                <w:color w:val="auto"/>
              </w:rPr>
            </w:pPr>
            <w:r>
              <w:rPr>
                <w:rFonts w:ascii="Arial" w:cs="Arial" w:eastAsia="Arial" w:hAnsi="Arial"/>
                <w:sz w:val="12"/>
                <w:szCs w:val="12"/>
                <w:b w:val="1"/>
                <w:bCs w:val="1"/>
                <w:color w:val="auto"/>
                <w:w w:val="89"/>
              </w:rPr>
              <w:t>(Unaudited)</w:t>
            </w: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444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Revenue from Services:</w:t>
            </w: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440" w:type="dxa"/>
            <w:vAlign w:val="bottom"/>
            <w:gridSpan w:val="2"/>
          </w:tcPr>
          <w:p>
            <w:pPr>
              <w:spacing w:after="0"/>
              <w:rPr>
                <w:sz w:val="20"/>
                <w:szCs w:val="20"/>
                <w:color w:val="auto"/>
              </w:rPr>
            </w:pPr>
            <w:r>
              <w:rPr>
                <w:rFonts w:ascii="Arial" w:cs="Arial" w:eastAsia="Arial" w:hAnsi="Arial"/>
                <w:sz w:val="15"/>
                <w:szCs w:val="15"/>
                <w:color w:val="auto"/>
              </w:rPr>
              <w:t>United States</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1,514.1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1,523.7</w:t>
            </w:r>
          </w:p>
        </w:tc>
        <w:tc>
          <w:tcPr>
            <w:tcW w:w="20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-0.6%</w:t>
            </w: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-0.6%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2,048.3</w:t>
            </w:r>
          </w:p>
        </w:tc>
        <w:tc>
          <w:tcPr>
            <w:tcW w:w="3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w w:val="95"/>
              </w:rPr>
              <w:t>2,041.1</w:t>
            </w:r>
          </w:p>
        </w:tc>
        <w:tc>
          <w:tcPr>
            <w:tcW w:w="280" w:type="dxa"/>
            <w:vAlign w:val="bottom"/>
          </w:tcPr>
          <w:p>
            <w:pPr>
              <w:spacing w:after="0"/>
              <w:rPr>
                <w:sz w:val="16"/>
                <w:szCs w:val="16"/>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5"/>
                <w:szCs w:val="15"/>
                <w:color w:val="auto"/>
              </w:rPr>
              <w:t>0.4%</w:t>
            </w:r>
          </w:p>
        </w:tc>
        <w:tc>
          <w:tcPr>
            <w:tcW w:w="820" w:type="dxa"/>
            <w:vAlign w:val="bottom"/>
            <w:gridSpan w:val="3"/>
          </w:tcPr>
          <w:p>
            <w:pPr>
              <w:jc w:val="right"/>
              <w:spacing w:after="0"/>
              <w:rPr>
                <w:sz w:val="20"/>
                <w:szCs w:val="20"/>
                <w:color w:val="auto"/>
              </w:rPr>
            </w:pPr>
            <w:r>
              <w:rPr>
                <w:rFonts w:ascii="Arial" w:cs="Arial" w:eastAsia="Arial" w:hAnsi="Arial"/>
                <w:sz w:val="15"/>
                <w:szCs w:val="15"/>
                <w:color w:val="auto"/>
              </w:rPr>
              <w:t>0.4%</w:t>
            </w:r>
          </w:p>
        </w:tc>
        <w:tc>
          <w:tcPr>
            <w:tcW w:w="0" w:type="dxa"/>
            <w:vAlign w:val="bottom"/>
          </w:tcPr>
          <w:p>
            <w:pPr>
              <w:spacing w:after="0"/>
              <w:rPr>
                <w:sz w:val="1"/>
                <w:szCs w:val="1"/>
                <w:color w:val="auto"/>
              </w:rPr>
            </w:pPr>
          </w:p>
        </w:tc>
      </w:tr>
      <w:tr>
        <w:trPr>
          <w:trHeight w:val="188"/>
        </w:trPr>
        <w:tc>
          <w:tcPr>
            <w:tcW w:w="44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France</w:t>
            </w: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4,114.3</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3,798.9</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8.3%</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5.4%</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5,475.8</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5,200.1</w:t>
            </w:r>
          </w:p>
        </w:tc>
        <w:tc>
          <w:tcPr>
            <w:tcW w:w="2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5.3%</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5.5%</w:t>
            </w:r>
          </w:p>
        </w:tc>
        <w:tc>
          <w:tcPr>
            <w:tcW w:w="0" w:type="dxa"/>
            <w:vAlign w:val="bottom"/>
          </w:tcPr>
          <w:p>
            <w:pPr>
              <w:spacing w:after="0"/>
              <w:rPr>
                <w:sz w:val="1"/>
                <w:szCs w:val="1"/>
                <w:color w:val="auto"/>
              </w:rPr>
            </w:pPr>
          </w:p>
        </w:tc>
      </w:tr>
      <w:tr>
        <w:trPr>
          <w:trHeight w:val="188"/>
        </w:trPr>
        <w:tc>
          <w:tcPr>
            <w:tcW w:w="4440" w:type="dxa"/>
            <w:vAlign w:val="bottom"/>
            <w:gridSpan w:val="2"/>
          </w:tcPr>
          <w:p>
            <w:pPr>
              <w:spacing w:after="0"/>
              <w:rPr>
                <w:sz w:val="20"/>
                <w:szCs w:val="20"/>
                <w:color w:val="auto"/>
              </w:rPr>
            </w:pPr>
            <w:r>
              <w:rPr>
                <w:rFonts w:ascii="Arial" w:cs="Arial" w:eastAsia="Arial" w:hAnsi="Arial"/>
                <w:sz w:val="15"/>
                <w:szCs w:val="15"/>
                <w:color w:val="auto"/>
              </w:rPr>
              <w:t>EMEA</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4,026.5</w:t>
            </w: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3,497.5</w:t>
            </w:r>
          </w:p>
        </w:tc>
        <w:tc>
          <w:tcPr>
            <w:tcW w:w="20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15.1%</w:t>
            </w: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12.3%</w:t>
            </w:r>
          </w:p>
        </w:tc>
        <w:tc>
          <w:tcPr>
            <w:tcW w:w="80" w:type="dxa"/>
            <w:vAlign w:val="bottom"/>
          </w:tcPr>
          <w:p>
            <w:pPr>
              <w:spacing w:after="0"/>
              <w:rPr>
                <w:sz w:val="16"/>
                <w:szCs w:val="16"/>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5,471.2</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w w:val="95"/>
              </w:rPr>
              <w:t>4,883.0</w:t>
            </w:r>
          </w:p>
        </w:tc>
        <w:tc>
          <w:tcPr>
            <w:tcW w:w="280" w:type="dxa"/>
            <w:vAlign w:val="bottom"/>
          </w:tcPr>
          <w:p>
            <w:pPr>
              <w:spacing w:after="0"/>
              <w:rPr>
                <w:sz w:val="16"/>
                <w:szCs w:val="16"/>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5"/>
                <w:szCs w:val="15"/>
                <w:color w:val="auto"/>
              </w:rPr>
              <w:t>12.0%</w:t>
            </w:r>
          </w:p>
        </w:tc>
        <w:tc>
          <w:tcPr>
            <w:tcW w:w="820" w:type="dxa"/>
            <w:vAlign w:val="bottom"/>
            <w:gridSpan w:val="3"/>
          </w:tcPr>
          <w:p>
            <w:pPr>
              <w:jc w:val="right"/>
              <w:spacing w:after="0"/>
              <w:rPr>
                <w:sz w:val="20"/>
                <w:szCs w:val="20"/>
                <w:color w:val="auto"/>
              </w:rPr>
            </w:pPr>
            <w:r>
              <w:rPr>
                <w:rFonts w:ascii="Arial" w:cs="Arial" w:eastAsia="Arial" w:hAnsi="Arial"/>
                <w:sz w:val="15"/>
                <w:szCs w:val="15"/>
                <w:color w:val="auto"/>
              </w:rPr>
              <w:t>12.5%</w:t>
            </w:r>
          </w:p>
        </w:tc>
        <w:tc>
          <w:tcPr>
            <w:tcW w:w="0" w:type="dxa"/>
            <w:vAlign w:val="bottom"/>
          </w:tcPr>
          <w:p>
            <w:pPr>
              <w:spacing w:after="0"/>
              <w:rPr>
                <w:sz w:val="1"/>
                <w:szCs w:val="1"/>
                <w:color w:val="auto"/>
              </w:rPr>
            </w:pPr>
          </w:p>
        </w:tc>
      </w:tr>
      <w:tr>
        <w:trPr>
          <w:trHeight w:val="188"/>
        </w:trPr>
        <w:tc>
          <w:tcPr>
            <w:tcW w:w="44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Jefferson Wells</w:t>
            </w: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290.1</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237.7</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22.0%</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22.0%</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386.2</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340.6</w:t>
            </w:r>
          </w:p>
        </w:tc>
        <w:tc>
          <w:tcPr>
            <w:tcW w:w="2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13.4%</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13.4%</w:t>
            </w:r>
          </w:p>
        </w:tc>
        <w:tc>
          <w:tcPr>
            <w:tcW w:w="0" w:type="dxa"/>
            <w:vAlign w:val="bottom"/>
          </w:tcPr>
          <w:p>
            <w:pPr>
              <w:spacing w:after="0"/>
              <w:rPr>
                <w:sz w:val="1"/>
                <w:szCs w:val="1"/>
                <w:color w:val="auto"/>
              </w:rPr>
            </w:pPr>
          </w:p>
        </w:tc>
      </w:tr>
      <w:tr>
        <w:trPr>
          <w:trHeight w:val="188"/>
        </w:trPr>
        <w:tc>
          <w:tcPr>
            <w:tcW w:w="4440" w:type="dxa"/>
            <w:vAlign w:val="bottom"/>
            <w:gridSpan w:val="2"/>
          </w:tcPr>
          <w:p>
            <w:pPr>
              <w:spacing w:after="0"/>
              <w:rPr>
                <w:sz w:val="20"/>
                <w:szCs w:val="20"/>
                <w:color w:val="auto"/>
              </w:rPr>
            </w:pPr>
            <w:r>
              <w:rPr>
                <w:rFonts w:ascii="Arial" w:cs="Arial" w:eastAsia="Arial" w:hAnsi="Arial"/>
                <w:sz w:val="15"/>
                <w:szCs w:val="15"/>
                <w:color w:val="auto"/>
              </w:rPr>
              <w:t>Right Management</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305.2</w:t>
            </w: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319.2</w:t>
            </w:r>
          </w:p>
        </w:tc>
        <w:tc>
          <w:tcPr>
            <w:tcW w:w="20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-4.4%</w:t>
            </w: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-6.3%</w:t>
            </w:r>
          </w:p>
        </w:tc>
        <w:tc>
          <w:tcPr>
            <w:tcW w:w="80" w:type="dxa"/>
            <w:vAlign w:val="bottom"/>
          </w:tcPr>
          <w:p>
            <w:pPr>
              <w:spacing w:after="0"/>
              <w:rPr>
                <w:sz w:val="16"/>
                <w:szCs w:val="16"/>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401.8</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424.6</w:t>
            </w:r>
          </w:p>
        </w:tc>
        <w:tc>
          <w:tcPr>
            <w:tcW w:w="280" w:type="dxa"/>
            <w:vAlign w:val="bottom"/>
          </w:tcPr>
          <w:p>
            <w:pPr>
              <w:spacing w:after="0"/>
              <w:rPr>
                <w:sz w:val="16"/>
                <w:szCs w:val="16"/>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5"/>
                <w:szCs w:val="15"/>
                <w:color w:val="auto"/>
              </w:rPr>
              <w:t>-5.4%</w:t>
            </w:r>
          </w:p>
        </w:tc>
        <w:tc>
          <w:tcPr>
            <w:tcW w:w="820" w:type="dxa"/>
            <w:vAlign w:val="bottom"/>
            <w:gridSpan w:val="3"/>
          </w:tcPr>
          <w:p>
            <w:pPr>
              <w:jc w:val="right"/>
              <w:spacing w:after="0"/>
              <w:rPr>
                <w:sz w:val="20"/>
                <w:szCs w:val="20"/>
                <w:color w:val="auto"/>
              </w:rPr>
            </w:pPr>
            <w:r>
              <w:rPr>
                <w:rFonts w:ascii="Arial" w:cs="Arial" w:eastAsia="Arial" w:hAnsi="Arial"/>
                <w:sz w:val="15"/>
                <w:szCs w:val="15"/>
                <w:color w:val="auto"/>
              </w:rPr>
              <w:t>-5.9%</w:t>
            </w:r>
          </w:p>
        </w:tc>
        <w:tc>
          <w:tcPr>
            <w:tcW w:w="0" w:type="dxa"/>
            <w:vAlign w:val="bottom"/>
          </w:tcPr>
          <w:p>
            <w:pPr>
              <w:spacing w:after="0"/>
              <w:rPr>
                <w:sz w:val="1"/>
                <w:szCs w:val="1"/>
                <w:color w:val="auto"/>
              </w:rPr>
            </w:pPr>
          </w:p>
        </w:tc>
      </w:tr>
      <w:tr>
        <w:trPr>
          <w:trHeight w:val="188"/>
        </w:trPr>
        <w:tc>
          <w:tcPr>
            <w:tcW w:w="44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 Operations</w:t>
            </w: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1,526.9</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1,292.5</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18.1%</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14.2%</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2,062.1</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1,785.6</w:t>
            </w:r>
          </w:p>
        </w:tc>
        <w:tc>
          <w:tcPr>
            <w:tcW w:w="2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15.5%</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13.5%</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10.4%</w:t>
            </w: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7.9%</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vMerge w:val="restart"/>
          </w:tcPr>
          <w:p>
            <w:pPr>
              <w:jc w:val="right"/>
              <w:ind w:right="20"/>
              <w:spacing w:after="0"/>
              <w:rPr>
                <w:sz w:val="20"/>
                <w:szCs w:val="20"/>
                <w:color w:val="auto"/>
              </w:rPr>
            </w:pPr>
            <w:r>
              <w:rPr>
                <w:rFonts w:ascii="Arial" w:cs="Arial" w:eastAsia="Arial" w:hAnsi="Arial"/>
                <w:sz w:val="15"/>
                <w:szCs w:val="15"/>
                <w:color w:val="auto"/>
              </w:rPr>
              <w:t>8.0%</w:t>
            </w:r>
          </w:p>
        </w:tc>
        <w:tc>
          <w:tcPr>
            <w:tcW w:w="820" w:type="dxa"/>
            <w:vAlign w:val="bottom"/>
            <w:gridSpan w:val="3"/>
            <w:vMerge w:val="restart"/>
          </w:tcPr>
          <w:p>
            <w:pPr>
              <w:jc w:val="right"/>
              <w:spacing w:after="0"/>
              <w:rPr>
                <w:sz w:val="20"/>
                <w:szCs w:val="20"/>
                <w:color w:val="auto"/>
              </w:rPr>
            </w:pPr>
            <w:r>
              <w:rPr>
                <w:rFonts w:ascii="Arial" w:cs="Arial" w:eastAsia="Arial" w:hAnsi="Arial"/>
                <w:sz w:val="15"/>
                <w:szCs w:val="15"/>
                <w:color w:val="auto"/>
              </w:rPr>
              <w:t>7.9%</w:t>
            </w:r>
          </w:p>
        </w:tc>
        <w:tc>
          <w:tcPr>
            <w:tcW w:w="0" w:type="dxa"/>
            <w:vAlign w:val="bottom"/>
          </w:tcPr>
          <w:p>
            <w:pPr>
              <w:spacing w:after="0" w:line="20" w:lineRule="exact"/>
              <w:rPr>
                <w:sz w:val="1"/>
                <w:szCs w:val="1"/>
                <w:color w:val="auto"/>
              </w:rPr>
            </w:pPr>
          </w:p>
        </w:tc>
      </w:tr>
      <w:tr>
        <w:trPr>
          <w:trHeight w:val="191"/>
        </w:trPr>
        <w:tc>
          <w:tcPr>
            <w:tcW w:w="9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w w:val="88"/>
              </w:rPr>
              <w:t>11,777.1</w:t>
            </w: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w w:val="88"/>
              </w:rPr>
              <w:t>10,669.5</w:t>
            </w:r>
          </w:p>
        </w:tc>
        <w:tc>
          <w:tcPr>
            <w:tcW w:w="2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w w:val="88"/>
              </w:rPr>
              <w:t>15,845.4</w:t>
            </w:r>
          </w:p>
        </w:tc>
        <w:tc>
          <w:tcPr>
            <w:tcW w:w="820" w:type="dxa"/>
            <w:vAlign w:val="bottom"/>
            <w:gridSpan w:val="3"/>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14,675.0</w:t>
            </w:r>
          </w:p>
        </w:tc>
        <w:tc>
          <w:tcPr>
            <w:tcW w:w="28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44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Operating Unit Profit:</w:t>
            </w: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440" w:type="dxa"/>
            <w:vAlign w:val="bottom"/>
            <w:gridSpan w:val="2"/>
          </w:tcPr>
          <w:p>
            <w:pPr>
              <w:spacing w:after="0"/>
              <w:rPr>
                <w:sz w:val="20"/>
                <w:szCs w:val="20"/>
                <w:color w:val="auto"/>
              </w:rPr>
            </w:pPr>
            <w:r>
              <w:rPr>
                <w:rFonts w:ascii="Arial" w:cs="Arial" w:eastAsia="Arial" w:hAnsi="Arial"/>
                <w:sz w:val="15"/>
                <w:szCs w:val="15"/>
                <w:color w:val="auto"/>
              </w:rPr>
              <w:t>United States</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45.5</w:t>
            </w: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32.5</w:t>
            </w:r>
          </w:p>
        </w:tc>
        <w:tc>
          <w:tcPr>
            <w:tcW w:w="20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39.8%</w:t>
            </w: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39.8%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68.7</w:t>
            </w:r>
          </w:p>
        </w:tc>
        <w:tc>
          <w:tcPr>
            <w:tcW w:w="3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49.3</w:t>
            </w:r>
          </w:p>
        </w:tc>
        <w:tc>
          <w:tcPr>
            <w:tcW w:w="280" w:type="dxa"/>
            <w:vAlign w:val="bottom"/>
          </w:tcPr>
          <w:p>
            <w:pPr>
              <w:spacing w:after="0"/>
              <w:rPr>
                <w:sz w:val="16"/>
                <w:szCs w:val="16"/>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5"/>
                <w:szCs w:val="15"/>
                <w:color w:val="auto"/>
              </w:rPr>
              <w:t>39.3%</w:t>
            </w:r>
          </w:p>
        </w:tc>
        <w:tc>
          <w:tcPr>
            <w:tcW w:w="820" w:type="dxa"/>
            <w:vAlign w:val="bottom"/>
            <w:gridSpan w:val="3"/>
          </w:tcPr>
          <w:p>
            <w:pPr>
              <w:jc w:val="right"/>
              <w:spacing w:after="0"/>
              <w:rPr>
                <w:sz w:val="20"/>
                <w:szCs w:val="20"/>
                <w:color w:val="auto"/>
              </w:rPr>
            </w:pPr>
            <w:r>
              <w:rPr>
                <w:rFonts w:ascii="Arial" w:cs="Arial" w:eastAsia="Arial" w:hAnsi="Arial"/>
                <w:sz w:val="15"/>
                <w:szCs w:val="15"/>
                <w:color w:val="auto"/>
              </w:rPr>
              <w:t>39.3%</w:t>
            </w:r>
          </w:p>
        </w:tc>
        <w:tc>
          <w:tcPr>
            <w:tcW w:w="0" w:type="dxa"/>
            <w:vAlign w:val="bottom"/>
          </w:tcPr>
          <w:p>
            <w:pPr>
              <w:spacing w:after="0"/>
              <w:rPr>
                <w:sz w:val="1"/>
                <w:szCs w:val="1"/>
                <w:color w:val="auto"/>
              </w:rPr>
            </w:pPr>
          </w:p>
        </w:tc>
      </w:tr>
      <w:tr>
        <w:trPr>
          <w:trHeight w:val="188"/>
        </w:trPr>
        <w:tc>
          <w:tcPr>
            <w:tcW w:w="44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France</w:t>
            </w: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121.0</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123.7</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-2.1%</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-4.5%</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168.7</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178.8</w:t>
            </w:r>
          </w:p>
        </w:tc>
        <w:tc>
          <w:tcPr>
            <w:tcW w:w="2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-5.6%</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-4.8%</w:t>
            </w:r>
          </w:p>
        </w:tc>
        <w:tc>
          <w:tcPr>
            <w:tcW w:w="0" w:type="dxa"/>
            <w:vAlign w:val="bottom"/>
          </w:tcPr>
          <w:p>
            <w:pPr>
              <w:spacing w:after="0"/>
              <w:rPr>
                <w:sz w:val="1"/>
                <w:szCs w:val="1"/>
                <w:color w:val="auto"/>
              </w:rPr>
            </w:pPr>
          </w:p>
        </w:tc>
      </w:tr>
      <w:tr>
        <w:trPr>
          <w:trHeight w:val="188"/>
        </w:trPr>
        <w:tc>
          <w:tcPr>
            <w:tcW w:w="4440" w:type="dxa"/>
            <w:vAlign w:val="bottom"/>
            <w:gridSpan w:val="2"/>
          </w:tcPr>
          <w:p>
            <w:pPr>
              <w:spacing w:after="0"/>
              <w:rPr>
                <w:sz w:val="20"/>
                <w:szCs w:val="20"/>
                <w:color w:val="auto"/>
              </w:rPr>
            </w:pPr>
            <w:r>
              <w:rPr>
                <w:rFonts w:ascii="Arial" w:cs="Arial" w:eastAsia="Arial" w:hAnsi="Arial"/>
                <w:sz w:val="15"/>
                <w:szCs w:val="15"/>
                <w:color w:val="auto"/>
              </w:rPr>
              <w:t>EMEA</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92.2</w:t>
            </w: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75.3</w:t>
            </w:r>
          </w:p>
        </w:tc>
        <w:tc>
          <w:tcPr>
            <w:tcW w:w="20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22.3%</w:t>
            </w: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20.1%</w:t>
            </w:r>
          </w:p>
        </w:tc>
        <w:tc>
          <w:tcPr>
            <w:tcW w:w="80" w:type="dxa"/>
            <w:vAlign w:val="bottom"/>
          </w:tcPr>
          <w:p>
            <w:pPr>
              <w:spacing w:after="0"/>
              <w:rPr>
                <w:sz w:val="16"/>
                <w:szCs w:val="16"/>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144.1</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5"/>
                <w:szCs w:val="15"/>
                <w:color w:val="auto"/>
              </w:rPr>
              <w:t>116.9</w:t>
            </w:r>
          </w:p>
        </w:tc>
        <w:tc>
          <w:tcPr>
            <w:tcW w:w="600" w:type="dxa"/>
            <w:vAlign w:val="bottom"/>
            <w:gridSpan w:val="2"/>
          </w:tcPr>
          <w:p>
            <w:pPr>
              <w:jc w:val="right"/>
              <w:ind w:right="20"/>
              <w:spacing w:after="0"/>
              <w:rPr>
                <w:sz w:val="20"/>
                <w:szCs w:val="20"/>
                <w:color w:val="auto"/>
              </w:rPr>
            </w:pPr>
            <w:r>
              <w:rPr>
                <w:rFonts w:ascii="Arial" w:cs="Arial" w:eastAsia="Arial" w:hAnsi="Arial"/>
                <w:sz w:val="15"/>
                <w:szCs w:val="15"/>
                <w:color w:val="auto"/>
              </w:rPr>
              <w:t>23.1%</w:t>
            </w:r>
          </w:p>
        </w:tc>
        <w:tc>
          <w:tcPr>
            <w:tcW w:w="820" w:type="dxa"/>
            <w:vAlign w:val="bottom"/>
            <w:gridSpan w:val="3"/>
          </w:tcPr>
          <w:p>
            <w:pPr>
              <w:jc w:val="right"/>
              <w:spacing w:after="0"/>
              <w:rPr>
                <w:sz w:val="20"/>
                <w:szCs w:val="20"/>
                <w:color w:val="auto"/>
              </w:rPr>
            </w:pPr>
            <w:r>
              <w:rPr>
                <w:rFonts w:ascii="Arial" w:cs="Arial" w:eastAsia="Arial" w:hAnsi="Arial"/>
                <w:sz w:val="15"/>
                <w:szCs w:val="15"/>
                <w:color w:val="auto"/>
              </w:rPr>
              <w:t>25.9%</w:t>
            </w:r>
          </w:p>
        </w:tc>
        <w:tc>
          <w:tcPr>
            <w:tcW w:w="0" w:type="dxa"/>
            <w:vAlign w:val="bottom"/>
          </w:tcPr>
          <w:p>
            <w:pPr>
              <w:spacing w:after="0"/>
              <w:rPr>
                <w:sz w:val="1"/>
                <w:szCs w:val="1"/>
                <w:color w:val="auto"/>
              </w:rPr>
            </w:pPr>
          </w:p>
        </w:tc>
      </w:tr>
      <w:tr>
        <w:trPr>
          <w:trHeight w:val="188"/>
        </w:trPr>
        <w:tc>
          <w:tcPr>
            <w:tcW w:w="44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Jefferson Wells</w:t>
            </w: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28.9</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38.2</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-24.4%</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-24.4%</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33.3</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51.4</w:t>
            </w:r>
          </w:p>
        </w:tc>
        <w:tc>
          <w:tcPr>
            <w:tcW w:w="2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-35.2%</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-35.2%</w:t>
            </w:r>
          </w:p>
        </w:tc>
        <w:tc>
          <w:tcPr>
            <w:tcW w:w="0" w:type="dxa"/>
            <w:vAlign w:val="bottom"/>
          </w:tcPr>
          <w:p>
            <w:pPr>
              <w:spacing w:after="0"/>
              <w:rPr>
                <w:sz w:val="1"/>
                <w:szCs w:val="1"/>
                <w:color w:val="auto"/>
              </w:rPr>
            </w:pPr>
          </w:p>
        </w:tc>
      </w:tr>
      <w:tr>
        <w:trPr>
          <w:trHeight w:val="188"/>
        </w:trPr>
        <w:tc>
          <w:tcPr>
            <w:tcW w:w="4440" w:type="dxa"/>
            <w:vAlign w:val="bottom"/>
            <w:gridSpan w:val="2"/>
          </w:tcPr>
          <w:p>
            <w:pPr>
              <w:spacing w:after="0"/>
              <w:rPr>
                <w:sz w:val="20"/>
                <w:szCs w:val="20"/>
                <w:color w:val="auto"/>
              </w:rPr>
            </w:pPr>
            <w:r>
              <w:rPr>
                <w:rFonts w:ascii="Arial" w:cs="Arial" w:eastAsia="Arial" w:hAnsi="Arial"/>
                <w:sz w:val="15"/>
                <w:szCs w:val="15"/>
                <w:color w:val="auto"/>
              </w:rPr>
              <w:t>Right Management</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22.1</w:t>
            </w: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25.7</w:t>
            </w:r>
          </w:p>
        </w:tc>
        <w:tc>
          <w:tcPr>
            <w:tcW w:w="20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-13.9%</w:t>
            </w: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-16.4%</w:t>
            </w:r>
          </w:p>
        </w:tc>
        <w:tc>
          <w:tcPr>
            <w:tcW w:w="80" w:type="dxa"/>
            <w:vAlign w:val="bottom"/>
          </w:tcPr>
          <w:p>
            <w:pPr>
              <w:spacing w:after="0"/>
              <w:rPr>
                <w:sz w:val="16"/>
                <w:szCs w:val="16"/>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25.7</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25.4</w:t>
            </w:r>
          </w:p>
        </w:tc>
        <w:tc>
          <w:tcPr>
            <w:tcW w:w="280" w:type="dxa"/>
            <w:vAlign w:val="bottom"/>
          </w:tcPr>
          <w:p>
            <w:pPr>
              <w:spacing w:after="0"/>
              <w:rPr>
                <w:sz w:val="16"/>
                <w:szCs w:val="16"/>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5"/>
                <w:szCs w:val="15"/>
                <w:color w:val="auto"/>
              </w:rPr>
              <w:t>1.4%</w:t>
            </w:r>
          </w:p>
        </w:tc>
        <w:tc>
          <w:tcPr>
            <w:tcW w:w="820" w:type="dxa"/>
            <w:vAlign w:val="bottom"/>
            <w:gridSpan w:val="3"/>
          </w:tcPr>
          <w:p>
            <w:pPr>
              <w:jc w:val="right"/>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188"/>
        </w:trPr>
        <w:tc>
          <w:tcPr>
            <w:tcW w:w="44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 Operations</w:t>
            </w: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41.2</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35.1</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17.5%</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13.3%</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60.4</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45.3</w:t>
            </w:r>
          </w:p>
        </w:tc>
        <w:tc>
          <w:tcPr>
            <w:tcW w:w="2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33.3%</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31.0%</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9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350.9</w:t>
            </w: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330.5</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500.9</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467.1</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Corporate Expenses</w:t>
            </w: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43.1</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41.6</w:t>
            </w: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59.0</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57.0</w:t>
            </w: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440" w:type="dxa"/>
            <w:vAlign w:val="bottom"/>
            <w:gridSpan w:val="2"/>
          </w:tcPr>
          <w:p>
            <w:pPr>
              <w:spacing w:after="0"/>
              <w:rPr>
                <w:sz w:val="20"/>
                <w:szCs w:val="20"/>
                <w:color w:val="auto"/>
              </w:rPr>
            </w:pPr>
            <w:r>
              <w:rPr>
                <w:rFonts w:ascii="Arial" w:cs="Arial" w:eastAsia="Arial" w:hAnsi="Arial"/>
                <w:sz w:val="15"/>
                <w:szCs w:val="15"/>
                <w:color w:val="auto"/>
              </w:rPr>
              <w:t>Amortization of intangible assets</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9.8</w:t>
            </w: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9.0</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13.1</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12.3</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9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444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Operating profit</w:t>
            </w: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298.0</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279.9</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6.5%</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4.1%</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428.8</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397.8</w:t>
            </w:r>
          </w:p>
        </w:tc>
        <w:tc>
          <w:tcPr>
            <w:tcW w:w="2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7.8%</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8.4%</w:t>
            </w:r>
          </w:p>
        </w:tc>
        <w:tc>
          <w:tcPr>
            <w:tcW w:w="0" w:type="dxa"/>
            <w:vAlign w:val="bottom"/>
          </w:tcPr>
          <w:p>
            <w:pPr>
              <w:spacing w:after="0"/>
              <w:rPr>
                <w:sz w:val="1"/>
                <w:szCs w:val="1"/>
                <w:color w:val="auto"/>
              </w:rPr>
            </w:pPr>
          </w:p>
        </w:tc>
      </w:tr>
      <w:tr>
        <w:trPr>
          <w:trHeight w:val="188"/>
        </w:trPr>
        <w:tc>
          <w:tcPr>
            <w:tcW w:w="4440" w:type="dxa"/>
            <w:vAlign w:val="bottom"/>
            <w:gridSpan w:val="2"/>
          </w:tcPr>
          <w:p>
            <w:pPr>
              <w:spacing w:after="0"/>
              <w:rPr>
                <w:sz w:val="20"/>
                <w:szCs w:val="20"/>
                <w:color w:val="auto"/>
              </w:rPr>
            </w:pPr>
            <w:r>
              <w:rPr>
                <w:rFonts w:ascii="Arial" w:cs="Arial" w:eastAsia="Arial" w:hAnsi="Arial"/>
                <w:sz w:val="15"/>
                <w:szCs w:val="15"/>
                <w:color w:val="auto"/>
              </w:rPr>
              <w:t>Interest and other expenses</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34.8</w:t>
            </w: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17.3</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41.8</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26.2</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9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444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Earnings before income taxes and discontinued operations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263.2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262.6</w:t>
            </w: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387.0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371.6</w:t>
            </w: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940" w:type="dxa"/>
            <w:vAlign w:val="bottom"/>
            <w:tcBorders>
              <w:bottom w:val="single" w:sz="8" w:color="auto"/>
            </w:tcBorders>
          </w:tcPr>
          <w:p>
            <w:pPr>
              <w:spacing w:after="0"/>
              <w:rPr>
                <w:sz w:val="7"/>
                <w:szCs w:val="7"/>
                <w:color w:val="auto"/>
              </w:rPr>
            </w:pPr>
          </w:p>
        </w:tc>
        <w:tc>
          <w:tcPr>
            <w:tcW w:w="3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5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p>
    <w:p>
      <w:pPr>
        <w:ind w:left="446" w:hanging="446"/>
        <w:spacing w:after="0"/>
        <w:tabs>
          <w:tab w:leader="none" w:pos="446" w:val="left"/>
        </w:tabs>
        <w:numPr>
          <w:ilvl w:val="0"/>
          <w:numId w:val="16"/>
        </w:numPr>
        <w:rPr>
          <w:rFonts w:ascii="Arial" w:cs="Arial" w:eastAsia="Arial" w:hAnsi="Arial"/>
          <w:sz w:val="20"/>
          <w:szCs w:val="20"/>
          <w:color w:val="auto"/>
          <w:vertAlign w:val="superscript"/>
        </w:rPr>
      </w:pPr>
      <w:r>
        <w:rPr>
          <w:rFonts w:ascii="Arial" w:cs="Arial" w:eastAsia="Arial" w:hAnsi="Arial"/>
          <w:sz w:val="15"/>
          <w:szCs w:val="15"/>
          <w:color w:val="auto"/>
        </w:rPr>
        <w:t>Restatement for discontinued operations and reclass of segment results.</w:t>
      </w:r>
    </w:p>
    <w:p>
      <w:pPr>
        <w:sectPr>
          <w:pgSz w:w="11900" w:h="16838" w:orient="portrait"/>
          <w:cols w:equalWidth="0" w:num="1">
            <w:col w:w="11446"/>
          </w:cols>
          <w:pgMar w:left="234" w:top="262" w:right="219" w:bottom="1440" w:gutter="0" w:footer="0" w:header="0"/>
        </w:sectPr>
      </w:pPr>
    </w:p>
    <w:bookmarkStart w:id="38" w:name="page39"/>
    <w:bookmarkEnd w:id="38"/>
    <w:tbl>
      <w:tblPr>
        <w:tblLayout w:type="fixed"/>
        <w:tblInd w:w="6"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gridSpan w:val="3"/>
          </w:tcPr>
          <w:p>
            <w:pPr>
              <w:ind w:left="20"/>
              <w:spacing w:after="0"/>
              <w:rPr>
                <w:sz w:val="20"/>
                <w:szCs w:val="20"/>
                <w:color w:val="auto"/>
              </w:rPr>
            </w:pPr>
            <w:r>
              <w:rPr>
                <w:rFonts w:ascii="Arial" w:cs="Arial" w:eastAsia="Arial" w:hAnsi="Arial"/>
                <w:sz w:val="15"/>
                <w:szCs w:val="15"/>
                <w:color w:val="auto"/>
                <w:w w:val="89"/>
              </w:rPr>
              <w:t>(Page 9 of 9)</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660" w:type="dxa"/>
            <w:vAlign w:val="bottom"/>
            <w:gridSpan w:val="4"/>
          </w:tcPr>
          <w:p>
            <w:pPr>
              <w:jc w:val="center"/>
              <w:ind w:left="84"/>
              <w:spacing w:after="0"/>
              <w:rPr>
                <w:sz w:val="20"/>
                <w:szCs w:val="20"/>
                <w:color w:val="auto"/>
              </w:rPr>
            </w:pPr>
            <w:r>
              <w:rPr>
                <w:rFonts w:ascii="Arial" w:cs="Arial" w:eastAsia="Arial" w:hAnsi="Arial"/>
                <w:sz w:val="15"/>
                <w:szCs w:val="15"/>
                <w:color w:val="auto"/>
                <w:w w:val="95"/>
              </w:rPr>
              <w:t>Manpower Inc.</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3660" w:type="dxa"/>
            <w:vAlign w:val="bottom"/>
            <w:gridSpan w:val="4"/>
          </w:tcPr>
          <w:p>
            <w:pPr>
              <w:jc w:val="center"/>
              <w:ind w:left="104"/>
              <w:spacing w:after="0" w:line="188" w:lineRule="exact"/>
              <w:rPr>
                <w:sz w:val="20"/>
                <w:szCs w:val="20"/>
                <w:color w:val="auto"/>
              </w:rPr>
            </w:pPr>
            <w:r>
              <w:rPr>
                <w:rFonts w:ascii="Arial" w:cs="Arial" w:eastAsia="Arial" w:hAnsi="Arial"/>
                <w:sz w:val="15"/>
                <w:szCs w:val="15"/>
                <w:color w:val="auto"/>
                <w:w w:val="90"/>
              </w:rPr>
              <w:t xml:space="preserve">Results of Operations </w:t>
            </w:r>
            <w:r>
              <w:rPr>
                <w:rFonts w:ascii="Arial" w:cs="Arial" w:eastAsia="Arial" w:hAnsi="Arial"/>
                <w:sz w:val="19"/>
                <w:szCs w:val="19"/>
                <w:color w:val="auto"/>
                <w:w w:val="90"/>
                <w:vertAlign w:val="superscript"/>
              </w:rPr>
              <w:t>(1)</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3660" w:type="dxa"/>
            <w:vAlign w:val="bottom"/>
            <w:gridSpan w:val="4"/>
          </w:tcPr>
          <w:p>
            <w:pPr>
              <w:jc w:val="center"/>
              <w:ind w:left="84"/>
              <w:spacing w:after="0"/>
              <w:rPr>
                <w:sz w:val="20"/>
                <w:szCs w:val="20"/>
                <w:color w:val="auto"/>
              </w:rPr>
            </w:pPr>
            <w:r>
              <w:rPr>
                <w:rFonts w:ascii="Arial" w:cs="Arial" w:eastAsia="Arial" w:hAnsi="Arial"/>
                <w:sz w:val="15"/>
                <w:szCs w:val="15"/>
                <w:color w:val="auto"/>
                <w:w w:val="94"/>
              </w:rPr>
              <w:t>(Unaudited)</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3660" w:type="dxa"/>
            <w:vAlign w:val="bottom"/>
            <w:gridSpan w:val="4"/>
          </w:tcPr>
          <w:p>
            <w:pPr>
              <w:jc w:val="center"/>
              <w:ind w:left="84"/>
              <w:spacing w:after="0"/>
              <w:rPr>
                <w:sz w:val="20"/>
                <w:szCs w:val="20"/>
                <w:color w:val="auto"/>
              </w:rPr>
            </w:pPr>
            <w:r>
              <w:rPr>
                <w:rFonts w:ascii="Arial" w:cs="Arial" w:eastAsia="Arial" w:hAnsi="Arial"/>
                <w:sz w:val="15"/>
                <w:szCs w:val="15"/>
                <w:color w:val="auto"/>
              </w:rPr>
              <w:t>(In millions)</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0" w:type="dxa"/>
            <w:vAlign w:val="bottom"/>
            <w:gridSpan w:val="5"/>
          </w:tcPr>
          <w:p>
            <w:pPr>
              <w:jc w:val="right"/>
              <w:ind w:right="1160"/>
              <w:spacing w:after="0"/>
              <w:rPr>
                <w:sz w:val="20"/>
                <w:szCs w:val="20"/>
                <w:color w:val="auto"/>
              </w:rPr>
            </w:pPr>
            <w:r>
              <w:rPr>
                <w:rFonts w:ascii="Arial" w:cs="Arial" w:eastAsia="Arial" w:hAnsi="Arial"/>
                <w:sz w:val="12"/>
                <w:szCs w:val="12"/>
                <w:b w:val="1"/>
                <w:bCs w:val="1"/>
                <w:color w:val="auto"/>
              </w:rPr>
              <w:t>Three Months Ended March 31</w:t>
            </w:r>
          </w:p>
        </w:tc>
        <w:tc>
          <w:tcPr>
            <w:tcW w:w="160" w:type="dxa"/>
            <w:vAlign w:val="bottom"/>
          </w:tcPr>
          <w:p>
            <w:pPr>
              <w:spacing w:after="0"/>
              <w:rPr>
                <w:sz w:val="24"/>
                <w:szCs w:val="24"/>
                <w:color w:val="auto"/>
              </w:rPr>
            </w:pPr>
          </w:p>
        </w:tc>
        <w:tc>
          <w:tcPr>
            <w:tcW w:w="2320" w:type="dxa"/>
            <w:vAlign w:val="bottom"/>
            <w:gridSpan w:val="6"/>
          </w:tcPr>
          <w:p>
            <w:pPr>
              <w:jc w:val="right"/>
              <w:ind w:right="520"/>
              <w:spacing w:after="0"/>
              <w:rPr>
                <w:sz w:val="20"/>
                <w:szCs w:val="20"/>
                <w:color w:val="auto"/>
              </w:rPr>
            </w:pPr>
            <w:r>
              <w:rPr>
                <w:rFonts w:ascii="Arial" w:cs="Arial" w:eastAsia="Arial" w:hAnsi="Arial"/>
                <w:sz w:val="12"/>
                <w:szCs w:val="12"/>
                <w:b w:val="1"/>
                <w:bCs w:val="1"/>
                <w:color w:val="auto"/>
              </w:rPr>
              <w:t>Three Months Ended June 30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660" w:type="dxa"/>
            <w:vAlign w:val="bottom"/>
            <w:tcBorders>
              <w:top w:val="single" w:sz="8" w:color="auto"/>
            </w:tcBorders>
            <w:gridSpan w:val="3"/>
          </w:tcPr>
          <w:p>
            <w:pPr>
              <w:jc w:val="center"/>
              <w:ind w:right="740"/>
              <w:spacing w:after="0" w:line="121" w:lineRule="exact"/>
              <w:rPr>
                <w:sz w:val="20"/>
                <w:szCs w:val="20"/>
                <w:color w:val="auto"/>
              </w:rPr>
            </w:pPr>
            <w:r>
              <w:rPr>
                <w:rFonts w:ascii="Arial" w:cs="Arial" w:eastAsia="Arial" w:hAnsi="Arial"/>
                <w:sz w:val="12"/>
                <w:szCs w:val="12"/>
                <w:b w:val="1"/>
                <w:bCs w:val="1"/>
                <w:color w:val="auto"/>
                <w:w w:val="91"/>
              </w:rPr>
              <w:t>Quarter to Date</w:t>
            </w:r>
          </w:p>
        </w:tc>
        <w:tc>
          <w:tcPr>
            <w:tcW w:w="760" w:type="dxa"/>
            <w:vAlign w:val="bottom"/>
            <w:tcBorders>
              <w:top w:val="single" w:sz="8" w:color="auto"/>
            </w:tcBorders>
            <w:gridSpan w:val="2"/>
          </w:tcPr>
          <w:p>
            <w:pPr>
              <w:jc w:val="center"/>
              <w:spacing w:after="0" w:line="121" w:lineRule="exact"/>
              <w:rPr>
                <w:sz w:val="20"/>
                <w:szCs w:val="20"/>
                <w:color w:val="auto"/>
              </w:rPr>
            </w:pPr>
            <w:r>
              <w:rPr>
                <w:rFonts w:ascii="Arial" w:cs="Arial" w:eastAsia="Arial" w:hAnsi="Arial"/>
                <w:sz w:val="12"/>
                <w:szCs w:val="12"/>
                <w:b w:val="1"/>
                <w:bCs w:val="1"/>
                <w:color w:val="auto"/>
                <w:w w:val="91"/>
              </w:rPr>
              <w:t>Year to Date</w:t>
            </w:r>
          </w:p>
        </w:tc>
        <w:tc>
          <w:tcPr>
            <w:tcW w:w="740" w:type="dxa"/>
            <w:vAlign w:val="bottom"/>
          </w:tcPr>
          <w:p>
            <w:pPr>
              <w:spacing w:after="0"/>
              <w:rPr>
                <w:sz w:val="10"/>
                <w:szCs w:val="10"/>
                <w:color w:val="auto"/>
              </w:rPr>
            </w:pPr>
          </w:p>
        </w:tc>
        <w:tc>
          <w:tcPr>
            <w:tcW w:w="1320" w:type="dxa"/>
            <w:vAlign w:val="bottom"/>
            <w:tcBorders>
              <w:top w:val="single" w:sz="8" w:color="auto"/>
            </w:tcBorders>
            <w:gridSpan w:val="3"/>
          </w:tcPr>
          <w:p>
            <w:pPr>
              <w:jc w:val="center"/>
              <w:ind w:right="400"/>
              <w:spacing w:after="0" w:line="121" w:lineRule="exact"/>
              <w:rPr>
                <w:sz w:val="20"/>
                <w:szCs w:val="20"/>
                <w:color w:val="auto"/>
              </w:rPr>
            </w:pPr>
            <w:r>
              <w:rPr>
                <w:rFonts w:ascii="Arial" w:cs="Arial" w:eastAsia="Arial" w:hAnsi="Arial"/>
                <w:sz w:val="12"/>
                <w:szCs w:val="12"/>
                <w:b w:val="1"/>
                <w:bCs w:val="1"/>
                <w:color w:val="auto"/>
                <w:w w:val="91"/>
              </w:rPr>
              <w:t>Quarter to Date</w:t>
            </w:r>
          </w:p>
        </w:tc>
        <w:tc>
          <w:tcPr>
            <w:tcW w:w="3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jc w:val="center"/>
              <w:spacing w:after="0" w:line="121" w:lineRule="exact"/>
              <w:rPr>
                <w:sz w:val="20"/>
                <w:szCs w:val="20"/>
                <w:color w:val="auto"/>
              </w:rPr>
            </w:pPr>
            <w:r>
              <w:rPr>
                <w:rFonts w:ascii="Arial" w:cs="Arial" w:eastAsia="Arial" w:hAnsi="Arial"/>
                <w:sz w:val="12"/>
                <w:szCs w:val="12"/>
                <w:b w:val="1"/>
                <w:bCs w:val="1"/>
                <w:color w:val="auto"/>
                <w:w w:val="91"/>
              </w:rPr>
              <w:t>Year to Date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center"/>
              <w:ind w:right="86"/>
              <w:spacing w:after="0" w:line="121" w:lineRule="exact"/>
              <w:rPr>
                <w:sz w:val="20"/>
                <w:szCs w:val="20"/>
                <w:color w:val="auto"/>
              </w:rPr>
            </w:pPr>
            <w:r>
              <w:rPr>
                <w:rFonts w:ascii="Arial" w:cs="Arial" w:eastAsia="Arial" w:hAnsi="Arial"/>
                <w:sz w:val="12"/>
                <w:szCs w:val="12"/>
                <w:b w:val="1"/>
                <w:bCs w:val="1"/>
                <w:color w:val="auto"/>
                <w:w w:val="86"/>
              </w:rPr>
              <w:t>Restated</w:t>
            </w:r>
          </w:p>
        </w:tc>
        <w:tc>
          <w:tcPr>
            <w:tcW w:w="740" w:type="dxa"/>
            <w:vAlign w:val="bottom"/>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center"/>
              <w:ind w:right="46"/>
              <w:spacing w:after="0" w:line="121" w:lineRule="exact"/>
              <w:rPr>
                <w:sz w:val="20"/>
                <w:szCs w:val="20"/>
                <w:color w:val="auto"/>
              </w:rPr>
            </w:pPr>
            <w:r>
              <w:rPr>
                <w:rFonts w:ascii="Arial" w:cs="Arial" w:eastAsia="Arial" w:hAnsi="Arial"/>
                <w:sz w:val="12"/>
                <w:szCs w:val="12"/>
                <w:b w:val="1"/>
                <w:bCs w:val="1"/>
                <w:color w:val="auto"/>
                <w:w w:val="86"/>
              </w:rPr>
              <w:t>Restated</w:t>
            </w:r>
          </w:p>
        </w:tc>
        <w:tc>
          <w:tcPr>
            <w:tcW w:w="740" w:type="dxa"/>
            <w:vAlign w:val="bottom"/>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center"/>
              <w:ind w:right="86"/>
              <w:spacing w:after="0" w:line="121" w:lineRule="exact"/>
              <w:rPr>
                <w:sz w:val="20"/>
                <w:szCs w:val="20"/>
                <w:color w:val="auto"/>
              </w:rPr>
            </w:pPr>
            <w:r>
              <w:rPr>
                <w:rFonts w:ascii="Arial" w:cs="Arial" w:eastAsia="Arial" w:hAnsi="Arial"/>
                <w:sz w:val="12"/>
                <w:szCs w:val="12"/>
                <w:b w:val="1"/>
                <w:bCs w:val="1"/>
                <w:color w:val="auto"/>
                <w:w w:val="86"/>
              </w:rPr>
              <w:t>Restated</w:t>
            </w: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center"/>
              <w:ind w:right="45"/>
              <w:spacing w:after="0" w:line="121" w:lineRule="exact"/>
              <w:rPr>
                <w:sz w:val="20"/>
                <w:szCs w:val="20"/>
                <w:color w:val="auto"/>
              </w:rPr>
            </w:pPr>
            <w:r>
              <w:rPr>
                <w:rFonts w:ascii="Arial" w:cs="Arial" w:eastAsia="Arial" w:hAnsi="Arial"/>
                <w:sz w:val="12"/>
                <w:szCs w:val="12"/>
                <w:b w:val="1"/>
                <w:bCs w:val="1"/>
                <w:color w:val="auto"/>
                <w:w w:val="86"/>
              </w:rPr>
              <w:t>Restated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5"/>
                <w:szCs w:val="15"/>
                <w:color w:val="auto"/>
              </w:rPr>
              <w:t>2004</w:t>
            </w:r>
          </w:p>
        </w:tc>
        <w:tc>
          <w:tcPr>
            <w:tcW w:w="2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80" w:type="dxa"/>
            <w:vAlign w:val="bottom"/>
          </w:tcPr>
          <w:p>
            <w:pPr>
              <w:ind w:left="360"/>
              <w:spacing w:after="0"/>
              <w:rPr>
                <w:sz w:val="20"/>
                <w:szCs w:val="20"/>
                <w:color w:val="auto"/>
              </w:rPr>
            </w:pPr>
            <w:r>
              <w:rPr>
                <w:rFonts w:ascii="Arial" w:cs="Arial" w:eastAsia="Arial" w:hAnsi="Arial"/>
                <w:sz w:val="15"/>
                <w:szCs w:val="15"/>
                <w:color w:val="auto"/>
              </w:rPr>
              <w:t>Interest expense</w:t>
            </w:r>
          </w:p>
        </w:tc>
        <w:tc>
          <w:tcPr>
            <w:tcW w:w="2160" w:type="dxa"/>
            <w:vAlign w:val="bottom"/>
            <w:gridSpan w:val="2"/>
          </w:tcPr>
          <w:p>
            <w:pPr>
              <w:jc w:val="right"/>
              <w:ind w:right="41"/>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11.1</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00"/>
              <w:spacing w:after="0"/>
              <w:rPr>
                <w:sz w:val="20"/>
                <w:szCs w:val="20"/>
                <w:color w:val="auto"/>
              </w:rPr>
            </w:pPr>
            <w:r>
              <w:rPr>
                <w:rFonts w:ascii="Arial" w:cs="Arial" w:eastAsia="Arial" w:hAnsi="Arial"/>
                <w:sz w:val="15"/>
                <w:szCs w:val="15"/>
                <w:color w:val="auto"/>
              </w:rPr>
              <w:t>11.9</w:t>
            </w:r>
          </w:p>
        </w:tc>
        <w:tc>
          <w:tcPr>
            <w:tcW w:w="460" w:type="dxa"/>
            <w:vAlign w:val="bottom"/>
            <w:gridSpan w:val="2"/>
          </w:tcPr>
          <w:p>
            <w:pPr>
              <w:ind w:left="340"/>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5"/>
                <w:szCs w:val="15"/>
                <w:color w:val="auto"/>
              </w:rPr>
              <w:t>23.0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Interest income</w:t>
            </w:r>
          </w:p>
        </w:tc>
        <w:tc>
          <w:tcPr>
            <w:tcW w:w="2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5"/>
                <w:szCs w:val="15"/>
                <w:color w:val="auto"/>
              </w:rPr>
              <w:t>(2.4)</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(1.6)</w:t>
            </w: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80" w:type="dxa"/>
            <w:vAlign w:val="bottom"/>
          </w:tcPr>
          <w:p>
            <w:pPr>
              <w:ind w:left="360"/>
              <w:spacing w:after="0"/>
              <w:rPr>
                <w:sz w:val="20"/>
                <w:szCs w:val="20"/>
                <w:color w:val="auto"/>
              </w:rPr>
            </w:pPr>
            <w:r>
              <w:rPr>
                <w:rFonts w:ascii="Arial" w:cs="Arial" w:eastAsia="Arial" w:hAnsi="Arial"/>
                <w:sz w:val="15"/>
                <w:szCs w:val="15"/>
                <w:color w:val="auto"/>
              </w:rPr>
              <w:t>Foreign exchange loss (gain)</w:t>
            </w:r>
          </w:p>
        </w:tc>
        <w:tc>
          <w:tcPr>
            <w:tcW w:w="2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0.1</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5"/>
                <w:szCs w:val="15"/>
                <w:color w:val="auto"/>
              </w:rPr>
              <w:t>0.2</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Miscellaneous expense (income), net</w:t>
            </w:r>
          </w:p>
        </w:tc>
        <w:tc>
          <w:tcPr>
            <w:tcW w:w="2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5"/>
                <w:szCs w:val="15"/>
                <w:color w:val="auto"/>
              </w:rPr>
              <w:t>(12.7)</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1.7</w:t>
            </w: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vMerge w:val="restart"/>
          </w:tcPr>
          <w:p>
            <w:pPr>
              <w:ind w:left="720"/>
              <w:spacing w:after="0"/>
              <w:rPr>
                <w:sz w:val="20"/>
                <w:szCs w:val="20"/>
                <w:color w:val="auto"/>
              </w:rPr>
            </w:pPr>
            <w:r>
              <w:rPr>
                <w:rFonts w:ascii="Arial" w:cs="Arial" w:eastAsia="Arial" w:hAnsi="Arial"/>
                <w:sz w:val="15"/>
                <w:szCs w:val="15"/>
                <w:color w:val="auto"/>
              </w:rPr>
              <w:t>Interest and other expenses</w:t>
            </w:r>
          </w:p>
        </w:tc>
        <w:tc>
          <w:tcPr>
            <w:tcW w:w="2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3780" w:type="dxa"/>
            <w:vAlign w:val="bottom"/>
            <w:vMerge w:val="continue"/>
          </w:tcPr>
          <w:p>
            <w:pPr>
              <w:spacing w:after="0"/>
              <w:rPr>
                <w:sz w:val="16"/>
                <w:szCs w:val="16"/>
                <w:color w:val="auto"/>
              </w:rPr>
            </w:pPr>
          </w:p>
        </w:tc>
        <w:tc>
          <w:tcPr>
            <w:tcW w:w="2160" w:type="dxa"/>
            <w:vAlign w:val="bottom"/>
            <w:gridSpan w:val="2"/>
          </w:tcPr>
          <w:p>
            <w:pPr>
              <w:jc w:val="right"/>
              <w:ind w:right="41"/>
              <w:spacing w:after="0"/>
              <w:rPr>
                <w:sz w:val="20"/>
                <w:szCs w:val="20"/>
                <w:color w:val="auto"/>
              </w:rPr>
            </w:pPr>
            <w:r>
              <w:rPr>
                <w:rFonts w:ascii="Arial" w:cs="Arial" w:eastAsia="Arial" w:hAnsi="Arial"/>
                <w:sz w:val="15"/>
                <w:szCs w:val="15"/>
                <w:color w:val="auto"/>
              </w:rPr>
              <w:t>$</w:t>
            </w:r>
          </w:p>
        </w:tc>
        <w:tc>
          <w:tcPr>
            <w:tcW w:w="1500" w:type="dxa"/>
            <w:vAlign w:val="bottom"/>
            <w:gridSpan w:val="2"/>
          </w:tcPr>
          <w:p>
            <w:pPr>
              <w:jc w:val="right"/>
              <w:ind w:right="680"/>
              <w:spacing w:after="0"/>
              <w:rPr>
                <w:sz w:val="20"/>
                <w:szCs w:val="20"/>
                <w:color w:val="auto"/>
              </w:rPr>
            </w:pPr>
            <w:r>
              <w:rPr>
                <w:rFonts w:ascii="Arial" w:cs="Arial" w:eastAsia="Arial" w:hAnsi="Arial"/>
                <w:sz w:val="15"/>
                <w:szCs w:val="15"/>
                <w:color w:val="auto"/>
              </w:rPr>
              <w:t>(3.9)</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00"/>
              <w:spacing w:after="0"/>
              <w:rPr>
                <w:sz w:val="20"/>
                <w:szCs w:val="20"/>
                <w:color w:val="auto"/>
              </w:rPr>
            </w:pPr>
            <w:r>
              <w:rPr>
                <w:rFonts w:ascii="Arial" w:cs="Arial" w:eastAsia="Arial" w:hAnsi="Arial"/>
                <w:sz w:val="15"/>
                <w:szCs w:val="15"/>
                <w:color w:val="auto"/>
              </w:rPr>
              <w:t>12.2</w:t>
            </w:r>
          </w:p>
        </w:tc>
        <w:tc>
          <w:tcPr>
            <w:tcW w:w="460" w:type="dxa"/>
            <w:vAlign w:val="bottom"/>
            <w:gridSpan w:val="2"/>
          </w:tcPr>
          <w:p>
            <w:pPr>
              <w:ind w:left="340"/>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5"/>
                <w:szCs w:val="15"/>
                <w:color w:val="auto"/>
              </w:rPr>
              <w:t>30.3</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7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5"/>
                <w:szCs w:val="15"/>
                <w:color w:val="auto"/>
              </w:rPr>
              <w:t>2005</w:t>
            </w:r>
          </w:p>
        </w:tc>
        <w:tc>
          <w:tcPr>
            <w:tcW w:w="2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80" w:type="dxa"/>
            <w:vAlign w:val="bottom"/>
          </w:tcPr>
          <w:p>
            <w:pPr>
              <w:ind w:left="360"/>
              <w:spacing w:after="0"/>
              <w:rPr>
                <w:sz w:val="20"/>
                <w:szCs w:val="20"/>
                <w:color w:val="auto"/>
              </w:rPr>
            </w:pPr>
            <w:r>
              <w:rPr>
                <w:rFonts w:ascii="Arial" w:cs="Arial" w:eastAsia="Arial" w:hAnsi="Arial"/>
                <w:sz w:val="15"/>
                <w:szCs w:val="15"/>
                <w:color w:val="auto"/>
              </w:rPr>
              <w:t>Interest expense</w:t>
            </w:r>
          </w:p>
        </w:tc>
        <w:tc>
          <w:tcPr>
            <w:tcW w:w="2160" w:type="dxa"/>
            <w:vAlign w:val="bottom"/>
            <w:gridSpan w:val="2"/>
          </w:tcPr>
          <w:p>
            <w:pPr>
              <w:jc w:val="right"/>
              <w:ind w:right="41"/>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11.5</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00"/>
              <w:spacing w:after="0"/>
              <w:rPr>
                <w:sz w:val="20"/>
                <w:szCs w:val="20"/>
                <w:color w:val="auto"/>
              </w:rPr>
            </w:pPr>
            <w:r>
              <w:rPr>
                <w:rFonts w:ascii="Arial" w:cs="Arial" w:eastAsia="Arial" w:hAnsi="Arial"/>
                <w:sz w:val="15"/>
                <w:szCs w:val="15"/>
                <w:color w:val="auto"/>
              </w:rPr>
              <w:t>10.8</w:t>
            </w:r>
          </w:p>
        </w:tc>
        <w:tc>
          <w:tcPr>
            <w:tcW w:w="460" w:type="dxa"/>
            <w:vAlign w:val="bottom"/>
            <w:gridSpan w:val="2"/>
          </w:tcPr>
          <w:p>
            <w:pPr>
              <w:ind w:left="340"/>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5"/>
                <w:szCs w:val="15"/>
                <w:color w:val="auto"/>
              </w:rPr>
              <w:t>22.3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Interest income</w:t>
            </w:r>
          </w:p>
        </w:tc>
        <w:tc>
          <w:tcPr>
            <w:tcW w:w="2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5"/>
                <w:szCs w:val="15"/>
                <w:color w:val="auto"/>
              </w:rPr>
              <w:t>(2.3)</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(2.1)</w:t>
            </w: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80" w:type="dxa"/>
            <w:vAlign w:val="bottom"/>
          </w:tcPr>
          <w:p>
            <w:pPr>
              <w:ind w:left="360"/>
              <w:spacing w:after="0"/>
              <w:rPr>
                <w:sz w:val="20"/>
                <w:szCs w:val="20"/>
                <w:color w:val="auto"/>
              </w:rPr>
            </w:pPr>
            <w:r>
              <w:rPr>
                <w:rFonts w:ascii="Arial" w:cs="Arial" w:eastAsia="Arial" w:hAnsi="Arial"/>
                <w:sz w:val="15"/>
                <w:szCs w:val="15"/>
                <w:color w:val="auto"/>
              </w:rPr>
              <w:t>Foreign exchange loss (gain)</w:t>
            </w:r>
          </w:p>
        </w:tc>
        <w:tc>
          <w:tcPr>
            <w:tcW w:w="2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0.8</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5"/>
                <w:szCs w:val="15"/>
                <w:color w:val="auto"/>
              </w:rPr>
              <w:t>(0.6)</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Miscellaneous expense (income), net</w:t>
            </w:r>
          </w:p>
        </w:tc>
        <w:tc>
          <w:tcPr>
            <w:tcW w:w="2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w:t>
            </w: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3.1</w:t>
            </w: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vMerge w:val="restart"/>
          </w:tcPr>
          <w:p>
            <w:pPr>
              <w:ind w:left="720"/>
              <w:spacing w:after="0"/>
              <w:rPr>
                <w:sz w:val="20"/>
                <w:szCs w:val="20"/>
                <w:color w:val="auto"/>
              </w:rPr>
            </w:pPr>
            <w:r>
              <w:rPr>
                <w:rFonts w:ascii="Arial" w:cs="Arial" w:eastAsia="Arial" w:hAnsi="Arial"/>
                <w:sz w:val="15"/>
                <w:szCs w:val="15"/>
                <w:color w:val="auto"/>
              </w:rPr>
              <w:t>Interest and other expenses</w:t>
            </w:r>
          </w:p>
        </w:tc>
        <w:tc>
          <w:tcPr>
            <w:tcW w:w="2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3780" w:type="dxa"/>
            <w:vAlign w:val="bottom"/>
            <w:vMerge w:val="continue"/>
          </w:tcPr>
          <w:p>
            <w:pPr>
              <w:spacing w:after="0"/>
              <w:rPr>
                <w:sz w:val="16"/>
                <w:szCs w:val="16"/>
                <w:color w:val="auto"/>
              </w:rPr>
            </w:pPr>
          </w:p>
        </w:tc>
        <w:tc>
          <w:tcPr>
            <w:tcW w:w="2160" w:type="dxa"/>
            <w:vAlign w:val="bottom"/>
            <w:gridSpan w:val="2"/>
          </w:tcPr>
          <w:p>
            <w:pPr>
              <w:jc w:val="right"/>
              <w:ind w:right="41"/>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11.8</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00"/>
              <w:spacing w:after="0"/>
              <w:rPr>
                <w:sz w:val="20"/>
                <w:szCs w:val="20"/>
                <w:color w:val="auto"/>
              </w:rPr>
            </w:pPr>
            <w:r>
              <w:rPr>
                <w:rFonts w:ascii="Arial" w:cs="Arial" w:eastAsia="Arial" w:hAnsi="Arial"/>
                <w:sz w:val="15"/>
                <w:szCs w:val="15"/>
                <w:color w:val="auto"/>
              </w:rPr>
              <w:t>11.2</w:t>
            </w:r>
          </w:p>
        </w:tc>
        <w:tc>
          <w:tcPr>
            <w:tcW w:w="460" w:type="dxa"/>
            <w:vAlign w:val="bottom"/>
            <w:gridSpan w:val="2"/>
          </w:tcPr>
          <w:p>
            <w:pPr>
              <w:ind w:left="340"/>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5"/>
                <w:szCs w:val="15"/>
                <w:color w:val="auto"/>
              </w:rPr>
              <w:t>23.0</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7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5"/>
                <w:szCs w:val="15"/>
                <w:color w:val="auto"/>
              </w:rPr>
              <w:t>2006</w:t>
            </w:r>
          </w:p>
        </w:tc>
        <w:tc>
          <w:tcPr>
            <w:tcW w:w="2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80" w:type="dxa"/>
            <w:vAlign w:val="bottom"/>
          </w:tcPr>
          <w:p>
            <w:pPr>
              <w:ind w:left="360"/>
              <w:spacing w:after="0"/>
              <w:rPr>
                <w:sz w:val="20"/>
                <w:szCs w:val="20"/>
                <w:color w:val="auto"/>
              </w:rPr>
            </w:pPr>
            <w:r>
              <w:rPr>
                <w:rFonts w:ascii="Arial" w:cs="Arial" w:eastAsia="Arial" w:hAnsi="Arial"/>
                <w:sz w:val="15"/>
                <w:szCs w:val="15"/>
                <w:color w:val="auto"/>
              </w:rPr>
              <w:t>Interest expense</w:t>
            </w:r>
          </w:p>
        </w:tc>
        <w:tc>
          <w:tcPr>
            <w:tcW w:w="2160" w:type="dxa"/>
            <w:vAlign w:val="bottom"/>
            <w:gridSpan w:val="2"/>
          </w:tcPr>
          <w:p>
            <w:pPr>
              <w:jc w:val="right"/>
              <w:ind w:right="41"/>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11.6</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00"/>
              <w:spacing w:after="0"/>
              <w:rPr>
                <w:sz w:val="20"/>
                <w:szCs w:val="20"/>
                <w:color w:val="auto"/>
              </w:rPr>
            </w:pPr>
            <w:r>
              <w:rPr>
                <w:rFonts w:ascii="Arial" w:cs="Arial" w:eastAsia="Arial" w:hAnsi="Arial"/>
                <w:sz w:val="15"/>
                <w:szCs w:val="15"/>
                <w:color w:val="auto"/>
              </w:rPr>
              <w:t>13.1</w:t>
            </w:r>
          </w:p>
        </w:tc>
        <w:tc>
          <w:tcPr>
            <w:tcW w:w="460" w:type="dxa"/>
            <w:vAlign w:val="bottom"/>
            <w:gridSpan w:val="2"/>
          </w:tcPr>
          <w:p>
            <w:pPr>
              <w:ind w:left="340"/>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5"/>
                <w:szCs w:val="15"/>
                <w:color w:val="auto"/>
              </w:rPr>
              <w:t>24.7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Interest income</w:t>
            </w:r>
          </w:p>
        </w:tc>
        <w:tc>
          <w:tcPr>
            <w:tcW w:w="2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5"/>
                <w:szCs w:val="15"/>
                <w:color w:val="auto"/>
              </w:rPr>
              <w:t>(3.3)</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(3.8)</w:t>
            </w: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(7.1)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80" w:type="dxa"/>
            <w:vAlign w:val="bottom"/>
          </w:tcPr>
          <w:p>
            <w:pPr>
              <w:ind w:left="360"/>
              <w:spacing w:after="0"/>
              <w:rPr>
                <w:sz w:val="20"/>
                <w:szCs w:val="20"/>
                <w:color w:val="auto"/>
              </w:rPr>
            </w:pPr>
            <w:r>
              <w:rPr>
                <w:rFonts w:ascii="Arial" w:cs="Arial" w:eastAsia="Arial" w:hAnsi="Arial"/>
                <w:sz w:val="15"/>
                <w:szCs w:val="15"/>
                <w:color w:val="auto"/>
              </w:rPr>
              <w:t>Foreign exchange loss (gain)</w:t>
            </w:r>
          </w:p>
        </w:tc>
        <w:tc>
          <w:tcPr>
            <w:tcW w:w="2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0.9</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5"/>
                <w:szCs w:val="15"/>
                <w:color w:val="auto"/>
              </w:rPr>
              <w:t>1.3</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5"/>
                <w:szCs w:val="15"/>
                <w:color w:val="auto"/>
              </w:rPr>
              <w:t>2.2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Miscellaneous expense (income), net</w:t>
            </w:r>
          </w:p>
        </w:tc>
        <w:tc>
          <w:tcPr>
            <w:tcW w:w="2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w:t>
            </w: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1.9</w:t>
            </w: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vMerge w:val="restart"/>
          </w:tcPr>
          <w:p>
            <w:pPr>
              <w:ind w:left="720"/>
              <w:spacing w:after="0"/>
              <w:rPr>
                <w:sz w:val="20"/>
                <w:szCs w:val="20"/>
                <w:color w:val="auto"/>
              </w:rPr>
            </w:pPr>
            <w:r>
              <w:rPr>
                <w:rFonts w:ascii="Arial" w:cs="Arial" w:eastAsia="Arial" w:hAnsi="Arial"/>
                <w:sz w:val="15"/>
                <w:szCs w:val="15"/>
                <w:color w:val="auto"/>
              </w:rPr>
              <w:t>Interest and other expenses</w:t>
            </w:r>
          </w:p>
        </w:tc>
        <w:tc>
          <w:tcPr>
            <w:tcW w:w="2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3780" w:type="dxa"/>
            <w:vAlign w:val="bottom"/>
            <w:vMerge w:val="continue"/>
          </w:tcPr>
          <w:p>
            <w:pPr>
              <w:spacing w:after="0"/>
              <w:rPr>
                <w:sz w:val="16"/>
                <w:szCs w:val="16"/>
                <w:color w:val="auto"/>
              </w:rPr>
            </w:pPr>
          </w:p>
        </w:tc>
        <w:tc>
          <w:tcPr>
            <w:tcW w:w="2160" w:type="dxa"/>
            <w:vAlign w:val="bottom"/>
            <w:gridSpan w:val="2"/>
          </w:tcPr>
          <w:p>
            <w:pPr>
              <w:jc w:val="right"/>
              <w:ind w:right="41"/>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13.0</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00"/>
              <w:spacing w:after="0"/>
              <w:rPr>
                <w:sz w:val="20"/>
                <w:szCs w:val="20"/>
                <w:color w:val="auto"/>
              </w:rPr>
            </w:pPr>
            <w:r>
              <w:rPr>
                <w:rFonts w:ascii="Arial" w:cs="Arial" w:eastAsia="Arial" w:hAnsi="Arial"/>
                <w:sz w:val="15"/>
                <w:szCs w:val="15"/>
                <w:color w:val="auto"/>
              </w:rPr>
              <w:t>12.5</w:t>
            </w:r>
          </w:p>
        </w:tc>
        <w:tc>
          <w:tcPr>
            <w:tcW w:w="460" w:type="dxa"/>
            <w:vAlign w:val="bottom"/>
            <w:gridSpan w:val="2"/>
          </w:tcPr>
          <w:p>
            <w:pPr>
              <w:ind w:left="340"/>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5"/>
                <w:szCs w:val="15"/>
                <w:color w:val="auto"/>
              </w:rPr>
              <w:t>25.5</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0" w:type="dxa"/>
            <w:vAlign w:val="bottom"/>
            <w:gridSpan w:val="5"/>
          </w:tcPr>
          <w:p>
            <w:pPr>
              <w:jc w:val="right"/>
              <w:ind w:right="1060"/>
              <w:spacing w:after="0"/>
              <w:rPr>
                <w:sz w:val="20"/>
                <w:szCs w:val="20"/>
                <w:color w:val="auto"/>
              </w:rPr>
            </w:pPr>
            <w:r>
              <w:rPr>
                <w:rFonts w:ascii="Arial" w:cs="Arial" w:eastAsia="Arial" w:hAnsi="Arial"/>
                <w:sz w:val="12"/>
                <w:szCs w:val="12"/>
                <w:b w:val="1"/>
                <w:bCs w:val="1"/>
                <w:color w:val="auto"/>
                <w:w w:val="95"/>
              </w:rPr>
              <w:t>Three Months Ended September 30</w:t>
            </w:r>
          </w:p>
        </w:tc>
        <w:tc>
          <w:tcPr>
            <w:tcW w:w="160" w:type="dxa"/>
            <w:vAlign w:val="bottom"/>
          </w:tcPr>
          <w:p>
            <w:pPr>
              <w:spacing w:after="0"/>
              <w:rPr>
                <w:sz w:val="24"/>
                <w:szCs w:val="24"/>
                <w:color w:val="auto"/>
              </w:rPr>
            </w:pPr>
          </w:p>
        </w:tc>
        <w:tc>
          <w:tcPr>
            <w:tcW w:w="2320" w:type="dxa"/>
            <w:vAlign w:val="bottom"/>
            <w:gridSpan w:val="6"/>
          </w:tcPr>
          <w:p>
            <w:pPr>
              <w:jc w:val="right"/>
              <w:ind w:right="400"/>
              <w:spacing w:after="0"/>
              <w:rPr>
                <w:sz w:val="20"/>
                <w:szCs w:val="20"/>
                <w:color w:val="auto"/>
              </w:rPr>
            </w:pPr>
            <w:r>
              <w:rPr>
                <w:rFonts w:ascii="Arial" w:cs="Arial" w:eastAsia="Arial" w:hAnsi="Arial"/>
                <w:sz w:val="12"/>
                <w:szCs w:val="12"/>
                <w:b w:val="1"/>
                <w:bCs w:val="1"/>
                <w:color w:val="auto"/>
                <w:w w:val="96"/>
              </w:rPr>
              <w:t>Three Months Ended December 31</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660" w:type="dxa"/>
            <w:vAlign w:val="bottom"/>
            <w:tcBorders>
              <w:top w:val="single" w:sz="8" w:color="auto"/>
            </w:tcBorders>
            <w:gridSpan w:val="3"/>
          </w:tcPr>
          <w:p>
            <w:pPr>
              <w:jc w:val="center"/>
              <w:ind w:right="740"/>
              <w:spacing w:after="0" w:line="121" w:lineRule="exact"/>
              <w:rPr>
                <w:sz w:val="20"/>
                <w:szCs w:val="20"/>
                <w:color w:val="auto"/>
              </w:rPr>
            </w:pPr>
            <w:r>
              <w:rPr>
                <w:rFonts w:ascii="Arial" w:cs="Arial" w:eastAsia="Arial" w:hAnsi="Arial"/>
                <w:sz w:val="12"/>
                <w:szCs w:val="12"/>
                <w:b w:val="1"/>
                <w:bCs w:val="1"/>
                <w:color w:val="auto"/>
                <w:w w:val="91"/>
              </w:rPr>
              <w:t>Quarter to Date</w:t>
            </w:r>
          </w:p>
        </w:tc>
        <w:tc>
          <w:tcPr>
            <w:tcW w:w="760" w:type="dxa"/>
            <w:vAlign w:val="bottom"/>
            <w:tcBorders>
              <w:top w:val="single" w:sz="8" w:color="auto"/>
            </w:tcBorders>
            <w:gridSpan w:val="2"/>
          </w:tcPr>
          <w:p>
            <w:pPr>
              <w:jc w:val="center"/>
              <w:spacing w:after="0" w:line="121" w:lineRule="exact"/>
              <w:rPr>
                <w:sz w:val="20"/>
                <w:szCs w:val="20"/>
                <w:color w:val="auto"/>
              </w:rPr>
            </w:pPr>
            <w:r>
              <w:rPr>
                <w:rFonts w:ascii="Arial" w:cs="Arial" w:eastAsia="Arial" w:hAnsi="Arial"/>
                <w:sz w:val="12"/>
                <w:szCs w:val="12"/>
                <w:b w:val="1"/>
                <w:bCs w:val="1"/>
                <w:color w:val="auto"/>
                <w:w w:val="91"/>
              </w:rPr>
              <w:t>Year to Date</w:t>
            </w:r>
          </w:p>
        </w:tc>
        <w:tc>
          <w:tcPr>
            <w:tcW w:w="740" w:type="dxa"/>
            <w:vAlign w:val="bottom"/>
          </w:tcPr>
          <w:p>
            <w:pPr>
              <w:spacing w:after="0"/>
              <w:rPr>
                <w:sz w:val="10"/>
                <w:szCs w:val="10"/>
                <w:color w:val="auto"/>
              </w:rPr>
            </w:pPr>
          </w:p>
        </w:tc>
        <w:tc>
          <w:tcPr>
            <w:tcW w:w="1320" w:type="dxa"/>
            <w:vAlign w:val="bottom"/>
            <w:tcBorders>
              <w:top w:val="single" w:sz="8" w:color="auto"/>
            </w:tcBorders>
            <w:gridSpan w:val="3"/>
          </w:tcPr>
          <w:p>
            <w:pPr>
              <w:jc w:val="center"/>
              <w:ind w:right="400"/>
              <w:spacing w:after="0" w:line="121" w:lineRule="exact"/>
              <w:rPr>
                <w:sz w:val="20"/>
                <w:szCs w:val="20"/>
                <w:color w:val="auto"/>
              </w:rPr>
            </w:pPr>
            <w:r>
              <w:rPr>
                <w:rFonts w:ascii="Arial" w:cs="Arial" w:eastAsia="Arial" w:hAnsi="Arial"/>
                <w:sz w:val="12"/>
                <w:szCs w:val="12"/>
                <w:b w:val="1"/>
                <w:bCs w:val="1"/>
                <w:color w:val="auto"/>
                <w:w w:val="91"/>
              </w:rPr>
              <w:t>Quarter to Date</w:t>
            </w:r>
          </w:p>
        </w:tc>
        <w:tc>
          <w:tcPr>
            <w:tcW w:w="3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jc w:val="center"/>
              <w:spacing w:after="0" w:line="121" w:lineRule="exact"/>
              <w:rPr>
                <w:sz w:val="20"/>
                <w:szCs w:val="20"/>
                <w:color w:val="auto"/>
              </w:rPr>
            </w:pPr>
            <w:r>
              <w:rPr>
                <w:rFonts w:ascii="Arial" w:cs="Arial" w:eastAsia="Arial" w:hAnsi="Arial"/>
                <w:sz w:val="12"/>
                <w:szCs w:val="12"/>
                <w:b w:val="1"/>
                <w:bCs w:val="1"/>
                <w:color w:val="auto"/>
                <w:w w:val="91"/>
              </w:rPr>
              <w:t>Year to Date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center"/>
              <w:ind w:right="86"/>
              <w:spacing w:after="0" w:line="121" w:lineRule="exact"/>
              <w:rPr>
                <w:sz w:val="20"/>
                <w:szCs w:val="20"/>
                <w:color w:val="auto"/>
              </w:rPr>
            </w:pPr>
            <w:r>
              <w:rPr>
                <w:rFonts w:ascii="Arial" w:cs="Arial" w:eastAsia="Arial" w:hAnsi="Arial"/>
                <w:sz w:val="12"/>
                <w:szCs w:val="12"/>
                <w:b w:val="1"/>
                <w:bCs w:val="1"/>
                <w:color w:val="auto"/>
                <w:w w:val="86"/>
              </w:rPr>
              <w:t>Restated</w:t>
            </w:r>
          </w:p>
        </w:tc>
        <w:tc>
          <w:tcPr>
            <w:tcW w:w="740" w:type="dxa"/>
            <w:vAlign w:val="bottom"/>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center"/>
              <w:ind w:right="46"/>
              <w:spacing w:after="0" w:line="121" w:lineRule="exact"/>
              <w:rPr>
                <w:sz w:val="20"/>
                <w:szCs w:val="20"/>
                <w:color w:val="auto"/>
              </w:rPr>
            </w:pPr>
            <w:r>
              <w:rPr>
                <w:rFonts w:ascii="Arial" w:cs="Arial" w:eastAsia="Arial" w:hAnsi="Arial"/>
                <w:sz w:val="12"/>
                <w:szCs w:val="12"/>
                <w:b w:val="1"/>
                <w:bCs w:val="1"/>
                <w:color w:val="auto"/>
                <w:w w:val="86"/>
              </w:rPr>
              <w:t>Restated</w:t>
            </w:r>
          </w:p>
        </w:tc>
        <w:tc>
          <w:tcPr>
            <w:tcW w:w="740" w:type="dxa"/>
            <w:vAlign w:val="bottom"/>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center"/>
              <w:ind w:right="86"/>
              <w:spacing w:after="0" w:line="121" w:lineRule="exact"/>
              <w:rPr>
                <w:sz w:val="20"/>
                <w:szCs w:val="20"/>
                <w:color w:val="auto"/>
              </w:rPr>
            </w:pPr>
            <w:r>
              <w:rPr>
                <w:rFonts w:ascii="Arial" w:cs="Arial" w:eastAsia="Arial" w:hAnsi="Arial"/>
                <w:sz w:val="12"/>
                <w:szCs w:val="12"/>
                <w:b w:val="1"/>
                <w:bCs w:val="1"/>
                <w:color w:val="auto"/>
                <w:w w:val="86"/>
              </w:rPr>
              <w:t>Restated</w:t>
            </w: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center"/>
              <w:ind w:right="45"/>
              <w:spacing w:after="0" w:line="121" w:lineRule="exact"/>
              <w:rPr>
                <w:sz w:val="20"/>
                <w:szCs w:val="20"/>
                <w:color w:val="auto"/>
              </w:rPr>
            </w:pPr>
            <w:r>
              <w:rPr>
                <w:rFonts w:ascii="Arial" w:cs="Arial" w:eastAsia="Arial" w:hAnsi="Arial"/>
                <w:sz w:val="12"/>
                <w:szCs w:val="12"/>
                <w:b w:val="1"/>
                <w:bCs w:val="1"/>
                <w:color w:val="auto"/>
                <w:w w:val="86"/>
              </w:rPr>
              <w:t>Restated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5"/>
                <w:szCs w:val="15"/>
                <w:color w:val="auto"/>
              </w:rPr>
              <w:t>2004</w:t>
            </w:r>
          </w:p>
        </w:tc>
        <w:tc>
          <w:tcPr>
            <w:tcW w:w="2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80" w:type="dxa"/>
            <w:vAlign w:val="bottom"/>
          </w:tcPr>
          <w:p>
            <w:pPr>
              <w:ind w:left="360"/>
              <w:spacing w:after="0"/>
              <w:rPr>
                <w:sz w:val="20"/>
                <w:szCs w:val="20"/>
                <w:color w:val="auto"/>
              </w:rPr>
            </w:pPr>
            <w:r>
              <w:rPr>
                <w:rFonts w:ascii="Arial" w:cs="Arial" w:eastAsia="Arial" w:hAnsi="Arial"/>
                <w:sz w:val="15"/>
                <w:szCs w:val="15"/>
                <w:color w:val="auto"/>
              </w:rPr>
              <w:t>Interest expense</w:t>
            </w:r>
          </w:p>
        </w:tc>
        <w:tc>
          <w:tcPr>
            <w:tcW w:w="2160" w:type="dxa"/>
            <w:vAlign w:val="bottom"/>
            <w:gridSpan w:val="2"/>
          </w:tcPr>
          <w:p>
            <w:pPr>
              <w:jc w:val="right"/>
              <w:ind w:right="41"/>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10.9</w:t>
            </w:r>
          </w:p>
        </w:tc>
        <w:tc>
          <w:tcPr>
            <w:tcW w:w="7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740"/>
              <w:spacing w:after="0"/>
              <w:rPr>
                <w:sz w:val="20"/>
                <w:szCs w:val="20"/>
                <w:color w:val="auto"/>
              </w:rPr>
            </w:pPr>
            <w:r>
              <w:rPr>
                <w:rFonts w:ascii="Arial" w:cs="Arial" w:eastAsia="Arial" w:hAnsi="Arial"/>
                <w:sz w:val="15"/>
                <w:szCs w:val="15"/>
                <w:color w:val="auto"/>
              </w:rPr>
              <w:t>33.9</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00"/>
              <w:spacing w:after="0"/>
              <w:rPr>
                <w:sz w:val="20"/>
                <w:szCs w:val="20"/>
                <w:color w:val="auto"/>
              </w:rPr>
            </w:pPr>
            <w:r>
              <w:rPr>
                <w:rFonts w:ascii="Arial" w:cs="Arial" w:eastAsia="Arial" w:hAnsi="Arial"/>
                <w:sz w:val="15"/>
                <w:szCs w:val="15"/>
                <w:color w:val="auto"/>
              </w:rPr>
              <w:t>11.4</w:t>
            </w:r>
          </w:p>
        </w:tc>
        <w:tc>
          <w:tcPr>
            <w:tcW w:w="460" w:type="dxa"/>
            <w:vAlign w:val="bottom"/>
            <w:gridSpan w:val="2"/>
          </w:tcPr>
          <w:p>
            <w:pPr>
              <w:ind w:left="340"/>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5"/>
                <w:szCs w:val="15"/>
                <w:color w:val="auto"/>
              </w:rPr>
              <w:t>45.3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Interest income</w:t>
            </w:r>
          </w:p>
        </w:tc>
        <w:tc>
          <w:tcPr>
            <w:tcW w:w="2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5"/>
                <w:szCs w:val="15"/>
                <w:color w:val="auto"/>
              </w:rPr>
              <w:t>(2.2)</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5"/>
                <w:szCs w:val="15"/>
                <w:color w:val="auto"/>
              </w:rPr>
              <w:t>(6.2)</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(3.2)</w:t>
            </w: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(9.4)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80" w:type="dxa"/>
            <w:vAlign w:val="bottom"/>
          </w:tcPr>
          <w:p>
            <w:pPr>
              <w:ind w:left="360"/>
              <w:spacing w:after="0"/>
              <w:rPr>
                <w:sz w:val="20"/>
                <w:szCs w:val="20"/>
                <w:color w:val="auto"/>
              </w:rPr>
            </w:pPr>
            <w:r>
              <w:rPr>
                <w:rFonts w:ascii="Arial" w:cs="Arial" w:eastAsia="Arial" w:hAnsi="Arial"/>
                <w:sz w:val="15"/>
                <w:szCs w:val="15"/>
                <w:color w:val="auto"/>
              </w:rPr>
              <w:t>Foreign exchange loss (gain)</w:t>
            </w:r>
          </w:p>
        </w:tc>
        <w:tc>
          <w:tcPr>
            <w:tcW w:w="2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5"/>
                <w:szCs w:val="15"/>
                <w:color w:val="auto"/>
              </w:rPr>
              <w:t>(0.4)</w:t>
            </w:r>
          </w:p>
        </w:tc>
        <w:tc>
          <w:tcPr>
            <w:tcW w:w="120" w:type="dxa"/>
            <w:vAlign w:val="bottom"/>
          </w:tcPr>
          <w:p>
            <w:pPr>
              <w:spacing w:after="0"/>
              <w:rPr>
                <w:sz w:val="16"/>
                <w:szCs w:val="16"/>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5"/>
                <w:szCs w:val="15"/>
                <w:color w:val="auto"/>
              </w:rPr>
              <w:t>(0.1)</w:t>
            </w:r>
          </w:p>
        </w:tc>
        <w:tc>
          <w:tcPr>
            <w:tcW w:w="160" w:type="dxa"/>
            <w:vAlign w:val="bottom"/>
          </w:tcPr>
          <w:p>
            <w:pPr>
              <w:spacing w:after="0"/>
              <w:rPr>
                <w:sz w:val="16"/>
                <w:szCs w:val="16"/>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5"/>
                <w:szCs w:val="15"/>
                <w:color w:val="auto"/>
              </w:rPr>
              <w:t>(1.5)</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Miscellaneous expense (income), net</w:t>
            </w:r>
          </w:p>
        </w:tc>
        <w:tc>
          <w:tcPr>
            <w:tcW w:w="2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0.7</w:t>
            </w: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5"/>
                <w:szCs w:val="15"/>
                <w:color w:val="auto"/>
              </w:rPr>
              <w:t>(10.3)</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2.2</w:t>
            </w: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vMerge w:val="restart"/>
          </w:tcPr>
          <w:p>
            <w:pPr>
              <w:ind w:left="720"/>
              <w:spacing w:after="0"/>
              <w:rPr>
                <w:sz w:val="20"/>
                <w:szCs w:val="20"/>
                <w:color w:val="auto"/>
              </w:rPr>
            </w:pPr>
            <w:r>
              <w:rPr>
                <w:rFonts w:ascii="Arial" w:cs="Arial" w:eastAsia="Arial" w:hAnsi="Arial"/>
                <w:sz w:val="15"/>
                <w:szCs w:val="15"/>
                <w:color w:val="auto"/>
              </w:rPr>
              <w:t>Interest and other expenses</w:t>
            </w:r>
          </w:p>
        </w:tc>
        <w:tc>
          <w:tcPr>
            <w:tcW w:w="2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3780" w:type="dxa"/>
            <w:vAlign w:val="bottom"/>
            <w:vMerge w:val="continue"/>
          </w:tcPr>
          <w:p>
            <w:pPr>
              <w:spacing w:after="0"/>
              <w:rPr>
                <w:sz w:val="16"/>
                <w:szCs w:val="16"/>
                <w:color w:val="auto"/>
              </w:rPr>
            </w:pPr>
          </w:p>
        </w:tc>
        <w:tc>
          <w:tcPr>
            <w:tcW w:w="2160" w:type="dxa"/>
            <w:vAlign w:val="bottom"/>
            <w:gridSpan w:val="2"/>
          </w:tcPr>
          <w:p>
            <w:pPr>
              <w:jc w:val="right"/>
              <w:ind w:right="41"/>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9.0</w:t>
            </w:r>
          </w:p>
        </w:tc>
        <w:tc>
          <w:tcPr>
            <w:tcW w:w="7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740"/>
              <w:spacing w:after="0"/>
              <w:rPr>
                <w:sz w:val="20"/>
                <w:szCs w:val="20"/>
                <w:color w:val="auto"/>
              </w:rPr>
            </w:pPr>
            <w:r>
              <w:rPr>
                <w:rFonts w:ascii="Arial" w:cs="Arial" w:eastAsia="Arial" w:hAnsi="Arial"/>
                <w:sz w:val="15"/>
                <w:szCs w:val="15"/>
                <w:color w:val="auto"/>
              </w:rPr>
              <w:t>17.3</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00"/>
              <w:spacing w:after="0"/>
              <w:rPr>
                <w:sz w:val="20"/>
                <w:szCs w:val="20"/>
                <w:color w:val="auto"/>
              </w:rPr>
            </w:pPr>
            <w:r>
              <w:rPr>
                <w:rFonts w:ascii="Arial" w:cs="Arial" w:eastAsia="Arial" w:hAnsi="Arial"/>
                <w:sz w:val="15"/>
                <w:szCs w:val="15"/>
                <w:color w:val="auto"/>
              </w:rPr>
              <w:t>8.9</w:t>
            </w:r>
          </w:p>
        </w:tc>
        <w:tc>
          <w:tcPr>
            <w:tcW w:w="460" w:type="dxa"/>
            <w:vAlign w:val="bottom"/>
            <w:gridSpan w:val="2"/>
          </w:tcPr>
          <w:p>
            <w:pPr>
              <w:ind w:left="340"/>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5"/>
                <w:szCs w:val="15"/>
                <w:color w:val="auto"/>
              </w:rPr>
              <w:t>26.2</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7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5"/>
                <w:szCs w:val="15"/>
                <w:color w:val="auto"/>
              </w:rPr>
              <w:t>2005</w:t>
            </w:r>
          </w:p>
        </w:tc>
        <w:tc>
          <w:tcPr>
            <w:tcW w:w="2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80" w:type="dxa"/>
            <w:vAlign w:val="bottom"/>
          </w:tcPr>
          <w:p>
            <w:pPr>
              <w:ind w:left="360"/>
              <w:spacing w:after="0"/>
              <w:rPr>
                <w:sz w:val="20"/>
                <w:szCs w:val="20"/>
                <w:color w:val="auto"/>
              </w:rPr>
            </w:pPr>
            <w:r>
              <w:rPr>
                <w:rFonts w:ascii="Arial" w:cs="Arial" w:eastAsia="Arial" w:hAnsi="Arial"/>
                <w:sz w:val="15"/>
                <w:szCs w:val="15"/>
                <w:color w:val="auto"/>
              </w:rPr>
              <w:t>Interest expense</w:t>
            </w:r>
          </w:p>
        </w:tc>
        <w:tc>
          <w:tcPr>
            <w:tcW w:w="2160" w:type="dxa"/>
            <w:vAlign w:val="bottom"/>
            <w:gridSpan w:val="2"/>
          </w:tcPr>
          <w:p>
            <w:pPr>
              <w:jc w:val="right"/>
              <w:ind w:right="41"/>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12.4</w:t>
            </w:r>
          </w:p>
        </w:tc>
        <w:tc>
          <w:tcPr>
            <w:tcW w:w="7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740"/>
              <w:spacing w:after="0"/>
              <w:rPr>
                <w:sz w:val="20"/>
                <w:szCs w:val="20"/>
                <w:color w:val="auto"/>
              </w:rPr>
            </w:pPr>
            <w:r>
              <w:rPr>
                <w:rFonts w:ascii="Arial" w:cs="Arial" w:eastAsia="Arial" w:hAnsi="Arial"/>
                <w:sz w:val="15"/>
                <w:szCs w:val="15"/>
                <w:color w:val="auto"/>
              </w:rPr>
              <w:t>34.7</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00"/>
              <w:spacing w:after="0"/>
              <w:rPr>
                <w:sz w:val="20"/>
                <w:szCs w:val="20"/>
                <w:color w:val="auto"/>
              </w:rPr>
            </w:pPr>
            <w:r>
              <w:rPr>
                <w:rFonts w:ascii="Arial" w:cs="Arial" w:eastAsia="Arial" w:hAnsi="Arial"/>
                <w:sz w:val="15"/>
                <w:szCs w:val="15"/>
                <w:color w:val="auto"/>
              </w:rPr>
              <w:t>12.0</w:t>
            </w:r>
          </w:p>
        </w:tc>
        <w:tc>
          <w:tcPr>
            <w:tcW w:w="460" w:type="dxa"/>
            <w:vAlign w:val="bottom"/>
            <w:gridSpan w:val="2"/>
          </w:tcPr>
          <w:p>
            <w:pPr>
              <w:ind w:left="340"/>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5"/>
                <w:szCs w:val="15"/>
                <w:color w:val="auto"/>
              </w:rPr>
              <w:t>46.7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Interest income</w:t>
            </w:r>
          </w:p>
        </w:tc>
        <w:tc>
          <w:tcPr>
            <w:tcW w:w="2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5"/>
                <w:szCs w:val="15"/>
                <w:color w:val="auto"/>
              </w:rPr>
              <w:t>(2.0)</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5"/>
                <w:szCs w:val="15"/>
                <w:color w:val="auto"/>
              </w:rPr>
              <w:t>(6.4)</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(3.4)</w:t>
            </w: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(9.8)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80" w:type="dxa"/>
            <w:vAlign w:val="bottom"/>
          </w:tcPr>
          <w:p>
            <w:pPr>
              <w:ind w:left="360"/>
              <w:spacing w:after="0"/>
              <w:rPr>
                <w:sz w:val="20"/>
                <w:szCs w:val="20"/>
                <w:color w:val="auto"/>
              </w:rPr>
            </w:pPr>
            <w:r>
              <w:rPr>
                <w:rFonts w:ascii="Arial" w:cs="Arial" w:eastAsia="Arial" w:hAnsi="Arial"/>
                <w:sz w:val="15"/>
                <w:szCs w:val="15"/>
                <w:color w:val="auto"/>
              </w:rPr>
              <w:t>Foreign exchange loss (gain)</w:t>
            </w:r>
          </w:p>
        </w:tc>
        <w:tc>
          <w:tcPr>
            <w:tcW w:w="2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5"/>
                <w:szCs w:val="15"/>
                <w:color w:val="auto"/>
              </w:rPr>
              <w:t>(0.2)</w:t>
            </w:r>
          </w:p>
        </w:tc>
        <w:tc>
          <w:tcPr>
            <w:tcW w:w="120" w:type="dxa"/>
            <w:vAlign w:val="bottom"/>
          </w:tcPr>
          <w:p>
            <w:pPr>
              <w:spacing w:after="0"/>
              <w:rPr>
                <w:sz w:val="16"/>
                <w:szCs w:val="16"/>
                <w:color w:val="auto"/>
              </w:rPr>
            </w:pPr>
          </w:p>
        </w:tc>
        <w:tc>
          <w:tcPr>
            <w:tcW w:w="1380" w:type="dxa"/>
            <w:vAlign w:val="bottom"/>
            <w:gridSpan w:val="2"/>
          </w:tcPr>
          <w:p>
            <w:pPr>
              <w:jc w:val="right"/>
              <w:ind w:right="8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Miscellaneous expense (income), net</w:t>
            </w:r>
          </w:p>
        </w:tc>
        <w:tc>
          <w:tcPr>
            <w:tcW w:w="2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5"/>
                <w:szCs w:val="15"/>
                <w:color w:val="auto"/>
              </w:rPr>
              <w:t>6.5</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(1.6)</w:t>
            </w: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vMerge w:val="restart"/>
          </w:tcPr>
          <w:p>
            <w:pPr>
              <w:ind w:left="720"/>
              <w:spacing w:after="0"/>
              <w:rPr>
                <w:sz w:val="20"/>
                <w:szCs w:val="20"/>
                <w:color w:val="auto"/>
              </w:rPr>
            </w:pPr>
            <w:r>
              <w:rPr>
                <w:rFonts w:ascii="Arial" w:cs="Arial" w:eastAsia="Arial" w:hAnsi="Arial"/>
                <w:sz w:val="15"/>
                <w:szCs w:val="15"/>
                <w:color w:val="auto"/>
              </w:rPr>
              <w:t>Interest and other expenses</w:t>
            </w:r>
          </w:p>
        </w:tc>
        <w:tc>
          <w:tcPr>
            <w:tcW w:w="2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3780" w:type="dxa"/>
            <w:vAlign w:val="bottom"/>
            <w:vMerge w:val="continue"/>
          </w:tcPr>
          <w:p>
            <w:pPr>
              <w:spacing w:after="0"/>
              <w:rPr>
                <w:sz w:val="16"/>
                <w:szCs w:val="16"/>
                <w:color w:val="auto"/>
              </w:rPr>
            </w:pPr>
          </w:p>
        </w:tc>
        <w:tc>
          <w:tcPr>
            <w:tcW w:w="2160" w:type="dxa"/>
            <w:vAlign w:val="bottom"/>
            <w:gridSpan w:val="2"/>
          </w:tcPr>
          <w:p>
            <w:pPr>
              <w:jc w:val="right"/>
              <w:ind w:right="41"/>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11.8</w:t>
            </w:r>
          </w:p>
        </w:tc>
        <w:tc>
          <w:tcPr>
            <w:tcW w:w="7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740"/>
              <w:spacing w:after="0"/>
              <w:rPr>
                <w:sz w:val="20"/>
                <w:szCs w:val="20"/>
                <w:color w:val="auto"/>
              </w:rPr>
            </w:pPr>
            <w:r>
              <w:rPr>
                <w:rFonts w:ascii="Arial" w:cs="Arial" w:eastAsia="Arial" w:hAnsi="Arial"/>
                <w:sz w:val="15"/>
                <w:szCs w:val="15"/>
                <w:color w:val="auto"/>
              </w:rPr>
              <w:t>34.8</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00"/>
              <w:spacing w:after="0"/>
              <w:rPr>
                <w:sz w:val="20"/>
                <w:szCs w:val="20"/>
                <w:color w:val="auto"/>
              </w:rPr>
            </w:pPr>
            <w:r>
              <w:rPr>
                <w:rFonts w:ascii="Arial" w:cs="Arial" w:eastAsia="Arial" w:hAnsi="Arial"/>
                <w:sz w:val="15"/>
                <w:szCs w:val="15"/>
                <w:color w:val="auto"/>
              </w:rPr>
              <w:t>7.0</w:t>
            </w:r>
          </w:p>
        </w:tc>
        <w:tc>
          <w:tcPr>
            <w:tcW w:w="460" w:type="dxa"/>
            <w:vAlign w:val="bottom"/>
            <w:gridSpan w:val="2"/>
          </w:tcPr>
          <w:p>
            <w:pPr>
              <w:ind w:left="340"/>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5"/>
                <w:szCs w:val="15"/>
                <w:color w:val="auto"/>
              </w:rPr>
              <w:t>41.8</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7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5"/>
                <w:szCs w:val="15"/>
                <w:color w:val="auto"/>
              </w:rPr>
              <w:t>2006</w:t>
            </w:r>
          </w:p>
        </w:tc>
        <w:tc>
          <w:tcPr>
            <w:tcW w:w="2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80" w:type="dxa"/>
            <w:vAlign w:val="bottom"/>
          </w:tcPr>
          <w:p>
            <w:pPr>
              <w:ind w:left="360"/>
              <w:spacing w:after="0"/>
              <w:rPr>
                <w:sz w:val="20"/>
                <w:szCs w:val="20"/>
                <w:color w:val="auto"/>
              </w:rPr>
            </w:pPr>
            <w:r>
              <w:rPr>
                <w:rFonts w:ascii="Arial" w:cs="Arial" w:eastAsia="Arial" w:hAnsi="Arial"/>
                <w:sz w:val="15"/>
                <w:szCs w:val="15"/>
                <w:color w:val="auto"/>
              </w:rPr>
              <w:t>Interest expense</w:t>
            </w:r>
          </w:p>
        </w:tc>
        <w:tc>
          <w:tcPr>
            <w:tcW w:w="2160" w:type="dxa"/>
            <w:vAlign w:val="bottom"/>
            <w:gridSpan w:val="2"/>
          </w:tcPr>
          <w:p>
            <w:pPr>
              <w:jc w:val="right"/>
              <w:ind w:right="41"/>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14.4</w:t>
            </w:r>
          </w:p>
        </w:tc>
        <w:tc>
          <w:tcPr>
            <w:tcW w:w="7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740"/>
              <w:spacing w:after="0"/>
              <w:rPr>
                <w:sz w:val="20"/>
                <w:szCs w:val="20"/>
                <w:color w:val="auto"/>
              </w:rPr>
            </w:pPr>
            <w:r>
              <w:rPr>
                <w:rFonts w:ascii="Arial" w:cs="Arial" w:eastAsia="Arial" w:hAnsi="Arial"/>
                <w:sz w:val="15"/>
                <w:szCs w:val="15"/>
                <w:color w:val="auto"/>
              </w:rPr>
              <w:t>39.1</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Interest income</w:t>
            </w:r>
          </w:p>
        </w:tc>
        <w:tc>
          <w:tcPr>
            <w:tcW w:w="2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5"/>
                <w:szCs w:val="15"/>
                <w:color w:val="auto"/>
              </w:rPr>
              <w:t>(4.4)</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5"/>
                <w:szCs w:val="15"/>
                <w:color w:val="auto"/>
              </w:rPr>
              <w:t>(11.5)</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80" w:type="dxa"/>
            <w:vAlign w:val="bottom"/>
          </w:tcPr>
          <w:p>
            <w:pPr>
              <w:ind w:left="360"/>
              <w:spacing w:after="0"/>
              <w:rPr>
                <w:sz w:val="20"/>
                <w:szCs w:val="20"/>
                <w:color w:val="auto"/>
              </w:rPr>
            </w:pPr>
            <w:r>
              <w:rPr>
                <w:rFonts w:ascii="Arial" w:cs="Arial" w:eastAsia="Arial" w:hAnsi="Arial"/>
                <w:sz w:val="15"/>
                <w:szCs w:val="15"/>
                <w:color w:val="auto"/>
              </w:rPr>
              <w:t>Foreign exchange loss (gain)</w:t>
            </w:r>
          </w:p>
        </w:tc>
        <w:tc>
          <w:tcPr>
            <w:tcW w:w="2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0.3</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5"/>
                <w:szCs w:val="15"/>
                <w:color w:val="auto"/>
              </w:rPr>
              <w:t>2.5</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Miscellaneous expense (income), net</w:t>
            </w:r>
          </w:p>
        </w:tc>
        <w:tc>
          <w:tcPr>
            <w:tcW w:w="2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5"/>
                <w:szCs w:val="15"/>
                <w:color w:val="auto"/>
              </w:rPr>
              <w:t>6.0</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vMerge w:val="restart"/>
          </w:tcPr>
          <w:p>
            <w:pPr>
              <w:ind w:left="720"/>
              <w:spacing w:after="0"/>
              <w:rPr>
                <w:sz w:val="20"/>
                <w:szCs w:val="20"/>
                <w:color w:val="auto"/>
              </w:rPr>
            </w:pPr>
            <w:r>
              <w:rPr>
                <w:rFonts w:ascii="Arial" w:cs="Arial" w:eastAsia="Arial" w:hAnsi="Arial"/>
                <w:sz w:val="15"/>
                <w:szCs w:val="15"/>
                <w:color w:val="auto"/>
              </w:rPr>
              <w:t>Interest and other expenses</w:t>
            </w:r>
          </w:p>
        </w:tc>
        <w:tc>
          <w:tcPr>
            <w:tcW w:w="2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3780" w:type="dxa"/>
            <w:vAlign w:val="bottom"/>
            <w:vMerge w:val="continue"/>
          </w:tcPr>
          <w:p>
            <w:pPr>
              <w:spacing w:after="0"/>
              <w:rPr>
                <w:sz w:val="16"/>
                <w:szCs w:val="16"/>
                <w:color w:val="auto"/>
              </w:rPr>
            </w:pPr>
          </w:p>
        </w:tc>
        <w:tc>
          <w:tcPr>
            <w:tcW w:w="2160" w:type="dxa"/>
            <w:vAlign w:val="bottom"/>
            <w:gridSpan w:val="2"/>
          </w:tcPr>
          <w:p>
            <w:pPr>
              <w:jc w:val="right"/>
              <w:ind w:right="41"/>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10.6</w:t>
            </w:r>
          </w:p>
        </w:tc>
        <w:tc>
          <w:tcPr>
            <w:tcW w:w="7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740"/>
              <w:spacing w:after="0"/>
              <w:rPr>
                <w:sz w:val="20"/>
                <w:szCs w:val="20"/>
                <w:color w:val="auto"/>
              </w:rPr>
            </w:pPr>
            <w:r>
              <w:rPr>
                <w:rFonts w:ascii="Arial" w:cs="Arial" w:eastAsia="Arial" w:hAnsi="Arial"/>
                <w:sz w:val="15"/>
                <w:szCs w:val="15"/>
                <w:color w:val="auto"/>
              </w:rPr>
              <w:t>36.1</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4720" cy="247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60325</wp:posOffset>
            </wp:positionV>
            <wp:extent cx="59753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7535" cy="7620"/>
                    </a:xfrm>
                    <a:prstGeom prst="rect">
                      <a:avLst/>
                    </a:prstGeom>
                    <a:noFill/>
                  </pic:spPr>
                </pic:pic>
              </a:graphicData>
            </a:graphic>
          </wp:anchor>
        </w:drawing>
      </w:r>
    </w:p>
    <w:p>
      <w:pPr>
        <w:spacing w:after="0" w:line="138" w:lineRule="exact"/>
        <w:rPr>
          <w:sz w:val="20"/>
          <w:szCs w:val="20"/>
          <w:color w:val="auto"/>
        </w:rPr>
      </w:pPr>
    </w:p>
    <w:p>
      <w:pPr>
        <w:ind w:left="446" w:hanging="446"/>
        <w:spacing w:after="0"/>
        <w:tabs>
          <w:tab w:leader="none" w:pos="446" w:val="left"/>
        </w:tabs>
        <w:numPr>
          <w:ilvl w:val="0"/>
          <w:numId w:val="17"/>
        </w:numPr>
        <w:rPr>
          <w:rFonts w:ascii="Arial" w:cs="Arial" w:eastAsia="Arial" w:hAnsi="Arial"/>
          <w:sz w:val="20"/>
          <w:szCs w:val="20"/>
          <w:color w:val="auto"/>
          <w:vertAlign w:val="superscript"/>
        </w:rPr>
      </w:pPr>
      <w:r>
        <w:rPr>
          <w:rFonts w:ascii="Arial" w:cs="Arial" w:eastAsia="Arial" w:hAnsi="Arial"/>
          <w:sz w:val="15"/>
          <w:szCs w:val="15"/>
          <w:color w:val="auto"/>
        </w:rPr>
        <w:t>Restatement for discontinued operations.</w:t>
      </w:r>
    </w:p>
    <w:sectPr>
      <w:pgSz w:w="11900" w:h="16838" w:orient="portrait"/>
      <w:cols w:equalWidth="0" w:num="1">
        <w:col w:w="11446"/>
      </w:cols>
      <w:pgMar w:left="234" w:top="262"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lowerLetter"/>
      <w:start w:val="1"/>
    </w:lvl>
  </w:abstractNum>
  <w:abstractNum w:abstractNumId="2">
    <w:nsid w:val="4DB127F8"/>
    <w:multiLevelType w:val="hybridMultilevel"/>
    <w:lvl w:ilvl="0">
      <w:lvlJc w:val="left"/>
      <w:lvlText w:val="(%1)"/>
      <w:numFmt w:val="lowerLetter"/>
      <w:start w:val="1"/>
    </w:lvl>
  </w:abstractNum>
  <w:abstractNum w:abstractNumId="3">
    <w:nsid w:val="216231B"/>
    <w:multiLevelType w:val="hybridMultilevel"/>
    <w:lvl w:ilvl="0">
      <w:lvlJc w:val="left"/>
      <w:lvlText w:val="(%1)"/>
      <w:numFmt w:val="lowerLetter"/>
      <w:start w:val="1"/>
    </w:lvl>
  </w:abstractNum>
  <w:abstractNum w:abstractNumId="4">
    <w:nsid w:val="1F16E9E8"/>
    <w:multiLevelType w:val="hybridMultilevel"/>
    <w:lvl w:ilvl="0">
      <w:lvlJc w:val="left"/>
      <w:lvlText w:val="(%1)"/>
      <w:numFmt w:val="lowerLetter"/>
      <w:start w:val="1"/>
    </w:lvl>
  </w:abstractNum>
  <w:abstractNum w:abstractNumId="5">
    <w:nsid w:val="1190CDE7"/>
    <w:multiLevelType w:val="hybridMultilevel"/>
    <w:lvl w:ilvl="0">
      <w:lvlJc w:val="left"/>
      <w:lvlText w:val="(%1)"/>
      <w:numFmt w:val="upperLetter"/>
      <w:start w:val="29"/>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decimal"/>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2019-12-20T18:01:50Z</dcterms:created>
  <dcterms:modified xsi:type="dcterms:W3CDTF">2019-12-20T18:01:50Z</dcterms:modified>
</cp:coreProperties>
</file>