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ectPr>
          <w:pgSz w:w="11900" w:h="16838" w:orient="portrait"/>
          <w:cols w:equalWidth="0" w:num="1">
            <w:col w:w="11620"/>
          </w:cols>
          <w:pgMar w:left="140" w:top="125" w:right="139" w:bottom="1440" w:gutter="0" w:footer="0" w:header="0"/>
        </w:sectPr>
      </w:pPr>
    </w:p>
    <w:p>
      <w:pPr>
        <w:spacing w:after="0" w:line="6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5488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54883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60" w:space="380"/>
            <w:col w:w="8880"/>
          </w:cols>
          <w:pgMar w:left="140" w:top="125" w:right="13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SULLIVAN OWEN J</w:t>
        </w:r>
      </w:hyperlink>
    </w:p>
    <w:p>
      <w:pPr>
        <w:spacing w:after="0" w:line="317" w:lineRule="exact"/>
        <w:rPr>
          <w:sz w:val="24"/>
          <w:szCs w:val="24"/>
          <w:color w:val="auto"/>
        </w:rPr>
      </w:pPr>
    </w:p>
    <w:p>
      <w:pPr>
        <w:ind w:left="120"/>
        <w:spacing w:after="0"/>
        <w:tabs>
          <w:tab w:leader="none" w:pos="1400" w:val="left"/>
          <w:tab w:leader="none" w:pos="27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00" w:firstLine="4"/>
        <w:spacing w:after="0" w:line="231" w:lineRule="auto"/>
        <w:tabs>
          <w:tab w:leader="none" w:pos="14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1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00" w:type="dxa"/>
            <w:vAlign w:val="bottom"/>
          </w:tcPr>
          <w:p>
            <w:pPr>
              <w:ind w:left="3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00" w:type="dxa"/>
            <w:vAlign w:val="bottom"/>
          </w:tcPr>
          <w:p>
            <w:pPr>
              <w:ind w:left="36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3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36"/>
        <w:spacing w:after="0"/>
        <w:rPr>
          <w:sz w:val="20"/>
          <w:szCs w:val="20"/>
          <w:color w:val="auto"/>
        </w:rPr>
      </w:pPr>
      <w:r>
        <w:rPr>
          <w:rFonts w:ascii="Arial" w:cs="Arial" w:eastAsia="Arial" w:hAnsi="Arial"/>
          <w:sz w:val="16"/>
          <w:szCs w:val="16"/>
          <w:color w:val="0000FF"/>
        </w:rPr>
        <w:t>EVP Manpower CEO Right Mgmt.</w:t>
      </w:r>
    </w:p>
    <w:p>
      <w:pPr>
        <w:spacing w:after="0" w:line="338" w:lineRule="exact"/>
        <w:rPr>
          <w:sz w:val="24"/>
          <w:szCs w:val="24"/>
          <w:color w:val="auto"/>
        </w:rPr>
      </w:pPr>
    </w:p>
    <w:p>
      <w:pPr>
        <w:sectPr>
          <w:pgSz w:w="11900" w:h="16838" w:orient="portrait"/>
          <w:cols w:equalWidth="0" w:num="3">
            <w:col w:w="3420" w:space="720"/>
            <w:col w:w="3324" w:space="720"/>
            <w:col w:w="3436"/>
          </w:cols>
          <w:pgMar w:left="140" w:top="125"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720" w:type="dxa"/>
            <w:vAlign w:val="bottom"/>
          </w:tcPr>
          <w:p>
            <w:pPr>
              <w:ind w:left="460"/>
              <w:spacing w:after="0"/>
              <w:rPr>
                <w:sz w:val="20"/>
                <w:szCs w:val="20"/>
                <w:color w:val="auto"/>
              </w:rPr>
            </w:pPr>
            <w:r>
              <w:rPr>
                <w:rFonts w:ascii="Arial" w:cs="Arial" w:eastAsia="Arial" w:hAnsi="Arial"/>
                <w:sz w:val="18"/>
                <w:szCs w:val="18"/>
                <w:color w:val="0000FF"/>
              </w:rPr>
              <w:t>53212</w:t>
            </w:r>
          </w:p>
        </w:tc>
      </w:tr>
      <w:tr>
        <w:trPr>
          <w:trHeight w:val="158"/>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720" w:type="dxa"/>
            <w:vAlign w:val="bottom"/>
          </w:tcPr>
          <w:p>
            <w:pPr>
              <w:ind w:left="4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402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404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80" w:space="160"/>
            <w:col w:w="7480"/>
          </w:cols>
          <w:pgMar w:left="140" w:top="125" w:right="1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jc w:val="center"/>
              <w:ind w:left="68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Borders>
              <w:bottom w:val="single" w:sz="8" w:color="2C2C2C"/>
            </w:tcBorders>
          </w:tcPr>
          <w:p>
            <w:pPr>
              <w:jc w:val="center"/>
              <w:ind w:left="686"/>
              <w:spacing w:after="0"/>
              <w:rPr>
                <w:sz w:val="20"/>
                <w:szCs w:val="20"/>
                <w:color w:val="auto"/>
              </w:rPr>
            </w:pPr>
            <w:r>
              <w:rPr>
                <w:rFonts w:ascii="Arial" w:cs="Arial" w:eastAsia="Arial" w:hAnsi="Arial"/>
                <w:sz w:val="18"/>
                <w:szCs w:val="18"/>
                <w:color w:val="0000FF"/>
                <w:w w:val="88"/>
              </w:rPr>
              <w:t>02/16/2010</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(1)</w:t>
            </w:r>
          </w:p>
        </w:tc>
        <w:tc>
          <w:tcPr>
            <w:tcW w:w="760" w:type="dxa"/>
            <w:vAlign w:val="bottom"/>
            <w:tcBorders>
              <w:bottom w:val="single" w:sz="8" w:color="2C2C2C"/>
            </w:tcBorders>
          </w:tcPr>
          <w:p>
            <w:pPr>
              <w:jc w:val="right"/>
              <w:ind w:right="66"/>
              <w:spacing w:after="0"/>
              <w:rPr>
                <w:sz w:val="20"/>
                <w:szCs w:val="20"/>
                <w:color w:val="auto"/>
              </w:rPr>
            </w:pPr>
            <w:r>
              <w:rPr>
                <w:rFonts w:ascii="Arial" w:cs="Arial" w:eastAsia="Arial" w:hAnsi="Arial"/>
                <w:sz w:val="18"/>
                <w:szCs w:val="18"/>
                <w:color w:val="0000FF"/>
              </w:rPr>
              <w:t>1,780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52.34</w:t>
            </w:r>
            <w:r>
              <w:rPr>
                <w:rFonts w:ascii="Arial" w:cs="Arial" w:eastAsia="Arial" w:hAnsi="Arial"/>
                <w:sz w:val="22"/>
                <w:szCs w:val="22"/>
                <w:color w:val="008000"/>
                <w:w w:val="84"/>
                <w:vertAlign w:val="superscript"/>
              </w:rPr>
              <w:t>(2)</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7"/>
              </w:rPr>
              <w:t>17,450.0316</w:t>
            </w:r>
          </w:p>
        </w:tc>
        <w:tc>
          <w:tcPr>
            <w:tcW w:w="100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center"/>
              <w:ind w:left="686"/>
              <w:spacing w:after="0"/>
              <w:rPr>
                <w:sz w:val="20"/>
                <w:szCs w:val="20"/>
                <w:color w:val="auto"/>
              </w:rPr>
            </w:pPr>
            <w:r>
              <w:rPr>
                <w:rFonts w:ascii="Arial" w:cs="Arial" w:eastAsia="Arial" w:hAnsi="Arial"/>
                <w:sz w:val="18"/>
                <w:szCs w:val="18"/>
                <w:color w:val="0000FF"/>
                <w:w w:val="88"/>
              </w:rPr>
              <w:t>02/17/2010</w:t>
            </w:r>
          </w:p>
        </w:tc>
        <w:tc>
          <w:tcPr>
            <w:tcW w:w="1140" w:type="dxa"/>
            <w:vAlign w:val="bottom"/>
          </w:tcPr>
          <w:p>
            <w:pPr>
              <w:spacing w:after="0"/>
              <w:rPr>
                <w:sz w:val="23"/>
                <w:szCs w:val="23"/>
                <w:color w:val="auto"/>
              </w:rPr>
            </w:pPr>
          </w:p>
        </w:tc>
        <w:tc>
          <w:tcPr>
            <w:tcW w:w="820" w:type="dxa"/>
            <w:vAlign w:val="bottom"/>
          </w:tcPr>
          <w:p>
            <w:pPr>
              <w:jc w:val="center"/>
              <w:ind w:right="320"/>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6"/>
              <w:spacing w:after="0"/>
              <w:rPr>
                <w:sz w:val="20"/>
                <w:szCs w:val="20"/>
                <w:color w:val="auto"/>
              </w:rPr>
            </w:pPr>
            <w:r>
              <w:rPr>
                <w:rFonts w:ascii="Arial" w:cs="Arial" w:eastAsia="Arial" w:hAnsi="Arial"/>
                <w:sz w:val="18"/>
                <w:szCs w:val="18"/>
                <w:color w:val="0000FF"/>
              </w:rPr>
              <w:t>3,046</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80" w:type="dxa"/>
            <w:vAlign w:val="bottom"/>
          </w:tcPr>
          <w:p>
            <w:pPr>
              <w:ind w:left="180"/>
              <w:spacing w:after="0"/>
              <w:rPr>
                <w:sz w:val="20"/>
                <w:szCs w:val="20"/>
                <w:color w:val="auto"/>
              </w:rPr>
            </w:pPr>
            <w:r>
              <w:rPr>
                <w:rFonts w:ascii="Arial" w:cs="Arial" w:eastAsia="Arial" w:hAnsi="Arial"/>
                <w:sz w:val="18"/>
                <w:szCs w:val="18"/>
                <w:color w:val="0000FF"/>
                <w:w w:val="97"/>
              </w:rPr>
              <w:t>20,496.0316</w:t>
            </w:r>
          </w:p>
        </w:tc>
        <w:tc>
          <w:tcPr>
            <w:tcW w:w="1000" w:type="dxa"/>
            <w:vAlign w:val="bottom"/>
          </w:tcPr>
          <w:p>
            <w:pPr>
              <w:ind w:left="46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Borders>
              <w:bottom w:val="single" w:sz="8" w:color="2C2C2C"/>
            </w:tcBorders>
          </w:tcPr>
          <w:p>
            <w:pPr>
              <w:jc w:val="center"/>
              <w:ind w:left="686"/>
              <w:spacing w:after="0"/>
              <w:rPr>
                <w:sz w:val="20"/>
                <w:szCs w:val="20"/>
                <w:color w:val="auto"/>
              </w:rPr>
            </w:pPr>
            <w:r>
              <w:rPr>
                <w:rFonts w:ascii="Arial" w:cs="Arial" w:eastAsia="Arial" w:hAnsi="Arial"/>
                <w:sz w:val="18"/>
                <w:szCs w:val="18"/>
                <w:color w:val="0000FF"/>
                <w:w w:val="88"/>
              </w:rPr>
              <w:t>02/17/2010</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(4)</w:t>
            </w:r>
          </w:p>
        </w:tc>
        <w:tc>
          <w:tcPr>
            <w:tcW w:w="760" w:type="dxa"/>
            <w:vAlign w:val="bottom"/>
            <w:tcBorders>
              <w:bottom w:val="single" w:sz="8" w:color="2C2C2C"/>
            </w:tcBorders>
          </w:tcPr>
          <w:p>
            <w:pPr>
              <w:jc w:val="right"/>
              <w:ind w:right="66"/>
              <w:spacing w:after="0"/>
              <w:rPr>
                <w:sz w:val="20"/>
                <w:szCs w:val="20"/>
                <w:color w:val="auto"/>
              </w:rPr>
            </w:pPr>
            <w:r>
              <w:rPr>
                <w:rFonts w:ascii="Arial" w:cs="Arial" w:eastAsia="Arial" w:hAnsi="Arial"/>
                <w:sz w:val="18"/>
                <w:szCs w:val="18"/>
                <w:color w:val="0000FF"/>
              </w:rPr>
              <w:t>1,042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52.91</w:t>
            </w:r>
            <w:r>
              <w:rPr>
                <w:rFonts w:ascii="Arial" w:cs="Arial" w:eastAsia="Arial" w:hAnsi="Arial"/>
                <w:sz w:val="22"/>
                <w:szCs w:val="22"/>
                <w:color w:val="008000"/>
                <w:w w:val="84"/>
                <w:vertAlign w:val="superscript"/>
              </w:rPr>
              <w:t>(5)</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7"/>
              </w:rPr>
              <w:t>19,454.0316</w:t>
            </w:r>
          </w:p>
        </w:tc>
        <w:tc>
          <w:tcPr>
            <w:tcW w:w="100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gridSpan w:val="2"/>
            <w:vMerge w:val="restart"/>
          </w:tcPr>
          <w:p>
            <w:pPr>
              <w:ind w:left="80"/>
              <w:spacing w:after="0"/>
              <w:rPr>
                <w:sz w:val="20"/>
                <w:szCs w:val="20"/>
                <w:color w:val="auto"/>
              </w:rPr>
            </w:pPr>
            <w:r>
              <w:rPr>
                <w:rFonts w:ascii="Arial" w:cs="Arial" w:eastAsia="Arial" w:hAnsi="Arial"/>
                <w:sz w:val="18"/>
                <w:szCs w:val="18"/>
                <w:color w:val="0000FF"/>
              </w:rPr>
              <w:t>3,046</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02/17/2010</w:t>
            </w:r>
          </w:p>
        </w:tc>
        <w:tc>
          <w:tcPr>
            <w:tcW w:w="1140" w:type="dxa"/>
            <w:vAlign w:val="bottom"/>
          </w:tcPr>
          <w:p>
            <w:pPr>
              <w:spacing w:after="0"/>
              <w:rPr>
                <w:sz w:val="5"/>
                <w:szCs w:val="5"/>
                <w:color w:val="auto"/>
              </w:rPr>
            </w:pPr>
          </w:p>
        </w:tc>
        <w:tc>
          <w:tcPr>
            <w:tcW w:w="94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M</w:t>
            </w: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3,046</w:t>
            </w:r>
          </w:p>
        </w:tc>
        <w:tc>
          <w:tcPr>
            <w:tcW w:w="82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w w:val="99"/>
              </w:rPr>
              <w:t>02/17/2010</w:t>
            </w:r>
          </w:p>
        </w:tc>
        <w:tc>
          <w:tcPr>
            <w:tcW w:w="76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w w:val="94"/>
              </w:rPr>
              <w:t>02/17/2010</w:t>
            </w:r>
          </w:p>
        </w:tc>
        <w:tc>
          <w:tcPr>
            <w:tcW w:w="72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40" w:type="dxa"/>
            <w:vAlign w:val="bottom"/>
            <w:gridSpan w:val="2"/>
            <w:vMerge w:val="restart"/>
          </w:tcPr>
          <w:p>
            <w:pPr>
              <w:ind w:left="340"/>
              <w:spacing w:after="0" w:line="149" w:lineRule="exact"/>
              <w:rPr>
                <w:sz w:val="20"/>
                <w:szCs w:val="20"/>
                <w:color w:val="auto"/>
              </w:rPr>
            </w:pPr>
            <w:r>
              <w:rPr>
                <w:rFonts w:ascii="Arial" w:cs="Arial" w:eastAsia="Arial" w:hAnsi="Arial"/>
                <w:sz w:val="14"/>
                <w:szCs w:val="14"/>
                <w:color w:val="0000FF"/>
              </w:rPr>
              <w:t>6,098</w:t>
            </w:r>
          </w:p>
        </w:tc>
        <w:tc>
          <w:tcPr>
            <w:tcW w:w="70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rPr>
              <w:t>D</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7"/>
          </w:tcPr>
          <w:p>
            <w:pPr>
              <w:ind w:left="20"/>
              <w:spacing w:after="0"/>
              <w:rPr>
                <w:sz w:val="20"/>
                <w:szCs w:val="20"/>
                <w:color w:val="auto"/>
              </w:rPr>
            </w:pPr>
            <w:r>
              <w:rPr>
                <w:rFonts w:ascii="Arial" w:cs="Arial" w:eastAsia="Arial" w:hAnsi="Arial"/>
                <w:sz w:val="14"/>
                <w:szCs w:val="14"/>
                <w:color w:val="008000"/>
                <w:w w:val="95"/>
              </w:rPr>
              <w:t>1. Stock withheld by Issuer to satisfy tax withholding obligations on shares acquired on February 16,2010.</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5"/>
          </w:tcPr>
          <w:p>
            <w:pPr>
              <w:ind w:left="20"/>
              <w:spacing w:after="0"/>
              <w:rPr>
                <w:sz w:val="20"/>
                <w:szCs w:val="20"/>
                <w:color w:val="auto"/>
              </w:rPr>
            </w:pPr>
            <w:r>
              <w:rPr>
                <w:rFonts w:ascii="Arial" w:cs="Arial" w:eastAsia="Arial" w:hAnsi="Arial"/>
                <w:sz w:val="14"/>
                <w:szCs w:val="14"/>
                <w:color w:val="008000"/>
                <w:w w:val="87"/>
              </w:rPr>
              <w:t>2. $52.34 is the opening price on the New York Stock Exchange on February 16, 2010.</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7"/>
          </w:tcPr>
          <w:p>
            <w:pPr>
              <w:ind w:left="20"/>
              <w:spacing w:after="0"/>
              <w:rPr>
                <w:sz w:val="20"/>
                <w:szCs w:val="20"/>
                <w:color w:val="auto"/>
              </w:rPr>
            </w:pPr>
            <w:r>
              <w:rPr>
                <w:rFonts w:ascii="Arial" w:cs="Arial" w:eastAsia="Arial" w:hAnsi="Arial"/>
                <w:sz w:val="14"/>
                <w:szCs w:val="14"/>
                <w:color w:val="008000"/>
                <w:w w:val="88"/>
              </w:rPr>
              <w:t>3. These restricted stock units were settled in shares of Manpower common stock on a 1 for 1 basis upon vesting.</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12"/>
          </w:tcPr>
          <w:p>
            <w:pPr>
              <w:ind w:left="20"/>
              <w:spacing w:after="0"/>
              <w:rPr>
                <w:sz w:val="20"/>
                <w:szCs w:val="20"/>
                <w:color w:val="auto"/>
              </w:rPr>
            </w:pPr>
            <w:r>
              <w:rPr>
                <w:rFonts w:ascii="Arial" w:cs="Arial" w:eastAsia="Arial" w:hAnsi="Arial"/>
                <w:sz w:val="14"/>
                <w:szCs w:val="14"/>
                <w:color w:val="008000"/>
                <w:w w:val="93"/>
              </w:rPr>
              <w:t>4. Stock withheld by Issuer to satisfy tax withholding obligations on shares acquired on February 17,2010 in settlement of restricted stock units.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5"/>
          </w:tcPr>
          <w:p>
            <w:pPr>
              <w:ind w:left="20"/>
              <w:spacing w:after="0"/>
              <w:rPr>
                <w:sz w:val="20"/>
                <w:szCs w:val="20"/>
                <w:color w:val="auto"/>
              </w:rPr>
            </w:pPr>
            <w:r>
              <w:rPr>
                <w:rFonts w:ascii="Arial" w:cs="Arial" w:eastAsia="Arial" w:hAnsi="Arial"/>
                <w:sz w:val="14"/>
                <w:szCs w:val="14"/>
                <w:color w:val="008000"/>
                <w:w w:val="87"/>
              </w:rPr>
              <w:t>5. $52.91 is the opening price on the New York Stock Exchange on February 17, 2010.</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0000FF"/>
                <w:w w:val="90"/>
              </w:rPr>
              <w:t>Owen Sullivan</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0000FF"/>
                <w:w w:val="86"/>
              </w:rPr>
              <w:t>02/18/2010</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0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780" w:firstLine="1"/>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Kenneth C. Hunt,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17th day of February, 2010.</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Owen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-10160</wp:posOffset>
            </wp:positionV>
            <wp:extent cx="1447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Owen Sullivan</w:t>
      </w:r>
    </w:p>
    <w:sectPr>
      <w:pgSz w:w="11900" w:h="16838" w:orient="portrait"/>
      <w:cols w:equalWidth="0" w:num="1">
        <w:col w:w="11620"/>
      </w:cols>
      <w:pgMar w:left="140" w:top="32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4486"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2019-12-18T01:25:46Z</dcterms:created>
  <dcterms:modified xsi:type="dcterms:W3CDTF">2019-12-18T01:25:46Z</dcterms:modified>
</cp:coreProperties>
</file>