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ind w:right="-6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639"/>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ind w:right="-639"/>
        <w:spacing w:after="0"/>
        <w:rPr>
          <w:sz w:val="20"/>
          <w:szCs w:val="20"/>
          <w:color w:val="auto"/>
        </w:rPr>
      </w:pPr>
      <w:r>
        <w:rPr>
          <w:rFonts w:ascii="Arial" w:cs="Arial" w:eastAsia="Arial" w:hAnsi="Arial"/>
          <w:sz w:val="29"/>
          <w:szCs w:val="29"/>
          <w:b w:val="1"/>
          <w:bCs w:val="1"/>
          <w:color w:val="auto"/>
        </w:rPr>
        <w:t>FORM 8-K</w:t>
      </w:r>
    </w:p>
    <w:p>
      <w:pPr>
        <w:spacing w:after="0" w:line="219" w:lineRule="exact"/>
        <w:rPr>
          <w:sz w:val="24"/>
          <w:szCs w:val="24"/>
          <w:color w:val="auto"/>
        </w:rPr>
      </w:pPr>
    </w:p>
    <w:p>
      <w:pPr>
        <w:jc w:val="center"/>
        <w:ind w:right="-639"/>
        <w:spacing w:after="0"/>
        <w:rPr>
          <w:sz w:val="20"/>
          <w:szCs w:val="20"/>
          <w:color w:val="auto"/>
        </w:rPr>
      </w:pPr>
      <w:r>
        <w:rPr>
          <w:rFonts w:ascii="Arial" w:cs="Arial" w:eastAsia="Arial" w:hAnsi="Arial"/>
          <w:sz w:val="19"/>
          <w:szCs w:val="19"/>
          <w:b w:val="1"/>
          <w:bCs w:val="1"/>
          <w:color w:val="auto"/>
        </w:rPr>
        <w:t>CURRENT REPORT</w:t>
      </w:r>
    </w:p>
    <w:p>
      <w:pPr>
        <w:spacing w:after="0" w:line="223" w:lineRule="exact"/>
        <w:rPr>
          <w:sz w:val="24"/>
          <w:szCs w:val="24"/>
          <w:color w:val="auto"/>
        </w:rPr>
      </w:pPr>
    </w:p>
    <w:p>
      <w:pPr>
        <w:jc w:val="center"/>
        <w:ind w:right="-6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8" w:lineRule="exact"/>
        <w:rPr>
          <w:sz w:val="24"/>
          <w:szCs w:val="24"/>
          <w:color w:val="auto"/>
        </w:rPr>
      </w:pPr>
    </w:p>
    <w:p>
      <w:pPr>
        <w:jc w:val="center"/>
        <w:ind w:right="-639"/>
        <w:spacing w:after="0"/>
        <w:rPr>
          <w:sz w:val="20"/>
          <w:szCs w:val="20"/>
          <w:color w:val="auto"/>
        </w:rPr>
      </w:pPr>
      <w:r>
        <w:rPr>
          <w:rFonts w:ascii="Arial" w:cs="Arial" w:eastAsia="Arial" w:hAnsi="Arial"/>
          <w:sz w:val="16"/>
          <w:szCs w:val="16"/>
          <w:color w:val="auto"/>
        </w:rPr>
        <w:t>Date of Report (Date of earliest event reported): October 21, 2011</w:t>
      </w:r>
    </w:p>
    <w:p>
      <w:pPr>
        <w:spacing w:after="0" w:line="199" w:lineRule="exact"/>
        <w:rPr>
          <w:sz w:val="24"/>
          <w:szCs w:val="24"/>
          <w:color w:val="auto"/>
        </w:rPr>
      </w:pPr>
    </w:p>
    <w:p>
      <w:pPr>
        <w:jc w:val="center"/>
        <w:ind w:right="-639"/>
        <w:spacing w:after="0"/>
        <w:rPr>
          <w:sz w:val="20"/>
          <w:szCs w:val="20"/>
          <w:color w:val="auto"/>
        </w:rPr>
      </w:pPr>
      <w:r>
        <w:rPr>
          <w:rFonts w:ascii="Arial" w:cs="Arial" w:eastAsia="Arial" w:hAnsi="Arial"/>
          <w:sz w:val="38"/>
          <w:szCs w:val="38"/>
          <w:b w:val="1"/>
          <w:bCs w:val="1"/>
          <w:color w:val="auto"/>
        </w:rPr>
        <w:t>MANPOWER INC.</w:t>
      </w:r>
    </w:p>
    <w:p>
      <w:pPr>
        <w:spacing w:after="0" w:line="43" w:lineRule="exact"/>
        <w:rPr>
          <w:sz w:val="24"/>
          <w:szCs w:val="24"/>
          <w:color w:val="auto"/>
        </w:rPr>
      </w:pPr>
    </w:p>
    <w:p>
      <w:pPr>
        <w:jc w:val="center"/>
        <w:ind w:right="-639"/>
        <w:spacing w:after="0"/>
        <w:rPr>
          <w:sz w:val="20"/>
          <w:szCs w:val="20"/>
          <w:color w:val="auto"/>
        </w:rPr>
      </w:pPr>
      <w:r>
        <w:rPr>
          <w:rFonts w:ascii="Arial" w:cs="Arial" w:eastAsia="Arial" w:hAnsi="Arial"/>
          <w:sz w:val="19"/>
          <w:szCs w:val="19"/>
          <w:b w:val="1"/>
          <w:bCs w:val="1"/>
          <w:color w:val="auto"/>
        </w:rPr>
        <w:t>(d/b/a ManpowerGroup)</w:t>
      </w:r>
    </w:p>
    <w:p>
      <w:pPr>
        <w:spacing w:after="0" w:line="2"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(Exact name of registrant as specified in its charter)</w:t>
      </w:r>
    </w:p>
    <w:p>
      <w:pPr>
        <w:spacing w:after="0" w:line="399" w:lineRule="exact"/>
        <w:rPr>
          <w:sz w:val="24"/>
          <w:szCs w:val="24"/>
          <w:color w:val="auto"/>
        </w:rPr>
      </w:pPr>
    </w:p>
    <w:tbl>
      <w:tblPr>
        <w:tblLayout w:type="fixed"/>
        <w:tblInd w:w="1140" w:type="dxa"/>
        <w:tblCellMar>
          <w:top w:w="0" w:type="dxa"/>
          <w:left w:w="0" w:type="dxa"/>
          <w:bottom w:w="0" w:type="dxa"/>
          <w:right w:w="0" w:type="dxa"/>
        </w:tblCellMar>
      </w:tblPr>
      <w:tr>
        <w:trPr>
          <w:trHeight w:val="213"/>
        </w:trPr>
        <w:tc>
          <w:tcPr>
            <w:tcW w:w="3580" w:type="dxa"/>
            <w:vAlign w:val="bottom"/>
            <w:tcBorders>
              <w:bottom w:val="single" w:sz="8" w:color="auto"/>
            </w:tcBorders>
          </w:tcPr>
          <w:p>
            <w:pPr>
              <w:jc w:val="center"/>
              <w:ind w:right="520"/>
              <w:spacing w:after="0"/>
              <w:rPr>
                <w:sz w:val="20"/>
                <w:szCs w:val="20"/>
                <w:color w:val="auto"/>
              </w:rPr>
            </w:pPr>
            <w:r>
              <w:rPr>
                <w:rFonts w:ascii="Arial" w:cs="Arial" w:eastAsia="Arial" w:hAnsi="Arial"/>
                <w:sz w:val="16"/>
                <w:szCs w:val="16"/>
                <w:b w:val="1"/>
                <w:bCs w:val="1"/>
                <w:color w:val="auto"/>
                <w:w w:val="87"/>
              </w:rPr>
              <w:t>Wisconsin</w:t>
            </w:r>
          </w:p>
        </w:tc>
        <w:tc>
          <w:tcPr>
            <w:tcW w:w="2360" w:type="dxa"/>
            <w:vAlign w:val="bottom"/>
            <w:tcBorders>
              <w:bottom w:val="single" w:sz="8" w:color="auto"/>
            </w:tcBorders>
          </w:tcPr>
          <w:p>
            <w:pPr>
              <w:jc w:val="right"/>
              <w:ind w:right="1020"/>
              <w:spacing w:after="0"/>
              <w:rPr>
                <w:sz w:val="20"/>
                <w:szCs w:val="20"/>
                <w:color w:val="auto"/>
              </w:rPr>
            </w:pPr>
            <w:r>
              <w:rPr>
                <w:rFonts w:ascii="Arial" w:cs="Arial" w:eastAsia="Arial" w:hAnsi="Arial"/>
                <w:sz w:val="16"/>
                <w:szCs w:val="16"/>
                <w:b w:val="1"/>
                <w:bCs w:val="1"/>
                <w:color w:val="auto"/>
              </w:rPr>
              <w:t>1-10686</w:t>
            </w:r>
          </w:p>
        </w:tc>
        <w:tc>
          <w:tcPr>
            <w:tcW w:w="3220" w:type="dxa"/>
            <w:vAlign w:val="bottom"/>
            <w:tcBorders>
              <w:bottom w:val="single" w:sz="8" w:color="auto"/>
            </w:tcBorders>
          </w:tcPr>
          <w:p>
            <w:pPr>
              <w:jc w:val="right"/>
              <w:ind w:right="1040"/>
              <w:spacing w:after="0"/>
              <w:rPr>
                <w:sz w:val="20"/>
                <w:szCs w:val="20"/>
                <w:color w:val="auto"/>
              </w:rPr>
            </w:pPr>
            <w:r>
              <w:rPr>
                <w:rFonts w:ascii="Arial" w:cs="Arial" w:eastAsia="Arial" w:hAnsi="Arial"/>
                <w:sz w:val="16"/>
                <w:szCs w:val="16"/>
                <w:b w:val="1"/>
                <w:bCs w:val="1"/>
                <w:color w:val="auto"/>
              </w:rPr>
              <w:t>39-1672779</w:t>
            </w:r>
          </w:p>
        </w:tc>
      </w:tr>
      <w:tr>
        <w:trPr>
          <w:trHeight w:val="176"/>
        </w:trPr>
        <w:tc>
          <w:tcPr>
            <w:tcW w:w="3580" w:type="dxa"/>
            <w:vAlign w:val="bottom"/>
          </w:tcPr>
          <w:p>
            <w:pPr>
              <w:jc w:val="center"/>
              <w:ind w:right="540"/>
              <w:spacing w:after="0" w:line="176" w:lineRule="exact"/>
              <w:rPr>
                <w:sz w:val="20"/>
                <w:szCs w:val="20"/>
                <w:color w:val="auto"/>
              </w:rPr>
            </w:pPr>
            <w:r>
              <w:rPr>
                <w:rFonts w:ascii="Arial" w:cs="Arial" w:eastAsia="Arial" w:hAnsi="Arial"/>
                <w:sz w:val="16"/>
                <w:szCs w:val="16"/>
                <w:b w:val="1"/>
                <w:bCs w:val="1"/>
                <w:color w:val="auto"/>
                <w:w w:val="91"/>
              </w:rPr>
              <w:t>(State or other jurisdiction of</w:t>
            </w:r>
          </w:p>
        </w:tc>
        <w:tc>
          <w:tcPr>
            <w:tcW w:w="2360" w:type="dxa"/>
            <w:vAlign w:val="bottom"/>
          </w:tcPr>
          <w:p>
            <w:pPr>
              <w:jc w:val="center"/>
              <w:ind w:right="300"/>
              <w:spacing w:after="0" w:line="176" w:lineRule="exact"/>
              <w:rPr>
                <w:sz w:val="20"/>
                <w:szCs w:val="20"/>
                <w:color w:val="auto"/>
              </w:rPr>
            </w:pPr>
            <w:r>
              <w:rPr>
                <w:rFonts w:ascii="Arial" w:cs="Arial" w:eastAsia="Arial" w:hAnsi="Arial"/>
                <w:sz w:val="16"/>
                <w:szCs w:val="16"/>
                <w:b w:val="1"/>
                <w:bCs w:val="1"/>
                <w:color w:val="auto"/>
                <w:w w:val="91"/>
              </w:rPr>
              <w:t>(Commission File Number)</w:t>
            </w:r>
          </w:p>
        </w:tc>
        <w:tc>
          <w:tcPr>
            <w:tcW w:w="3220" w:type="dxa"/>
            <w:vAlign w:val="bottom"/>
          </w:tcPr>
          <w:p>
            <w:pPr>
              <w:jc w:val="center"/>
              <w:ind w:left="140"/>
              <w:spacing w:after="0" w:line="176" w:lineRule="exact"/>
              <w:rPr>
                <w:sz w:val="20"/>
                <w:szCs w:val="20"/>
                <w:color w:val="auto"/>
              </w:rPr>
            </w:pPr>
            <w:r>
              <w:rPr>
                <w:rFonts w:ascii="Arial" w:cs="Arial" w:eastAsia="Arial" w:hAnsi="Arial"/>
                <w:sz w:val="16"/>
                <w:szCs w:val="16"/>
                <w:b w:val="1"/>
                <w:bCs w:val="1"/>
                <w:color w:val="auto"/>
                <w:w w:val="93"/>
              </w:rPr>
              <w:t>(IRS Employer Identification No.)</w:t>
            </w:r>
          </w:p>
        </w:tc>
      </w:tr>
      <w:tr>
        <w:trPr>
          <w:trHeight w:val="209"/>
        </w:trPr>
        <w:tc>
          <w:tcPr>
            <w:tcW w:w="3580" w:type="dxa"/>
            <w:vAlign w:val="bottom"/>
          </w:tcPr>
          <w:p>
            <w:pPr>
              <w:jc w:val="center"/>
              <w:ind w:right="540"/>
              <w:spacing w:after="0"/>
              <w:rPr>
                <w:sz w:val="20"/>
                <w:szCs w:val="20"/>
                <w:color w:val="auto"/>
              </w:rPr>
            </w:pPr>
            <w:r>
              <w:rPr>
                <w:rFonts w:ascii="Arial" w:cs="Arial" w:eastAsia="Arial" w:hAnsi="Arial"/>
                <w:sz w:val="16"/>
                <w:szCs w:val="16"/>
                <w:b w:val="1"/>
                <w:bCs w:val="1"/>
                <w:color w:val="auto"/>
                <w:w w:val="92"/>
              </w:rPr>
              <w:t>incorporation)</w:t>
            </w:r>
          </w:p>
        </w:tc>
        <w:tc>
          <w:tcPr>
            <w:tcW w:w="236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608"/>
        </w:trPr>
        <w:tc>
          <w:tcPr>
            <w:tcW w:w="3580" w:type="dxa"/>
            <w:vAlign w:val="bottom"/>
          </w:tcPr>
          <w:p>
            <w:pPr>
              <w:jc w:val="center"/>
              <w:ind w:left="740"/>
              <w:spacing w:after="0"/>
              <w:rPr>
                <w:sz w:val="20"/>
                <w:szCs w:val="20"/>
                <w:color w:val="auto"/>
              </w:rPr>
            </w:pPr>
            <w:r>
              <w:rPr>
                <w:rFonts w:ascii="Arial" w:cs="Arial" w:eastAsia="Arial" w:hAnsi="Arial"/>
                <w:sz w:val="16"/>
                <w:szCs w:val="16"/>
                <w:b w:val="1"/>
                <w:bCs w:val="1"/>
                <w:color w:val="auto"/>
                <w:w w:val="91"/>
              </w:rPr>
              <w:t>100 Manpower Place</w:t>
            </w:r>
          </w:p>
        </w:tc>
        <w:tc>
          <w:tcPr>
            <w:tcW w:w="236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13"/>
        </w:trPr>
        <w:tc>
          <w:tcPr>
            <w:tcW w:w="3580" w:type="dxa"/>
            <w:vAlign w:val="bottom"/>
            <w:tcBorders>
              <w:bottom w:val="single" w:sz="8" w:color="auto"/>
            </w:tcBorders>
          </w:tcPr>
          <w:p>
            <w:pPr>
              <w:jc w:val="center"/>
              <w:ind w:left="740"/>
              <w:spacing w:after="0"/>
              <w:rPr>
                <w:sz w:val="20"/>
                <w:szCs w:val="20"/>
                <w:color w:val="auto"/>
              </w:rPr>
            </w:pPr>
            <w:r>
              <w:rPr>
                <w:rFonts w:ascii="Arial" w:cs="Arial" w:eastAsia="Arial" w:hAnsi="Arial"/>
                <w:sz w:val="16"/>
                <w:szCs w:val="16"/>
                <w:b w:val="1"/>
                <w:bCs w:val="1"/>
                <w:color w:val="auto"/>
                <w:w w:val="89"/>
              </w:rPr>
              <w:t>Milwaukee, Wisconsin</w:t>
            </w:r>
          </w:p>
        </w:tc>
        <w:tc>
          <w:tcPr>
            <w:tcW w:w="23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right"/>
              <w:ind w:right="2100"/>
              <w:spacing w:after="0"/>
              <w:rPr>
                <w:sz w:val="20"/>
                <w:szCs w:val="20"/>
                <w:color w:val="auto"/>
              </w:rPr>
            </w:pPr>
            <w:r>
              <w:rPr>
                <w:rFonts w:ascii="Arial" w:cs="Arial" w:eastAsia="Arial" w:hAnsi="Arial"/>
                <w:sz w:val="16"/>
                <w:szCs w:val="16"/>
                <w:b w:val="1"/>
                <w:bCs w:val="1"/>
                <w:color w:val="auto"/>
              </w:rPr>
              <w:t>53212</w:t>
            </w:r>
          </w:p>
        </w:tc>
      </w:tr>
      <w:tr>
        <w:trPr>
          <w:trHeight w:val="209"/>
        </w:trPr>
        <w:tc>
          <w:tcPr>
            <w:tcW w:w="3580" w:type="dxa"/>
            <w:vAlign w:val="bottom"/>
          </w:tcPr>
          <w:p>
            <w:pPr>
              <w:jc w:val="center"/>
              <w:ind w:left="740"/>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2360" w:type="dxa"/>
            <w:vAlign w:val="bottom"/>
          </w:tcPr>
          <w:p>
            <w:pPr>
              <w:spacing w:after="0"/>
              <w:rPr>
                <w:sz w:val="18"/>
                <w:szCs w:val="18"/>
                <w:color w:val="auto"/>
              </w:rPr>
            </w:pPr>
          </w:p>
        </w:tc>
        <w:tc>
          <w:tcPr>
            <w:tcW w:w="3220" w:type="dxa"/>
            <w:vAlign w:val="bottom"/>
          </w:tcPr>
          <w:p>
            <w:pPr>
              <w:jc w:val="center"/>
              <w:ind w:right="1480"/>
              <w:spacing w:after="0"/>
              <w:rPr>
                <w:sz w:val="20"/>
                <w:szCs w:val="20"/>
                <w:color w:val="auto"/>
              </w:rPr>
            </w:pPr>
            <w:r>
              <w:rPr>
                <w:rFonts w:ascii="Arial" w:cs="Arial" w:eastAsia="Arial" w:hAnsi="Arial"/>
                <w:sz w:val="16"/>
                <w:szCs w:val="16"/>
                <w:b w:val="1"/>
                <w:bCs w:val="1"/>
                <w:color w:val="auto"/>
                <w:w w:val="93"/>
              </w:rPr>
              <w:t>(Zip Code)</w:t>
            </w:r>
          </w:p>
        </w:tc>
      </w:tr>
    </w:tbl>
    <w:p>
      <w:pPr>
        <w:spacing w:after="0" w:line="187" w:lineRule="exact"/>
        <w:rPr>
          <w:sz w:val="24"/>
          <w:szCs w:val="24"/>
          <w:color w:val="auto"/>
        </w:rPr>
      </w:pPr>
    </w:p>
    <w:p>
      <w:pPr>
        <w:ind w:left="3520"/>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47" w:lineRule="exact"/>
        <w:rPr>
          <w:sz w:val="24"/>
          <w:szCs w:val="24"/>
          <w:color w:val="auto"/>
        </w:rPr>
      </w:pPr>
    </w:p>
    <w:p>
      <w:pPr>
        <w:ind w:left="4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429895</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00"/>
          </w:cols>
          <w:pgMar w:left="240" w:top="415" w:right="8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8" w:lineRule="exact"/>
        <w:rPr>
          <w:sz w:val="20"/>
          <w:szCs w:val="20"/>
          <w:color w:val="auto"/>
        </w:rPr>
      </w:pPr>
    </w:p>
    <w:p>
      <w:pPr>
        <w:ind w:right="300" w:firstLine="577"/>
        <w:spacing w:after="0" w:line="277" w:lineRule="auto"/>
        <w:rPr>
          <w:sz w:val="20"/>
          <w:szCs w:val="20"/>
          <w:color w:val="auto"/>
        </w:rPr>
      </w:pPr>
      <w:r>
        <w:rPr>
          <w:rFonts w:ascii="Arial" w:cs="Arial" w:eastAsia="Arial" w:hAnsi="Arial"/>
          <w:sz w:val="16"/>
          <w:szCs w:val="16"/>
          <w:color w:val="auto"/>
        </w:rPr>
        <w:t>On October 21, 2011, we issued a press release announcing our results of operations for the three- and nine- month periods ended September 30, 2011. A copy of the press release is attached hereto as Exhibit 99.1 and is incorporated herein by reference.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90"/>
              </w:rPr>
              <w:t>Item 9.01.</w:t>
            </w:r>
          </w:p>
        </w:tc>
        <w:tc>
          <w:tcPr>
            <w:tcW w:w="5560" w:type="dxa"/>
            <w:vAlign w:val="bottom"/>
            <w:gridSpan w:val="2"/>
          </w:tcPr>
          <w:p>
            <w:pPr>
              <w:ind w:left="26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c>
          <w:tcPr>
            <w:tcW w:w="4580" w:type="dxa"/>
            <w:vAlign w:val="bottom"/>
          </w:tcPr>
          <w:p>
            <w:pPr>
              <w:spacing w:after="0"/>
              <w:rPr>
                <w:sz w:val="18"/>
                <w:szCs w:val="18"/>
                <w:color w:val="auto"/>
              </w:rPr>
            </w:pPr>
          </w:p>
        </w:tc>
      </w:tr>
      <w:tr>
        <w:trPr>
          <w:trHeight w:val="412"/>
        </w:trPr>
        <w:tc>
          <w:tcPr>
            <w:tcW w:w="20" w:type="dxa"/>
            <w:vAlign w:val="bottom"/>
          </w:tcPr>
          <w:p>
            <w:pPr>
              <w:spacing w:after="0"/>
              <w:rPr>
                <w:sz w:val="24"/>
                <w:szCs w:val="24"/>
                <w:color w:val="auto"/>
              </w:rPr>
            </w:pPr>
          </w:p>
        </w:tc>
        <w:tc>
          <w:tcPr>
            <w:tcW w:w="1280" w:type="dxa"/>
            <w:vAlign w:val="bottom"/>
          </w:tcPr>
          <w:p>
            <w:pPr>
              <w:jc w:val="right"/>
              <w:ind w:right="180"/>
              <w:spacing w:after="0"/>
              <w:rPr>
                <w:sz w:val="20"/>
                <w:szCs w:val="20"/>
                <w:color w:val="auto"/>
              </w:rPr>
            </w:pPr>
            <w:r>
              <w:rPr>
                <w:rFonts w:ascii="Arial" w:cs="Arial" w:eastAsia="Arial" w:hAnsi="Arial"/>
                <w:sz w:val="16"/>
                <w:szCs w:val="16"/>
                <w:b w:val="1"/>
                <w:bCs w:val="1"/>
                <w:color w:val="auto"/>
              </w:rPr>
              <w:t>Exhibit No.</w:t>
            </w:r>
          </w:p>
        </w:tc>
        <w:tc>
          <w:tcPr>
            <w:tcW w:w="5560" w:type="dxa"/>
            <w:vAlign w:val="bottom"/>
            <w:gridSpan w:val="2"/>
          </w:tcPr>
          <w:p>
            <w:pPr>
              <w:ind w:left="360"/>
              <w:spacing w:after="0"/>
              <w:rPr>
                <w:sz w:val="20"/>
                <w:szCs w:val="20"/>
                <w:color w:val="auto"/>
              </w:rPr>
            </w:pPr>
            <w:r>
              <w:rPr>
                <w:rFonts w:ascii="Arial" w:cs="Arial" w:eastAsia="Arial" w:hAnsi="Arial"/>
                <w:sz w:val="16"/>
                <w:szCs w:val="16"/>
                <w:b w:val="1"/>
                <w:bCs w:val="1"/>
                <w:color w:val="auto"/>
              </w:rPr>
              <w:t>Description</w:t>
            </w:r>
          </w:p>
        </w:tc>
        <w:tc>
          <w:tcPr>
            <w:tcW w:w="458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1280" w:type="dxa"/>
            <w:vAlign w:val="bottom"/>
            <w:tcBorders>
              <w:top w:val="single" w:sz="8" w:color="auto"/>
            </w:tcBorders>
          </w:tcPr>
          <w:p>
            <w:pPr>
              <w:jc w:val="right"/>
              <w:ind w:right="400"/>
              <w:spacing w:after="0" w:line="180" w:lineRule="exact"/>
              <w:rPr>
                <w:sz w:val="20"/>
                <w:szCs w:val="20"/>
                <w:color w:val="auto"/>
              </w:rPr>
            </w:pPr>
            <w:r>
              <w:rPr>
                <w:rFonts w:ascii="Arial" w:cs="Arial" w:eastAsia="Arial" w:hAnsi="Arial"/>
                <w:sz w:val="16"/>
                <w:szCs w:val="16"/>
                <w:color w:val="auto"/>
              </w:rPr>
              <w:t>99.1</w:t>
            </w:r>
          </w:p>
        </w:tc>
        <w:tc>
          <w:tcPr>
            <w:tcW w:w="360" w:type="dxa"/>
            <w:vAlign w:val="bottom"/>
          </w:tcPr>
          <w:p>
            <w:pPr>
              <w:spacing w:after="0"/>
              <w:rPr>
                <w:sz w:val="15"/>
                <w:szCs w:val="15"/>
                <w:color w:val="auto"/>
              </w:rPr>
            </w:pPr>
          </w:p>
        </w:tc>
        <w:tc>
          <w:tcPr>
            <w:tcW w:w="520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Press Release dated October 21, 2011</w:t>
            </w:r>
          </w:p>
        </w:tc>
        <w:tc>
          <w:tcPr>
            <w:tcW w:w="4580" w:type="dxa"/>
            <w:vAlign w:val="bottom"/>
          </w:tcPr>
          <w:p>
            <w:pPr>
              <w:spacing w:after="0"/>
              <w:rPr>
                <w:sz w:val="15"/>
                <w:szCs w:val="15"/>
                <w:color w:val="auto"/>
              </w:rPr>
            </w:pPr>
          </w:p>
        </w:tc>
      </w:tr>
      <w:tr>
        <w:trPr>
          <w:trHeight w:val="205"/>
        </w:trPr>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99.2</w:t>
            </w:r>
          </w:p>
        </w:tc>
        <w:tc>
          <w:tcPr>
            <w:tcW w:w="5560" w:type="dxa"/>
            <w:vAlign w:val="bottom"/>
            <w:gridSpan w:val="2"/>
          </w:tcPr>
          <w:p>
            <w:pPr>
              <w:ind w:left="360"/>
              <w:spacing w:after="0"/>
              <w:rPr>
                <w:sz w:val="20"/>
                <w:szCs w:val="20"/>
                <w:color w:val="auto"/>
              </w:rPr>
            </w:pPr>
            <w:r>
              <w:rPr>
                <w:rFonts w:ascii="Arial" w:cs="Arial" w:eastAsia="Arial" w:hAnsi="Arial"/>
                <w:sz w:val="16"/>
                <w:szCs w:val="16"/>
                <w:color w:val="auto"/>
              </w:rPr>
              <w:t>Presentation materials for October 21, 2011 conference call</w:t>
            </w:r>
          </w:p>
        </w:tc>
        <w:tc>
          <w:tcPr>
            <w:tcW w:w="4580" w:type="dxa"/>
            <w:vAlign w:val="bottom"/>
          </w:tcPr>
          <w:p>
            <w:pPr>
              <w:spacing w:after="0"/>
              <w:rPr>
                <w:sz w:val="17"/>
                <w:szCs w:val="17"/>
                <w:color w:val="auto"/>
              </w:rPr>
            </w:pPr>
          </w:p>
        </w:tc>
      </w:tr>
      <w:tr>
        <w:trPr>
          <w:trHeight w:val="669"/>
        </w:trPr>
        <w:tc>
          <w:tcPr>
            <w:tcW w:w="20" w:type="dxa"/>
            <w:vAlign w:val="bottom"/>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 INC.</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(d/b/a ManpowerGroup)</w:t>
      </w:r>
    </w:p>
    <w:p>
      <w:pPr>
        <w:spacing w:after="0" w:line="188"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October 21, 2011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13335</wp:posOffset>
            </wp:positionV>
            <wp:extent cx="203644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6445" cy="15240"/>
                    </a:xfrm>
                    <a:prstGeom prst="rect">
                      <a:avLst/>
                    </a:prstGeom>
                    <a:noFill/>
                  </pic:spPr>
                </pic:pic>
              </a:graphicData>
            </a:graphic>
          </wp:anchor>
        </w:drawing>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559435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0"/>
          </w:cols>
          <w:pgMar w:left="240" w:top="339"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0" w:type="dxa"/>
            <w:vAlign w:val="bottom"/>
          </w:tcPr>
          <w:p>
            <w:pPr>
              <w:ind w:left="3440"/>
              <w:spacing w:after="0"/>
              <w:rPr>
                <w:sz w:val="20"/>
                <w:szCs w:val="20"/>
                <w:color w:val="auto"/>
              </w:rPr>
            </w:pPr>
            <w:r>
              <w:rPr>
                <w:rFonts w:ascii="Arial" w:cs="Arial" w:eastAsia="Arial" w:hAnsi="Arial"/>
                <w:sz w:val="16"/>
                <w:szCs w:val="16"/>
                <w:b w:val="1"/>
                <w:bCs w:val="1"/>
                <w:color w:val="auto"/>
              </w:rPr>
              <w:t>EXHIBIT INDEX</w:t>
            </w:r>
          </w:p>
        </w:tc>
      </w:tr>
      <w:tr>
        <w:trPr>
          <w:trHeight w:val="412"/>
        </w:trPr>
        <w:tc>
          <w:tcPr>
            <w:tcW w:w="1300" w:type="dxa"/>
            <w:vAlign w:val="bottom"/>
          </w:tcPr>
          <w:p>
            <w:pPr>
              <w:jc w:val="right"/>
              <w:ind w:right="180"/>
              <w:spacing w:after="0"/>
              <w:rPr>
                <w:sz w:val="20"/>
                <w:szCs w:val="20"/>
                <w:color w:val="auto"/>
              </w:rPr>
            </w:pPr>
            <w:r>
              <w:rPr>
                <w:rFonts w:ascii="Arial" w:cs="Arial" w:eastAsia="Arial" w:hAnsi="Arial"/>
                <w:sz w:val="16"/>
                <w:szCs w:val="16"/>
                <w:b w:val="1"/>
                <w:bCs w:val="1"/>
                <w:color w:val="auto"/>
              </w:rPr>
              <w:t>Exhibit No.</w:t>
            </w:r>
          </w:p>
        </w:tc>
        <w:tc>
          <w:tcPr>
            <w:tcW w:w="5560" w:type="dxa"/>
            <w:vAlign w:val="bottom"/>
            <w:gridSpan w:val="2"/>
          </w:tcPr>
          <w:p>
            <w:pPr>
              <w:ind w:left="36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300" w:type="dxa"/>
            <w:vAlign w:val="bottom"/>
            <w:tcBorders>
              <w:top w:val="single" w:sz="8" w:color="auto"/>
            </w:tcBorders>
          </w:tcPr>
          <w:p>
            <w:pPr>
              <w:jc w:val="right"/>
              <w:ind w:right="400"/>
              <w:spacing w:after="0" w:line="180" w:lineRule="exact"/>
              <w:rPr>
                <w:sz w:val="20"/>
                <w:szCs w:val="20"/>
                <w:color w:val="auto"/>
              </w:rPr>
            </w:pPr>
            <w:r>
              <w:rPr>
                <w:rFonts w:ascii="Arial" w:cs="Arial" w:eastAsia="Arial" w:hAnsi="Arial"/>
                <w:sz w:val="16"/>
                <w:szCs w:val="16"/>
                <w:color w:val="auto"/>
              </w:rPr>
              <w:t>99.1</w:t>
            </w:r>
          </w:p>
        </w:tc>
        <w:tc>
          <w:tcPr>
            <w:tcW w:w="360" w:type="dxa"/>
            <w:vAlign w:val="bottom"/>
          </w:tcPr>
          <w:p>
            <w:pPr>
              <w:spacing w:after="0"/>
              <w:rPr>
                <w:sz w:val="15"/>
                <w:szCs w:val="15"/>
                <w:color w:val="auto"/>
              </w:rPr>
            </w:pPr>
          </w:p>
        </w:tc>
        <w:tc>
          <w:tcPr>
            <w:tcW w:w="520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Press Release dated October 21, 2011</w:t>
            </w:r>
          </w:p>
        </w:tc>
      </w:tr>
      <w:tr>
        <w:trPr>
          <w:trHeight w:val="205"/>
        </w:trPr>
        <w:tc>
          <w:tcPr>
            <w:tcW w:w="1300" w:type="dxa"/>
            <w:vAlign w:val="bottom"/>
          </w:tcPr>
          <w:p>
            <w:pPr>
              <w:jc w:val="right"/>
              <w:ind w:right="400"/>
              <w:spacing w:after="0"/>
              <w:rPr>
                <w:sz w:val="20"/>
                <w:szCs w:val="20"/>
                <w:color w:val="auto"/>
              </w:rPr>
            </w:pPr>
            <w:r>
              <w:rPr>
                <w:rFonts w:ascii="Arial" w:cs="Arial" w:eastAsia="Arial" w:hAnsi="Arial"/>
                <w:sz w:val="16"/>
                <w:szCs w:val="16"/>
                <w:color w:val="auto"/>
              </w:rPr>
              <w:t>99.2</w:t>
            </w:r>
          </w:p>
        </w:tc>
        <w:tc>
          <w:tcPr>
            <w:tcW w:w="5560" w:type="dxa"/>
            <w:vAlign w:val="bottom"/>
            <w:gridSpan w:val="2"/>
          </w:tcPr>
          <w:p>
            <w:pPr>
              <w:ind w:left="360"/>
              <w:spacing w:after="0"/>
              <w:rPr>
                <w:sz w:val="20"/>
                <w:szCs w:val="20"/>
                <w:color w:val="auto"/>
              </w:rPr>
            </w:pPr>
            <w:r>
              <w:rPr>
                <w:rFonts w:ascii="Arial" w:cs="Arial" w:eastAsia="Arial" w:hAnsi="Arial"/>
                <w:sz w:val="16"/>
                <w:szCs w:val="16"/>
                <w:color w:val="auto"/>
              </w:rPr>
              <w:t>Presentation materials for October 21, 2011 conference call</w:t>
            </w:r>
          </w:p>
        </w:tc>
      </w:tr>
    </w:tbl>
    <w:p>
      <w:pPr>
        <w:sectPr>
          <w:pgSz w:w="11900" w:h="16838" w:orient="portrait"/>
          <w:cols w:equalWidth="0" w:num="1">
            <w:col w:w="10219"/>
          </w:cols>
          <w:pgMar w:left="240" w:top="33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93115" cy="434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3115" cy="43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446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Mike Van Handel</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+1.414.906.6305</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michael.vanhandel@manpowergroup.com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ManpowerGroup Reports 3</w:t>
      </w:r>
      <w:r>
        <w:rPr>
          <w:rFonts w:ascii="Arial" w:cs="Arial" w:eastAsia="Arial" w:hAnsi="Arial"/>
          <w:sz w:val="22"/>
          <w:szCs w:val="22"/>
          <w:b w:val="1"/>
          <w:bCs w:val="1"/>
          <w:color w:val="auto"/>
          <w:vertAlign w:val="superscript"/>
        </w:rPr>
        <w:t>rd</w:t>
      </w:r>
      <w:r>
        <w:rPr>
          <w:rFonts w:ascii="Arial" w:cs="Arial" w:eastAsia="Arial" w:hAnsi="Arial"/>
          <w:sz w:val="16"/>
          <w:szCs w:val="16"/>
          <w:b w:val="1"/>
          <w:bCs w:val="1"/>
          <w:color w:val="auto"/>
        </w:rPr>
        <w:t xml:space="preserve"> Quarter 2011 Results</w:t>
      </w:r>
    </w:p>
    <w:p>
      <w:pPr>
        <w:spacing w:after="0" w:line="372" w:lineRule="exact"/>
        <w:rPr>
          <w:sz w:val="20"/>
          <w:szCs w:val="20"/>
          <w:color w:val="auto"/>
        </w:rPr>
      </w:pPr>
    </w:p>
    <w:p>
      <w:pPr>
        <w:ind w:right="480" w:firstLine="593"/>
        <w:spacing w:after="0" w:line="292" w:lineRule="auto"/>
        <w:rPr>
          <w:sz w:val="20"/>
          <w:szCs w:val="20"/>
          <w:color w:val="auto"/>
        </w:rPr>
      </w:pPr>
      <w:r>
        <w:rPr>
          <w:rFonts w:ascii="Arial" w:cs="Arial" w:eastAsia="Arial" w:hAnsi="Arial"/>
          <w:sz w:val="15"/>
          <w:szCs w:val="15"/>
          <w:b w:val="1"/>
          <w:bCs w:val="1"/>
          <w:color w:val="auto"/>
        </w:rPr>
        <w:t xml:space="preserve">MILWAUKEE, October 21, 2011 -- </w:t>
      </w:r>
      <w:r>
        <w:rPr>
          <w:rFonts w:ascii="Arial" w:cs="Arial" w:eastAsia="Arial" w:hAnsi="Arial"/>
          <w:sz w:val="15"/>
          <w:szCs w:val="15"/>
          <w:color w:val="auto"/>
        </w:rPr>
        <w:t>ManpowerGroup (NYSE: MAN) today reported that earnings per diluted share for the three months ended September 30,</w:t>
      </w:r>
      <w:r>
        <w:rPr>
          <w:rFonts w:ascii="Arial" w:cs="Arial" w:eastAsia="Arial" w:hAnsi="Arial"/>
          <w:sz w:val="15"/>
          <w:szCs w:val="15"/>
          <w:b w:val="1"/>
          <w:bCs w:val="1"/>
          <w:color w:val="auto"/>
        </w:rPr>
        <w:t xml:space="preserve"> </w:t>
      </w:r>
      <w:r>
        <w:rPr>
          <w:rFonts w:ascii="Arial" w:cs="Arial" w:eastAsia="Arial" w:hAnsi="Arial"/>
          <w:sz w:val="15"/>
          <w:szCs w:val="15"/>
          <w:color w:val="auto"/>
        </w:rPr>
        <w:t>2011 were 97 cents compared to 62 cents in the prior year period. Net earnings in the quarter were $79.6 million compared to $51.3 million a year earlier. Revenues for the third quarter were $5.8 billion, an increase of 16 percent from the year earlier period, or an increase of 9 percent in constant currency.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Third quarter results were favorably impacted by 8 cents per diluted share, as foreign currencies were relatively stronger compared to the third quarter of 2010.</w:t>
      </w:r>
    </w:p>
    <w:p>
      <w:pPr>
        <w:spacing w:after="0" w:line="200" w:lineRule="exact"/>
        <w:rPr>
          <w:sz w:val="20"/>
          <w:szCs w:val="20"/>
          <w:color w:val="auto"/>
        </w:rPr>
      </w:pPr>
    </w:p>
    <w:p>
      <w:pPr>
        <w:ind w:right="520"/>
        <w:spacing w:after="0" w:line="259" w:lineRule="auto"/>
        <w:rPr>
          <w:sz w:val="20"/>
          <w:szCs w:val="20"/>
          <w:color w:val="auto"/>
        </w:rPr>
      </w:pPr>
      <w:r>
        <w:rPr>
          <w:rFonts w:ascii="Arial" w:cs="Arial" w:eastAsia="Arial" w:hAnsi="Arial"/>
          <w:sz w:val="16"/>
          <w:szCs w:val="16"/>
          <w:color w:val="auto"/>
        </w:rPr>
        <w:t>Jeffrey A. Joerres, ManpowerGroup Chairman and CEO, said, “We experienced solid growth throughout all geographies. In the third quarter, our strategic investments in differentiation, diversification and productivity contributed to our operating profit increase of 45%. Our core business, Manpower, continues to grow despite the tepid economic environment, while our professional and project-based resourcing business, Experis, and our solutions business are rapidly adding to profitability and enhancing ManpowerGroup’s positioning with our clients.</w:t>
      </w:r>
    </w:p>
    <w:p>
      <w:pPr>
        <w:spacing w:after="0" w:line="167" w:lineRule="exact"/>
        <w:rPr>
          <w:sz w:val="20"/>
          <w:szCs w:val="20"/>
          <w:color w:val="auto"/>
        </w:rPr>
      </w:pPr>
    </w:p>
    <w:p>
      <w:pPr>
        <w:ind w:right="520"/>
        <w:spacing w:after="0" w:line="277" w:lineRule="auto"/>
        <w:rPr>
          <w:sz w:val="20"/>
          <w:szCs w:val="20"/>
          <w:color w:val="auto"/>
        </w:rPr>
      </w:pPr>
      <w:r>
        <w:rPr>
          <w:rFonts w:ascii="Arial" w:cs="Arial" w:eastAsia="Arial" w:hAnsi="Arial"/>
          <w:sz w:val="16"/>
          <w:szCs w:val="16"/>
          <w:color w:val="auto"/>
        </w:rPr>
        <w:t>“We are anticipating the fourth quarter of 2011 diluted earnings per share to be in the range of 85 cents to 95 cents, which includes an estimated favorable currency impact of 3 cents. This is before expected reorganization charges of 15 to 20 cents per diluted share,” Joerres stated.</w:t>
      </w:r>
    </w:p>
    <w:p>
      <w:pPr>
        <w:spacing w:after="0" w:line="152" w:lineRule="exact"/>
        <w:rPr>
          <w:sz w:val="20"/>
          <w:szCs w:val="20"/>
          <w:color w:val="auto"/>
        </w:rPr>
      </w:pPr>
    </w:p>
    <w:p>
      <w:pPr>
        <w:jc w:val="both"/>
        <w:ind w:right="820"/>
        <w:spacing w:after="0" w:line="289" w:lineRule="auto"/>
        <w:rPr>
          <w:sz w:val="20"/>
          <w:szCs w:val="20"/>
          <w:color w:val="auto"/>
        </w:rPr>
      </w:pPr>
      <w:r>
        <w:rPr>
          <w:rFonts w:ascii="Arial" w:cs="Arial" w:eastAsia="Arial" w:hAnsi="Arial"/>
          <w:sz w:val="15"/>
          <w:szCs w:val="15"/>
          <w:color w:val="auto"/>
        </w:rPr>
        <w:t>Earnings per diluted share for the nine months ended September 30, 2011 were $2.26 compared to $1.06 per diluted share in 2010. Net earnings were $188.0 million compared to $86.8 million in the prior year. Revenues for the nine-month period were $16.5 billion, an increase of 21 percent from the prior year, or an increase of 14 percent in constant currency. Foreign currency exchange rates had a favorable impact of 22 cents for the nine-month period.</w:t>
      </w:r>
    </w:p>
    <w:p>
      <w:pPr>
        <w:spacing w:after="0" w:line="146" w:lineRule="exact"/>
        <w:rPr>
          <w:sz w:val="20"/>
          <w:szCs w:val="20"/>
          <w:color w:val="auto"/>
        </w:rPr>
      </w:pPr>
    </w:p>
    <w:p>
      <w:pPr>
        <w:ind w:right="500"/>
        <w:spacing w:after="0" w:line="312" w:lineRule="auto"/>
        <w:rPr>
          <w:sz w:val="20"/>
          <w:szCs w:val="20"/>
          <w:color w:val="auto"/>
        </w:rPr>
      </w:pPr>
      <w:r>
        <w:rPr>
          <w:rFonts w:ascii="Arial" w:cs="Arial" w:eastAsia="Arial" w:hAnsi="Arial"/>
          <w:sz w:val="15"/>
          <w:szCs w:val="15"/>
          <w:color w:val="auto"/>
        </w:rPr>
        <w:t xml:space="preserve">In conjunction with its third quarter earnings release, ManpowerGroup will broadcast its conference call live over the Internet on October 21, 2011 at 7:30 a.m. CDT (8:30 a.m. EDT). Interested parties are invited to listen to the webcast and view the presentation by logging on to </w:t>
      </w:r>
      <w:r>
        <w:rPr>
          <w:rFonts w:ascii="Arial" w:cs="Arial" w:eastAsia="Arial" w:hAnsi="Arial"/>
          <w:sz w:val="15"/>
          <w:szCs w:val="15"/>
          <w:u w:val="single" w:color="auto"/>
          <w:color w:val="auto"/>
        </w:rPr>
        <w:t>http://www.manpowergroup.com/investors</w:t>
      </w:r>
      <w:r>
        <w:rPr>
          <w:rFonts w:ascii="Arial" w:cs="Arial" w:eastAsia="Arial" w:hAnsi="Arial"/>
          <w:sz w:val="15"/>
          <w:szCs w:val="15"/>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auto"/>
        </w:rPr>
        <w:t>http://www.manpowergroup.com/investors</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r>
        <w:rPr>
          <w:rFonts w:ascii="Arial" w:cs="Arial" w:eastAsia="Arial" w:hAnsi="Arial"/>
          <w:sz w:val="16"/>
          <w:szCs w:val="16"/>
          <w:color w:val="auto"/>
        </w:rPr>
        <w:t>™</w:t>
      </w:r>
    </w:p>
    <w:p>
      <w:pPr>
        <w:spacing w:after="0" w:line="25" w:lineRule="exact"/>
        <w:rPr>
          <w:sz w:val="20"/>
          <w:szCs w:val="20"/>
          <w:color w:val="auto"/>
        </w:rPr>
      </w:pPr>
    </w:p>
    <w:p>
      <w:pPr>
        <w:ind w:right="420"/>
        <w:spacing w:after="0" w:line="291" w:lineRule="auto"/>
        <w:rPr>
          <w:sz w:val="20"/>
          <w:szCs w:val="20"/>
          <w:color w:val="auto"/>
        </w:rPr>
      </w:pPr>
      <w:r>
        <w:rPr>
          <w:rFonts w:ascii="Arial" w:cs="Arial" w:eastAsia="Arial" w:hAnsi="Arial"/>
          <w:sz w:val="14"/>
          <w:szCs w:val="14"/>
          <w:color w:val="auto"/>
        </w:rPr>
        <w:t>ManpowerGroup™ (NYSE: MAN), the world leader in innovative workforce solutions, creates and delivers high-impact solutions that enable our clients to achieve their business goals and enhance their competitiveness. With over 60 years of experience, our $22 billion company creates unique time to value through a comprehensive suite of innovative solutions that help clients win in the Human Age. These solutions cover an entire range of talent-driven needs from recruitment and assessment, training and development, and career management, to outsourcing and workforce consulting. ManpowerGroup maintains the world’s largest and industry-leading network of nearly 3,900 offices in over 80 countries and territories, generating a dynamic mix of an unmatched global footprint with valuable insight and local expertise to meet the needs of its 400,000 clients per year, across all industry sectors, small and medium-sized enterprises, local, multinational and global companies. By connecting our deep understanding of human potential to the ambitions of clients, ManpowerGroup helps the organizations and individuals we serve achieve more than they imagined – because their success leads to our success. And by creating these powerful connections, we create power that drives organizations forward, accelerates personal success and builds more sustainable communities. We help power the world of work. The ManpowerGroup suite of solutions is offered through ManpowerGroup™ Solutions, Manpower®, Experis™ and Right Management®. Learn more about how the ManpowerGroup can help you win in the Human Age at www.manpowergroup.com.</w:t>
      </w:r>
    </w:p>
    <w:p>
      <w:pPr>
        <w:spacing w:after="0" w:line="174" w:lineRule="exact"/>
        <w:rPr>
          <w:sz w:val="20"/>
          <w:szCs w:val="20"/>
          <w:color w:val="auto"/>
        </w:rPr>
      </w:pPr>
    </w:p>
    <w:p>
      <w:pPr>
        <w:ind w:right="500"/>
        <w:spacing w:after="0" w:line="259" w:lineRule="auto"/>
        <w:rPr>
          <w:sz w:val="20"/>
          <w:szCs w:val="20"/>
          <w:color w:val="auto"/>
        </w:rPr>
      </w:pPr>
      <w:r>
        <w:rPr>
          <w:rFonts w:ascii="Arial" w:cs="Arial" w:eastAsia="Arial" w:hAnsi="Arial"/>
          <w:sz w:val="16"/>
          <w:szCs w:val="16"/>
          <w:color w:val="auto"/>
        </w:rPr>
        <w:t>ManpowerGroup is the most trusted brand in the industry, being the only company in our industry to be named to the Ethisphere Institute's 2011 World's Most Ethical Companies list for our proven commitment to ethical business practices, including an outstanding commitment to ethical leadership, compliance practices and corporate social responsibility. In addition, ManpowerGroup has also been recognized as the industry leader by Fortune magazine, who named the company in first place on its 2011 list of the Most Admired Companies in the temporary help sector.</w:t>
      </w:r>
    </w:p>
    <w:p>
      <w:pPr>
        <w:spacing w:after="0" w:line="191" w:lineRule="exact"/>
        <w:rPr>
          <w:sz w:val="20"/>
          <w:szCs w:val="20"/>
          <w:color w:val="auto"/>
        </w:rPr>
      </w:pPr>
    </w:p>
    <w:p>
      <w:pPr>
        <w:ind w:right="600"/>
        <w:spacing w:after="0" w:line="277" w:lineRule="auto"/>
        <w:rPr>
          <w:sz w:val="20"/>
          <w:szCs w:val="20"/>
          <w:color w:val="auto"/>
        </w:rPr>
      </w:pPr>
      <w:r>
        <w:rPr>
          <w:rFonts w:ascii="Arial" w:cs="Arial" w:eastAsia="Arial" w:hAnsi="Arial"/>
          <w:sz w:val="16"/>
          <w:szCs w:val="16"/>
          <w:color w:val="auto"/>
        </w:rPr>
        <w:t>In January 2011, at the World Economic Forum Annual Meeting in Davos, Switzerland, ManpowerGroup announced the world has entered the Human Age, where talent has replaced capital as the key competitive differentiator. Learn more about this new age at www.manpowergroup.com/humanage</w:t>
      </w:r>
    </w:p>
    <w:p>
      <w:pPr>
        <w:spacing w:after="0" w:line="176" w:lineRule="exact"/>
        <w:rPr>
          <w:sz w:val="20"/>
          <w:szCs w:val="20"/>
          <w:color w:val="auto"/>
        </w:rPr>
      </w:pPr>
    </w:p>
    <w:p>
      <w:pPr>
        <w:jc w:val="both"/>
        <w:ind w:right="560"/>
        <w:spacing w:after="0" w:line="289" w:lineRule="auto"/>
        <w:rPr>
          <w:sz w:val="20"/>
          <w:szCs w:val="20"/>
          <w:color w:val="auto"/>
        </w:rPr>
      </w:pPr>
      <w:r>
        <w:rPr>
          <w:rFonts w:ascii="Arial" w:cs="Arial" w:eastAsia="Arial" w:hAnsi="Arial"/>
          <w:sz w:val="15"/>
          <w:szCs w:val="15"/>
          <w:color w:val="auto"/>
        </w:rPr>
        <w:t>Gain access to ManpowerGroup’s extensive thought leadership papers, annual Talent Shortage surveys and the Manpower Employment Outlook Survey, one of the most trusted indices of employment activity in the world, via the ManpowerGroup World of Work Insight iPad application. This thought leadership app explores the challenges faced by employers navigating the changing world of work and provides in-depth commentary, analysis, insight and advice on strategies for success.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6"/>
          <w:szCs w:val="16"/>
          <w:color w:val="auto"/>
        </w:rPr>
        <w:t>Follow ManpowerGroup Chairman and CEO Jeff Joerres on Twitter: twitter.com/manpowergroupjj. Joerres is one of only six Fortune 500 CEOs who leverages a Twitter account to get his message out.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This news release contains statements, including earnings projections and statements about revenue growth,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2010, which information is incorporated herein by reference.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346075</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 w:name="page6"/>
    <w:bookmarkEnd w:id="5"/>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6"/>
                <w:szCs w:val="16"/>
                <w:b w:val="1"/>
                <w:bCs w:val="1"/>
                <w:color w:val="auto"/>
                <w:w w:val="91"/>
              </w:rPr>
              <w:t>Three Months Ended September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5,782.3</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4,972.0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4,831.0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4,130.8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16.9%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841.2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793.3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732.3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31.3%</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49.2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37.2%</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0.97</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0.63</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54.0%</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0.97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0.62</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56.5%</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81.7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81.9</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-0.2%</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82.4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82.7</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-0.4%</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760" w:hanging="4"/>
        <w:spacing w:after="0" w:line="264" w:lineRule="auto"/>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$7.2 million and $6.8 million for the three months ended September 30, 2011 and 2010, respectively. These fees are primarily based on revenues generated by the franchise offices, which were $293.9 million and $273.3 million for the three months ended September 30, 2011 and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405765</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337" w:right="219" w:bottom="1440" w:gutter="0" w:footer="0" w:header="0"/>
        </w:sectPr>
      </w:pPr>
    </w:p>
    <w:bookmarkStart w:id="6" w:name="page7"/>
    <w:bookmarkEnd w:id="6"/>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6"/>
                <w:szCs w:val="16"/>
                <w:b w:val="1"/>
                <w:bCs w:val="1"/>
                <w:color w:val="auto"/>
                <w:w w:val="91"/>
              </w:rPr>
              <w:t>Three Months Ended September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(b)</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828.9</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797.0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381.1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317.1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20.2%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1,114.1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1,670.3</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1,411.6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321.0</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257.1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24.9%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183.0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2,198.2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1,851.7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18.7%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1,595.6</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1,365.0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16.9%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701.0</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555.7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85.5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5,782.3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4,972.0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0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Operating Unit Profit: (a)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28.0%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27.9</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19.1</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68.6%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39.6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62.8</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39.8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57.7%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21.7</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126.6</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Corporate expenses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(29.9)</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(23.6)</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(9.9)</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(11.6)</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Reclassification of French business tax</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17.5</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 (c)</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(11.0)</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(8.4)</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100.5</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180" w:hanging="4"/>
        <w:spacing w:after="0" w:line="282" w:lineRule="auto"/>
        <w:tabs>
          <w:tab w:leader="none" w:pos="222" w:val="left"/>
        </w:tabs>
        <w:numPr>
          <w:ilvl w:val="0"/>
          <w:numId w:val="2"/>
        </w:numPr>
        <w:rPr>
          <w:rFonts w:ascii="Arial" w:cs="Arial" w:eastAsia="Arial" w:hAnsi="Arial"/>
          <w:sz w:val="15"/>
          <w:szCs w:val="15"/>
          <w:color w:val="auto"/>
        </w:rPr>
      </w:pPr>
      <w:r>
        <w:rPr>
          <w:rFonts w:ascii="Arial" w:cs="Arial" w:eastAsia="Arial" w:hAnsi="Arial"/>
          <w:sz w:val="15"/>
          <w:szCs w:val="15"/>
          <w:color w:val="auto"/>
        </w:rPr>
        <w:t>Effective January 1, 2011, we created a new organizational structure in Europe in order to elevate our service quality throughout Europe,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changed the name of our Asia Pacific reportable segment to APME; the results of this reportable segment have not been restated as only the name has changed.</w:t>
      </w:r>
    </w:p>
    <w:p>
      <w:pPr>
        <w:spacing w:after="0" w:line="150" w:lineRule="exact"/>
        <w:rPr>
          <w:rFonts w:ascii="Arial" w:cs="Arial" w:eastAsia="Arial" w:hAnsi="Arial"/>
          <w:sz w:val="15"/>
          <w:szCs w:val="15"/>
          <w:color w:val="auto"/>
        </w:rPr>
      </w:pPr>
    </w:p>
    <w:p>
      <w:pPr>
        <w:ind w:left="4" w:right="220" w:hanging="4"/>
        <w:spacing w:after="0" w:line="264" w:lineRule="auto"/>
        <w:tabs>
          <w:tab w:leader="none" w:pos="231"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$3.9 million and $4.0 million for the three months ended September 30, 2011 and 2010, respectively. These fees are primarily based on revenues generated by the franchise offices, which were $166.9 million and $169.0 million for the three months ended September 30, 2011 and 2010, respectively.</w:t>
      </w:r>
    </w:p>
    <w:p>
      <w:pPr>
        <w:spacing w:after="0" w:line="161" w:lineRule="exact"/>
        <w:rPr>
          <w:rFonts w:ascii="Arial" w:cs="Arial" w:eastAsia="Arial" w:hAnsi="Arial"/>
          <w:sz w:val="16"/>
          <w:szCs w:val="16"/>
          <w:color w:val="auto"/>
        </w:rPr>
      </w:pPr>
    </w:p>
    <w:p>
      <w:pPr>
        <w:ind w:left="224" w:hanging="224"/>
        <w:spacing w:after="0"/>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2010</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10.0</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(2.0)</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(1.2)</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 (gain)</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20"/>
              <w:spacing w:after="0"/>
              <w:rPr>
                <w:sz w:val="20"/>
                <w:szCs w:val="20"/>
                <w:color w:val="auto"/>
              </w:rPr>
            </w:pPr>
            <w:r>
              <w:rPr>
                <w:rFonts w:ascii="Arial" w:cs="Arial" w:eastAsia="Arial" w:hAnsi="Arial"/>
                <w:sz w:val="16"/>
                <w:szCs w:val="16"/>
                <w:color w:val="auto"/>
              </w:rPr>
              <w:t>(0.3)</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 (income), net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(0.1)</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8.4</w:t>
            </w:r>
          </w:p>
        </w:tc>
      </w:tr>
      <w:tr>
        <w:trPr>
          <w:trHeight w:val="657"/>
        </w:trPr>
        <w:tc>
          <w:tcPr>
            <w:tcW w:w="60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553" w:right="219" w:bottom="1440" w:gutter="0" w:footer="0" w:header="0"/>
        </w:sectPr>
      </w:pPr>
    </w:p>
    <w:bookmarkStart w:id="7" w:name="page8"/>
    <w:bookmarkEnd w:id="7"/>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w w:val="92"/>
              </w:rPr>
              <w:t>Nine Months Ended September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16,522.0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13,656.9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13,750.9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11,317.2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21.5%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2,339.7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2,376.7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2,119.1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12.2%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33.2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100.6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71.5%</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2.30</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1.08</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113.0%</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2.26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1.06</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113.2%</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81.9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80.7</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1.5%</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83.3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81.7</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1.9%</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640" w:hanging="4"/>
        <w:spacing w:after="0" w:line="264" w:lineRule="auto"/>
        <w:tabs>
          <w:tab w:leader="none" w:pos="22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$18.8 million and $17.2 million for the nine months ended September 30, 2011 and 2010, respectively. These fees are primarily based on revenues generated by the franchise offices, which were $818.0 million and $704.5 million for the nine months ended September 30, 2011 and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553" w:right="219" w:bottom="1440" w:gutter="0" w:footer="0" w:header="0"/>
        </w:sectPr>
      </w:pPr>
    </w:p>
    <w:bookmarkStart w:id="8" w:name="page9"/>
    <w:bookmarkEnd w:id="8"/>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w w:val="92"/>
              </w:rPr>
              <w:t>Nine Months Ended September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(b)</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2,371.4</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2,006.3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917.7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22.3%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2,924.0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4,668.1</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3,775.0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950.5</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750.1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6,199.2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5,035.0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4,618.5</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3,851.4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19.9%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1,966.7</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1,558.9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287.6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-15.2%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16,522.0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13,656.9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0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Operating Unit Profit: (a)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34.5%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64.7</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54.4</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71.7%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71.2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78.4%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160.8</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87.2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84.4%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57.1</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20.3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-79.3%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271.5</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Corporate expenses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(92.4)</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(70.4)</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(28.9)</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(28.1)</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Reclassification of French business tax</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47.6</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 (c)</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(33.9)</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(33.2)</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187.4</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180" w:hanging="4"/>
        <w:spacing w:after="0" w:line="282" w:lineRule="auto"/>
        <w:tabs>
          <w:tab w:leader="none" w:pos="222" w:val="left"/>
        </w:tabs>
        <w:numPr>
          <w:ilvl w:val="0"/>
          <w:numId w:val="4"/>
        </w:numPr>
        <w:rPr>
          <w:rFonts w:ascii="Arial" w:cs="Arial" w:eastAsia="Arial" w:hAnsi="Arial"/>
          <w:sz w:val="15"/>
          <w:szCs w:val="15"/>
          <w:color w:val="auto"/>
        </w:rPr>
      </w:pPr>
      <w:r>
        <w:rPr>
          <w:rFonts w:ascii="Arial" w:cs="Arial" w:eastAsia="Arial" w:hAnsi="Arial"/>
          <w:sz w:val="15"/>
          <w:szCs w:val="15"/>
          <w:color w:val="auto"/>
        </w:rPr>
        <w:t>Effective January 1, 2011, we created a new organizational structure in Europe in order to elevate our service quality throughout Europe,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changed the name of our Asia Pacific reportable segment to APME; the results of this reportable segment have not been restated as only the name has changed.</w:t>
      </w:r>
    </w:p>
    <w:p>
      <w:pPr>
        <w:spacing w:after="0" w:line="150" w:lineRule="exact"/>
        <w:rPr>
          <w:rFonts w:ascii="Arial" w:cs="Arial" w:eastAsia="Arial" w:hAnsi="Arial"/>
          <w:sz w:val="15"/>
          <w:szCs w:val="15"/>
          <w:color w:val="auto"/>
        </w:rPr>
      </w:pPr>
    </w:p>
    <w:p>
      <w:pPr>
        <w:ind w:left="4" w:right="180" w:hanging="4"/>
        <w:spacing w:after="0" w:line="264" w:lineRule="auto"/>
        <w:tabs>
          <w:tab w:leader="none" w:pos="231"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$9.8 million and $9.9 million for the nine months ended September 30, 2011 and 2010. These fees are primarily based on revenues generated by the franchise offices, which were $478.6 million and $457.0 million for the nine months ended September 30, 2011 and 2010, respectively.</w:t>
      </w:r>
    </w:p>
    <w:p>
      <w:pPr>
        <w:spacing w:after="0" w:line="161" w:lineRule="exact"/>
        <w:rPr>
          <w:rFonts w:ascii="Arial" w:cs="Arial" w:eastAsia="Arial" w:hAnsi="Arial"/>
          <w:sz w:val="16"/>
          <w:szCs w:val="16"/>
          <w:color w:val="auto"/>
        </w:rPr>
      </w:pPr>
    </w:p>
    <w:p>
      <w:pPr>
        <w:ind w:left="264" w:hanging="264"/>
        <w:spacing w:after="0"/>
        <w:tabs>
          <w:tab w:leader="none" w:pos="26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2010</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33.6</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(5.0)</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(4.2)</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losses</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2.5</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color w:val="auto"/>
              </w:rPr>
              <w:t>1.3</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33.2</w:t>
            </w:r>
          </w:p>
        </w:tc>
      </w:tr>
      <w:tr>
        <w:trPr>
          <w:trHeight w:val="441"/>
        </w:trPr>
        <w:tc>
          <w:tcPr>
            <w:tcW w:w="60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337" w:right="21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 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Dec. 31</w:t>
            </w:r>
          </w:p>
        </w:tc>
      </w:tr>
      <w:tr>
        <w:trPr>
          <w:trHeight w:val="213"/>
        </w:trPr>
        <w:tc>
          <w:tcPr>
            <w:tcW w:w="8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r>
      <w:tr>
        <w:trPr>
          <w:trHeight w:val="192"/>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6"/>
                <w:szCs w:val="16"/>
                <w:color w:val="auto"/>
              </w:rPr>
              <w:t>(Unaudited)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563.5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772.6</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4,342.0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3,844.1</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166.1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197.6</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Future income tax benefits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59.7</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5,129.8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4,874.0</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1,356.4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1,330.3</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416.8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355.1</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1,773.2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1,685.4</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Property and equipment:</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Land, buildings, leasehold improvements and equipment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688.8</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530.3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518.5</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property and equipment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172.7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170.3</w:t>
            </w:r>
          </w:p>
        </w:tc>
      </w:tr>
      <w:tr>
        <w:trPr>
          <w:trHeight w:val="24"/>
        </w:trPr>
        <w:tc>
          <w:tcPr>
            <w:tcW w:w="8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7,075.7</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6,729.7</w:t>
            </w:r>
          </w:p>
        </w:tc>
      </w:tr>
      <w:tr>
        <w:trPr>
          <w:trHeight w:val="20"/>
        </w:trPr>
        <w:tc>
          <w:tcPr>
            <w:tcW w:w="8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88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1,458.7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1,313.9</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Employee compensation payable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240.2</w:t>
            </w: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508.5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547.4</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Accrued payroll taxes and insurance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719.8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677.7</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538.1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482.2</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Short-term borrowings and current maturities of long-term debt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435.2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28.7</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3,882.1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3,290.1</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268.2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669.3</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399.4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373.1</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667.6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1,042.4</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 stock</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Capital in excess of par value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2,824.1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2,781.7</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785.2</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87.0</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Treasury stock, at cost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(1,302.7)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(1,257.8)</w:t>
            </w:r>
          </w:p>
        </w:tc>
      </w:tr>
      <w:tr>
        <w:trPr>
          <w:trHeight w:val="24"/>
        </w:trPr>
        <w:tc>
          <w:tcPr>
            <w:tcW w:w="8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240"/>
              <w:spacing w:after="0"/>
              <w:rPr>
                <w:sz w:val="20"/>
                <w:szCs w:val="20"/>
                <w:color w:val="auto"/>
              </w:rPr>
            </w:pPr>
            <w:r>
              <w:rPr>
                <w:rFonts w:ascii="Arial" w:cs="Arial" w:eastAsia="Arial" w:hAnsi="Arial"/>
                <w:sz w:val="16"/>
                <w:szCs w:val="16"/>
                <w:color w:val="auto"/>
              </w:rPr>
              <w:t>Total shareholders' equity</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2,526.0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2,397.2</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2"/>
        </w:trPr>
        <w:tc>
          <w:tcPr>
            <w:tcW w:w="8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7,075.7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6,729.7</w:t>
            </w:r>
          </w:p>
        </w:tc>
      </w:tr>
      <w:tr>
        <w:trPr>
          <w:trHeight w:val="441"/>
        </w:trPr>
        <w:tc>
          <w:tcPr>
            <w:tcW w:w="882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62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gridSpan w:val="4"/>
          </w:tcPr>
          <w:p>
            <w:pPr>
              <w:jc w:val="center"/>
              <w:spacing w:after="0"/>
              <w:rPr>
                <w:sz w:val="20"/>
                <w:szCs w:val="20"/>
                <w:color w:val="auto"/>
              </w:rPr>
            </w:pPr>
            <w:r>
              <w:rPr>
                <w:rFonts w:ascii="Arial" w:cs="Arial" w:eastAsia="Arial" w:hAnsi="Arial"/>
                <w:sz w:val="16"/>
                <w:szCs w:val="16"/>
                <w:color w:val="auto"/>
                <w:w w:val="93"/>
              </w:rPr>
              <w:t>(Unaudited)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720" w:type="dxa"/>
            <w:vAlign w:val="bottom"/>
          </w:tcPr>
          <w:p>
            <w:pPr>
              <w:jc w:val="right"/>
              <w:ind w:right="562"/>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188.0</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earnings to net cash used in operating activities: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Excess tax benefit on exercise of stock options</w:t>
            </w:r>
          </w:p>
        </w:tc>
        <w:tc>
          <w:tcPr>
            <w:tcW w:w="7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7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(521.7)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(730.2)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Other liabilities</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173.1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494.7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operating activities</w:t>
            </w:r>
          </w:p>
        </w:tc>
        <w:tc>
          <w:tcPr>
            <w:tcW w:w="7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 expenditures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7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sales of property and equipment</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460"/>
              <w:spacing w:after="0"/>
              <w:rPr>
                <w:sz w:val="20"/>
                <w:szCs w:val="20"/>
                <w:color w:val="auto"/>
              </w:rPr>
            </w:pPr>
            <w:r>
              <w:rPr>
                <w:rFonts w:ascii="Arial" w:cs="Arial" w:eastAsia="Arial" w:hAnsi="Arial"/>
                <w:sz w:val="16"/>
                <w:szCs w:val="16"/>
                <w:color w:val="auto"/>
              </w:rPr>
              <w:t>Cash used in investing activities</w:t>
            </w:r>
          </w:p>
        </w:tc>
        <w:tc>
          <w:tcPr>
            <w:tcW w:w="7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(299.3)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change in short-term borrowings</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long-term debt</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Repayments of long-term debt</w:t>
            </w:r>
          </w:p>
        </w:tc>
        <w:tc>
          <w:tcPr>
            <w:tcW w:w="7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share-based awards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Excess tax benefit on exercise of stock options</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Repurchases of common stock</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Dividends paid</w:t>
            </w:r>
          </w:p>
        </w:tc>
        <w:tc>
          <w:tcPr>
            <w:tcW w:w="7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financing activities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7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and cash equivalents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(209.1)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772.6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1,014.6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720" w:type="dxa"/>
            <w:vAlign w:val="bottom"/>
            <w:shd w:val="clear" w:color="auto" w:fill="CCEEFF"/>
          </w:tcPr>
          <w:p>
            <w:pPr>
              <w:jc w:val="right"/>
              <w:ind w:right="562"/>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563.5</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337" w:right="219" w:bottom="1440" w:gutter="0" w:footer="0" w:header="0"/>
        </w:sectPr>
      </w:pPr>
    </w:p>
    <w:bookmarkStart w:id="11" w:name="page12"/>
    <w:bookmarkEnd w:id="11"/>
    <w:p>
      <w:pPr>
        <w:jc w:val="right"/>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151130</wp:posOffset>
            </wp:positionV>
            <wp:extent cx="7317740" cy="5492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399" w:lineRule="exact"/>
        <w:rPr>
          <w:sz w:val="20"/>
          <w:szCs w:val="20"/>
          <w:color w:val="auto"/>
        </w:rPr>
      </w:pPr>
    </w:p>
    <w:p>
      <w:pPr>
        <w:spacing w:after="0"/>
        <w:tabs>
          <w:tab w:leader="none" w:pos="7400" w:val="left"/>
        </w:tabs>
        <w:rPr>
          <w:sz w:val="20"/>
          <w:szCs w:val="20"/>
          <w:color w:val="auto"/>
        </w:rPr>
      </w:pPr>
      <w:r>
        <w:rPr>
          <w:rFonts w:ascii="Arial" w:cs="Arial" w:eastAsia="Arial" w:hAnsi="Arial"/>
          <w:sz w:val="26"/>
          <w:szCs w:val="26"/>
          <w:b w:val="1"/>
          <w:bCs w:val="1"/>
          <w:color w:val="FFFFFF"/>
        </w:rPr>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w:t>
      </w:r>
      <w:r>
        <w:rPr>
          <w:sz w:val="20"/>
          <w:szCs w:val="20"/>
          <w:color w:val="auto"/>
        </w:rPr>
        <w:tab/>
      </w:r>
      <w:r>
        <w:rPr>
          <w:rFonts w:ascii="Arial" w:cs="Arial" w:eastAsia="Arial" w:hAnsi="Arial"/>
          <w:sz w:val="25"/>
          <w:szCs w:val="25"/>
          <w:b w:val="1"/>
          <w:bCs w:val="1"/>
          <w:color w:val="FFFFFF"/>
        </w:rPr>
        <w:t>October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Arial" w:cs="Arial" w:eastAsia="Arial" w:hAnsi="Arial"/>
          <w:sz w:val="51"/>
          <w:szCs w:val="51"/>
          <w:color w:val="498BB8"/>
        </w:rPr>
        <w:t>ManpowerGroup</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38"/>
          <w:szCs w:val="38"/>
          <w:color w:val="498BB8"/>
        </w:rPr>
        <w:t>3</w:t>
      </w:r>
      <w:r>
        <w:rPr>
          <w:rFonts w:ascii="Arial" w:cs="Arial" w:eastAsia="Arial" w:hAnsi="Arial"/>
          <w:sz w:val="53"/>
          <w:szCs w:val="53"/>
          <w:color w:val="498BB8"/>
          <w:vertAlign w:val="superscript"/>
        </w:rPr>
        <w:t>rd</w:t>
      </w:r>
      <w:r>
        <w:rPr>
          <w:rFonts w:ascii="Arial" w:cs="Arial" w:eastAsia="Arial" w:hAnsi="Arial"/>
          <w:sz w:val="38"/>
          <w:szCs w:val="38"/>
          <w:color w:val="498BB8"/>
        </w:rPr>
        <w:t xml:space="preserve"> Quarter</w:t>
      </w:r>
    </w:p>
    <w:p>
      <w:pPr>
        <w:ind w:left="720"/>
        <w:spacing w:after="0"/>
        <w:rPr>
          <w:sz w:val="20"/>
          <w:szCs w:val="20"/>
          <w:color w:val="auto"/>
        </w:rPr>
      </w:pPr>
      <w:r>
        <w:rPr>
          <w:rFonts w:ascii="Arial" w:cs="Arial" w:eastAsia="Arial" w:hAnsi="Arial"/>
          <w:sz w:val="38"/>
          <w:szCs w:val="38"/>
          <w:color w:val="498BB8"/>
        </w:rPr>
        <w:t>October 21,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810260</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00"/>
          </w:cols>
          <w:pgMar w:left="680" w:top="116" w:right="219" w:bottom="1440" w:gutter="0" w:footer="0" w:header="0"/>
        </w:sectPr>
      </w:pPr>
    </w:p>
    <w:bookmarkStart w:id="12" w:name="page13"/>
    <w:bookmarkEnd w:id="12"/>
    <w:p>
      <w:pPr>
        <w:spacing w:after="0"/>
        <w:tabs>
          <w:tab w:leader="none" w:pos="7980" w:val="left"/>
        </w:tabs>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w:t>
      </w:r>
      <w:r>
        <w:rPr>
          <w:sz w:val="20"/>
          <w:szCs w:val="20"/>
          <w:color w:val="auto"/>
        </w:rPr>
        <w:tab/>
      </w:r>
      <w:r>
        <w:rPr>
          <w:rFonts w:ascii="Arial" w:cs="Arial" w:eastAsia="Arial" w:hAnsi="Arial"/>
          <w:sz w:val="25"/>
          <w:szCs w:val="25"/>
          <w:b w:val="1"/>
          <w:bCs w:val="1"/>
          <w:color w:val="FFFFFF"/>
        </w:rPr>
        <w:t>October 2011</w:t>
      </w:r>
    </w:p>
    <w:p>
      <w:pPr>
        <w:sectPr>
          <w:pgSz w:w="11900" w:h="16838" w:orient="portrait"/>
          <w:cols w:equalWidth="0" w:num="1">
            <w:col w:w="9779"/>
          </w:cols>
          <w:pgMar w:left="680" w:top="452" w:right="1440"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140"/>
        <w:spacing w:after="0"/>
        <w:rPr>
          <w:sz w:val="20"/>
          <w:szCs w:val="20"/>
          <w:color w:val="auto"/>
        </w:rPr>
      </w:pPr>
      <w:r>
        <w:rPr>
          <w:rFonts w:ascii="Arial" w:cs="Arial" w:eastAsia="Arial" w:hAnsi="Arial"/>
          <w:sz w:val="51"/>
          <w:szCs w:val="51"/>
          <w:color w:val="5F81AA"/>
        </w:rPr>
        <w:t>Forward-Looking Statement</w:t>
      </w:r>
    </w:p>
    <w:p>
      <w:pPr>
        <w:spacing w:after="0" w:line="200" w:lineRule="exact"/>
        <w:rPr>
          <w:sz w:val="20"/>
          <w:szCs w:val="20"/>
          <w:color w:val="auto"/>
        </w:rPr>
      </w:pPr>
    </w:p>
    <w:p>
      <w:pPr>
        <w:spacing w:after="0" w:line="288" w:lineRule="exact"/>
        <w:rPr>
          <w:sz w:val="20"/>
          <w:szCs w:val="20"/>
          <w:color w:val="auto"/>
        </w:rPr>
      </w:pPr>
    </w:p>
    <w:p>
      <w:pPr>
        <w:ind w:left="140" w:right="2479"/>
        <w:spacing w:after="0" w:line="252" w:lineRule="auto"/>
        <w:rPr>
          <w:sz w:val="20"/>
          <w:szCs w:val="20"/>
          <w:color w:val="auto"/>
        </w:rPr>
      </w:pPr>
      <w:r>
        <w:rPr>
          <w:rFonts w:ascii="Arial" w:cs="Arial" w:eastAsia="Arial" w:hAnsi="Arial"/>
          <w:sz w:val="25"/>
          <w:szCs w:val="25"/>
          <w:color w:val="67696F"/>
        </w:rPr>
        <w:t>This presentation includes forward-looking statements, including earnings projections which are subject to risks and uncertainties. Actual results might differ materially from those projected in the forward-looking statements. Additional information concerning factors that could cause actual results to materially differ from those in the forward-looking statements is contained in the Manpower Inc. Annual Report on Form 10-K dated December 31, 2010, which information is incorporated herein by reference, and such other factors as may be described from time to time in the Company’s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2529840</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779"/>
          </w:cols>
          <w:pgMar w:left="680" w:top="452" w:right="1440" w:bottom="1440" w:gutter="0" w:footer="0" w:header="0"/>
          <w:type w:val="continuous"/>
        </w:sectPr>
      </w:pPr>
    </w:p>
    <w:bookmarkStart w:id="13" w:name="page14"/>
    <w:bookmarkEnd w:id="13"/>
    <w:p>
      <w:pPr>
        <w:ind w:left="440" w:right="328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580" w:lineRule="exact"/>
        <w:rPr>
          <w:sz w:val="20"/>
          <w:szCs w:val="20"/>
          <w:color w:val="auto"/>
        </w:rPr>
      </w:pPr>
    </w:p>
    <w:p>
      <w:pPr>
        <w:sectPr>
          <w:pgSz w:w="11900" w:h="16838" w:orient="portrait"/>
          <w:cols w:equalWidth="0" w:num="2">
            <w:col w:w="8860" w:space="720"/>
            <w:col w:w="1860"/>
          </w:cols>
          <w:pgMar w:left="240" w:top="452" w:right="219" w:bottom="1440" w:gutter="0" w:footer="0" w:header="0"/>
        </w:sectPr>
      </w:pPr>
    </w:p>
    <w:p>
      <w:pPr>
        <w:ind w:left="640"/>
        <w:spacing w:after="0"/>
        <w:rPr>
          <w:sz w:val="20"/>
          <w:szCs w:val="20"/>
          <w:color w:val="auto"/>
        </w:rPr>
      </w:pPr>
      <w:r>
        <w:rPr>
          <w:rFonts w:ascii="Arial" w:cs="Arial" w:eastAsia="Arial" w:hAnsi="Arial"/>
          <w:sz w:val="51"/>
          <w:szCs w:val="51"/>
          <w:color w:val="5F81AA"/>
        </w:rPr>
        <w:t>Consolidated Financial Highlights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653"/>
        </w:trPr>
        <w:tc>
          <w:tcPr>
            <w:tcW w:w="1300" w:type="dxa"/>
            <w:vAlign w:val="bottom"/>
          </w:tcPr>
          <w:p>
            <w:pPr>
              <w:spacing w:after="0"/>
              <w:rPr>
                <w:sz w:val="24"/>
                <w:szCs w:val="24"/>
                <w:color w:val="auto"/>
              </w:rPr>
            </w:pPr>
          </w:p>
        </w:tc>
        <w:tc>
          <w:tcPr>
            <w:tcW w:w="2580" w:type="dxa"/>
            <w:vAlign w:val="bottom"/>
            <w:tcBorders>
              <w:right w:val="single" w:sz="8" w:color="D47C18"/>
            </w:tcBorders>
          </w:tcPr>
          <w:p>
            <w:pPr>
              <w:spacing w:after="0"/>
              <w:rPr>
                <w:sz w:val="24"/>
                <w:szCs w:val="24"/>
                <w:color w:val="auto"/>
              </w:rPr>
            </w:pPr>
          </w:p>
        </w:tc>
        <w:tc>
          <w:tcPr>
            <w:tcW w:w="6720" w:type="dxa"/>
            <w:vAlign w:val="bottom"/>
            <w:gridSpan w:val="2"/>
          </w:tcPr>
          <w:p>
            <w:pPr>
              <w:ind w:left="300"/>
              <w:spacing w:after="0"/>
              <w:rPr>
                <w:sz w:val="20"/>
                <w:szCs w:val="20"/>
                <w:color w:val="auto"/>
              </w:rPr>
            </w:pPr>
            <w:r>
              <w:rPr>
                <w:rFonts w:ascii="Arial" w:cs="Arial" w:eastAsia="Arial" w:hAnsi="Arial"/>
                <w:sz w:val="42"/>
                <w:szCs w:val="42"/>
                <w:b w:val="1"/>
                <w:bCs w:val="1"/>
                <w:color w:val="auto"/>
              </w:rPr>
              <w:t>Q3 Financial Highlights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2580" w:type="dxa"/>
            <w:vAlign w:val="bottom"/>
            <w:tcBorders>
              <w:bottom w:val="single" w:sz="8" w:color="D47C18"/>
              <w:right w:val="single" w:sz="8" w:color="D47C18"/>
            </w:tcBorders>
          </w:tcPr>
          <w:p>
            <w:pPr>
              <w:spacing w:after="0"/>
              <w:rPr>
                <w:sz w:val="12"/>
                <w:szCs w:val="12"/>
                <w:color w:val="auto"/>
              </w:rPr>
            </w:pPr>
          </w:p>
        </w:tc>
        <w:tc>
          <w:tcPr>
            <w:tcW w:w="6300" w:type="dxa"/>
            <w:vAlign w:val="bottom"/>
            <w:tcBorders>
              <w:bottom w:val="single" w:sz="8" w:color="D47C18"/>
            </w:tcBorders>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7"/>
        </w:trPr>
        <w:tc>
          <w:tcPr>
            <w:tcW w:w="3880" w:type="dxa"/>
            <w:vAlign w:val="bottom"/>
            <w:tcBorders>
              <w:right w:val="single" w:sz="8" w:color="D47C18"/>
            </w:tcBorders>
            <w:gridSpan w:val="2"/>
          </w:tcPr>
          <w:p>
            <w:pPr>
              <w:jc w:val="center"/>
              <w:ind w:left="1449"/>
              <w:spacing w:after="0"/>
              <w:rPr>
                <w:sz w:val="20"/>
                <w:szCs w:val="20"/>
                <w:color w:val="auto"/>
              </w:rPr>
            </w:pPr>
            <w:r>
              <w:rPr>
                <w:rFonts w:ascii="Arial" w:cs="Arial" w:eastAsia="Arial" w:hAnsi="Arial"/>
                <w:sz w:val="38"/>
                <w:szCs w:val="38"/>
                <w:color w:val="auto"/>
                <w:w w:val="99"/>
              </w:rPr>
              <w:t>16%</w:t>
            </w:r>
          </w:p>
        </w:tc>
        <w:tc>
          <w:tcPr>
            <w:tcW w:w="6720" w:type="dxa"/>
            <w:vAlign w:val="bottom"/>
            <w:gridSpan w:val="2"/>
            <w:vMerge w:val="restart"/>
          </w:tcPr>
          <w:p>
            <w:pPr>
              <w:ind w:left="34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5F81AA"/>
              </w:rPr>
              <w:t>$5.8B</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00" w:type="dxa"/>
            <w:vAlign w:val="bottom"/>
          </w:tcPr>
          <w:p>
            <w:pPr>
              <w:spacing w:after="0"/>
              <w:rPr>
                <w:sz w:val="23"/>
                <w:szCs w:val="23"/>
                <w:color w:val="auto"/>
              </w:rPr>
            </w:pPr>
          </w:p>
        </w:tc>
        <w:tc>
          <w:tcPr>
            <w:tcW w:w="2580" w:type="dxa"/>
            <w:vAlign w:val="bottom"/>
            <w:tcBorders>
              <w:right w:val="single" w:sz="8" w:color="D47C18"/>
            </w:tcBorders>
            <w:vMerge w:val="restart"/>
          </w:tcPr>
          <w:p>
            <w:pPr>
              <w:jc w:val="center"/>
              <w:ind w:left="88"/>
              <w:spacing w:after="0"/>
              <w:rPr>
                <w:sz w:val="20"/>
                <w:szCs w:val="20"/>
                <w:color w:val="auto"/>
              </w:rPr>
            </w:pPr>
            <w:r>
              <w:rPr>
                <w:rFonts w:ascii="Arial" w:cs="Arial" w:eastAsia="Arial" w:hAnsi="Arial"/>
                <w:sz w:val="38"/>
                <w:szCs w:val="38"/>
                <w:color w:val="auto"/>
              </w:rPr>
              <w:t>9% CC</w:t>
            </w:r>
          </w:p>
        </w:tc>
        <w:tc>
          <w:tcPr>
            <w:tcW w:w="6720" w:type="dxa"/>
            <w:vAlign w:val="bottom"/>
            <w:gridSpan w:val="2"/>
            <w:vMerge w:val="continue"/>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580" w:type="dxa"/>
            <w:vAlign w:val="bottom"/>
            <w:tcBorders>
              <w:right w:val="single" w:sz="8" w:color="D47C18"/>
            </w:tcBorders>
            <w:vMerge w:val="continue"/>
          </w:tcPr>
          <w:p>
            <w:pPr>
              <w:spacing w:after="0"/>
              <w:rPr>
                <w:sz w:val="18"/>
                <w:szCs w:val="18"/>
                <w:color w:val="auto"/>
              </w:rPr>
            </w:pPr>
          </w:p>
        </w:tc>
        <w:tc>
          <w:tcPr>
            <w:tcW w:w="6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2580" w:type="dxa"/>
            <w:vAlign w:val="bottom"/>
            <w:tcBorders>
              <w:bottom w:val="single" w:sz="8" w:color="D47C18"/>
              <w:right w:val="single" w:sz="8" w:color="D47C18"/>
            </w:tcBorders>
          </w:tcPr>
          <w:p>
            <w:pPr>
              <w:spacing w:after="0"/>
              <w:rPr>
                <w:sz w:val="6"/>
                <w:szCs w:val="6"/>
                <w:color w:val="auto"/>
              </w:rPr>
            </w:pPr>
          </w:p>
        </w:tc>
        <w:tc>
          <w:tcPr>
            <w:tcW w:w="6300" w:type="dxa"/>
            <w:vAlign w:val="bottom"/>
            <w:tcBorders>
              <w:bottom w:val="single" w:sz="8" w:color="D47C18"/>
            </w:tcBorders>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5"/>
        </w:trPr>
        <w:tc>
          <w:tcPr>
            <w:tcW w:w="1300" w:type="dxa"/>
            <w:vAlign w:val="bottom"/>
          </w:tcPr>
          <w:p>
            <w:pPr>
              <w:spacing w:after="0"/>
              <w:rPr>
                <w:sz w:val="24"/>
                <w:szCs w:val="24"/>
                <w:color w:val="auto"/>
              </w:rPr>
            </w:pPr>
          </w:p>
        </w:tc>
        <w:tc>
          <w:tcPr>
            <w:tcW w:w="2580" w:type="dxa"/>
            <w:vAlign w:val="bottom"/>
            <w:tcBorders>
              <w:right w:val="single" w:sz="8" w:color="D47C18"/>
            </w:tcBorders>
          </w:tcPr>
          <w:p>
            <w:pPr>
              <w:jc w:val="center"/>
              <w:ind w:left="108"/>
              <w:spacing w:after="0"/>
              <w:rPr>
                <w:sz w:val="20"/>
                <w:szCs w:val="20"/>
                <w:color w:val="auto"/>
              </w:rPr>
            </w:pPr>
            <w:r>
              <w:rPr>
                <w:rFonts w:ascii="Arial" w:cs="Arial" w:eastAsia="Arial" w:hAnsi="Arial"/>
                <w:sz w:val="38"/>
                <w:szCs w:val="38"/>
                <w:color w:val="auto"/>
              </w:rPr>
              <w:t>40 bps</w:t>
            </w:r>
          </w:p>
        </w:tc>
        <w:tc>
          <w:tcPr>
            <w:tcW w:w="6720" w:type="dxa"/>
            <w:vAlign w:val="bottom"/>
            <w:gridSpan w:val="2"/>
          </w:tcPr>
          <w:p>
            <w:pPr>
              <w:ind w:left="300"/>
              <w:spacing w:after="0"/>
              <w:rPr>
                <w:sz w:val="20"/>
                <w:szCs w:val="20"/>
                <w:color w:val="auto"/>
              </w:rPr>
            </w:pPr>
            <w:r>
              <w:rPr>
                <w:rFonts w:ascii="Arial" w:cs="Arial" w:eastAsia="Arial" w:hAnsi="Arial"/>
                <w:sz w:val="42"/>
                <w:szCs w:val="42"/>
                <w:b w:val="1"/>
                <w:bCs w:val="1"/>
                <w:color w:val="auto"/>
              </w:rPr>
              <w:t xml:space="preserve">Gross Margin </w:t>
            </w:r>
            <w:r>
              <w:rPr>
                <w:rFonts w:ascii="Arial" w:cs="Arial" w:eastAsia="Arial" w:hAnsi="Arial"/>
                <w:sz w:val="44"/>
                <w:szCs w:val="44"/>
                <w:b w:val="1"/>
                <w:bCs w:val="1"/>
                <w:color w:val="5F81AA"/>
              </w:rPr>
              <w:t>16.5%</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2580" w:type="dxa"/>
            <w:vAlign w:val="bottom"/>
            <w:tcBorders>
              <w:bottom w:val="single" w:sz="8" w:color="D47C18"/>
              <w:right w:val="single" w:sz="8" w:color="D47C18"/>
            </w:tcBorders>
          </w:tcPr>
          <w:p>
            <w:pPr>
              <w:spacing w:after="0"/>
              <w:rPr>
                <w:sz w:val="9"/>
                <w:szCs w:val="9"/>
                <w:color w:val="auto"/>
              </w:rPr>
            </w:pPr>
          </w:p>
        </w:tc>
        <w:tc>
          <w:tcPr>
            <w:tcW w:w="6300" w:type="dxa"/>
            <w:vAlign w:val="bottom"/>
            <w:tcBorders>
              <w:bottom w:val="single" w:sz="8" w:color="D47C18"/>
            </w:tcBorders>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7"/>
        </w:trPr>
        <w:tc>
          <w:tcPr>
            <w:tcW w:w="3880" w:type="dxa"/>
            <w:vAlign w:val="bottom"/>
            <w:tcBorders>
              <w:right w:val="single" w:sz="8" w:color="D47C18"/>
            </w:tcBorders>
            <w:gridSpan w:val="2"/>
          </w:tcPr>
          <w:p>
            <w:pPr>
              <w:jc w:val="center"/>
              <w:ind w:left="1449"/>
              <w:spacing w:after="0"/>
              <w:rPr>
                <w:sz w:val="20"/>
                <w:szCs w:val="20"/>
                <w:color w:val="auto"/>
              </w:rPr>
            </w:pPr>
            <w:r>
              <w:rPr>
                <w:rFonts w:ascii="Arial" w:cs="Arial" w:eastAsia="Arial" w:hAnsi="Arial"/>
                <w:sz w:val="38"/>
                <w:szCs w:val="38"/>
                <w:color w:val="auto"/>
                <w:w w:val="99"/>
              </w:rPr>
              <w:t>45%</w:t>
            </w:r>
          </w:p>
        </w:tc>
        <w:tc>
          <w:tcPr>
            <w:tcW w:w="6720" w:type="dxa"/>
            <w:vAlign w:val="bottom"/>
            <w:gridSpan w:val="2"/>
            <w:vMerge w:val="restart"/>
          </w:tcPr>
          <w:p>
            <w:pPr>
              <w:ind w:left="340"/>
              <w:spacing w:after="0"/>
              <w:rPr>
                <w:sz w:val="20"/>
                <w:szCs w:val="20"/>
                <w:color w:val="auto"/>
              </w:rPr>
            </w:pPr>
            <w:r>
              <w:rPr>
                <w:rFonts w:ascii="Arial" w:cs="Arial" w:eastAsia="Arial" w:hAnsi="Arial"/>
                <w:sz w:val="42"/>
                <w:szCs w:val="42"/>
                <w:b w:val="1"/>
                <w:bCs w:val="1"/>
                <w:color w:val="auto"/>
              </w:rPr>
              <w:t xml:space="preserve">Operating Profit </w:t>
            </w:r>
            <w:r>
              <w:rPr>
                <w:rFonts w:ascii="Arial" w:cs="Arial" w:eastAsia="Arial" w:hAnsi="Arial"/>
                <w:sz w:val="44"/>
                <w:szCs w:val="44"/>
                <w:b w:val="1"/>
                <w:bCs w:val="1"/>
                <w:color w:val="5F81AA"/>
              </w:rPr>
              <w:t>$158M</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00" w:type="dxa"/>
            <w:vAlign w:val="bottom"/>
          </w:tcPr>
          <w:p>
            <w:pPr>
              <w:spacing w:after="0"/>
              <w:rPr>
                <w:sz w:val="23"/>
                <w:szCs w:val="23"/>
                <w:color w:val="auto"/>
              </w:rPr>
            </w:pPr>
          </w:p>
        </w:tc>
        <w:tc>
          <w:tcPr>
            <w:tcW w:w="2580" w:type="dxa"/>
            <w:vAlign w:val="bottom"/>
            <w:tcBorders>
              <w:right w:val="single" w:sz="8" w:color="D47C18"/>
            </w:tcBorders>
            <w:vMerge w:val="restart"/>
          </w:tcPr>
          <w:p>
            <w:pPr>
              <w:jc w:val="center"/>
              <w:ind w:left="108"/>
              <w:spacing w:after="0"/>
              <w:rPr>
                <w:sz w:val="20"/>
                <w:szCs w:val="20"/>
                <w:color w:val="auto"/>
              </w:rPr>
            </w:pPr>
            <w:r>
              <w:rPr>
                <w:rFonts w:ascii="Arial" w:cs="Arial" w:eastAsia="Arial" w:hAnsi="Arial"/>
                <w:sz w:val="38"/>
                <w:szCs w:val="38"/>
                <w:color w:val="auto"/>
              </w:rPr>
              <w:t>34% CC</w:t>
            </w:r>
          </w:p>
        </w:tc>
        <w:tc>
          <w:tcPr>
            <w:tcW w:w="6720" w:type="dxa"/>
            <w:vAlign w:val="bottom"/>
            <w:gridSpan w:val="2"/>
            <w:vMerge w:val="continue"/>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2580" w:type="dxa"/>
            <w:vAlign w:val="bottom"/>
            <w:tcBorders>
              <w:right w:val="single" w:sz="8" w:color="D47C18"/>
            </w:tcBorders>
            <w:vMerge w:val="continue"/>
          </w:tcPr>
          <w:p>
            <w:pPr>
              <w:spacing w:after="0"/>
              <w:rPr>
                <w:sz w:val="21"/>
                <w:szCs w:val="21"/>
                <w:color w:val="auto"/>
              </w:rPr>
            </w:pPr>
          </w:p>
        </w:tc>
        <w:tc>
          <w:tcPr>
            <w:tcW w:w="6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1300" w:type="dxa"/>
            <w:vAlign w:val="bottom"/>
          </w:tcPr>
          <w:p>
            <w:pPr>
              <w:spacing w:after="0"/>
              <w:rPr>
                <w:sz w:val="3"/>
                <w:szCs w:val="3"/>
                <w:color w:val="auto"/>
              </w:rPr>
            </w:pPr>
          </w:p>
        </w:tc>
        <w:tc>
          <w:tcPr>
            <w:tcW w:w="2580" w:type="dxa"/>
            <w:vAlign w:val="bottom"/>
            <w:tcBorders>
              <w:bottom w:val="single" w:sz="8" w:color="D47C18"/>
              <w:right w:val="single" w:sz="8" w:color="D47C18"/>
            </w:tcBorders>
          </w:tcPr>
          <w:p>
            <w:pPr>
              <w:spacing w:after="0"/>
              <w:rPr>
                <w:sz w:val="3"/>
                <w:szCs w:val="3"/>
                <w:color w:val="auto"/>
              </w:rPr>
            </w:pPr>
          </w:p>
        </w:tc>
        <w:tc>
          <w:tcPr>
            <w:tcW w:w="6300" w:type="dxa"/>
            <w:vAlign w:val="bottom"/>
            <w:tcBorders>
              <w:bottom w:val="single" w:sz="8" w:color="D47C18"/>
            </w:tcBorders>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75"/>
        </w:trPr>
        <w:tc>
          <w:tcPr>
            <w:tcW w:w="1300" w:type="dxa"/>
            <w:vAlign w:val="bottom"/>
          </w:tcPr>
          <w:p>
            <w:pPr>
              <w:spacing w:after="0"/>
              <w:rPr>
                <w:sz w:val="24"/>
                <w:szCs w:val="24"/>
                <w:color w:val="auto"/>
              </w:rPr>
            </w:pPr>
          </w:p>
        </w:tc>
        <w:tc>
          <w:tcPr>
            <w:tcW w:w="2580" w:type="dxa"/>
            <w:vAlign w:val="bottom"/>
            <w:tcBorders>
              <w:right w:val="single" w:sz="8" w:color="D47C18"/>
            </w:tcBorders>
          </w:tcPr>
          <w:p>
            <w:pPr>
              <w:jc w:val="center"/>
              <w:ind w:left="108"/>
              <w:spacing w:after="0"/>
              <w:rPr>
                <w:sz w:val="20"/>
                <w:szCs w:val="20"/>
                <w:color w:val="auto"/>
              </w:rPr>
            </w:pPr>
            <w:r>
              <w:rPr>
                <w:rFonts w:ascii="Arial" w:cs="Arial" w:eastAsia="Arial" w:hAnsi="Arial"/>
                <w:sz w:val="38"/>
                <w:szCs w:val="38"/>
                <w:color w:val="auto"/>
              </w:rPr>
              <w:t>50 bps</w:t>
            </w:r>
          </w:p>
        </w:tc>
        <w:tc>
          <w:tcPr>
            <w:tcW w:w="6720" w:type="dxa"/>
            <w:vAlign w:val="bottom"/>
            <w:gridSpan w:val="2"/>
          </w:tcPr>
          <w:p>
            <w:pPr>
              <w:ind w:left="300"/>
              <w:spacing w:after="0"/>
              <w:rPr>
                <w:sz w:val="20"/>
                <w:szCs w:val="20"/>
                <w:color w:val="auto"/>
              </w:rPr>
            </w:pPr>
            <w:r>
              <w:rPr>
                <w:rFonts w:ascii="Arial" w:cs="Arial" w:eastAsia="Arial" w:hAnsi="Arial"/>
                <w:sz w:val="42"/>
                <w:szCs w:val="42"/>
                <w:b w:val="1"/>
                <w:bCs w:val="1"/>
                <w:color w:val="auto"/>
              </w:rPr>
              <w:t xml:space="preserve">OP Margin </w:t>
            </w:r>
            <w:r>
              <w:rPr>
                <w:rFonts w:ascii="Arial" w:cs="Arial" w:eastAsia="Arial" w:hAnsi="Arial"/>
                <w:sz w:val="44"/>
                <w:szCs w:val="44"/>
                <w:b w:val="1"/>
                <w:bCs w:val="1"/>
                <w:color w:val="5F81AA"/>
              </w:rPr>
              <w:t>2.7%</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2580" w:type="dxa"/>
            <w:vAlign w:val="bottom"/>
            <w:tcBorders>
              <w:bottom w:val="single" w:sz="8" w:color="D47C18"/>
              <w:right w:val="single" w:sz="8" w:color="D47C18"/>
            </w:tcBorders>
          </w:tcPr>
          <w:p>
            <w:pPr>
              <w:spacing w:after="0"/>
              <w:rPr>
                <w:sz w:val="9"/>
                <w:szCs w:val="9"/>
                <w:color w:val="auto"/>
              </w:rPr>
            </w:pPr>
          </w:p>
        </w:tc>
        <w:tc>
          <w:tcPr>
            <w:tcW w:w="6300" w:type="dxa"/>
            <w:vAlign w:val="bottom"/>
            <w:tcBorders>
              <w:bottom w:val="single" w:sz="8" w:color="D47C18"/>
            </w:tcBorders>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7"/>
        </w:trPr>
        <w:tc>
          <w:tcPr>
            <w:tcW w:w="3880" w:type="dxa"/>
            <w:vAlign w:val="bottom"/>
            <w:tcBorders>
              <w:right w:val="single" w:sz="8" w:color="D47C18"/>
            </w:tcBorders>
            <w:gridSpan w:val="2"/>
          </w:tcPr>
          <w:p>
            <w:pPr>
              <w:jc w:val="center"/>
              <w:ind w:left="1449"/>
              <w:spacing w:after="0"/>
              <w:rPr>
                <w:sz w:val="20"/>
                <w:szCs w:val="20"/>
                <w:color w:val="auto"/>
              </w:rPr>
            </w:pPr>
            <w:r>
              <w:rPr>
                <w:rFonts w:ascii="Arial" w:cs="Arial" w:eastAsia="Arial" w:hAnsi="Arial"/>
                <w:sz w:val="38"/>
                <w:szCs w:val="38"/>
                <w:color w:val="auto"/>
                <w:w w:val="99"/>
              </w:rPr>
              <w:t>57%</w:t>
            </w:r>
          </w:p>
        </w:tc>
        <w:tc>
          <w:tcPr>
            <w:tcW w:w="6720" w:type="dxa"/>
            <w:vAlign w:val="bottom"/>
            <w:gridSpan w:val="2"/>
            <w:vMerge w:val="restart"/>
          </w:tcPr>
          <w:p>
            <w:pPr>
              <w:ind w:left="340"/>
              <w:spacing w:after="0"/>
              <w:rPr>
                <w:sz w:val="20"/>
                <w:szCs w:val="20"/>
                <w:color w:val="auto"/>
              </w:rPr>
            </w:pPr>
            <w:r>
              <w:rPr>
                <w:rFonts w:ascii="Arial" w:cs="Arial" w:eastAsia="Arial" w:hAnsi="Arial"/>
                <w:sz w:val="42"/>
                <w:szCs w:val="42"/>
                <w:b w:val="1"/>
                <w:bCs w:val="1"/>
                <w:color w:val="auto"/>
              </w:rPr>
              <w:t xml:space="preserve">EPS </w:t>
            </w:r>
            <w:r>
              <w:rPr>
                <w:rFonts w:ascii="Arial" w:cs="Arial" w:eastAsia="Arial" w:hAnsi="Arial"/>
                <w:sz w:val="44"/>
                <w:szCs w:val="44"/>
                <w:b w:val="1"/>
                <w:bCs w:val="1"/>
                <w:color w:val="5F81AA"/>
              </w:rPr>
              <w:t>$.97</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4"/>
                <w:szCs w:val="24"/>
                <w:color w:val="auto"/>
              </w:rPr>
            </w:pPr>
          </w:p>
        </w:tc>
        <w:tc>
          <w:tcPr>
            <w:tcW w:w="2580" w:type="dxa"/>
            <w:vAlign w:val="bottom"/>
            <w:tcBorders>
              <w:right w:val="single" w:sz="8" w:color="D47C18"/>
            </w:tcBorders>
            <w:vMerge w:val="restart"/>
          </w:tcPr>
          <w:p>
            <w:pPr>
              <w:jc w:val="center"/>
              <w:ind w:left="128"/>
              <w:spacing w:after="0"/>
              <w:rPr>
                <w:sz w:val="20"/>
                <w:szCs w:val="20"/>
                <w:color w:val="auto"/>
              </w:rPr>
            </w:pPr>
            <w:r>
              <w:rPr>
                <w:rFonts w:ascii="Arial" w:cs="Arial" w:eastAsia="Arial" w:hAnsi="Arial"/>
                <w:sz w:val="38"/>
                <w:szCs w:val="38"/>
                <w:color w:val="auto"/>
              </w:rPr>
              <w:t>44% CC</w:t>
            </w:r>
          </w:p>
        </w:tc>
        <w:tc>
          <w:tcPr>
            <w:tcW w:w="67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00" w:type="dxa"/>
            <w:vAlign w:val="bottom"/>
          </w:tcPr>
          <w:p>
            <w:pPr>
              <w:spacing w:after="0"/>
              <w:rPr>
                <w:sz w:val="24"/>
                <w:szCs w:val="24"/>
                <w:color w:val="auto"/>
              </w:rPr>
            </w:pPr>
          </w:p>
        </w:tc>
        <w:tc>
          <w:tcPr>
            <w:tcW w:w="2580" w:type="dxa"/>
            <w:vAlign w:val="bottom"/>
            <w:tcBorders>
              <w:right w:val="single" w:sz="8" w:color="D47C18"/>
            </w:tcBorders>
            <w:vMerge w:val="continue"/>
          </w:tcPr>
          <w:p>
            <w:pPr>
              <w:spacing w:after="0"/>
              <w:rPr>
                <w:sz w:val="24"/>
                <w:szCs w:val="24"/>
                <w:color w:val="auto"/>
              </w:rPr>
            </w:pPr>
          </w:p>
        </w:tc>
        <w:tc>
          <w:tcPr>
            <w:tcW w:w="6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0600" w:type="dxa"/>
            <w:vAlign w:val="bottom"/>
            <w:gridSpan w:val="4"/>
          </w:tcPr>
          <w:p>
            <w:pPr>
              <w:ind w:left="720"/>
              <w:spacing w:after="0"/>
              <w:rPr>
                <w:sz w:val="20"/>
                <w:szCs w:val="20"/>
                <w:color w:val="auto"/>
              </w:rPr>
            </w:pPr>
            <w:r>
              <w:rPr>
                <w:rFonts w:ascii="Arial" w:cs="Arial" w:eastAsia="Arial" w:hAnsi="Arial"/>
                <w:sz w:val="18"/>
                <w:szCs w:val="18"/>
                <w:b w:val="1"/>
                <w:bCs w:val="1"/>
                <w:color w:val="auto"/>
              </w:rPr>
              <w:t>Throughout this presentation, the difference between reported variances and Constant Currency (CC) variances</w:t>
            </w:r>
          </w:p>
        </w:tc>
        <w:tc>
          <w:tcPr>
            <w:tcW w:w="840" w:type="dxa"/>
            <w:vAlign w:val="bottom"/>
            <w:vMerge w:val="restart"/>
          </w:tcPr>
          <w:p>
            <w:pPr>
              <w:jc w:val="right"/>
              <w:ind w:right="408"/>
              <w:spacing w:after="0"/>
              <w:rPr>
                <w:sz w:val="20"/>
                <w:szCs w:val="20"/>
                <w:color w:val="auto"/>
              </w:rPr>
            </w:pPr>
            <w:r>
              <w:rPr>
                <w:rFonts w:ascii="Arial" w:cs="Arial" w:eastAsia="Arial" w:hAnsi="Arial"/>
                <w:sz w:val="14"/>
                <w:szCs w:val="14"/>
                <w:color w:val="898989"/>
              </w:rPr>
              <w:t>3</w:t>
            </w:r>
          </w:p>
        </w:tc>
        <w:tc>
          <w:tcPr>
            <w:tcW w:w="0" w:type="dxa"/>
            <w:vAlign w:val="bottom"/>
          </w:tcPr>
          <w:p>
            <w:pPr>
              <w:spacing w:after="0"/>
              <w:rPr>
                <w:sz w:val="1"/>
                <w:szCs w:val="1"/>
                <w:color w:val="auto"/>
              </w:rPr>
            </w:pPr>
          </w:p>
        </w:tc>
      </w:tr>
      <w:tr>
        <w:trPr>
          <w:trHeight w:val="115"/>
        </w:trPr>
        <w:tc>
          <w:tcPr>
            <w:tcW w:w="10600" w:type="dxa"/>
            <w:vAlign w:val="bottom"/>
            <w:gridSpan w:val="4"/>
            <w:vMerge w:val="restart"/>
          </w:tcPr>
          <w:p>
            <w:pPr>
              <w:ind w:left="720"/>
              <w:spacing w:after="0"/>
              <w:rPr>
                <w:sz w:val="20"/>
                <w:szCs w:val="20"/>
                <w:color w:val="auto"/>
              </w:rPr>
            </w:pPr>
            <w:r>
              <w:rPr>
                <w:rFonts w:ascii="Arial" w:cs="Arial" w:eastAsia="Arial" w:hAnsi="Arial"/>
                <w:sz w:val="18"/>
                <w:szCs w:val="18"/>
                <w:b w:val="1"/>
                <w:bCs w:val="1"/>
                <w:color w:val="auto"/>
              </w:rPr>
              <w:t>represents the impact of currency on our financial results. Constant Currency is further explained on our Web site.</w:t>
            </w: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60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9"/>
        </w:trPr>
        <w:tc>
          <w:tcPr>
            <w:tcW w:w="130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6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2" w:right="219" w:bottom="1440" w:gutter="0" w:footer="0" w:header="0"/>
          <w:type w:val="continuous"/>
        </w:sectPr>
      </w:pPr>
    </w:p>
    <w:bookmarkStart w:id="14" w:name="page15"/>
    <w:bookmarkEnd w:id="14"/>
    <w:p>
      <w:pPr>
        <w:ind w:right="328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581" w:lineRule="exact"/>
        <w:rPr>
          <w:sz w:val="20"/>
          <w:szCs w:val="20"/>
          <w:color w:val="auto"/>
        </w:rPr>
      </w:pPr>
    </w:p>
    <w:p>
      <w:pPr>
        <w:sectPr>
          <w:pgSz w:w="11900" w:h="16838" w:orient="portrait"/>
          <w:cols w:equalWidth="0" w:num="2">
            <w:col w:w="8420" w:space="720"/>
            <w:col w:w="1380"/>
          </w:cols>
          <w:pgMar w:left="680" w:top="452" w:right="699" w:bottom="1440" w:gutter="0" w:footer="0" w:header="0"/>
        </w:sectPr>
      </w:pPr>
    </w:p>
    <w:p>
      <w:pPr>
        <w:spacing w:after="0" w:line="95" w:lineRule="exact"/>
        <w:rPr>
          <w:sz w:val="20"/>
          <w:szCs w:val="20"/>
          <w:color w:val="auto"/>
        </w:rPr>
      </w:pPr>
    </w:p>
    <w:p>
      <w:pPr>
        <w:ind w:left="300"/>
        <w:spacing w:after="0"/>
        <w:rPr>
          <w:sz w:val="20"/>
          <w:szCs w:val="20"/>
          <w:color w:val="auto"/>
        </w:rPr>
      </w:pPr>
      <w:r>
        <w:rPr>
          <w:rFonts w:ascii="Arial" w:cs="Arial" w:eastAsia="Arial" w:hAnsi="Arial"/>
          <w:sz w:val="51"/>
          <w:szCs w:val="51"/>
          <w:color w:val="5F81AA"/>
        </w:rPr>
        <w:t>Consolidated Gross Margin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20"/>
        <w:spacing w:after="0"/>
        <w:rPr>
          <w:sz w:val="20"/>
          <w:szCs w:val="20"/>
          <w:color w:val="auto"/>
        </w:rPr>
      </w:pPr>
      <w:r>
        <w:rPr>
          <w:rFonts w:ascii="Arial" w:cs="Arial" w:eastAsia="Arial" w:hAnsi="Arial"/>
          <w:sz w:val="18"/>
          <w:szCs w:val="18"/>
          <w:color w:val="4F81BD"/>
        </w:rPr>
        <w:t>U.S.: 2010 Hire Act credits -0.1%</w:t>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4F81BD"/>
        </w:rPr>
        <w:t>France : lower payroll tax subsidies -0.1%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15" w:name="page16"/>
    <w:bookmarkEnd w:id="15"/>
    <w:p>
      <w:pPr>
        <w:ind w:right="3280"/>
        <w:spacing w:after="0" w:line="273" w:lineRule="auto"/>
        <w:rPr>
          <w:sz w:val="20"/>
          <w:szCs w:val="20"/>
          <w:color w:val="auto"/>
        </w:rPr>
      </w:pPr>
      <w:r>
        <w:rPr>
          <w:rFonts w:ascii="Arial" w:cs="Arial" w:eastAsia="Arial" w:hAnsi="Arial"/>
          <w:sz w:val="26"/>
          <w:szCs w:val="26"/>
          <w:b w:val="1"/>
          <w:bCs w:val="1"/>
          <w:color w:val="FFFFFF"/>
        </w:rPr>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532" w:lineRule="exact"/>
        <w:rPr>
          <w:sz w:val="20"/>
          <w:szCs w:val="20"/>
          <w:color w:val="auto"/>
        </w:rPr>
      </w:pPr>
    </w:p>
    <w:p>
      <w:pPr>
        <w:sectPr>
          <w:pgSz w:w="11900" w:h="16838" w:orient="portrait"/>
          <w:cols w:equalWidth="0" w:num="2">
            <w:col w:w="8420" w:space="720"/>
            <w:col w:w="1380"/>
          </w:cols>
          <w:pgMar w:left="680" w:top="452" w:right="699" w:bottom="1440" w:gutter="0" w:footer="0" w:header="0"/>
        </w:sectPr>
      </w:pPr>
    </w:p>
    <w:p>
      <w:pPr>
        <w:ind w:left="380"/>
        <w:spacing w:after="0"/>
        <w:rPr>
          <w:sz w:val="20"/>
          <w:szCs w:val="20"/>
          <w:color w:val="auto"/>
        </w:rPr>
      </w:pPr>
      <w:r>
        <w:rPr>
          <w:rFonts w:ascii="Arial" w:cs="Arial" w:eastAsia="Arial" w:hAnsi="Arial"/>
          <w:sz w:val="51"/>
          <w:szCs w:val="51"/>
          <w:color w:val="5F81AA"/>
        </w:rPr>
        <w:t>Americas Segment</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32"/>
          <w:szCs w:val="32"/>
          <w:color w:val="5F81AA"/>
        </w:rPr>
        <w:t>(21%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255270</wp:posOffset>
            </wp:positionV>
            <wp:extent cx="4980940" cy="2784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0940" cy="27844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3740"/>
        <w:spacing w:after="0"/>
        <w:rPr>
          <w:sz w:val="20"/>
          <w:szCs w:val="20"/>
          <w:color w:val="auto"/>
        </w:rPr>
      </w:pPr>
      <w:r>
        <w:rPr>
          <w:rFonts w:ascii="Arial" w:cs="Arial" w:eastAsia="Arial" w:hAnsi="Arial"/>
          <w:sz w:val="42"/>
          <w:szCs w:val="42"/>
          <w:b w:val="1"/>
          <w:bCs w:val="1"/>
          <w:color w:val="auto"/>
        </w:rPr>
        <w:t>Q3 Financial Highlights</w:t>
      </w:r>
      <w:r>
        <w:rPr>
          <w:rFonts w:ascii="Arial" w:cs="Arial" w:eastAsia="Arial" w:hAnsi="Arial"/>
          <w:sz w:val="35"/>
          <w:szCs w:val="35"/>
          <w:b w:val="1"/>
          <w:bCs w:val="1"/>
          <w:color w:val="auto"/>
          <w:vertAlign w:val="superscript"/>
        </w:rPr>
        <w:t>(1)</w:t>
      </w:r>
    </w:p>
    <w:p>
      <w:pPr>
        <w:spacing w:after="0" w:line="200" w:lineRule="exact"/>
        <w:rPr>
          <w:sz w:val="20"/>
          <w:szCs w:val="20"/>
          <w:color w:val="auto"/>
        </w:rPr>
      </w:pPr>
    </w:p>
    <w:p>
      <w:pPr>
        <w:spacing w:after="0" w:line="340" w:lineRule="exact"/>
        <w:rPr>
          <w:sz w:val="20"/>
          <w:szCs w:val="20"/>
          <w:color w:val="auto"/>
        </w:rPr>
      </w:pPr>
    </w:p>
    <w:tbl>
      <w:tblPr>
        <w:tblLayout w:type="fixed"/>
        <w:tblInd w:w="1580" w:type="dxa"/>
        <w:tblCellMar>
          <w:top w:w="0" w:type="dxa"/>
          <w:left w:w="0" w:type="dxa"/>
          <w:bottom w:w="0" w:type="dxa"/>
          <w:right w:w="0" w:type="dxa"/>
        </w:tblCellMar>
      </w:tblPr>
      <w:tr>
        <w:trPr>
          <w:trHeight w:val="456"/>
        </w:trPr>
        <w:tc>
          <w:tcPr>
            <w:tcW w:w="1820" w:type="dxa"/>
            <w:vAlign w:val="bottom"/>
          </w:tcPr>
          <w:p>
            <w:pPr>
              <w:jc w:val="right"/>
              <w:ind w:right="628"/>
              <w:spacing w:after="0"/>
              <w:rPr>
                <w:sz w:val="20"/>
                <w:szCs w:val="20"/>
                <w:color w:val="auto"/>
              </w:rPr>
            </w:pPr>
            <w:r>
              <w:rPr>
                <w:rFonts w:ascii="Arial" w:cs="Arial" w:eastAsia="Arial" w:hAnsi="Arial"/>
                <w:sz w:val="38"/>
                <w:szCs w:val="38"/>
                <w:color w:val="auto"/>
              </w:rPr>
              <w:t>9%</w:t>
            </w:r>
          </w:p>
        </w:tc>
        <w:tc>
          <w:tcPr>
            <w:tcW w:w="3540" w:type="dxa"/>
            <w:vAlign w:val="bottom"/>
            <w:gridSpan w:val="2"/>
            <w:vMerge w:val="restart"/>
          </w:tcPr>
          <w:p>
            <w:pPr>
              <w:ind w:left="38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5F81AA"/>
              </w:rPr>
              <w:t>$1.2B</w:t>
            </w:r>
          </w:p>
        </w:tc>
        <w:tc>
          <w:tcPr>
            <w:tcW w:w="0" w:type="dxa"/>
            <w:vAlign w:val="bottom"/>
          </w:tcPr>
          <w:p>
            <w:pPr>
              <w:spacing w:after="0"/>
              <w:rPr>
                <w:sz w:val="1"/>
                <w:szCs w:val="1"/>
                <w:color w:val="auto"/>
              </w:rPr>
            </w:pPr>
          </w:p>
        </w:tc>
      </w:tr>
      <w:tr>
        <w:trPr>
          <w:trHeight w:val="254"/>
        </w:trPr>
        <w:tc>
          <w:tcPr>
            <w:tcW w:w="1820" w:type="dxa"/>
            <w:vAlign w:val="bottom"/>
            <w:vMerge w:val="restart"/>
          </w:tcPr>
          <w:p>
            <w:pPr>
              <w:jc w:val="center"/>
              <w:ind w:right="208"/>
              <w:spacing w:after="0"/>
              <w:rPr>
                <w:sz w:val="20"/>
                <w:szCs w:val="20"/>
                <w:color w:val="auto"/>
              </w:rPr>
            </w:pPr>
            <w:r>
              <w:rPr>
                <w:rFonts w:ascii="Arial" w:cs="Arial" w:eastAsia="Arial" w:hAnsi="Arial"/>
                <w:sz w:val="38"/>
                <w:szCs w:val="38"/>
                <w:color w:val="auto"/>
              </w:rPr>
              <w:t>8% CC</w:t>
            </w:r>
          </w:p>
        </w:tc>
        <w:tc>
          <w:tcPr>
            <w:tcW w:w="35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7"/>
        </w:trPr>
        <w:tc>
          <w:tcPr>
            <w:tcW w:w="1820" w:type="dxa"/>
            <w:vAlign w:val="bottom"/>
          </w:tcPr>
          <w:p>
            <w:pPr>
              <w:jc w:val="right"/>
              <w:ind w:right="528"/>
              <w:spacing w:after="0"/>
              <w:rPr>
                <w:sz w:val="20"/>
                <w:szCs w:val="20"/>
                <w:color w:val="auto"/>
              </w:rPr>
            </w:pPr>
            <w:r>
              <w:rPr>
                <w:rFonts w:ascii="Arial" w:cs="Arial" w:eastAsia="Arial" w:hAnsi="Arial"/>
                <w:sz w:val="38"/>
                <w:szCs w:val="38"/>
                <w:color w:val="auto"/>
              </w:rPr>
              <w:t>25%</w:t>
            </w:r>
          </w:p>
        </w:tc>
        <w:tc>
          <w:tcPr>
            <w:tcW w:w="1380" w:type="dxa"/>
            <w:vAlign w:val="bottom"/>
            <w:vMerge w:val="restart"/>
          </w:tcPr>
          <w:p>
            <w:pPr>
              <w:ind w:left="380"/>
              <w:spacing w:after="0"/>
              <w:rPr>
                <w:sz w:val="20"/>
                <w:szCs w:val="20"/>
                <w:color w:val="auto"/>
              </w:rPr>
            </w:pPr>
            <w:r>
              <w:rPr>
                <w:rFonts w:ascii="Arial" w:cs="Arial" w:eastAsia="Arial" w:hAnsi="Arial"/>
                <w:sz w:val="42"/>
                <w:szCs w:val="42"/>
                <w:b w:val="1"/>
                <w:bCs w:val="1"/>
                <w:color w:val="auto"/>
              </w:rPr>
              <w:t>OUP</w:t>
            </w:r>
          </w:p>
        </w:tc>
        <w:tc>
          <w:tcPr>
            <w:tcW w:w="2160" w:type="dxa"/>
            <w:vAlign w:val="bottom"/>
            <w:vMerge w:val="restart"/>
          </w:tcPr>
          <w:p>
            <w:pPr>
              <w:ind w:left="120"/>
              <w:spacing w:after="0"/>
              <w:rPr>
                <w:sz w:val="20"/>
                <w:szCs w:val="20"/>
                <w:color w:val="auto"/>
              </w:rPr>
            </w:pPr>
            <w:r>
              <w:rPr>
                <w:rFonts w:ascii="Arial" w:cs="Arial" w:eastAsia="Arial" w:hAnsi="Arial"/>
                <w:sz w:val="45"/>
                <w:szCs w:val="45"/>
                <w:b w:val="1"/>
                <w:bCs w:val="1"/>
                <w:color w:val="5F81AA"/>
              </w:rPr>
              <w:t>$43M</w:t>
            </w:r>
          </w:p>
        </w:tc>
        <w:tc>
          <w:tcPr>
            <w:tcW w:w="0" w:type="dxa"/>
            <w:vAlign w:val="bottom"/>
          </w:tcPr>
          <w:p>
            <w:pPr>
              <w:spacing w:after="0"/>
              <w:rPr>
                <w:sz w:val="1"/>
                <w:szCs w:val="1"/>
                <w:color w:val="auto"/>
              </w:rPr>
            </w:pPr>
          </w:p>
        </w:tc>
      </w:tr>
      <w:tr>
        <w:trPr>
          <w:trHeight w:val="306"/>
        </w:trPr>
        <w:tc>
          <w:tcPr>
            <w:tcW w:w="1820" w:type="dxa"/>
            <w:vAlign w:val="bottom"/>
            <w:vMerge w:val="restart"/>
          </w:tcPr>
          <w:p>
            <w:pPr>
              <w:jc w:val="center"/>
              <w:ind w:right="188"/>
              <w:spacing w:after="0"/>
              <w:rPr>
                <w:sz w:val="20"/>
                <w:szCs w:val="20"/>
                <w:color w:val="auto"/>
              </w:rPr>
            </w:pPr>
            <w:r>
              <w:rPr>
                <w:rFonts w:ascii="Arial" w:cs="Arial" w:eastAsia="Arial" w:hAnsi="Arial"/>
                <w:sz w:val="38"/>
                <w:szCs w:val="38"/>
                <w:color w:val="auto"/>
              </w:rPr>
              <w:t>25% CC</w:t>
            </w:r>
          </w:p>
        </w:tc>
        <w:tc>
          <w:tcPr>
            <w:tcW w:w="1380" w:type="dxa"/>
            <w:vAlign w:val="bottom"/>
            <w:vMerge w:val="continue"/>
          </w:tcPr>
          <w:p>
            <w:pPr>
              <w:spacing w:after="0"/>
              <w:rPr>
                <w:sz w:val="24"/>
                <w:szCs w:val="24"/>
                <w:color w:val="auto"/>
              </w:rPr>
            </w:pP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20" w:type="dxa"/>
            <w:vAlign w:val="bottom"/>
            <w:vMerge w:val="continue"/>
          </w:tcPr>
          <w:p>
            <w:pPr>
              <w:spacing w:after="0"/>
              <w:rPr>
                <w:sz w:val="21"/>
                <w:szCs w:val="21"/>
                <w:color w:val="auto"/>
              </w:rPr>
            </w:pPr>
          </w:p>
        </w:tc>
        <w:tc>
          <w:tcPr>
            <w:tcW w:w="13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720"/>
        <w:spacing w:after="0"/>
        <w:tabs>
          <w:tab w:leader="none" w:pos="3720" w:val="left"/>
        </w:tabs>
        <w:rPr>
          <w:sz w:val="20"/>
          <w:szCs w:val="20"/>
          <w:color w:val="auto"/>
        </w:rPr>
      </w:pPr>
      <w:r>
        <w:rPr>
          <w:rFonts w:ascii="Arial" w:cs="Arial" w:eastAsia="Arial" w:hAnsi="Arial"/>
          <w:sz w:val="38"/>
          <w:szCs w:val="38"/>
          <w:color w:val="auto"/>
        </w:rPr>
        <w:t>40 bps</w:t>
      </w:r>
      <w:r>
        <w:rPr>
          <w:sz w:val="20"/>
          <w:szCs w:val="20"/>
          <w:color w:val="auto"/>
        </w:rPr>
        <w:tab/>
      </w: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5F81AA"/>
        </w:rPr>
        <w:t>3.5%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80" w:hanging="263"/>
        <w:spacing w:after="0"/>
        <w:tabs>
          <w:tab w:leader="none" w:pos="780" w:val="left"/>
        </w:tabs>
        <w:numPr>
          <w:ilvl w:val="0"/>
          <w:numId w:val="5"/>
        </w:numPr>
        <w:rPr>
          <w:rFonts w:ascii="Arial" w:cs="Arial" w:eastAsia="Arial" w:hAnsi="Arial"/>
          <w:sz w:val="27"/>
          <w:szCs w:val="27"/>
          <w:color w:val="auto"/>
          <w:vertAlign w:val="superscript"/>
        </w:rPr>
      </w:pPr>
      <w:r>
        <w:rPr>
          <w:rFonts w:ascii="Arial" w:cs="Arial" w:eastAsia="Arial" w:hAnsi="Arial"/>
          <w:sz w:val="19"/>
          <w:szCs w:val="19"/>
          <w:color w:val="auto"/>
        </w:rPr>
        <w:t>Included in these amounts is the US, which had revenue of $829M (+4%) and OUP of $32M (+24%).</w:t>
      </w:r>
    </w:p>
    <w:p>
      <w:pPr>
        <w:spacing w:after="0" w:line="388"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Operating Unit Profit (OUP) is the measure that we use to evaluate segment performance.</w:t>
      </w:r>
    </w:p>
    <w:p>
      <w:pPr>
        <w:spacing w:after="0" w:line="25" w:lineRule="exact"/>
        <w:rPr>
          <w:sz w:val="20"/>
          <w:szCs w:val="20"/>
          <w:color w:val="auto"/>
        </w:rPr>
      </w:pPr>
    </w:p>
    <w:p>
      <w:pPr>
        <w:ind w:left="520"/>
        <w:spacing w:after="0" w:line="208" w:lineRule="auto"/>
        <w:rPr>
          <w:sz w:val="20"/>
          <w:szCs w:val="20"/>
          <w:color w:val="auto"/>
        </w:rPr>
      </w:pPr>
      <w:r>
        <w:rPr>
          <w:rFonts w:ascii="Arial" w:cs="Arial" w:eastAsia="Arial" w:hAnsi="Arial"/>
          <w:sz w:val="21"/>
          <w:szCs w:val="21"/>
          <w:b w:val="1"/>
          <w:bCs w:val="1"/>
          <w:color w:val="auto"/>
        </w:rPr>
        <w:t xml:space="preserve">OUP is equal to segment revenues less direct costs and branch and national </w:t>
      </w:r>
      <w:r>
        <w:rPr>
          <w:rFonts w:ascii="Arial" w:cs="Arial" w:eastAsia="Arial" w:hAnsi="Arial"/>
          <w:sz w:val="28"/>
          <w:szCs w:val="28"/>
          <w:color w:val="898989"/>
          <w:vertAlign w:val="subscript"/>
        </w:rPr>
        <w:t>5</w:t>
      </w:r>
      <w:r>
        <w:rPr>
          <w:rFonts w:ascii="Arial" w:cs="Arial" w:eastAsia="Arial" w:hAnsi="Arial"/>
          <w:sz w:val="21"/>
          <w:szCs w:val="21"/>
          <w:b w:val="1"/>
          <w:bCs w:val="1"/>
          <w:color w:val="auto"/>
        </w:rPr>
        <w:t xml:space="preserve"> headquarters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302895</wp:posOffset>
            </wp:positionV>
            <wp:extent cx="72669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16" w:name="page17"/>
    <w:bookmarkEnd w:id="16"/>
    <w:p>
      <w:pPr>
        <w:ind w:right="328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520" w:lineRule="exact"/>
        <w:rPr>
          <w:sz w:val="20"/>
          <w:szCs w:val="20"/>
          <w:color w:val="auto"/>
        </w:rPr>
      </w:pPr>
    </w:p>
    <w:p>
      <w:pPr>
        <w:sectPr>
          <w:pgSz w:w="11900" w:h="16838" w:orient="portrait"/>
          <w:cols w:equalWidth="0" w:num="2">
            <w:col w:w="8420" w:space="720"/>
            <w:col w:w="1380"/>
          </w:cols>
          <w:pgMar w:left="680" w:top="452" w:right="699" w:bottom="1440" w:gutter="0" w:footer="0" w:header="0"/>
        </w:sectPr>
      </w:pPr>
    </w:p>
    <w:p>
      <w:pPr>
        <w:ind w:left="420"/>
        <w:spacing w:after="0"/>
        <w:rPr>
          <w:sz w:val="20"/>
          <w:szCs w:val="20"/>
          <w:color w:val="auto"/>
        </w:rPr>
      </w:pPr>
      <w:r>
        <w:rPr>
          <w:rFonts w:ascii="Arial" w:cs="Arial" w:eastAsia="Arial" w:hAnsi="Arial"/>
          <w:sz w:val="50"/>
          <w:szCs w:val="50"/>
          <w:color w:val="5F81AA"/>
        </w:rPr>
        <w:t>Americas - Q3 Revenue Growth YoY</w:t>
      </w:r>
    </w:p>
    <w:p>
      <w:pPr>
        <w:spacing w:after="0" w:line="200" w:lineRule="exact"/>
        <w:rPr>
          <w:sz w:val="20"/>
          <w:szCs w:val="20"/>
          <w:color w:val="auto"/>
        </w:rPr>
      </w:pPr>
    </w:p>
    <w:p>
      <w:pPr>
        <w:spacing w:after="0" w:line="344" w:lineRule="exact"/>
        <w:rPr>
          <w:sz w:val="20"/>
          <w:szCs w:val="20"/>
          <w:color w:val="auto"/>
        </w:rPr>
      </w:pPr>
    </w:p>
    <w:p>
      <w:pPr>
        <w:ind w:left="580" w:right="8640" w:hanging="293"/>
        <w:spacing w:after="0" w:line="288" w:lineRule="auto"/>
        <w:tabs>
          <w:tab w:leader="none" w:pos="567" w:val="left"/>
        </w:tabs>
        <w:numPr>
          <w:ilvl w:val="0"/>
          <w:numId w:val="6"/>
        </w:numPr>
        <w:rPr>
          <w:rFonts w:ascii="Arial" w:cs="Arial" w:eastAsia="Arial" w:hAnsi="Arial"/>
          <w:sz w:val="24"/>
          <w:szCs w:val="24"/>
          <w:b w:val="1"/>
          <w:bCs w:val="1"/>
          <w:color w:val="auto"/>
        </w:rPr>
      </w:pPr>
      <w:r>
        <w:rPr>
          <w:rFonts w:ascii="Arial" w:cs="Arial" w:eastAsia="Arial" w:hAnsi="Arial"/>
          <w:sz w:val="24"/>
          <w:szCs w:val="24"/>
          <w:b w:val="1"/>
          <w:bCs w:val="1"/>
          <w:color w:val="auto"/>
        </w:rPr>
        <w:t>of Segment Revenue</w:t>
      </w:r>
    </w:p>
    <w:p>
      <w:pPr>
        <w:spacing w:after="0" w:line="200" w:lineRule="exact"/>
        <w:rPr>
          <w:sz w:val="20"/>
          <w:szCs w:val="20"/>
          <w:color w:val="auto"/>
        </w:rPr>
      </w:pPr>
    </w:p>
    <w:p>
      <w:pPr>
        <w:spacing w:after="0" w:line="253" w:lineRule="exact"/>
        <w:rPr>
          <w:sz w:val="20"/>
          <w:szCs w:val="20"/>
          <w:color w:val="auto"/>
        </w:rPr>
      </w:pPr>
    </w:p>
    <w:p>
      <w:pPr>
        <w:ind w:left="780"/>
        <w:spacing w:after="0"/>
        <w:rPr>
          <w:sz w:val="20"/>
          <w:szCs w:val="20"/>
          <w:color w:val="auto"/>
        </w:rPr>
      </w:pPr>
      <w:r>
        <w:rPr>
          <w:rFonts w:ascii="Arial" w:cs="Arial" w:eastAsia="Arial" w:hAnsi="Arial"/>
          <w:sz w:val="29"/>
          <w:szCs w:val="29"/>
          <w:b w:val="1"/>
          <w:bCs w:val="1"/>
          <w:color w:val="6698C2"/>
        </w:rPr>
        <w:t>69%</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40"/>
        <w:spacing w:after="0"/>
        <w:rPr>
          <w:sz w:val="20"/>
          <w:szCs w:val="20"/>
          <w:color w:val="auto"/>
        </w:rPr>
      </w:pPr>
      <w:r>
        <w:rPr>
          <w:rFonts w:ascii="Arial" w:cs="Arial" w:eastAsia="Arial" w:hAnsi="Arial"/>
          <w:sz w:val="29"/>
          <w:szCs w:val="29"/>
          <w:b w:val="1"/>
          <w:bCs w:val="1"/>
          <w:color w:val="6698C2"/>
        </w:rPr>
        <w:t>12%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00"/>
        <w:spacing w:after="0"/>
        <w:rPr>
          <w:sz w:val="20"/>
          <w:szCs w:val="20"/>
          <w:color w:val="auto"/>
        </w:rPr>
      </w:pPr>
      <w:r>
        <w:rPr>
          <w:rFonts w:ascii="Arial" w:cs="Arial" w:eastAsia="Arial" w:hAnsi="Arial"/>
          <w:sz w:val="29"/>
          <w:szCs w:val="29"/>
          <w:b w:val="1"/>
          <w:bCs w:val="1"/>
          <w:color w:val="6698C2"/>
        </w:rPr>
        <w:t>6%</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40"/>
        <w:spacing w:after="0"/>
        <w:rPr>
          <w:sz w:val="20"/>
          <w:szCs w:val="20"/>
          <w:color w:val="auto"/>
        </w:rPr>
      </w:pPr>
      <w:r>
        <w:rPr>
          <w:rFonts w:ascii="Arial" w:cs="Arial" w:eastAsia="Arial" w:hAnsi="Arial"/>
          <w:sz w:val="29"/>
          <w:szCs w:val="29"/>
          <w:b w:val="1"/>
          <w:bCs w:val="1"/>
          <w:color w:val="6698C2"/>
        </w:rPr>
        <w:t>13%</w:t>
      </w:r>
    </w:p>
    <w:p>
      <w:pPr>
        <w:sectPr>
          <w:pgSz w:w="11900" w:h="16838" w:orient="portrait"/>
          <w:cols w:equalWidth="0" w:num="1">
            <w:col w:w="10520"/>
          </w:cols>
          <w:pgMar w:left="680" w:top="452"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Revenue</w:t>
      </w:r>
    </w:p>
    <w:p>
      <w:pPr>
        <w:spacing w:after="0" w:line="39"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Growth - CC</w:t>
      </w:r>
    </w:p>
    <w:p>
      <w:pPr>
        <w:spacing w:after="0" w:line="388" w:lineRule="exact"/>
        <w:rPr>
          <w:sz w:val="20"/>
          <w:szCs w:val="20"/>
          <w:color w:val="auto"/>
        </w:rPr>
      </w:pPr>
    </w:p>
    <w:p>
      <w:pPr>
        <w:sectPr>
          <w:pgSz w:w="11900" w:h="16838" w:orient="portrait"/>
          <w:cols w:equalWidth="0" w:num="2">
            <w:col w:w="5040" w:space="720"/>
            <w:col w:w="4760"/>
          </w:cols>
          <w:pgMar w:left="680" w:top="452" w:right="699" w:bottom="1440" w:gutter="0" w:footer="0" w:header="0"/>
          <w:type w:val="continuous"/>
        </w:sectPr>
      </w:pPr>
    </w:p>
    <w:p>
      <w:pPr>
        <w:jc w:val="right"/>
        <w:spacing w:after="0"/>
        <w:rPr>
          <w:sz w:val="20"/>
          <w:szCs w:val="20"/>
          <w:color w:val="auto"/>
        </w:rPr>
      </w:pPr>
      <w:r>
        <w:rPr>
          <w:rFonts w:ascii="Arial" w:cs="Arial" w:eastAsia="Arial" w:hAnsi="Arial"/>
          <w:sz w:val="14"/>
          <w:szCs w:val="14"/>
          <w:color w:val="898989"/>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17" w:name="page18"/>
    <w:bookmarkEnd w:id="17"/>
    <w:p>
      <w:pPr>
        <w:ind w:right="328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581" w:lineRule="exact"/>
        <w:rPr>
          <w:sz w:val="20"/>
          <w:szCs w:val="20"/>
          <w:color w:val="auto"/>
        </w:rPr>
      </w:pPr>
    </w:p>
    <w:p>
      <w:pPr>
        <w:sectPr>
          <w:pgSz w:w="11900" w:h="16838" w:orient="portrait"/>
          <w:cols w:equalWidth="0" w:num="2">
            <w:col w:w="8420" w:space="720"/>
            <w:col w:w="1380"/>
          </w:cols>
          <w:pgMar w:left="680" w:top="452" w:right="699" w:bottom="1440" w:gutter="0" w:footer="0" w:header="0"/>
        </w:sectPr>
      </w:pPr>
    </w:p>
    <w:p>
      <w:pPr>
        <w:spacing w:after="0" w:line="11" w:lineRule="exact"/>
        <w:rPr>
          <w:sz w:val="20"/>
          <w:szCs w:val="20"/>
          <w:color w:val="auto"/>
        </w:rPr>
      </w:pPr>
    </w:p>
    <w:p>
      <w:pPr>
        <w:ind w:left="320"/>
        <w:spacing w:after="0"/>
        <w:rPr>
          <w:sz w:val="20"/>
          <w:szCs w:val="20"/>
          <w:color w:val="auto"/>
        </w:rPr>
      </w:pPr>
      <w:r>
        <w:rPr>
          <w:rFonts w:ascii="Arial" w:cs="Arial" w:eastAsia="Arial" w:hAnsi="Arial"/>
          <w:sz w:val="51"/>
          <w:szCs w:val="51"/>
          <w:color w:val="5F81AA"/>
        </w:rPr>
        <w:t>Southern Europe Segment</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32"/>
          <w:szCs w:val="32"/>
          <w:color w:val="5F81AA"/>
        </w:rPr>
        <w:t>(38% of Revenue)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940"/>
        <w:spacing w:after="0"/>
        <w:rPr>
          <w:sz w:val="20"/>
          <w:szCs w:val="20"/>
          <w:color w:val="auto"/>
        </w:rPr>
      </w:pPr>
      <w:r>
        <w:rPr>
          <w:rFonts w:ascii="Arial" w:cs="Arial" w:eastAsia="Arial" w:hAnsi="Arial"/>
          <w:sz w:val="42"/>
          <w:szCs w:val="42"/>
          <w:b w:val="1"/>
          <w:bCs w:val="1"/>
          <w:color w:val="auto"/>
        </w:rPr>
        <w:t>Q3 Financial Highlights</w:t>
      </w:r>
      <w:r>
        <w:rPr>
          <w:rFonts w:ascii="Arial" w:cs="Arial" w:eastAsia="Arial" w:hAnsi="Arial"/>
          <w:sz w:val="35"/>
          <w:szCs w:val="35"/>
          <w:b w:val="1"/>
          <w:bCs w:val="1"/>
          <w:color w:val="auto"/>
          <w:vertAlign w:val="superscript"/>
        </w:rPr>
        <w:t>(1)</w:t>
      </w:r>
    </w:p>
    <w:p>
      <w:pPr>
        <w:spacing w:after="0" w:line="200" w:lineRule="exact"/>
        <w:rPr>
          <w:sz w:val="20"/>
          <w:szCs w:val="20"/>
          <w:color w:val="auto"/>
        </w:rPr>
      </w:pPr>
    </w:p>
    <w:p>
      <w:pPr>
        <w:spacing w:after="0" w:line="328" w:lineRule="exact"/>
        <w:rPr>
          <w:sz w:val="20"/>
          <w:szCs w:val="20"/>
          <w:color w:val="auto"/>
        </w:rPr>
      </w:pPr>
    </w:p>
    <w:tbl>
      <w:tblPr>
        <w:tblLayout w:type="fixed"/>
        <w:tblInd w:w="1780" w:type="dxa"/>
        <w:tblCellMar>
          <w:top w:w="0" w:type="dxa"/>
          <w:left w:w="0" w:type="dxa"/>
          <w:bottom w:w="0" w:type="dxa"/>
          <w:right w:w="0" w:type="dxa"/>
        </w:tblCellMar>
      </w:tblPr>
      <w:tr>
        <w:trPr>
          <w:trHeight w:val="456"/>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19%</w:t>
            </w:r>
          </w:p>
        </w:tc>
        <w:tc>
          <w:tcPr>
            <w:tcW w:w="3540" w:type="dxa"/>
            <w:vAlign w:val="bottom"/>
            <w:gridSpan w:val="2"/>
            <w:vMerge w:val="restart"/>
          </w:tcPr>
          <w:p>
            <w:pPr>
              <w:ind w:left="38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5F81AA"/>
              </w:rPr>
              <w:t>$2.2B</w:t>
            </w:r>
          </w:p>
        </w:tc>
        <w:tc>
          <w:tcPr>
            <w:tcW w:w="0" w:type="dxa"/>
            <w:vAlign w:val="bottom"/>
          </w:tcPr>
          <w:p>
            <w:pPr>
              <w:spacing w:after="0"/>
              <w:rPr>
                <w:sz w:val="1"/>
                <w:szCs w:val="1"/>
                <w:color w:val="auto"/>
              </w:rPr>
            </w:pPr>
          </w:p>
        </w:tc>
      </w:tr>
      <w:tr>
        <w:trPr>
          <w:trHeight w:val="254"/>
        </w:trPr>
        <w:tc>
          <w:tcPr>
            <w:tcW w:w="1820" w:type="dxa"/>
            <w:vAlign w:val="bottom"/>
            <w:vMerge w:val="restart"/>
          </w:tcPr>
          <w:p>
            <w:pPr>
              <w:jc w:val="center"/>
              <w:ind w:right="188"/>
              <w:spacing w:after="0"/>
              <w:rPr>
                <w:sz w:val="20"/>
                <w:szCs w:val="20"/>
                <w:color w:val="auto"/>
              </w:rPr>
            </w:pPr>
            <w:r>
              <w:rPr>
                <w:rFonts w:ascii="Arial" w:cs="Arial" w:eastAsia="Arial" w:hAnsi="Arial"/>
                <w:sz w:val="38"/>
                <w:szCs w:val="38"/>
                <w:color w:val="auto"/>
                <w:w w:val="99"/>
              </w:rPr>
              <w:t>9% CC</w:t>
            </w:r>
          </w:p>
        </w:tc>
        <w:tc>
          <w:tcPr>
            <w:tcW w:w="35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7"/>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27%</w:t>
            </w:r>
          </w:p>
        </w:tc>
        <w:tc>
          <w:tcPr>
            <w:tcW w:w="1400" w:type="dxa"/>
            <w:vAlign w:val="bottom"/>
            <w:vMerge w:val="restart"/>
          </w:tcPr>
          <w:p>
            <w:pPr>
              <w:ind w:left="380"/>
              <w:spacing w:after="0"/>
              <w:rPr>
                <w:sz w:val="20"/>
                <w:szCs w:val="20"/>
                <w:color w:val="auto"/>
              </w:rPr>
            </w:pPr>
            <w:r>
              <w:rPr>
                <w:rFonts w:ascii="Arial" w:cs="Arial" w:eastAsia="Arial" w:hAnsi="Arial"/>
                <w:sz w:val="42"/>
                <w:szCs w:val="42"/>
                <w:b w:val="1"/>
                <w:bCs w:val="1"/>
                <w:color w:val="auto"/>
              </w:rPr>
              <w:t>OUP</w:t>
            </w:r>
          </w:p>
        </w:tc>
        <w:tc>
          <w:tcPr>
            <w:tcW w:w="2140" w:type="dxa"/>
            <w:vAlign w:val="bottom"/>
            <w:vMerge w:val="restart"/>
          </w:tcPr>
          <w:p>
            <w:pPr>
              <w:ind w:left="100"/>
              <w:spacing w:after="0"/>
              <w:rPr>
                <w:sz w:val="20"/>
                <w:szCs w:val="20"/>
                <w:color w:val="auto"/>
              </w:rPr>
            </w:pPr>
            <w:r>
              <w:rPr>
                <w:rFonts w:ascii="Arial" w:cs="Arial" w:eastAsia="Arial" w:hAnsi="Arial"/>
                <w:sz w:val="45"/>
                <w:szCs w:val="45"/>
                <w:b w:val="1"/>
                <w:bCs w:val="1"/>
                <w:color w:val="5F81AA"/>
              </w:rPr>
              <w:t>$50M</w:t>
            </w:r>
          </w:p>
        </w:tc>
        <w:tc>
          <w:tcPr>
            <w:tcW w:w="0" w:type="dxa"/>
            <w:vAlign w:val="bottom"/>
          </w:tcPr>
          <w:p>
            <w:pPr>
              <w:spacing w:after="0"/>
              <w:rPr>
                <w:sz w:val="1"/>
                <w:szCs w:val="1"/>
                <w:color w:val="auto"/>
              </w:rPr>
            </w:pPr>
          </w:p>
        </w:tc>
      </w:tr>
      <w:tr>
        <w:trPr>
          <w:trHeight w:val="306"/>
        </w:trPr>
        <w:tc>
          <w:tcPr>
            <w:tcW w:w="1820" w:type="dxa"/>
            <w:vAlign w:val="bottom"/>
            <w:vMerge w:val="restart"/>
          </w:tcPr>
          <w:p>
            <w:pPr>
              <w:jc w:val="center"/>
              <w:ind w:right="188"/>
              <w:spacing w:after="0"/>
              <w:rPr>
                <w:sz w:val="20"/>
                <w:szCs w:val="20"/>
                <w:color w:val="auto"/>
              </w:rPr>
            </w:pPr>
            <w:r>
              <w:rPr>
                <w:rFonts w:ascii="Arial" w:cs="Arial" w:eastAsia="Arial" w:hAnsi="Arial"/>
                <w:sz w:val="38"/>
                <w:szCs w:val="38"/>
                <w:color w:val="auto"/>
              </w:rPr>
              <w:t>17% CC</w:t>
            </w:r>
          </w:p>
        </w:tc>
        <w:tc>
          <w:tcPr>
            <w:tcW w:w="140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20" w:type="dxa"/>
            <w:vAlign w:val="bottom"/>
            <w:vMerge w:val="continue"/>
          </w:tcPr>
          <w:p>
            <w:pPr>
              <w:spacing w:after="0"/>
              <w:rPr>
                <w:sz w:val="21"/>
                <w:szCs w:val="21"/>
                <w:color w:val="auto"/>
              </w:rPr>
            </w:pPr>
          </w:p>
        </w:tc>
        <w:tc>
          <w:tcPr>
            <w:tcW w:w="14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920"/>
        <w:spacing w:after="0"/>
        <w:tabs>
          <w:tab w:leader="none" w:pos="3920" w:val="left"/>
        </w:tabs>
        <w:rPr>
          <w:sz w:val="20"/>
          <w:szCs w:val="20"/>
          <w:color w:val="auto"/>
        </w:rPr>
      </w:pPr>
      <w:r>
        <w:rPr>
          <w:rFonts w:ascii="Arial" w:cs="Arial" w:eastAsia="Arial" w:hAnsi="Arial"/>
          <w:sz w:val="38"/>
          <w:szCs w:val="38"/>
          <w:color w:val="auto"/>
        </w:rPr>
        <w:t>20 bps</w:t>
      </w:r>
      <w:r>
        <w:rPr>
          <w:sz w:val="20"/>
          <w:szCs w:val="20"/>
          <w:color w:val="auto"/>
        </w:rPr>
        <w:tab/>
      </w: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5F81AA"/>
        </w:rPr>
        <w:t>2.3%</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80" w:hanging="271"/>
        <w:spacing w:after="0"/>
        <w:tabs>
          <w:tab w:leader="none" w:pos="680" w:val="left"/>
        </w:tabs>
        <w:numPr>
          <w:ilvl w:val="0"/>
          <w:numId w:val="7"/>
        </w:numPr>
        <w:rPr>
          <w:rFonts w:ascii="Arial" w:cs="Arial" w:eastAsia="Arial" w:hAnsi="Arial"/>
          <w:sz w:val="27"/>
          <w:szCs w:val="27"/>
          <w:color w:val="auto"/>
          <w:vertAlign w:val="superscript"/>
        </w:rPr>
      </w:pPr>
      <w:r>
        <w:rPr>
          <w:rFonts w:ascii="Arial" w:cs="Arial" w:eastAsia="Arial" w:hAnsi="Arial"/>
          <w:sz w:val="19"/>
          <w:szCs w:val="19"/>
          <w:color w:val="auto"/>
        </w:rPr>
        <w:t>Included in these amounts is France, which had revenue of $1.7B (+8% CC) and OUP of $28M (+2% CC).</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18" w:name="page19"/>
    <w:bookmarkEnd w:id="18"/>
    <w:p>
      <w:pPr>
        <w:ind w:right="328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581" w:lineRule="exact"/>
        <w:rPr>
          <w:sz w:val="20"/>
          <w:szCs w:val="20"/>
          <w:color w:val="auto"/>
        </w:rPr>
      </w:pPr>
    </w:p>
    <w:p>
      <w:pPr>
        <w:sectPr>
          <w:pgSz w:w="11900" w:h="16838" w:orient="portrait"/>
          <w:cols w:equalWidth="0" w:num="2">
            <w:col w:w="8420" w:space="720"/>
            <w:col w:w="1380"/>
          </w:cols>
          <w:pgMar w:left="680" w:top="452" w:right="699" w:bottom="1440" w:gutter="0" w:footer="0" w:header="0"/>
        </w:sectPr>
      </w:pPr>
    </w:p>
    <w:p>
      <w:pPr>
        <w:spacing w:after="0" w:line="83" w:lineRule="exact"/>
        <w:rPr>
          <w:sz w:val="20"/>
          <w:szCs w:val="20"/>
          <w:color w:val="auto"/>
        </w:rPr>
      </w:pPr>
    </w:p>
    <w:p>
      <w:pPr>
        <w:ind w:left="100"/>
        <w:spacing w:after="0"/>
        <w:rPr>
          <w:sz w:val="20"/>
          <w:szCs w:val="20"/>
          <w:color w:val="auto"/>
        </w:rPr>
      </w:pPr>
      <w:r>
        <w:rPr>
          <w:rFonts w:ascii="Arial" w:cs="Arial" w:eastAsia="Arial" w:hAnsi="Arial"/>
          <w:sz w:val="50"/>
          <w:szCs w:val="50"/>
          <w:color w:val="5F81AA"/>
        </w:rPr>
        <w:t>Southern Europe - Q3 Revenue Growth YoY</w:t>
      </w:r>
    </w:p>
    <w:p>
      <w:pPr>
        <w:spacing w:after="0" w:line="200" w:lineRule="exact"/>
        <w:rPr>
          <w:sz w:val="20"/>
          <w:szCs w:val="20"/>
          <w:color w:val="auto"/>
        </w:rPr>
      </w:pPr>
    </w:p>
    <w:p>
      <w:pPr>
        <w:spacing w:after="0" w:line="356" w:lineRule="exact"/>
        <w:rPr>
          <w:sz w:val="20"/>
          <w:szCs w:val="20"/>
          <w:color w:val="auto"/>
        </w:rPr>
      </w:pPr>
    </w:p>
    <w:p>
      <w:pPr>
        <w:ind w:left="400" w:right="8820" w:hanging="287"/>
        <w:spacing w:after="0" w:line="288" w:lineRule="auto"/>
        <w:tabs>
          <w:tab w:leader="none" w:pos="387" w:val="left"/>
        </w:tabs>
        <w:numPr>
          <w:ilvl w:val="0"/>
          <w:numId w:val="8"/>
        </w:numPr>
        <w:rPr>
          <w:rFonts w:ascii="Arial" w:cs="Arial" w:eastAsia="Arial" w:hAnsi="Arial"/>
          <w:sz w:val="24"/>
          <w:szCs w:val="24"/>
          <w:b w:val="1"/>
          <w:bCs w:val="1"/>
          <w:color w:val="auto"/>
        </w:rPr>
      </w:pPr>
      <w:r>
        <w:rPr>
          <w:rFonts w:ascii="Arial" w:cs="Arial" w:eastAsia="Arial" w:hAnsi="Arial"/>
          <w:sz w:val="24"/>
          <w:szCs w:val="24"/>
          <w:b w:val="1"/>
          <w:bCs w:val="1"/>
          <w:color w:val="auto"/>
        </w:rPr>
        <w:t>of Segment Revenue</w:t>
      </w:r>
    </w:p>
    <w:p>
      <w:pPr>
        <w:spacing w:after="0" w:line="357" w:lineRule="exact"/>
        <w:rPr>
          <w:sz w:val="20"/>
          <w:szCs w:val="20"/>
          <w:color w:val="auto"/>
        </w:rPr>
      </w:pPr>
    </w:p>
    <w:p>
      <w:pPr>
        <w:ind w:left="680"/>
        <w:spacing w:after="0"/>
        <w:rPr>
          <w:sz w:val="20"/>
          <w:szCs w:val="20"/>
          <w:color w:val="auto"/>
        </w:rPr>
      </w:pPr>
      <w:r>
        <w:rPr>
          <w:rFonts w:ascii="Arial" w:cs="Arial" w:eastAsia="Arial" w:hAnsi="Arial"/>
          <w:sz w:val="29"/>
          <w:szCs w:val="29"/>
          <w:b w:val="1"/>
          <w:bCs w:val="1"/>
          <w:color w:val="6698C2"/>
        </w:rPr>
        <w:t>76%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spacing w:after="0"/>
        <w:rPr>
          <w:sz w:val="20"/>
          <w:szCs w:val="20"/>
          <w:color w:val="auto"/>
        </w:rPr>
      </w:pPr>
      <w:r>
        <w:rPr>
          <w:rFonts w:ascii="Arial" w:cs="Arial" w:eastAsia="Arial" w:hAnsi="Arial"/>
          <w:sz w:val="29"/>
          <w:szCs w:val="29"/>
          <w:b w:val="1"/>
          <w:bCs w:val="1"/>
          <w:color w:val="6698C2"/>
        </w:rPr>
        <w:t>15%</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20"/>
        <w:spacing w:after="0"/>
        <w:rPr>
          <w:sz w:val="20"/>
          <w:szCs w:val="20"/>
          <w:color w:val="auto"/>
        </w:rPr>
      </w:pPr>
      <w:r>
        <w:rPr>
          <w:rFonts w:ascii="Arial" w:cs="Arial" w:eastAsia="Arial" w:hAnsi="Arial"/>
          <w:sz w:val="29"/>
          <w:szCs w:val="29"/>
          <w:b w:val="1"/>
          <w:bCs w:val="1"/>
          <w:color w:val="6698C2"/>
        </w:rPr>
        <w:t>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40"/>
        <w:spacing w:after="0"/>
        <w:rPr>
          <w:sz w:val="20"/>
          <w:szCs w:val="20"/>
          <w:color w:val="auto"/>
        </w:rPr>
      </w:pPr>
      <w:r>
        <w:rPr>
          <w:rFonts w:ascii="Arial" w:cs="Arial" w:eastAsia="Arial" w:hAnsi="Arial"/>
          <w:sz w:val="29"/>
          <w:szCs w:val="29"/>
          <w:b w:val="1"/>
          <w:bCs w:val="1"/>
          <w:color w:val="6698C2"/>
        </w:rPr>
        <w:t>4%</w:t>
      </w:r>
    </w:p>
    <w:p>
      <w:pPr>
        <w:sectPr>
          <w:pgSz w:w="11900" w:h="16838" w:orient="portrait"/>
          <w:cols w:equalWidth="0" w:num="1">
            <w:col w:w="10520"/>
          </w:cols>
          <w:pgMar w:left="680" w:top="452"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Revenue</w:t>
      </w:r>
    </w:p>
    <w:p>
      <w:pPr>
        <w:spacing w:after="0" w:line="39"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Growth - CC</w:t>
      </w:r>
    </w:p>
    <w:p>
      <w:pPr>
        <w:spacing w:after="0" w:line="293" w:lineRule="exact"/>
        <w:rPr>
          <w:sz w:val="20"/>
          <w:szCs w:val="20"/>
          <w:color w:val="auto"/>
        </w:rPr>
      </w:pPr>
    </w:p>
    <w:p>
      <w:pPr>
        <w:sectPr>
          <w:pgSz w:w="11900" w:h="16838" w:orient="portrait"/>
          <w:cols w:equalWidth="0" w:num="2">
            <w:col w:w="4880" w:space="720"/>
            <w:col w:w="4920"/>
          </w:cols>
          <w:pgMar w:left="680" w:top="452" w:right="699" w:bottom="1440" w:gutter="0" w:footer="0" w:header="0"/>
          <w:type w:val="continuous"/>
        </w:sectPr>
      </w:pPr>
    </w:p>
    <w:p>
      <w:pPr>
        <w:jc w:val="right"/>
        <w:spacing w:after="0" w:line="202" w:lineRule="auto"/>
        <w:rPr>
          <w:sz w:val="20"/>
          <w:szCs w:val="20"/>
          <w:color w:val="auto"/>
        </w:rPr>
      </w:pPr>
      <w:r>
        <w:rPr>
          <w:rFonts w:ascii="Arial" w:cs="Arial" w:eastAsia="Arial" w:hAnsi="Arial"/>
          <w:sz w:val="14"/>
          <w:szCs w:val="14"/>
          <w:color w:val="898989"/>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428625</wp:posOffset>
            </wp:positionV>
            <wp:extent cx="72669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19" w:name="page20"/>
    <w:bookmarkEnd w:id="19"/>
    <w:p>
      <w:pPr>
        <w:ind w:right="328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581" w:lineRule="exact"/>
        <w:rPr>
          <w:sz w:val="20"/>
          <w:szCs w:val="20"/>
          <w:color w:val="auto"/>
        </w:rPr>
      </w:pPr>
    </w:p>
    <w:p>
      <w:pPr>
        <w:sectPr>
          <w:pgSz w:w="11900" w:h="16838" w:orient="portrait"/>
          <w:cols w:equalWidth="0" w:num="2">
            <w:col w:w="8420" w:space="720"/>
            <w:col w:w="1380"/>
          </w:cols>
          <w:pgMar w:left="680" w:top="452" w:right="699" w:bottom="1440" w:gutter="0" w:footer="0" w:header="0"/>
        </w:sectPr>
      </w:pPr>
    </w:p>
    <w:p>
      <w:pPr>
        <w:spacing w:after="0" w:line="11" w:lineRule="exact"/>
        <w:rPr>
          <w:sz w:val="20"/>
          <w:szCs w:val="20"/>
          <w:color w:val="auto"/>
        </w:rPr>
      </w:pPr>
    </w:p>
    <w:p>
      <w:pPr>
        <w:ind w:left="320"/>
        <w:spacing w:after="0"/>
        <w:rPr>
          <w:sz w:val="20"/>
          <w:szCs w:val="20"/>
          <w:color w:val="auto"/>
        </w:rPr>
      </w:pPr>
      <w:r>
        <w:rPr>
          <w:rFonts w:ascii="Arial" w:cs="Arial" w:eastAsia="Arial" w:hAnsi="Arial"/>
          <w:sz w:val="51"/>
          <w:szCs w:val="51"/>
          <w:color w:val="5F81AA"/>
        </w:rPr>
        <w:t>Northern Europe Segment</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32"/>
          <w:szCs w:val="32"/>
          <w:color w:val="5F81AA"/>
        </w:rPr>
        <w:t>(28%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40"/>
        <w:spacing w:after="0"/>
        <w:rPr>
          <w:sz w:val="20"/>
          <w:szCs w:val="20"/>
          <w:color w:val="auto"/>
        </w:rPr>
      </w:pPr>
      <w:r>
        <w:rPr>
          <w:rFonts w:ascii="Arial" w:cs="Arial" w:eastAsia="Arial" w:hAnsi="Arial"/>
          <w:sz w:val="42"/>
          <w:szCs w:val="42"/>
          <w:b w:val="1"/>
          <w:bCs w:val="1"/>
          <w:color w:val="auto"/>
        </w:rPr>
        <w:t>Q3 Financial Highlights</w:t>
      </w:r>
    </w:p>
    <w:p>
      <w:pPr>
        <w:spacing w:after="0" w:line="200" w:lineRule="exact"/>
        <w:rPr>
          <w:sz w:val="20"/>
          <w:szCs w:val="20"/>
          <w:color w:val="auto"/>
        </w:rPr>
      </w:pPr>
    </w:p>
    <w:p>
      <w:pPr>
        <w:spacing w:after="0" w:line="287" w:lineRule="exact"/>
        <w:rPr>
          <w:sz w:val="20"/>
          <w:szCs w:val="20"/>
          <w:color w:val="auto"/>
        </w:rPr>
      </w:pPr>
    </w:p>
    <w:tbl>
      <w:tblPr>
        <w:tblLayout w:type="fixed"/>
        <w:tblInd w:w="1880" w:type="dxa"/>
        <w:tblCellMar>
          <w:top w:w="0" w:type="dxa"/>
          <w:left w:w="0" w:type="dxa"/>
          <w:bottom w:w="0" w:type="dxa"/>
          <w:right w:w="0" w:type="dxa"/>
        </w:tblCellMar>
      </w:tblPr>
      <w:tr>
        <w:trPr>
          <w:trHeight w:val="456"/>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17%</w:t>
            </w:r>
          </w:p>
        </w:tc>
        <w:tc>
          <w:tcPr>
            <w:tcW w:w="3540" w:type="dxa"/>
            <w:vAlign w:val="bottom"/>
            <w:gridSpan w:val="2"/>
            <w:vMerge w:val="restart"/>
          </w:tcPr>
          <w:p>
            <w:pPr>
              <w:ind w:left="38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5F81AA"/>
              </w:rPr>
              <w:t>$1.6B</w:t>
            </w:r>
          </w:p>
        </w:tc>
        <w:tc>
          <w:tcPr>
            <w:tcW w:w="0" w:type="dxa"/>
            <w:vAlign w:val="bottom"/>
          </w:tcPr>
          <w:p>
            <w:pPr>
              <w:spacing w:after="0"/>
              <w:rPr>
                <w:sz w:val="1"/>
                <w:szCs w:val="1"/>
                <w:color w:val="auto"/>
              </w:rPr>
            </w:pPr>
          </w:p>
        </w:tc>
      </w:tr>
      <w:tr>
        <w:trPr>
          <w:trHeight w:val="254"/>
        </w:trPr>
        <w:tc>
          <w:tcPr>
            <w:tcW w:w="1820" w:type="dxa"/>
            <w:vAlign w:val="bottom"/>
            <w:vMerge w:val="restart"/>
          </w:tcPr>
          <w:p>
            <w:pPr>
              <w:jc w:val="center"/>
              <w:ind w:right="208"/>
              <w:spacing w:after="0"/>
              <w:rPr>
                <w:sz w:val="20"/>
                <w:szCs w:val="20"/>
                <w:color w:val="auto"/>
              </w:rPr>
            </w:pPr>
            <w:r>
              <w:rPr>
                <w:rFonts w:ascii="Arial" w:cs="Arial" w:eastAsia="Arial" w:hAnsi="Arial"/>
                <w:sz w:val="38"/>
                <w:szCs w:val="38"/>
                <w:color w:val="auto"/>
              </w:rPr>
              <w:t>9% CC</w:t>
            </w:r>
          </w:p>
        </w:tc>
        <w:tc>
          <w:tcPr>
            <w:tcW w:w="35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7"/>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58%</w:t>
            </w:r>
          </w:p>
        </w:tc>
        <w:tc>
          <w:tcPr>
            <w:tcW w:w="1380" w:type="dxa"/>
            <w:vAlign w:val="bottom"/>
            <w:vMerge w:val="restart"/>
          </w:tcPr>
          <w:p>
            <w:pPr>
              <w:ind w:left="380"/>
              <w:spacing w:after="0"/>
              <w:rPr>
                <w:sz w:val="20"/>
                <w:szCs w:val="20"/>
                <w:color w:val="auto"/>
              </w:rPr>
            </w:pPr>
            <w:r>
              <w:rPr>
                <w:rFonts w:ascii="Arial" w:cs="Arial" w:eastAsia="Arial" w:hAnsi="Arial"/>
                <w:sz w:val="42"/>
                <w:szCs w:val="42"/>
                <w:b w:val="1"/>
                <w:bCs w:val="1"/>
                <w:color w:val="auto"/>
              </w:rPr>
              <w:t>OUP</w:t>
            </w:r>
          </w:p>
        </w:tc>
        <w:tc>
          <w:tcPr>
            <w:tcW w:w="2160" w:type="dxa"/>
            <w:vAlign w:val="bottom"/>
            <w:vMerge w:val="restart"/>
          </w:tcPr>
          <w:p>
            <w:pPr>
              <w:ind w:left="120"/>
              <w:spacing w:after="0"/>
              <w:rPr>
                <w:sz w:val="20"/>
                <w:szCs w:val="20"/>
                <w:color w:val="auto"/>
              </w:rPr>
            </w:pPr>
            <w:r>
              <w:rPr>
                <w:rFonts w:ascii="Arial" w:cs="Arial" w:eastAsia="Arial" w:hAnsi="Arial"/>
                <w:sz w:val="45"/>
                <w:szCs w:val="45"/>
                <w:b w:val="1"/>
                <w:bCs w:val="1"/>
                <w:color w:val="5F81AA"/>
              </w:rPr>
              <w:t>$63M</w:t>
            </w:r>
          </w:p>
        </w:tc>
        <w:tc>
          <w:tcPr>
            <w:tcW w:w="0" w:type="dxa"/>
            <w:vAlign w:val="bottom"/>
          </w:tcPr>
          <w:p>
            <w:pPr>
              <w:spacing w:after="0"/>
              <w:rPr>
                <w:sz w:val="1"/>
                <w:szCs w:val="1"/>
                <w:color w:val="auto"/>
              </w:rPr>
            </w:pPr>
          </w:p>
        </w:tc>
      </w:tr>
      <w:tr>
        <w:trPr>
          <w:trHeight w:val="306"/>
        </w:trPr>
        <w:tc>
          <w:tcPr>
            <w:tcW w:w="1820" w:type="dxa"/>
            <w:vAlign w:val="bottom"/>
            <w:vMerge w:val="restart"/>
          </w:tcPr>
          <w:p>
            <w:pPr>
              <w:jc w:val="center"/>
              <w:ind w:right="188"/>
              <w:spacing w:after="0"/>
              <w:rPr>
                <w:sz w:val="20"/>
                <w:szCs w:val="20"/>
                <w:color w:val="auto"/>
              </w:rPr>
            </w:pPr>
            <w:r>
              <w:rPr>
                <w:rFonts w:ascii="Arial" w:cs="Arial" w:eastAsia="Arial" w:hAnsi="Arial"/>
                <w:sz w:val="38"/>
                <w:szCs w:val="38"/>
                <w:color w:val="auto"/>
              </w:rPr>
              <w:t>47% CC</w:t>
            </w:r>
          </w:p>
        </w:tc>
        <w:tc>
          <w:tcPr>
            <w:tcW w:w="1380" w:type="dxa"/>
            <w:vAlign w:val="bottom"/>
            <w:vMerge w:val="continue"/>
          </w:tcPr>
          <w:p>
            <w:pPr>
              <w:spacing w:after="0"/>
              <w:rPr>
                <w:sz w:val="24"/>
                <w:szCs w:val="24"/>
                <w:color w:val="auto"/>
              </w:rPr>
            </w:pP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20" w:type="dxa"/>
            <w:vAlign w:val="bottom"/>
            <w:vMerge w:val="continue"/>
          </w:tcPr>
          <w:p>
            <w:pPr>
              <w:spacing w:after="0"/>
              <w:rPr>
                <w:sz w:val="21"/>
                <w:szCs w:val="21"/>
                <w:color w:val="auto"/>
              </w:rPr>
            </w:pPr>
          </w:p>
        </w:tc>
        <w:tc>
          <w:tcPr>
            <w:tcW w:w="13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920"/>
        <w:spacing w:after="0"/>
        <w:tabs>
          <w:tab w:leader="none" w:pos="4020" w:val="left"/>
        </w:tabs>
        <w:rPr>
          <w:sz w:val="20"/>
          <w:szCs w:val="20"/>
          <w:color w:val="auto"/>
        </w:rPr>
      </w:pPr>
      <w:r>
        <w:rPr>
          <w:rFonts w:ascii="Arial" w:cs="Arial" w:eastAsia="Arial" w:hAnsi="Arial"/>
          <w:sz w:val="38"/>
          <w:szCs w:val="38"/>
          <w:color w:val="auto"/>
        </w:rPr>
        <w:t>100 bps</w:t>
      </w:r>
      <w:r>
        <w:rPr>
          <w:sz w:val="20"/>
          <w:szCs w:val="20"/>
          <w:color w:val="auto"/>
        </w:rPr>
        <w:tab/>
      </w: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5F81AA"/>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20" w:name="page21"/>
    <w:bookmarkEnd w:id="20"/>
    <w:p>
      <w:pPr>
        <w:ind w:left="440" w:right="328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520" w:lineRule="exact"/>
        <w:rPr>
          <w:sz w:val="20"/>
          <w:szCs w:val="20"/>
          <w:color w:val="auto"/>
        </w:rPr>
      </w:pPr>
    </w:p>
    <w:p>
      <w:pPr>
        <w:sectPr>
          <w:pgSz w:w="11900" w:h="16838" w:orient="portrait"/>
          <w:cols w:equalWidth="0" w:num="2">
            <w:col w:w="8860" w:space="720"/>
            <w:col w:w="1860"/>
          </w:cols>
          <w:pgMar w:left="240" w:top="452" w:right="219" w:bottom="1440" w:gutter="0" w:footer="0" w:header="0"/>
        </w:sectPr>
      </w:pPr>
    </w:p>
    <w:p>
      <w:pPr>
        <w:ind w:left="880"/>
        <w:spacing w:after="0"/>
        <w:rPr>
          <w:sz w:val="20"/>
          <w:szCs w:val="20"/>
          <w:color w:val="auto"/>
        </w:rPr>
      </w:pPr>
      <w:r>
        <w:rPr>
          <w:rFonts w:ascii="Arial" w:cs="Arial" w:eastAsia="Arial" w:hAnsi="Arial"/>
          <w:sz w:val="51"/>
          <w:szCs w:val="51"/>
          <w:color w:val="5F81AA"/>
        </w:rPr>
        <w:t>Northern Europe - Q3 Revenue Growth YoY</w:t>
      </w:r>
    </w:p>
    <w:p>
      <w:pPr>
        <w:spacing w:after="0" w:line="269" w:lineRule="exact"/>
        <w:rPr>
          <w:sz w:val="20"/>
          <w:szCs w:val="20"/>
          <w:color w:val="auto"/>
        </w:rPr>
      </w:pPr>
    </w:p>
    <w:p>
      <w:pPr>
        <w:ind w:left="820" w:right="9320" w:hanging="297"/>
        <w:spacing w:after="0" w:line="288" w:lineRule="auto"/>
        <w:tabs>
          <w:tab w:leader="none" w:pos="807" w:val="left"/>
        </w:tabs>
        <w:numPr>
          <w:ilvl w:val="0"/>
          <w:numId w:val="9"/>
        </w:numPr>
        <w:rPr>
          <w:rFonts w:ascii="Arial" w:cs="Arial" w:eastAsia="Arial" w:hAnsi="Arial"/>
          <w:sz w:val="24"/>
          <w:szCs w:val="24"/>
          <w:b w:val="1"/>
          <w:bCs w:val="1"/>
          <w:color w:val="auto"/>
        </w:rPr>
      </w:pPr>
      <w:r>
        <w:rPr>
          <w:rFonts w:ascii="Arial" w:cs="Arial" w:eastAsia="Arial" w:hAnsi="Arial"/>
          <w:sz w:val="24"/>
          <w:szCs w:val="24"/>
          <w:b w:val="1"/>
          <w:bCs w:val="1"/>
          <w:color w:val="auto"/>
        </w:rPr>
        <w:t>of Segment Revenue</w:t>
      </w:r>
    </w:p>
    <w:p>
      <w:pPr>
        <w:spacing w:after="0" w:line="201" w:lineRule="exact"/>
        <w:rPr>
          <w:sz w:val="20"/>
          <w:szCs w:val="20"/>
          <w:color w:val="auto"/>
        </w:rPr>
      </w:pPr>
    </w:p>
    <w:p>
      <w:pPr>
        <w:ind w:left="1040"/>
        <w:spacing w:after="0"/>
        <w:rPr>
          <w:sz w:val="20"/>
          <w:szCs w:val="20"/>
          <w:color w:val="auto"/>
        </w:rPr>
      </w:pPr>
      <w:r>
        <w:rPr>
          <w:rFonts w:ascii="Arial" w:cs="Arial" w:eastAsia="Arial" w:hAnsi="Arial"/>
          <w:sz w:val="29"/>
          <w:szCs w:val="29"/>
          <w:b w:val="1"/>
          <w:bCs w:val="1"/>
          <w:color w:val="6698C2"/>
        </w:rPr>
        <w:t>19%</w:t>
      </w:r>
    </w:p>
    <w:p>
      <w:pPr>
        <w:spacing w:after="0" w:line="200" w:lineRule="exact"/>
        <w:rPr>
          <w:sz w:val="20"/>
          <w:szCs w:val="20"/>
          <w:color w:val="auto"/>
        </w:rPr>
      </w:pPr>
    </w:p>
    <w:p>
      <w:pPr>
        <w:spacing w:after="0" w:line="235" w:lineRule="exact"/>
        <w:rPr>
          <w:sz w:val="20"/>
          <w:szCs w:val="20"/>
          <w:color w:val="auto"/>
        </w:rPr>
      </w:pPr>
    </w:p>
    <w:p>
      <w:pPr>
        <w:ind w:left="1000"/>
        <w:spacing w:after="0"/>
        <w:rPr>
          <w:sz w:val="20"/>
          <w:szCs w:val="20"/>
          <w:color w:val="auto"/>
        </w:rPr>
      </w:pPr>
      <w:r>
        <w:rPr>
          <w:rFonts w:ascii="Arial" w:cs="Arial" w:eastAsia="Arial" w:hAnsi="Arial"/>
          <w:sz w:val="29"/>
          <w:szCs w:val="29"/>
          <w:b w:val="1"/>
          <w:bCs w:val="1"/>
          <w:color w:val="6698C2"/>
        </w:rPr>
        <w:t>17%</w:t>
      </w:r>
    </w:p>
    <w:p>
      <w:pPr>
        <w:spacing w:after="0" w:line="363" w:lineRule="exact"/>
        <w:rPr>
          <w:sz w:val="20"/>
          <w:szCs w:val="20"/>
          <w:color w:val="auto"/>
        </w:rPr>
      </w:pPr>
    </w:p>
    <w:p>
      <w:pPr>
        <w:ind w:left="980"/>
        <w:spacing w:after="0"/>
        <w:rPr>
          <w:sz w:val="20"/>
          <w:szCs w:val="20"/>
          <w:color w:val="auto"/>
        </w:rPr>
      </w:pPr>
      <w:r>
        <w:rPr>
          <w:rFonts w:ascii="Arial" w:cs="Arial" w:eastAsia="Arial" w:hAnsi="Arial"/>
          <w:sz w:val="29"/>
          <w:szCs w:val="29"/>
          <w:b w:val="1"/>
          <w:bCs w:val="1"/>
          <w:color w:val="6698C2"/>
        </w:rPr>
        <w:t>15%</w:t>
      </w:r>
    </w:p>
    <w:p>
      <w:pPr>
        <w:spacing w:after="0" w:line="375" w:lineRule="exact"/>
        <w:rPr>
          <w:sz w:val="20"/>
          <w:szCs w:val="20"/>
          <w:color w:val="auto"/>
        </w:rPr>
      </w:pPr>
    </w:p>
    <w:p>
      <w:pPr>
        <w:ind w:left="1020"/>
        <w:spacing w:after="0"/>
        <w:rPr>
          <w:sz w:val="20"/>
          <w:szCs w:val="20"/>
          <w:color w:val="auto"/>
        </w:rPr>
      </w:pPr>
      <w:r>
        <w:rPr>
          <w:rFonts w:ascii="Arial" w:cs="Arial" w:eastAsia="Arial" w:hAnsi="Arial"/>
          <w:sz w:val="29"/>
          <w:szCs w:val="29"/>
          <w:b w:val="1"/>
          <w:bCs w:val="1"/>
          <w:color w:val="6698C2"/>
        </w:rPr>
        <w:t>13%</w:t>
      </w:r>
    </w:p>
    <w:p>
      <w:pPr>
        <w:spacing w:after="0" w:line="200" w:lineRule="exact"/>
        <w:rPr>
          <w:sz w:val="20"/>
          <w:szCs w:val="20"/>
          <w:color w:val="auto"/>
        </w:rPr>
      </w:pPr>
    </w:p>
    <w:p>
      <w:pPr>
        <w:spacing w:after="0" w:line="271" w:lineRule="exact"/>
        <w:rPr>
          <w:sz w:val="20"/>
          <w:szCs w:val="20"/>
          <w:color w:val="auto"/>
        </w:rPr>
      </w:pPr>
    </w:p>
    <w:p>
      <w:pPr>
        <w:ind w:left="1000"/>
        <w:spacing w:after="0"/>
        <w:rPr>
          <w:sz w:val="20"/>
          <w:szCs w:val="20"/>
          <w:color w:val="auto"/>
        </w:rPr>
      </w:pPr>
      <w:r>
        <w:rPr>
          <w:rFonts w:ascii="Arial" w:cs="Arial" w:eastAsia="Arial" w:hAnsi="Arial"/>
          <w:sz w:val="29"/>
          <w:szCs w:val="29"/>
          <w:b w:val="1"/>
          <w:bCs w:val="1"/>
          <w:color w:val="6698C2"/>
        </w:rPr>
        <w:t>10%</w:t>
      </w:r>
    </w:p>
    <w:p>
      <w:pPr>
        <w:spacing w:after="0" w:line="363" w:lineRule="exact"/>
        <w:rPr>
          <w:sz w:val="20"/>
          <w:szCs w:val="20"/>
          <w:color w:val="auto"/>
        </w:rPr>
      </w:pPr>
    </w:p>
    <w:p>
      <w:pPr>
        <w:ind w:left="1160"/>
        <w:spacing w:after="0"/>
        <w:rPr>
          <w:sz w:val="20"/>
          <w:szCs w:val="20"/>
          <w:color w:val="auto"/>
        </w:rPr>
      </w:pPr>
      <w:r>
        <w:rPr>
          <w:rFonts w:ascii="Arial" w:cs="Arial" w:eastAsia="Arial" w:hAnsi="Arial"/>
          <w:sz w:val="29"/>
          <w:szCs w:val="29"/>
          <w:b w:val="1"/>
          <w:bCs w:val="1"/>
          <w:color w:val="6698C2"/>
        </w:rPr>
        <w:t>7%</w:t>
      </w:r>
    </w:p>
    <w:p>
      <w:pPr>
        <w:spacing w:after="0" w:line="399" w:lineRule="exact"/>
        <w:rPr>
          <w:sz w:val="20"/>
          <w:szCs w:val="20"/>
          <w:color w:val="auto"/>
        </w:rPr>
      </w:pPr>
    </w:p>
    <w:p>
      <w:pPr>
        <w:ind w:left="1000"/>
        <w:spacing w:after="0"/>
        <w:rPr>
          <w:sz w:val="20"/>
          <w:szCs w:val="20"/>
          <w:color w:val="auto"/>
        </w:rPr>
      </w:pPr>
      <w:r>
        <w:rPr>
          <w:rFonts w:ascii="Arial" w:cs="Arial" w:eastAsia="Arial" w:hAnsi="Arial"/>
          <w:sz w:val="29"/>
          <w:szCs w:val="29"/>
          <w:b w:val="1"/>
          <w:bCs w:val="1"/>
          <w:color w:val="6698C2"/>
        </w:rPr>
        <w:t>19%</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00" w:type="dxa"/>
            <w:vAlign w:val="bottom"/>
          </w:tcPr>
          <w:p>
            <w:pPr>
              <w:jc w:val="center"/>
              <w:ind w:left="3928"/>
              <w:spacing w:after="0"/>
              <w:rPr>
                <w:sz w:val="20"/>
                <w:szCs w:val="20"/>
                <w:color w:val="auto"/>
              </w:rPr>
            </w:pPr>
            <w:r>
              <w:rPr>
                <w:rFonts w:ascii="Arial" w:cs="Arial" w:eastAsia="Arial" w:hAnsi="Arial"/>
                <w:sz w:val="22"/>
                <w:szCs w:val="22"/>
                <w:b w:val="1"/>
                <w:bCs w:val="1"/>
                <w:color w:val="auto"/>
              </w:rPr>
              <w:t>Revenue</w:t>
            </w:r>
          </w:p>
        </w:tc>
        <w:tc>
          <w:tcPr>
            <w:tcW w:w="3840" w:type="dxa"/>
            <w:vAlign w:val="bottom"/>
          </w:tcPr>
          <w:p>
            <w:pPr>
              <w:ind w:left="480"/>
              <w:spacing w:after="0"/>
              <w:rPr>
                <w:sz w:val="20"/>
                <w:szCs w:val="20"/>
                <w:color w:val="auto"/>
              </w:rPr>
            </w:pPr>
            <w:r>
              <w:rPr>
                <w:rFonts w:ascii="Arial" w:cs="Arial" w:eastAsia="Arial" w:hAnsi="Arial"/>
                <w:sz w:val="22"/>
                <w:szCs w:val="22"/>
                <w:b w:val="1"/>
                <w:bCs w:val="1"/>
                <w:color w:val="auto"/>
              </w:rPr>
              <w:t>Revenue Growth - CC</w:t>
            </w:r>
          </w:p>
        </w:tc>
        <w:tc>
          <w:tcPr>
            <w:tcW w:w="1700" w:type="dxa"/>
            <w:vAlign w:val="bottom"/>
          </w:tcPr>
          <w:p>
            <w:pPr>
              <w:jc w:val="right"/>
              <w:ind w:right="408"/>
              <w:spacing w:after="0"/>
              <w:rPr>
                <w:sz w:val="20"/>
                <w:szCs w:val="20"/>
                <w:color w:val="auto"/>
              </w:rPr>
            </w:pPr>
            <w:r>
              <w:rPr>
                <w:rFonts w:ascii="Arial" w:cs="Arial" w:eastAsia="Arial" w:hAnsi="Arial"/>
                <w:sz w:val="14"/>
                <w:szCs w:val="14"/>
                <w:color w:val="898989"/>
              </w:rPr>
              <w:t>10</w:t>
            </w:r>
          </w:p>
        </w:tc>
      </w:tr>
      <w:tr>
        <w:trPr>
          <w:trHeight w:val="297"/>
        </w:trPr>
        <w:tc>
          <w:tcPr>
            <w:tcW w:w="5900" w:type="dxa"/>
            <w:vAlign w:val="bottom"/>
          </w:tcPr>
          <w:p>
            <w:pPr>
              <w:jc w:val="center"/>
              <w:ind w:left="3928"/>
              <w:spacing w:after="0"/>
              <w:rPr>
                <w:sz w:val="20"/>
                <w:szCs w:val="20"/>
                <w:color w:val="auto"/>
              </w:rPr>
            </w:pPr>
            <w:r>
              <w:rPr>
                <w:rFonts w:ascii="Arial" w:cs="Arial" w:eastAsia="Arial" w:hAnsi="Arial"/>
                <w:sz w:val="22"/>
                <w:szCs w:val="22"/>
                <w:b w:val="1"/>
                <w:bCs w:val="1"/>
                <w:color w:val="auto"/>
              </w:rPr>
              <w:t>Growth</w:t>
            </w:r>
          </w:p>
        </w:tc>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8"/>
        </w:trPr>
        <w:tc>
          <w:tcPr>
            <w:tcW w:w="590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2" w:right="219" w:bottom="1440" w:gutter="0" w:footer="0" w:header="0"/>
          <w:type w:val="continuous"/>
        </w:sectPr>
      </w:pPr>
    </w:p>
    <w:bookmarkStart w:id="21" w:name="page22"/>
    <w:bookmarkEnd w:id="21"/>
    <w:p>
      <w:pPr>
        <w:ind w:right="328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581" w:lineRule="exact"/>
        <w:rPr>
          <w:sz w:val="20"/>
          <w:szCs w:val="20"/>
          <w:color w:val="auto"/>
        </w:rPr>
      </w:pPr>
    </w:p>
    <w:p>
      <w:pPr>
        <w:sectPr>
          <w:pgSz w:w="11900" w:h="16838" w:orient="portrait"/>
          <w:cols w:equalWidth="0" w:num="2">
            <w:col w:w="8420" w:space="720"/>
            <w:col w:w="1380"/>
          </w:cols>
          <w:pgMar w:left="680" w:top="452" w:right="699" w:bottom="1440" w:gutter="0" w:footer="0" w:header="0"/>
        </w:sectPr>
      </w:pPr>
    </w:p>
    <w:p>
      <w:pPr>
        <w:spacing w:after="0" w:line="11" w:lineRule="exact"/>
        <w:rPr>
          <w:sz w:val="20"/>
          <w:szCs w:val="20"/>
          <w:color w:val="auto"/>
        </w:rPr>
      </w:pPr>
    </w:p>
    <w:p>
      <w:pPr>
        <w:ind w:left="320"/>
        <w:spacing w:after="0"/>
        <w:rPr>
          <w:sz w:val="20"/>
          <w:szCs w:val="20"/>
          <w:color w:val="auto"/>
        </w:rPr>
      </w:pPr>
      <w:r>
        <w:rPr>
          <w:rFonts w:ascii="Arial" w:cs="Arial" w:eastAsia="Arial" w:hAnsi="Arial"/>
          <w:sz w:val="51"/>
          <w:szCs w:val="51"/>
          <w:color w:val="5F81AA"/>
        </w:rPr>
        <w:t>APME Segment</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32"/>
          <w:szCs w:val="32"/>
          <w:color w:val="5F81AA"/>
        </w:rPr>
        <w:t>(12%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0"/>
        <w:spacing w:after="0"/>
        <w:rPr>
          <w:sz w:val="20"/>
          <w:szCs w:val="20"/>
          <w:color w:val="auto"/>
        </w:rPr>
      </w:pPr>
      <w:r>
        <w:rPr>
          <w:rFonts w:ascii="Arial" w:cs="Arial" w:eastAsia="Arial" w:hAnsi="Arial"/>
          <w:sz w:val="42"/>
          <w:szCs w:val="42"/>
          <w:b w:val="1"/>
          <w:bCs w:val="1"/>
          <w:color w:val="auto"/>
        </w:rPr>
        <w:t>Q3 Financial Highlights</w:t>
      </w:r>
    </w:p>
    <w:p>
      <w:pPr>
        <w:spacing w:after="0" w:line="200" w:lineRule="exact"/>
        <w:rPr>
          <w:sz w:val="20"/>
          <w:szCs w:val="20"/>
          <w:color w:val="auto"/>
        </w:rPr>
      </w:pPr>
    </w:p>
    <w:p>
      <w:pPr>
        <w:spacing w:after="0" w:line="287" w:lineRule="exact"/>
        <w:rPr>
          <w:sz w:val="20"/>
          <w:szCs w:val="20"/>
          <w:color w:val="auto"/>
        </w:rPr>
      </w:pPr>
    </w:p>
    <w:tbl>
      <w:tblPr>
        <w:tblLayout w:type="fixed"/>
        <w:tblInd w:w="1840" w:type="dxa"/>
        <w:tblCellMar>
          <w:top w:w="0" w:type="dxa"/>
          <w:left w:w="0" w:type="dxa"/>
          <w:bottom w:w="0" w:type="dxa"/>
          <w:right w:w="0" w:type="dxa"/>
        </w:tblCellMar>
      </w:tblPr>
      <w:tr>
        <w:trPr>
          <w:trHeight w:val="456"/>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26%</w:t>
            </w:r>
          </w:p>
        </w:tc>
        <w:tc>
          <w:tcPr>
            <w:tcW w:w="3720" w:type="dxa"/>
            <w:vAlign w:val="bottom"/>
            <w:gridSpan w:val="2"/>
            <w:vMerge w:val="restart"/>
          </w:tcPr>
          <w:p>
            <w:pPr>
              <w:ind w:left="38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5F81AA"/>
              </w:rPr>
              <w:t>$701M</w:t>
            </w:r>
          </w:p>
        </w:tc>
        <w:tc>
          <w:tcPr>
            <w:tcW w:w="0" w:type="dxa"/>
            <w:vAlign w:val="bottom"/>
          </w:tcPr>
          <w:p>
            <w:pPr>
              <w:spacing w:after="0"/>
              <w:rPr>
                <w:sz w:val="1"/>
                <w:szCs w:val="1"/>
                <w:color w:val="auto"/>
              </w:rPr>
            </w:pPr>
          </w:p>
        </w:tc>
      </w:tr>
      <w:tr>
        <w:trPr>
          <w:trHeight w:val="254"/>
        </w:trPr>
        <w:tc>
          <w:tcPr>
            <w:tcW w:w="1820" w:type="dxa"/>
            <w:vAlign w:val="bottom"/>
            <w:vMerge w:val="restart"/>
          </w:tcPr>
          <w:p>
            <w:pPr>
              <w:jc w:val="center"/>
              <w:ind w:right="188"/>
              <w:spacing w:after="0"/>
              <w:rPr>
                <w:sz w:val="20"/>
                <w:szCs w:val="20"/>
                <w:color w:val="auto"/>
              </w:rPr>
            </w:pPr>
            <w:r>
              <w:rPr>
                <w:rFonts w:ascii="Arial" w:cs="Arial" w:eastAsia="Arial" w:hAnsi="Arial"/>
                <w:sz w:val="38"/>
                <w:szCs w:val="38"/>
                <w:color w:val="auto"/>
              </w:rPr>
              <w:t>15% CC</w:t>
            </w:r>
          </w:p>
        </w:tc>
        <w:tc>
          <w:tcPr>
            <w:tcW w:w="37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7"/>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64%</w:t>
            </w:r>
          </w:p>
        </w:tc>
        <w:tc>
          <w:tcPr>
            <w:tcW w:w="1400" w:type="dxa"/>
            <w:vAlign w:val="bottom"/>
            <w:vMerge w:val="restart"/>
          </w:tcPr>
          <w:p>
            <w:pPr>
              <w:ind w:left="380"/>
              <w:spacing w:after="0"/>
              <w:rPr>
                <w:sz w:val="20"/>
                <w:szCs w:val="20"/>
                <w:color w:val="auto"/>
              </w:rPr>
            </w:pPr>
            <w:r>
              <w:rPr>
                <w:rFonts w:ascii="Arial" w:cs="Arial" w:eastAsia="Arial" w:hAnsi="Arial"/>
                <w:sz w:val="42"/>
                <w:szCs w:val="42"/>
                <w:b w:val="1"/>
                <w:bCs w:val="1"/>
                <w:color w:val="auto"/>
              </w:rPr>
              <w:t>OUP</w:t>
            </w:r>
          </w:p>
        </w:tc>
        <w:tc>
          <w:tcPr>
            <w:tcW w:w="2320" w:type="dxa"/>
            <w:vAlign w:val="bottom"/>
            <w:vMerge w:val="restart"/>
          </w:tcPr>
          <w:p>
            <w:pPr>
              <w:ind w:left="100"/>
              <w:spacing w:after="0"/>
              <w:rPr>
                <w:sz w:val="20"/>
                <w:szCs w:val="20"/>
                <w:color w:val="auto"/>
              </w:rPr>
            </w:pPr>
            <w:r>
              <w:rPr>
                <w:rFonts w:ascii="Arial" w:cs="Arial" w:eastAsia="Arial" w:hAnsi="Arial"/>
                <w:sz w:val="45"/>
                <w:szCs w:val="45"/>
                <w:b w:val="1"/>
                <w:bCs w:val="1"/>
                <w:color w:val="5F81AA"/>
              </w:rPr>
              <w:t>$22M</w:t>
            </w:r>
          </w:p>
        </w:tc>
        <w:tc>
          <w:tcPr>
            <w:tcW w:w="0" w:type="dxa"/>
            <w:vAlign w:val="bottom"/>
          </w:tcPr>
          <w:p>
            <w:pPr>
              <w:spacing w:after="0"/>
              <w:rPr>
                <w:sz w:val="1"/>
                <w:szCs w:val="1"/>
                <w:color w:val="auto"/>
              </w:rPr>
            </w:pPr>
          </w:p>
        </w:tc>
      </w:tr>
      <w:tr>
        <w:trPr>
          <w:trHeight w:val="306"/>
        </w:trPr>
        <w:tc>
          <w:tcPr>
            <w:tcW w:w="1820" w:type="dxa"/>
            <w:vAlign w:val="bottom"/>
            <w:vMerge w:val="restart"/>
          </w:tcPr>
          <w:p>
            <w:pPr>
              <w:jc w:val="center"/>
              <w:ind w:right="188"/>
              <w:spacing w:after="0"/>
              <w:rPr>
                <w:sz w:val="20"/>
                <w:szCs w:val="20"/>
                <w:color w:val="auto"/>
              </w:rPr>
            </w:pPr>
            <w:r>
              <w:rPr>
                <w:rFonts w:ascii="Arial" w:cs="Arial" w:eastAsia="Arial" w:hAnsi="Arial"/>
                <w:sz w:val="38"/>
                <w:szCs w:val="38"/>
                <w:color w:val="auto"/>
              </w:rPr>
              <w:t>51% CC</w:t>
            </w:r>
          </w:p>
        </w:tc>
        <w:tc>
          <w:tcPr>
            <w:tcW w:w="1400" w:type="dxa"/>
            <w:vAlign w:val="bottom"/>
            <w:vMerge w:val="continue"/>
          </w:tcPr>
          <w:p>
            <w:pPr>
              <w:spacing w:after="0"/>
              <w:rPr>
                <w:sz w:val="24"/>
                <w:szCs w:val="24"/>
                <w:color w:val="auto"/>
              </w:rPr>
            </w:pPr>
          </w:p>
        </w:tc>
        <w:tc>
          <w:tcPr>
            <w:tcW w:w="2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20" w:type="dxa"/>
            <w:vAlign w:val="bottom"/>
            <w:vMerge w:val="continue"/>
          </w:tcPr>
          <w:p>
            <w:pPr>
              <w:spacing w:after="0"/>
              <w:rPr>
                <w:sz w:val="21"/>
                <w:szCs w:val="21"/>
                <w:color w:val="auto"/>
              </w:rPr>
            </w:pPr>
          </w:p>
        </w:tc>
        <w:tc>
          <w:tcPr>
            <w:tcW w:w="14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980"/>
        <w:spacing w:after="0"/>
        <w:tabs>
          <w:tab w:leader="none" w:pos="3980" w:val="left"/>
        </w:tabs>
        <w:rPr>
          <w:sz w:val="20"/>
          <w:szCs w:val="20"/>
          <w:color w:val="auto"/>
        </w:rPr>
      </w:pPr>
      <w:r>
        <w:rPr>
          <w:rFonts w:ascii="Arial" w:cs="Arial" w:eastAsia="Arial" w:hAnsi="Arial"/>
          <w:sz w:val="38"/>
          <w:szCs w:val="38"/>
          <w:color w:val="auto"/>
        </w:rPr>
        <w:t>70 bps</w:t>
      </w:r>
      <w:r>
        <w:rPr>
          <w:sz w:val="20"/>
          <w:szCs w:val="20"/>
          <w:color w:val="auto"/>
        </w:rPr>
        <w:tab/>
      </w: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5F81AA"/>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22" w:name="page23"/>
    <w:bookmarkEnd w:id="22"/>
    <w:p>
      <w:pPr>
        <w:ind w:left="19" w:right="328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331" w:lineRule="exact"/>
        <w:rPr>
          <w:sz w:val="20"/>
          <w:szCs w:val="20"/>
          <w:color w:val="auto"/>
        </w:rPr>
      </w:pPr>
    </w:p>
    <w:p>
      <w:pPr>
        <w:ind w:left="439"/>
        <w:spacing w:after="0"/>
        <w:rPr>
          <w:sz w:val="20"/>
          <w:szCs w:val="20"/>
          <w:color w:val="auto"/>
        </w:rPr>
      </w:pPr>
      <w:r>
        <w:rPr>
          <w:rFonts w:ascii="Arial" w:cs="Arial" w:eastAsia="Arial" w:hAnsi="Arial"/>
          <w:sz w:val="51"/>
          <w:szCs w:val="51"/>
          <w:color w:val="5F81AA"/>
        </w:rPr>
        <w:t>APME - Q3 Revenue Growth YoY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9" w:right="6860" w:hanging="299"/>
        <w:spacing w:after="0" w:line="311" w:lineRule="auto"/>
        <w:tabs>
          <w:tab w:leader="none" w:pos="286" w:val="left"/>
        </w:tabs>
        <w:numPr>
          <w:ilvl w:val="0"/>
          <w:numId w:val="10"/>
        </w:numPr>
        <w:rPr>
          <w:rFonts w:ascii="Arial" w:cs="Arial" w:eastAsia="Arial" w:hAnsi="Arial"/>
          <w:sz w:val="23"/>
          <w:szCs w:val="23"/>
          <w:b w:val="1"/>
          <w:bCs w:val="1"/>
          <w:color w:val="auto"/>
        </w:rPr>
      </w:pPr>
      <w:r>
        <w:rPr>
          <w:rFonts w:ascii="Arial" w:cs="Arial" w:eastAsia="Arial" w:hAnsi="Arial"/>
          <w:sz w:val="23"/>
          <w:szCs w:val="23"/>
          <w:b w:val="1"/>
          <w:bCs w:val="1"/>
          <w:color w:val="auto"/>
        </w:rPr>
        <w:t>of Segment Revenue</w:t>
      </w:r>
    </w:p>
    <w:p>
      <w:pPr>
        <w:spacing w:after="0" w:line="214" w:lineRule="exact"/>
        <w:rPr>
          <w:sz w:val="20"/>
          <w:szCs w:val="20"/>
          <w:color w:val="auto"/>
        </w:rPr>
      </w:pPr>
    </w:p>
    <w:p>
      <w:pPr>
        <w:ind w:left="539"/>
        <w:spacing w:after="0"/>
        <w:rPr>
          <w:sz w:val="20"/>
          <w:szCs w:val="20"/>
          <w:color w:val="auto"/>
        </w:rPr>
      </w:pPr>
      <w:r>
        <w:rPr>
          <w:rFonts w:ascii="Arial" w:cs="Arial" w:eastAsia="Arial" w:hAnsi="Arial"/>
          <w:sz w:val="29"/>
          <w:szCs w:val="29"/>
          <w:b w:val="1"/>
          <w:bCs w:val="1"/>
          <w:color w:val="6698C2"/>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9"/>
        <w:spacing w:after="0"/>
        <w:rPr>
          <w:sz w:val="20"/>
          <w:szCs w:val="20"/>
          <w:color w:val="auto"/>
        </w:rPr>
      </w:pPr>
      <w:r>
        <w:rPr>
          <w:rFonts w:ascii="Arial" w:cs="Arial" w:eastAsia="Arial" w:hAnsi="Arial"/>
          <w:sz w:val="29"/>
          <w:szCs w:val="29"/>
          <w:b w:val="1"/>
          <w:bCs w:val="1"/>
          <w:color w:val="6698C2"/>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9"/>
        <w:spacing w:after="0"/>
        <w:tabs>
          <w:tab w:leader="none" w:pos="2999" w:val="left"/>
        </w:tabs>
        <w:rPr>
          <w:sz w:val="20"/>
          <w:szCs w:val="20"/>
          <w:color w:val="auto"/>
        </w:rPr>
      </w:pPr>
      <w:r>
        <w:rPr>
          <w:rFonts w:ascii="Arial" w:cs="Arial" w:eastAsia="Arial" w:hAnsi="Arial"/>
          <w:sz w:val="29"/>
          <w:szCs w:val="29"/>
          <w:b w:val="1"/>
          <w:bCs w:val="1"/>
          <w:color w:val="6698C2"/>
        </w:rPr>
        <w:t>29%</w:t>
      </w:r>
      <w:r>
        <w:rPr>
          <w:sz w:val="20"/>
          <w:szCs w:val="20"/>
          <w:color w:val="auto"/>
        </w:rPr>
        <w:tab/>
      </w:r>
      <w:r>
        <w:rPr>
          <w:rFonts w:ascii="Arial" w:cs="Arial" w:eastAsia="Arial" w:hAnsi="Arial"/>
          <w:sz w:val="32"/>
          <w:szCs w:val="32"/>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979"/>
        <w:spacing w:after="0"/>
        <w:tabs>
          <w:tab w:leader="none" w:pos="5859" w:val="left"/>
        </w:tabs>
        <w:rPr>
          <w:sz w:val="20"/>
          <w:szCs w:val="20"/>
          <w:color w:val="auto"/>
        </w:rPr>
      </w:pPr>
      <w:r>
        <w:rPr>
          <w:rFonts w:ascii="Arial" w:cs="Arial" w:eastAsia="Arial" w:hAnsi="Arial"/>
          <w:sz w:val="22"/>
          <w:szCs w:val="22"/>
          <w:b w:val="1"/>
          <w:bCs w:val="1"/>
          <w:color w:val="auto"/>
        </w:rPr>
        <w:t>Revenue</w:t>
      </w:r>
      <w:r>
        <w:rPr>
          <w:sz w:val="20"/>
          <w:szCs w:val="20"/>
          <w:color w:val="auto"/>
        </w:rPr>
        <w:tab/>
      </w:r>
      <w:r>
        <w:rPr>
          <w:rFonts w:ascii="Arial" w:cs="Arial" w:eastAsia="Arial" w:hAnsi="Arial"/>
          <w:sz w:val="22"/>
          <w:szCs w:val="22"/>
          <w:b w:val="1"/>
          <w:bCs w:val="1"/>
          <w:color w:val="auto"/>
        </w:rPr>
        <w:t>Revenue Growth - CC</w:t>
      </w:r>
    </w:p>
    <w:p>
      <w:pPr>
        <w:spacing w:after="0" w:line="39" w:lineRule="exact"/>
        <w:rPr>
          <w:sz w:val="20"/>
          <w:szCs w:val="20"/>
          <w:color w:val="auto"/>
        </w:rPr>
      </w:pPr>
    </w:p>
    <w:p>
      <w:pPr>
        <w:jc w:val="center"/>
        <w:ind w:left="479"/>
        <w:spacing w:after="0"/>
        <w:rPr>
          <w:sz w:val="20"/>
          <w:szCs w:val="20"/>
          <w:color w:val="auto"/>
        </w:rPr>
      </w:pPr>
      <w:r>
        <w:rPr>
          <w:rFonts w:ascii="Arial" w:cs="Arial" w:eastAsia="Arial" w:hAnsi="Arial"/>
          <w:sz w:val="22"/>
          <w:szCs w:val="22"/>
          <w:b w:val="1"/>
          <w:bCs w:val="1"/>
          <w:color w:val="auto"/>
        </w:rPr>
        <w:t>Growth</w:t>
      </w:r>
    </w:p>
    <w:p>
      <w:pPr>
        <w:ind w:left="539" w:hanging="267"/>
        <w:spacing w:after="0" w:line="228" w:lineRule="auto"/>
        <w:tabs>
          <w:tab w:leader="none" w:pos="539" w:val="left"/>
        </w:tabs>
        <w:numPr>
          <w:ilvl w:val="0"/>
          <w:numId w:val="11"/>
        </w:numPr>
        <w:rPr>
          <w:rFonts w:ascii="Arial" w:cs="Arial" w:eastAsia="Arial" w:hAnsi="Arial"/>
          <w:sz w:val="27"/>
          <w:szCs w:val="27"/>
          <w:color w:val="auto"/>
          <w:vertAlign w:val="superscript"/>
        </w:rPr>
      </w:pPr>
      <w:r>
        <w:rPr>
          <w:rFonts w:ascii="Arial" w:cs="Arial" w:eastAsia="Arial" w:hAnsi="Arial"/>
          <w:sz w:val="19"/>
          <w:szCs w:val="19"/>
          <w:color w:val="auto"/>
        </w:rPr>
        <w:t>On an organic basis, Other revenue growth was 19% (+13% 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464820</wp:posOffset>
            </wp:positionV>
            <wp:extent cx="726694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12</w:t>
      </w:r>
    </w:p>
    <w:p>
      <w:pPr>
        <w:sectPr>
          <w:pgSz w:w="11900" w:h="16838" w:orient="portrait"/>
          <w:cols w:equalWidth="0" w:num="2">
            <w:col w:w="8439" w:space="720"/>
            <w:col w:w="1380"/>
          </w:cols>
          <w:pgMar w:left="661" w:top="452" w:right="699" w:bottom="1440" w:gutter="0" w:footer="0" w:header="0"/>
        </w:sectPr>
      </w:pPr>
    </w:p>
    <w:bookmarkStart w:id="23" w:name="page24"/>
    <w:bookmarkEnd w:id="23"/>
    <w:p>
      <w:pPr>
        <w:ind w:right="328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581" w:lineRule="exact"/>
        <w:rPr>
          <w:sz w:val="20"/>
          <w:szCs w:val="20"/>
          <w:color w:val="auto"/>
        </w:rPr>
      </w:pPr>
    </w:p>
    <w:p>
      <w:pPr>
        <w:sectPr>
          <w:pgSz w:w="11900" w:h="16838" w:orient="portrait"/>
          <w:cols w:equalWidth="0" w:num="2">
            <w:col w:w="8420" w:space="720"/>
            <w:col w:w="1380"/>
          </w:cols>
          <w:pgMar w:left="680" w:top="452" w:right="699" w:bottom="1440" w:gutter="0" w:footer="0" w:header="0"/>
        </w:sectPr>
      </w:pPr>
    </w:p>
    <w:p>
      <w:pPr>
        <w:spacing w:after="0" w:line="11" w:lineRule="exact"/>
        <w:rPr>
          <w:sz w:val="20"/>
          <w:szCs w:val="20"/>
          <w:color w:val="auto"/>
        </w:rPr>
      </w:pPr>
    </w:p>
    <w:p>
      <w:pPr>
        <w:ind w:left="320"/>
        <w:spacing w:after="0"/>
        <w:rPr>
          <w:sz w:val="20"/>
          <w:szCs w:val="20"/>
          <w:color w:val="auto"/>
        </w:rPr>
      </w:pPr>
      <w:r>
        <w:rPr>
          <w:rFonts w:ascii="Arial" w:cs="Arial" w:eastAsia="Arial" w:hAnsi="Arial"/>
          <w:sz w:val="51"/>
          <w:szCs w:val="51"/>
          <w:color w:val="5F81AA"/>
        </w:rPr>
        <w:t>Right Management Segment</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32"/>
          <w:szCs w:val="32"/>
          <w:color w:val="5F81AA"/>
        </w:rPr>
        <w:t>(1% of Revenue)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120" w:type="dxa"/>
        <w:tblCellMar>
          <w:top w:w="0" w:type="dxa"/>
          <w:left w:w="0" w:type="dxa"/>
          <w:bottom w:w="0" w:type="dxa"/>
          <w:right w:w="0" w:type="dxa"/>
        </w:tblCellMar>
      </w:tblPr>
      <w:tr>
        <w:trPr>
          <w:trHeight w:val="761"/>
        </w:trPr>
        <w:tc>
          <w:tcPr>
            <w:tcW w:w="2580" w:type="dxa"/>
            <w:vAlign w:val="bottom"/>
            <w:tcBorders>
              <w:right w:val="single" w:sz="8" w:color="D47C18"/>
            </w:tcBorders>
          </w:tcPr>
          <w:p>
            <w:pPr>
              <w:spacing w:after="0"/>
              <w:rPr>
                <w:sz w:val="24"/>
                <w:szCs w:val="24"/>
                <w:color w:val="auto"/>
              </w:rPr>
            </w:pPr>
          </w:p>
        </w:tc>
        <w:tc>
          <w:tcPr>
            <w:tcW w:w="5280" w:type="dxa"/>
            <w:vAlign w:val="bottom"/>
            <w:gridSpan w:val="2"/>
          </w:tcPr>
          <w:p>
            <w:pPr>
              <w:ind w:left="300"/>
              <w:spacing w:after="0"/>
              <w:rPr>
                <w:sz w:val="20"/>
                <w:szCs w:val="20"/>
                <w:color w:val="auto"/>
              </w:rPr>
            </w:pPr>
            <w:r>
              <w:rPr>
                <w:rFonts w:ascii="Arial" w:cs="Arial" w:eastAsia="Arial" w:hAnsi="Arial"/>
                <w:sz w:val="42"/>
                <w:szCs w:val="42"/>
                <w:b w:val="1"/>
                <w:bCs w:val="1"/>
                <w:color w:val="auto"/>
              </w:rPr>
              <w:t>Q3 Financial Highlights</w:t>
            </w:r>
          </w:p>
        </w:tc>
        <w:tc>
          <w:tcPr>
            <w:tcW w:w="0" w:type="dxa"/>
            <w:vAlign w:val="bottom"/>
          </w:tcPr>
          <w:p>
            <w:pPr>
              <w:spacing w:after="0"/>
              <w:rPr>
                <w:sz w:val="1"/>
                <w:szCs w:val="1"/>
                <w:color w:val="auto"/>
              </w:rPr>
            </w:pPr>
          </w:p>
        </w:tc>
      </w:tr>
      <w:tr>
        <w:trPr>
          <w:trHeight w:val="252"/>
        </w:trPr>
        <w:tc>
          <w:tcPr>
            <w:tcW w:w="2580" w:type="dxa"/>
            <w:vAlign w:val="bottom"/>
            <w:tcBorders>
              <w:bottom w:val="single" w:sz="8" w:color="D47C18"/>
              <w:right w:val="single" w:sz="8" w:color="D47C18"/>
            </w:tcBorders>
          </w:tcPr>
          <w:p>
            <w:pPr>
              <w:spacing w:after="0"/>
              <w:rPr>
                <w:sz w:val="21"/>
                <w:szCs w:val="21"/>
                <w:color w:val="auto"/>
              </w:rPr>
            </w:pPr>
          </w:p>
        </w:tc>
        <w:tc>
          <w:tcPr>
            <w:tcW w:w="2180" w:type="dxa"/>
            <w:vAlign w:val="bottom"/>
            <w:tcBorders>
              <w:bottom w:val="single" w:sz="8" w:color="D47C18"/>
            </w:tcBorders>
          </w:tcPr>
          <w:p>
            <w:pPr>
              <w:spacing w:after="0"/>
              <w:rPr>
                <w:sz w:val="21"/>
                <w:szCs w:val="21"/>
                <w:color w:val="auto"/>
              </w:rPr>
            </w:pPr>
          </w:p>
        </w:tc>
        <w:tc>
          <w:tcPr>
            <w:tcW w:w="3100" w:type="dxa"/>
            <w:vAlign w:val="bottom"/>
            <w:tcBorders>
              <w:bottom w:val="single" w:sz="8" w:color="D47C18"/>
            </w:tcBorders>
          </w:tcPr>
          <w:p>
            <w:pPr>
              <w:spacing w:after="0"/>
              <w:rPr>
                <w:sz w:val="21"/>
                <w:szCs w:val="21"/>
                <w:color w:val="auto"/>
              </w:rPr>
            </w:pPr>
          </w:p>
        </w:tc>
        <w:tc>
          <w:tcPr>
            <w:tcW w:w="0" w:type="dxa"/>
            <w:vAlign w:val="bottom"/>
          </w:tcPr>
          <w:p>
            <w:pPr>
              <w:spacing w:after="0"/>
              <w:rPr>
                <w:sz w:val="1"/>
                <w:szCs w:val="1"/>
                <w:color w:val="auto"/>
              </w:rPr>
            </w:pPr>
          </w:p>
        </w:tc>
      </w:tr>
      <w:tr>
        <w:trPr>
          <w:trHeight w:val="577"/>
        </w:trPr>
        <w:tc>
          <w:tcPr>
            <w:tcW w:w="2580" w:type="dxa"/>
            <w:vAlign w:val="bottom"/>
            <w:tcBorders>
              <w:right w:val="single" w:sz="8" w:color="D47C18"/>
            </w:tcBorders>
          </w:tcPr>
          <w:p>
            <w:pPr>
              <w:jc w:val="right"/>
              <w:ind w:right="668"/>
              <w:spacing w:after="0"/>
              <w:rPr>
                <w:sz w:val="20"/>
                <w:szCs w:val="20"/>
                <w:color w:val="auto"/>
              </w:rPr>
            </w:pPr>
            <w:r>
              <w:rPr>
                <w:rFonts w:ascii="Arial" w:cs="Arial" w:eastAsia="Arial" w:hAnsi="Arial"/>
                <w:sz w:val="38"/>
                <w:szCs w:val="38"/>
                <w:color w:val="auto"/>
              </w:rPr>
              <w:t>9%</w:t>
            </w:r>
          </w:p>
        </w:tc>
        <w:tc>
          <w:tcPr>
            <w:tcW w:w="2180" w:type="dxa"/>
            <w:vAlign w:val="bottom"/>
            <w:vMerge w:val="restart"/>
          </w:tcPr>
          <w:p>
            <w:pPr>
              <w:ind w:left="340"/>
              <w:spacing w:after="0"/>
              <w:rPr>
                <w:sz w:val="20"/>
                <w:szCs w:val="20"/>
                <w:color w:val="auto"/>
              </w:rPr>
            </w:pPr>
            <w:r>
              <w:rPr>
                <w:rFonts w:ascii="Arial" w:cs="Arial" w:eastAsia="Arial" w:hAnsi="Arial"/>
                <w:sz w:val="42"/>
                <w:szCs w:val="42"/>
                <w:b w:val="1"/>
                <w:bCs w:val="1"/>
                <w:color w:val="auto"/>
              </w:rPr>
              <w:t>Revenue</w:t>
            </w:r>
          </w:p>
        </w:tc>
        <w:tc>
          <w:tcPr>
            <w:tcW w:w="3100" w:type="dxa"/>
            <w:vAlign w:val="bottom"/>
            <w:vMerge w:val="restart"/>
          </w:tcPr>
          <w:p>
            <w:pPr>
              <w:ind w:left="120"/>
              <w:spacing w:after="0"/>
              <w:rPr>
                <w:sz w:val="20"/>
                <w:szCs w:val="20"/>
                <w:color w:val="auto"/>
              </w:rPr>
            </w:pPr>
            <w:r>
              <w:rPr>
                <w:rFonts w:ascii="Arial" w:cs="Arial" w:eastAsia="Arial" w:hAnsi="Arial"/>
                <w:sz w:val="45"/>
                <w:szCs w:val="45"/>
                <w:b w:val="1"/>
                <w:bCs w:val="1"/>
                <w:color w:val="5F81AA"/>
              </w:rPr>
              <w:t>$77M</w:t>
            </w:r>
          </w:p>
        </w:tc>
        <w:tc>
          <w:tcPr>
            <w:tcW w:w="0" w:type="dxa"/>
            <w:vAlign w:val="bottom"/>
          </w:tcPr>
          <w:p>
            <w:pPr>
              <w:spacing w:after="0"/>
              <w:rPr>
                <w:sz w:val="1"/>
                <w:szCs w:val="1"/>
                <w:color w:val="auto"/>
              </w:rPr>
            </w:pPr>
          </w:p>
        </w:tc>
      </w:tr>
      <w:tr>
        <w:trPr>
          <w:trHeight w:val="266"/>
        </w:trPr>
        <w:tc>
          <w:tcPr>
            <w:tcW w:w="2580" w:type="dxa"/>
            <w:vAlign w:val="bottom"/>
            <w:tcBorders>
              <w:right w:val="single" w:sz="8" w:color="D47C18"/>
            </w:tcBorders>
            <w:vMerge w:val="restart"/>
          </w:tcPr>
          <w:p>
            <w:pPr>
              <w:jc w:val="center"/>
              <w:ind w:left="108"/>
              <w:spacing w:after="0"/>
              <w:rPr>
                <w:sz w:val="20"/>
                <w:szCs w:val="20"/>
                <w:color w:val="auto"/>
              </w:rPr>
            </w:pPr>
            <w:r>
              <w:rPr>
                <w:rFonts w:ascii="Arial" w:cs="Arial" w:eastAsia="Arial" w:hAnsi="Arial"/>
                <w:sz w:val="38"/>
                <w:szCs w:val="38"/>
                <w:color w:val="auto"/>
              </w:rPr>
              <w:t>14% CC</w:t>
            </w:r>
          </w:p>
        </w:tc>
        <w:tc>
          <w:tcPr>
            <w:tcW w:w="2180" w:type="dxa"/>
            <w:vAlign w:val="bottom"/>
            <w:vMerge w:val="continue"/>
          </w:tcPr>
          <w:p>
            <w:pPr>
              <w:spacing w:after="0"/>
              <w:rPr>
                <w:sz w:val="23"/>
                <w:szCs w:val="23"/>
                <w:color w:val="auto"/>
              </w:rPr>
            </w:pPr>
          </w:p>
        </w:tc>
        <w:tc>
          <w:tcPr>
            <w:tcW w:w="31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580" w:type="dxa"/>
            <w:vAlign w:val="bottom"/>
            <w:tcBorders>
              <w:right w:val="single" w:sz="8" w:color="D47C18"/>
            </w:tcBorders>
            <w:vMerge w:val="continue"/>
          </w:tcPr>
          <w:p>
            <w:pPr>
              <w:spacing w:after="0"/>
              <w:rPr>
                <w:sz w:val="18"/>
                <w:szCs w:val="18"/>
                <w:color w:val="auto"/>
              </w:rPr>
            </w:pPr>
          </w:p>
        </w:tc>
        <w:tc>
          <w:tcPr>
            <w:tcW w:w="21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580" w:type="dxa"/>
            <w:vAlign w:val="bottom"/>
            <w:tcBorders>
              <w:bottom w:val="single" w:sz="8" w:color="D47C18"/>
              <w:right w:val="single" w:sz="8" w:color="D47C18"/>
            </w:tcBorders>
          </w:tcPr>
          <w:p>
            <w:pPr>
              <w:spacing w:after="0"/>
              <w:rPr>
                <w:sz w:val="6"/>
                <w:szCs w:val="6"/>
                <w:color w:val="auto"/>
              </w:rPr>
            </w:pPr>
          </w:p>
        </w:tc>
        <w:tc>
          <w:tcPr>
            <w:tcW w:w="2180" w:type="dxa"/>
            <w:vAlign w:val="bottom"/>
            <w:tcBorders>
              <w:bottom w:val="single" w:sz="8" w:color="D47C18"/>
            </w:tcBorders>
          </w:tcPr>
          <w:p>
            <w:pPr>
              <w:spacing w:after="0"/>
              <w:rPr>
                <w:sz w:val="6"/>
                <w:szCs w:val="6"/>
                <w:color w:val="auto"/>
              </w:rPr>
            </w:pPr>
          </w:p>
        </w:tc>
        <w:tc>
          <w:tcPr>
            <w:tcW w:w="3100" w:type="dxa"/>
            <w:vAlign w:val="bottom"/>
            <w:tcBorders>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tbl>
      <w:tblPr>
        <w:tblLayout w:type="fixed"/>
        <w:tblInd w:w="1120" w:type="dxa"/>
        <w:tblCellMar>
          <w:top w:w="0" w:type="dxa"/>
          <w:left w:w="0" w:type="dxa"/>
          <w:bottom w:w="0" w:type="dxa"/>
          <w:right w:w="0" w:type="dxa"/>
        </w:tblCellMar>
      </w:tblPr>
      <w:tr>
        <w:trPr>
          <w:trHeight w:val="596"/>
        </w:trPr>
        <w:tc>
          <w:tcPr>
            <w:tcW w:w="2500" w:type="dxa"/>
            <w:vAlign w:val="bottom"/>
          </w:tcPr>
          <w:p>
            <w:pPr>
              <w:jc w:val="center"/>
              <w:ind w:left="188"/>
              <w:spacing w:after="0"/>
              <w:rPr>
                <w:sz w:val="20"/>
                <w:szCs w:val="20"/>
                <w:color w:val="auto"/>
              </w:rPr>
            </w:pPr>
            <w:r>
              <w:rPr>
                <w:rFonts w:ascii="Arial" w:cs="Arial" w:eastAsia="Arial" w:hAnsi="Arial"/>
                <w:sz w:val="38"/>
                <w:szCs w:val="38"/>
                <w:color w:val="auto"/>
              </w:rPr>
              <w:t>N/A</w:t>
            </w:r>
          </w:p>
        </w:tc>
        <w:tc>
          <w:tcPr>
            <w:tcW w:w="5360" w:type="dxa"/>
            <w:vAlign w:val="bottom"/>
          </w:tcPr>
          <w:p>
            <w:pPr>
              <w:ind w:left="380"/>
              <w:spacing w:after="0"/>
              <w:rPr>
                <w:sz w:val="20"/>
                <w:szCs w:val="20"/>
                <w:color w:val="auto"/>
              </w:rPr>
            </w:pPr>
            <w:r>
              <w:rPr>
                <w:rFonts w:ascii="Arial" w:cs="Arial" w:eastAsia="Arial" w:hAnsi="Arial"/>
                <w:sz w:val="42"/>
                <w:szCs w:val="42"/>
                <w:b w:val="1"/>
                <w:bCs w:val="1"/>
                <w:color w:val="auto"/>
              </w:rPr>
              <w:t xml:space="preserve">OUP </w:t>
            </w:r>
            <w:r>
              <w:rPr>
                <w:rFonts w:ascii="Arial" w:cs="Arial" w:eastAsia="Arial" w:hAnsi="Arial"/>
                <w:sz w:val="44"/>
                <w:szCs w:val="44"/>
                <w:b w:val="1"/>
                <w:bCs w:val="1"/>
                <w:color w:val="5F81AA"/>
              </w:rPr>
              <w:t>$(2)M</w:t>
            </w:r>
          </w:p>
        </w:tc>
      </w:tr>
      <w:tr>
        <w:trPr>
          <w:trHeight w:val="182"/>
        </w:trPr>
        <w:tc>
          <w:tcPr>
            <w:tcW w:w="2500" w:type="dxa"/>
            <w:vAlign w:val="bottom"/>
            <w:tcBorders>
              <w:bottom w:val="single" w:sz="8" w:color="D47C18"/>
            </w:tcBorders>
          </w:tcPr>
          <w:p>
            <w:pPr>
              <w:spacing w:after="0"/>
              <w:rPr>
                <w:sz w:val="15"/>
                <w:szCs w:val="15"/>
                <w:color w:val="auto"/>
              </w:rPr>
            </w:pPr>
          </w:p>
        </w:tc>
        <w:tc>
          <w:tcPr>
            <w:tcW w:w="5360" w:type="dxa"/>
            <w:vAlign w:val="bottom"/>
            <w:tcBorders>
              <w:bottom w:val="single" w:sz="8" w:color="D47C18"/>
            </w:tcBorders>
          </w:tcPr>
          <w:p>
            <w:pPr>
              <w:spacing w:after="0"/>
              <w:rPr>
                <w:sz w:val="15"/>
                <w:szCs w:val="15"/>
                <w:color w:val="auto"/>
              </w:rPr>
            </w:pPr>
          </w:p>
        </w:tc>
      </w:tr>
      <w:tr>
        <w:trPr>
          <w:trHeight w:val="807"/>
        </w:trPr>
        <w:tc>
          <w:tcPr>
            <w:tcW w:w="2500" w:type="dxa"/>
            <w:vAlign w:val="bottom"/>
          </w:tcPr>
          <w:p>
            <w:pPr>
              <w:jc w:val="center"/>
              <w:ind w:left="188"/>
              <w:spacing w:after="0"/>
              <w:rPr>
                <w:sz w:val="20"/>
                <w:szCs w:val="20"/>
                <w:color w:val="auto"/>
              </w:rPr>
            </w:pPr>
            <w:r>
              <w:rPr>
                <w:rFonts w:ascii="Arial" w:cs="Arial" w:eastAsia="Arial" w:hAnsi="Arial"/>
                <w:sz w:val="38"/>
                <w:szCs w:val="38"/>
                <w:color w:val="auto"/>
              </w:rPr>
              <w:t>240 bps</w:t>
            </w:r>
          </w:p>
        </w:tc>
        <w:tc>
          <w:tcPr>
            <w:tcW w:w="5360" w:type="dxa"/>
            <w:vAlign w:val="bottom"/>
          </w:tcPr>
          <w:p>
            <w:pPr>
              <w:ind w:left="380"/>
              <w:spacing w:after="0"/>
              <w:rPr>
                <w:sz w:val="20"/>
                <w:szCs w:val="20"/>
                <w:color w:val="auto"/>
              </w:rPr>
            </w:pP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5F81AA"/>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24" w:name="page25"/>
    <w:bookmarkEnd w:id="24"/>
    <w:p>
      <w:pPr>
        <w:ind w:right="328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580" w:lineRule="exact"/>
        <w:rPr>
          <w:sz w:val="20"/>
          <w:szCs w:val="20"/>
          <w:color w:val="auto"/>
        </w:rPr>
      </w:pPr>
    </w:p>
    <w:p>
      <w:pPr>
        <w:sectPr>
          <w:pgSz w:w="11900" w:h="16838" w:orient="portrait"/>
          <w:cols w:equalWidth="0" w:num="2">
            <w:col w:w="8420" w:space="720"/>
            <w:col w:w="1440"/>
          </w:cols>
          <w:pgMar w:left="680" w:top="452" w:right="639" w:bottom="1440" w:gutter="0" w:footer="0" w:header="0"/>
        </w:sectPr>
      </w:pPr>
    </w:p>
    <w:p>
      <w:pPr>
        <w:ind w:left="400"/>
        <w:spacing w:after="0"/>
        <w:rPr>
          <w:sz w:val="20"/>
          <w:szCs w:val="20"/>
          <w:color w:val="auto"/>
        </w:rPr>
      </w:pPr>
      <w:r>
        <w:rPr>
          <w:rFonts w:ascii="Arial" w:cs="Arial" w:eastAsia="Arial" w:hAnsi="Arial"/>
          <w:sz w:val="51"/>
          <w:szCs w:val="51"/>
          <w:color w:val="5F81AA"/>
        </w:rPr>
        <w:t>Cash Flow Summary - Nine Months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520" w:type="dxa"/>
        <w:tblCellMar>
          <w:top w:w="0" w:type="dxa"/>
          <w:left w:w="0" w:type="dxa"/>
          <w:bottom w:w="0" w:type="dxa"/>
          <w:right w:w="0" w:type="dxa"/>
        </w:tblCellMar>
      </w:tblPr>
      <w:tr>
        <w:trPr>
          <w:trHeight w:val="426"/>
        </w:trPr>
        <w:tc>
          <w:tcPr>
            <w:tcW w:w="5660" w:type="dxa"/>
            <w:vAlign w:val="bottom"/>
          </w:tcPr>
          <w:p>
            <w:pPr>
              <w:spacing w:after="0"/>
              <w:rPr>
                <w:sz w:val="20"/>
                <w:szCs w:val="20"/>
                <w:color w:val="auto"/>
              </w:rPr>
            </w:pPr>
            <w:r>
              <w:rPr>
                <w:rFonts w:ascii="Arial" w:cs="Arial" w:eastAsia="Arial" w:hAnsi="Arial"/>
                <w:sz w:val="29"/>
                <w:szCs w:val="29"/>
                <w:color w:val="5F81AA"/>
              </w:rPr>
              <w:t>($ in millions)</w:t>
            </w:r>
          </w:p>
        </w:tc>
        <w:tc>
          <w:tcPr>
            <w:tcW w:w="1620" w:type="dxa"/>
            <w:vAlign w:val="bottom"/>
          </w:tcPr>
          <w:p>
            <w:pPr>
              <w:jc w:val="right"/>
              <w:spacing w:after="0"/>
              <w:rPr>
                <w:sz w:val="20"/>
                <w:szCs w:val="20"/>
                <w:color w:val="auto"/>
              </w:rPr>
            </w:pPr>
            <w:r>
              <w:rPr>
                <w:rFonts w:ascii="Arial" w:cs="Arial" w:eastAsia="Arial" w:hAnsi="Arial"/>
                <w:sz w:val="32"/>
                <w:szCs w:val="32"/>
                <w:b w:val="1"/>
                <w:bCs w:val="1"/>
                <w:color w:val="5F81AA"/>
              </w:rPr>
              <w:t>2011</w:t>
            </w:r>
          </w:p>
        </w:tc>
        <w:tc>
          <w:tcPr>
            <w:tcW w:w="2000" w:type="dxa"/>
            <w:vAlign w:val="bottom"/>
            <w:gridSpan w:val="2"/>
          </w:tcPr>
          <w:p>
            <w:pPr>
              <w:jc w:val="right"/>
              <w:spacing w:after="0"/>
              <w:rPr>
                <w:sz w:val="20"/>
                <w:szCs w:val="20"/>
                <w:color w:val="auto"/>
              </w:rPr>
            </w:pPr>
            <w:r>
              <w:rPr>
                <w:rFonts w:ascii="Arial" w:cs="Arial" w:eastAsia="Arial" w:hAnsi="Arial"/>
                <w:sz w:val="32"/>
                <w:szCs w:val="32"/>
                <w:b w:val="1"/>
                <w:bCs w:val="1"/>
                <w:color w:val="5F81AA"/>
              </w:rPr>
              <w:t>2010</w:t>
            </w:r>
          </w:p>
        </w:tc>
        <w:tc>
          <w:tcPr>
            <w:tcW w:w="0" w:type="dxa"/>
            <w:vAlign w:val="bottom"/>
          </w:tcPr>
          <w:p>
            <w:pPr>
              <w:spacing w:after="0"/>
              <w:rPr>
                <w:sz w:val="1"/>
                <w:szCs w:val="1"/>
                <w:color w:val="auto"/>
              </w:rPr>
            </w:pPr>
          </w:p>
        </w:tc>
      </w:tr>
      <w:tr>
        <w:trPr>
          <w:trHeight w:val="627"/>
        </w:trPr>
        <w:tc>
          <w:tcPr>
            <w:tcW w:w="5660" w:type="dxa"/>
            <w:vAlign w:val="bottom"/>
          </w:tcPr>
          <w:p>
            <w:pPr>
              <w:spacing w:after="0"/>
              <w:rPr>
                <w:sz w:val="20"/>
                <w:szCs w:val="20"/>
                <w:color w:val="auto"/>
              </w:rPr>
            </w:pPr>
            <w:r>
              <w:rPr>
                <w:rFonts w:ascii="Arial" w:cs="Arial" w:eastAsia="Arial" w:hAnsi="Arial"/>
                <w:sz w:val="29"/>
                <w:szCs w:val="29"/>
                <w:b w:val="1"/>
                <w:bCs w:val="1"/>
                <w:color w:val="auto"/>
              </w:rPr>
              <w:t>Cash from Operations</w:t>
            </w:r>
          </w:p>
        </w:tc>
        <w:tc>
          <w:tcPr>
            <w:tcW w:w="1620" w:type="dxa"/>
            <w:vAlign w:val="bottom"/>
          </w:tcPr>
          <w:p>
            <w:pPr>
              <w:jc w:val="right"/>
              <w:spacing w:after="0"/>
              <w:rPr>
                <w:sz w:val="20"/>
                <w:szCs w:val="20"/>
                <w:color w:val="auto"/>
              </w:rPr>
            </w:pPr>
            <w:r>
              <w:rPr>
                <w:rFonts w:ascii="Arial" w:cs="Arial" w:eastAsia="Arial" w:hAnsi="Arial"/>
                <w:sz w:val="29"/>
                <w:szCs w:val="29"/>
                <w:b w:val="1"/>
                <w:bCs w:val="1"/>
                <w:color w:val="auto"/>
              </w:rPr>
              <w:t>(73)</w:t>
            </w:r>
          </w:p>
        </w:tc>
        <w:tc>
          <w:tcPr>
            <w:tcW w:w="2000" w:type="dxa"/>
            <w:vAlign w:val="bottom"/>
            <w:gridSpan w:val="2"/>
          </w:tcPr>
          <w:p>
            <w:pPr>
              <w:jc w:val="right"/>
              <w:spacing w:after="0"/>
              <w:rPr>
                <w:sz w:val="20"/>
                <w:szCs w:val="20"/>
                <w:color w:val="auto"/>
              </w:rPr>
            </w:pPr>
            <w:r>
              <w:rPr>
                <w:rFonts w:ascii="Arial" w:cs="Arial" w:eastAsia="Arial" w:hAnsi="Arial"/>
                <w:sz w:val="29"/>
                <w:szCs w:val="29"/>
                <w:b w:val="1"/>
                <w:bCs w:val="1"/>
                <w:color w:val="auto"/>
              </w:rPr>
              <w:t>(56)</w:t>
            </w:r>
          </w:p>
        </w:tc>
        <w:tc>
          <w:tcPr>
            <w:tcW w:w="0" w:type="dxa"/>
            <w:vAlign w:val="bottom"/>
          </w:tcPr>
          <w:p>
            <w:pPr>
              <w:spacing w:after="0"/>
              <w:rPr>
                <w:sz w:val="1"/>
                <w:szCs w:val="1"/>
                <w:color w:val="auto"/>
              </w:rPr>
            </w:pPr>
          </w:p>
        </w:tc>
      </w:tr>
      <w:tr>
        <w:trPr>
          <w:trHeight w:val="517"/>
        </w:trPr>
        <w:tc>
          <w:tcPr>
            <w:tcW w:w="5660" w:type="dxa"/>
            <w:vAlign w:val="bottom"/>
          </w:tcPr>
          <w:p>
            <w:pPr>
              <w:spacing w:after="0"/>
              <w:rPr>
                <w:sz w:val="20"/>
                <w:szCs w:val="20"/>
                <w:color w:val="auto"/>
              </w:rPr>
            </w:pPr>
            <w:r>
              <w:rPr>
                <w:rFonts w:ascii="Arial" w:cs="Arial" w:eastAsia="Arial" w:hAnsi="Arial"/>
                <w:sz w:val="29"/>
                <w:szCs w:val="29"/>
                <w:b w:val="1"/>
                <w:bCs w:val="1"/>
                <w:color w:val="auto"/>
              </w:rPr>
              <w:t>Capital Expenditures</w:t>
            </w:r>
          </w:p>
        </w:tc>
        <w:tc>
          <w:tcPr>
            <w:tcW w:w="1620" w:type="dxa"/>
            <w:vAlign w:val="bottom"/>
          </w:tcPr>
          <w:p>
            <w:pPr>
              <w:jc w:val="right"/>
              <w:spacing w:after="0"/>
              <w:rPr>
                <w:sz w:val="20"/>
                <w:szCs w:val="20"/>
                <w:color w:val="auto"/>
              </w:rPr>
            </w:pPr>
            <w:r>
              <w:rPr>
                <w:rFonts w:ascii="Arial" w:cs="Arial" w:eastAsia="Arial" w:hAnsi="Arial"/>
                <w:sz w:val="29"/>
                <w:szCs w:val="29"/>
                <w:b w:val="1"/>
                <w:bCs w:val="1"/>
                <w:color w:val="auto"/>
              </w:rPr>
              <w:t>(46)</w:t>
            </w:r>
          </w:p>
        </w:tc>
        <w:tc>
          <w:tcPr>
            <w:tcW w:w="2000" w:type="dxa"/>
            <w:vAlign w:val="bottom"/>
            <w:gridSpan w:val="2"/>
          </w:tcPr>
          <w:p>
            <w:pPr>
              <w:jc w:val="right"/>
              <w:spacing w:after="0"/>
              <w:rPr>
                <w:sz w:val="20"/>
                <w:szCs w:val="20"/>
                <w:color w:val="auto"/>
              </w:rPr>
            </w:pPr>
            <w:r>
              <w:rPr>
                <w:rFonts w:ascii="Arial" w:cs="Arial" w:eastAsia="Arial" w:hAnsi="Arial"/>
                <w:sz w:val="29"/>
                <w:szCs w:val="29"/>
                <w:b w:val="1"/>
                <w:bCs w:val="1"/>
                <w:color w:val="auto"/>
              </w:rPr>
              <w:t>(42)</w:t>
            </w:r>
          </w:p>
        </w:tc>
        <w:tc>
          <w:tcPr>
            <w:tcW w:w="0" w:type="dxa"/>
            <w:vAlign w:val="bottom"/>
          </w:tcPr>
          <w:p>
            <w:pPr>
              <w:spacing w:after="0"/>
              <w:rPr>
                <w:sz w:val="1"/>
                <w:szCs w:val="1"/>
                <w:color w:val="auto"/>
              </w:rPr>
            </w:pPr>
          </w:p>
        </w:tc>
      </w:tr>
      <w:tr>
        <w:trPr>
          <w:trHeight w:val="154"/>
        </w:trPr>
        <w:tc>
          <w:tcPr>
            <w:tcW w:w="566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Free Cash Flow</w:t>
            </w:r>
          </w:p>
        </w:tc>
        <w:tc>
          <w:tcPr>
            <w:tcW w:w="1620" w:type="dxa"/>
            <w:vAlign w:val="bottom"/>
            <w:tcBorders>
              <w:bottom w:val="single" w:sz="8" w:color="auto"/>
            </w:tcBorders>
          </w:tcPr>
          <w:p>
            <w:pPr>
              <w:spacing w:after="0"/>
              <w:rPr>
                <w:sz w:val="13"/>
                <w:szCs w:val="13"/>
                <w:color w:val="auto"/>
              </w:rPr>
            </w:pPr>
          </w:p>
        </w:tc>
        <w:tc>
          <w:tcPr>
            <w:tcW w:w="400" w:type="dxa"/>
            <w:vAlign w:val="bottom"/>
            <w:vMerge w:val="restart"/>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5"/>
        </w:trPr>
        <w:tc>
          <w:tcPr>
            <w:tcW w:w="566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9"/>
                <w:szCs w:val="29"/>
                <w:b w:val="1"/>
                <w:bCs w:val="1"/>
                <w:color w:val="auto"/>
              </w:rPr>
              <w:t>(119)</w:t>
            </w:r>
          </w:p>
        </w:tc>
        <w:tc>
          <w:tcPr>
            <w:tcW w:w="40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9"/>
                <w:szCs w:val="29"/>
                <w:b w:val="1"/>
                <w:bCs w:val="1"/>
                <w:color w:val="auto"/>
              </w:rPr>
              <w:t>(98)</w:t>
            </w:r>
          </w:p>
        </w:tc>
        <w:tc>
          <w:tcPr>
            <w:tcW w:w="0" w:type="dxa"/>
            <w:vAlign w:val="bottom"/>
          </w:tcPr>
          <w:p>
            <w:pPr>
              <w:spacing w:after="0"/>
              <w:rPr>
                <w:sz w:val="1"/>
                <w:szCs w:val="1"/>
                <w:color w:val="auto"/>
              </w:rPr>
            </w:pPr>
          </w:p>
        </w:tc>
      </w:tr>
      <w:tr>
        <w:trPr>
          <w:trHeight w:val="484"/>
        </w:trPr>
        <w:tc>
          <w:tcPr>
            <w:tcW w:w="5660" w:type="dxa"/>
            <w:vAlign w:val="bottom"/>
          </w:tcPr>
          <w:p>
            <w:pPr>
              <w:spacing w:after="0"/>
              <w:rPr>
                <w:sz w:val="20"/>
                <w:szCs w:val="20"/>
                <w:color w:val="auto"/>
              </w:rPr>
            </w:pPr>
            <w:r>
              <w:rPr>
                <w:rFonts w:ascii="Arial" w:cs="Arial" w:eastAsia="Arial" w:hAnsi="Arial"/>
                <w:sz w:val="29"/>
                <w:szCs w:val="29"/>
                <w:b w:val="1"/>
                <w:bCs w:val="1"/>
                <w:color w:val="auto"/>
              </w:rPr>
              <w:t>Change in Debt</w:t>
            </w:r>
          </w:p>
        </w:tc>
        <w:tc>
          <w:tcPr>
            <w:tcW w:w="1620" w:type="dxa"/>
            <w:vAlign w:val="bottom"/>
          </w:tcPr>
          <w:p>
            <w:pPr>
              <w:jc w:val="right"/>
              <w:spacing w:after="0"/>
              <w:rPr>
                <w:sz w:val="20"/>
                <w:szCs w:val="20"/>
                <w:color w:val="auto"/>
              </w:rPr>
            </w:pPr>
            <w:r>
              <w:rPr>
                <w:rFonts w:ascii="Arial" w:cs="Arial" w:eastAsia="Arial" w:hAnsi="Arial"/>
                <w:sz w:val="29"/>
                <w:szCs w:val="29"/>
                <w:b w:val="1"/>
                <w:bCs w:val="1"/>
                <w:color w:val="auto"/>
              </w:rPr>
              <w:t>6</w:t>
            </w:r>
          </w:p>
        </w:tc>
        <w:tc>
          <w:tcPr>
            <w:tcW w:w="2000" w:type="dxa"/>
            <w:vAlign w:val="bottom"/>
            <w:gridSpan w:val="2"/>
          </w:tcPr>
          <w:p>
            <w:pPr>
              <w:jc w:val="right"/>
              <w:spacing w:after="0"/>
              <w:rPr>
                <w:sz w:val="20"/>
                <w:szCs w:val="20"/>
                <w:color w:val="auto"/>
              </w:rPr>
            </w:pPr>
            <w:r>
              <w:rPr>
                <w:rFonts w:ascii="Arial" w:cs="Arial" w:eastAsia="Arial" w:hAnsi="Arial"/>
                <w:sz w:val="29"/>
                <w:szCs w:val="29"/>
                <w:b w:val="1"/>
                <w:bCs w:val="1"/>
                <w:color w:val="auto"/>
              </w:rPr>
              <w:t>(19)</w:t>
            </w:r>
          </w:p>
        </w:tc>
        <w:tc>
          <w:tcPr>
            <w:tcW w:w="0" w:type="dxa"/>
            <w:vAlign w:val="bottom"/>
          </w:tcPr>
          <w:p>
            <w:pPr>
              <w:spacing w:after="0"/>
              <w:rPr>
                <w:sz w:val="1"/>
                <w:szCs w:val="1"/>
                <w:color w:val="auto"/>
              </w:rPr>
            </w:pPr>
          </w:p>
        </w:tc>
      </w:tr>
      <w:tr>
        <w:trPr>
          <w:trHeight w:val="517"/>
        </w:trPr>
        <w:tc>
          <w:tcPr>
            <w:tcW w:w="5660" w:type="dxa"/>
            <w:vAlign w:val="bottom"/>
          </w:tcPr>
          <w:p>
            <w:pPr>
              <w:spacing w:after="0"/>
              <w:rPr>
                <w:sz w:val="20"/>
                <w:szCs w:val="20"/>
                <w:color w:val="auto"/>
              </w:rPr>
            </w:pPr>
            <w:r>
              <w:rPr>
                <w:rFonts w:ascii="Arial" w:cs="Arial" w:eastAsia="Arial" w:hAnsi="Arial"/>
                <w:sz w:val="29"/>
                <w:szCs w:val="29"/>
                <w:b w:val="1"/>
                <w:bCs w:val="1"/>
                <w:color w:val="auto"/>
              </w:rPr>
              <w:t>Share Repurchases</w:t>
            </w:r>
          </w:p>
        </w:tc>
        <w:tc>
          <w:tcPr>
            <w:tcW w:w="1620" w:type="dxa"/>
            <w:vAlign w:val="bottom"/>
          </w:tcPr>
          <w:p>
            <w:pPr>
              <w:jc w:val="right"/>
              <w:spacing w:after="0"/>
              <w:rPr>
                <w:sz w:val="20"/>
                <w:szCs w:val="20"/>
                <w:color w:val="auto"/>
              </w:rPr>
            </w:pPr>
            <w:r>
              <w:rPr>
                <w:rFonts w:ascii="Arial" w:cs="Arial" w:eastAsia="Arial" w:hAnsi="Arial"/>
                <w:sz w:val="29"/>
                <w:szCs w:val="29"/>
                <w:b w:val="1"/>
                <w:bCs w:val="1"/>
                <w:color w:val="auto"/>
              </w:rPr>
              <w:t>(43)</w:t>
            </w:r>
          </w:p>
        </w:tc>
        <w:tc>
          <w:tcPr>
            <w:tcW w:w="2000" w:type="dxa"/>
            <w:vAlign w:val="bottom"/>
            <w:gridSpan w:val="2"/>
          </w:tcPr>
          <w:p>
            <w:pPr>
              <w:jc w:val="right"/>
              <w:spacing w:after="0"/>
              <w:rPr>
                <w:sz w:val="20"/>
                <w:szCs w:val="20"/>
                <w:color w:val="auto"/>
              </w:rPr>
            </w:pPr>
            <w:r>
              <w:rPr>
                <w:rFonts w:ascii="Arial" w:cs="Arial" w:eastAsia="Arial" w:hAnsi="Arial"/>
                <w:sz w:val="29"/>
                <w:szCs w:val="29"/>
                <w:b w:val="1"/>
                <w:bCs w:val="1"/>
                <w:color w:val="auto"/>
              </w:rPr>
              <w:t>(35)</w:t>
            </w:r>
          </w:p>
        </w:tc>
        <w:tc>
          <w:tcPr>
            <w:tcW w:w="0" w:type="dxa"/>
            <w:vAlign w:val="bottom"/>
          </w:tcPr>
          <w:p>
            <w:pPr>
              <w:spacing w:after="0"/>
              <w:rPr>
                <w:sz w:val="1"/>
                <w:szCs w:val="1"/>
                <w:color w:val="auto"/>
              </w:rPr>
            </w:pPr>
          </w:p>
        </w:tc>
      </w:tr>
      <w:tr>
        <w:trPr>
          <w:trHeight w:val="470"/>
        </w:trPr>
        <w:tc>
          <w:tcPr>
            <w:tcW w:w="5660" w:type="dxa"/>
            <w:vAlign w:val="bottom"/>
          </w:tcPr>
          <w:p>
            <w:pPr>
              <w:spacing w:after="0"/>
              <w:rPr>
                <w:sz w:val="20"/>
                <w:szCs w:val="20"/>
                <w:color w:val="auto"/>
              </w:rPr>
            </w:pPr>
            <w:r>
              <w:rPr>
                <w:rFonts w:ascii="Arial" w:cs="Arial" w:eastAsia="Arial" w:hAnsi="Arial"/>
                <w:sz w:val="29"/>
                <w:szCs w:val="29"/>
                <w:b w:val="1"/>
                <w:bCs w:val="1"/>
                <w:color w:val="auto"/>
              </w:rPr>
              <w:t>Acquisitions of Business</w:t>
            </w:r>
          </w:p>
        </w:tc>
        <w:tc>
          <w:tcPr>
            <w:tcW w:w="162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(32)</w:t>
            </w:r>
          </w:p>
        </w:tc>
        <w:tc>
          <w:tcPr>
            <w:tcW w:w="2000" w:type="dxa"/>
            <w:vAlign w:val="bottom"/>
            <w:gridSpan w:val="2"/>
            <w:vMerge w:val="restart"/>
          </w:tcPr>
          <w:p>
            <w:pPr>
              <w:jc w:val="right"/>
              <w:spacing w:after="0"/>
              <w:rPr>
                <w:sz w:val="20"/>
                <w:szCs w:val="20"/>
                <w:color w:val="auto"/>
              </w:rPr>
            </w:pPr>
            <w:r>
              <w:rPr>
                <w:rFonts w:ascii="Arial" w:cs="Arial" w:eastAsia="Arial" w:hAnsi="Arial"/>
                <w:sz w:val="29"/>
                <w:szCs w:val="29"/>
                <w:b w:val="1"/>
                <w:bCs w:val="1"/>
                <w:color w:val="auto"/>
              </w:rPr>
              <w:t>(261)</w:t>
            </w:r>
          </w:p>
        </w:tc>
        <w:tc>
          <w:tcPr>
            <w:tcW w:w="0" w:type="dxa"/>
            <w:vAlign w:val="bottom"/>
          </w:tcPr>
          <w:p>
            <w:pPr>
              <w:spacing w:after="0"/>
              <w:rPr>
                <w:sz w:val="1"/>
                <w:szCs w:val="1"/>
                <w:color w:val="auto"/>
              </w:rPr>
            </w:pPr>
          </w:p>
        </w:tc>
      </w:tr>
      <w:tr>
        <w:trPr>
          <w:trHeight w:val="383"/>
        </w:trPr>
        <w:tc>
          <w:tcPr>
            <w:tcW w:w="5660" w:type="dxa"/>
            <w:vAlign w:val="bottom"/>
          </w:tcPr>
          <w:p>
            <w:pPr>
              <w:ind w:left="160"/>
              <w:spacing w:after="0"/>
              <w:rPr>
                <w:sz w:val="20"/>
                <w:szCs w:val="20"/>
                <w:color w:val="auto"/>
              </w:rPr>
            </w:pPr>
            <w:r>
              <w:rPr>
                <w:rFonts w:ascii="Arial" w:cs="Arial" w:eastAsia="Arial" w:hAnsi="Arial"/>
                <w:sz w:val="29"/>
                <w:szCs w:val="29"/>
                <w:b w:val="1"/>
                <w:bCs w:val="1"/>
                <w:color w:val="auto"/>
              </w:rPr>
              <w:t>net of cash acquired</w:t>
            </w:r>
          </w:p>
        </w:tc>
        <w:tc>
          <w:tcPr>
            <w:tcW w:w="1620" w:type="dxa"/>
            <w:vAlign w:val="bottom"/>
            <w:vMerge w:val="continue"/>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5660" w:type="dxa"/>
            <w:vAlign w:val="bottom"/>
          </w:tcPr>
          <w:p>
            <w:pPr>
              <w:spacing w:after="0"/>
              <w:rPr>
                <w:sz w:val="20"/>
                <w:szCs w:val="20"/>
                <w:color w:val="auto"/>
              </w:rPr>
            </w:pPr>
            <w:r>
              <w:rPr>
                <w:rFonts w:ascii="Arial" w:cs="Arial" w:eastAsia="Arial" w:hAnsi="Arial"/>
                <w:sz w:val="29"/>
                <w:szCs w:val="29"/>
                <w:b w:val="1"/>
                <w:bCs w:val="1"/>
                <w:color w:val="auto"/>
              </w:rPr>
              <w:t>Effect of Exchange Rate Changes</w:t>
            </w:r>
          </w:p>
        </w:tc>
        <w:tc>
          <w:tcPr>
            <w:tcW w:w="1620" w:type="dxa"/>
            <w:vAlign w:val="bottom"/>
          </w:tcPr>
          <w:p>
            <w:pPr>
              <w:jc w:val="right"/>
              <w:spacing w:after="0"/>
              <w:rPr>
                <w:sz w:val="20"/>
                <w:szCs w:val="20"/>
                <w:color w:val="auto"/>
              </w:rPr>
            </w:pPr>
            <w:r>
              <w:rPr>
                <w:rFonts w:ascii="Arial" w:cs="Arial" w:eastAsia="Arial" w:hAnsi="Arial"/>
                <w:sz w:val="29"/>
                <w:szCs w:val="29"/>
                <w:b w:val="1"/>
                <w:bCs w:val="1"/>
                <w:color w:val="auto"/>
              </w:rPr>
              <w:t>(12)</w:t>
            </w:r>
          </w:p>
        </w:tc>
        <w:tc>
          <w:tcPr>
            <w:tcW w:w="2000" w:type="dxa"/>
            <w:vAlign w:val="bottom"/>
            <w:gridSpan w:val="2"/>
          </w:tcPr>
          <w:p>
            <w:pPr>
              <w:jc w:val="right"/>
              <w:spacing w:after="0"/>
              <w:rPr>
                <w:sz w:val="20"/>
                <w:szCs w:val="20"/>
                <w:color w:val="auto"/>
              </w:rPr>
            </w:pPr>
            <w:r>
              <w:rPr>
                <w:rFonts w:ascii="Arial" w:cs="Arial" w:eastAsia="Arial" w:hAnsi="Arial"/>
                <w:sz w:val="29"/>
                <w:szCs w:val="29"/>
                <w:b w:val="1"/>
                <w:bCs w:val="1"/>
                <w:color w:val="auto"/>
              </w:rPr>
              <w:t>8</w:t>
            </w:r>
          </w:p>
        </w:tc>
        <w:tc>
          <w:tcPr>
            <w:tcW w:w="0" w:type="dxa"/>
            <w:vAlign w:val="bottom"/>
          </w:tcPr>
          <w:p>
            <w:pPr>
              <w:spacing w:after="0"/>
              <w:rPr>
                <w:sz w:val="1"/>
                <w:szCs w:val="1"/>
                <w:color w:val="auto"/>
              </w:rPr>
            </w:pPr>
          </w:p>
        </w:tc>
      </w:tr>
      <w:tr>
        <w:trPr>
          <w:trHeight w:val="517"/>
        </w:trPr>
        <w:tc>
          <w:tcPr>
            <w:tcW w:w="5660" w:type="dxa"/>
            <w:vAlign w:val="bottom"/>
          </w:tcPr>
          <w:p>
            <w:pPr>
              <w:spacing w:after="0"/>
              <w:rPr>
                <w:sz w:val="20"/>
                <w:szCs w:val="20"/>
                <w:color w:val="auto"/>
              </w:rPr>
            </w:pPr>
            <w:r>
              <w:rPr>
                <w:rFonts w:ascii="Arial" w:cs="Arial" w:eastAsia="Arial" w:hAnsi="Arial"/>
                <w:sz w:val="29"/>
                <w:szCs w:val="29"/>
                <w:b w:val="1"/>
                <w:bCs w:val="1"/>
                <w:color w:val="auto"/>
              </w:rPr>
              <w:t>Other</w:t>
            </w:r>
          </w:p>
        </w:tc>
        <w:tc>
          <w:tcPr>
            <w:tcW w:w="1620" w:type="dxa"/>
            <w:vAlign w:val="bottom"/>
          </w:tcPr>
          <w:p>
            <w:pPr>
              <w:jc w:val="right"/>
              <w:spacing w:after="0"/>
              <w:rPr>
                <w:sz w:val="20"/>
                <w:szCs w:val="20"/>
                <w:color w:val="auto"/>
              </w:rPr>
            </w:pPr>
            <w:r>
              <w:rPr>
                <w:rFonts w:ascii="Arial" w:cs="Arial" w:eastAsia="Arial" w:hAnsi="Arial"/>
                <w:sz w:val="29"/>
                <w:szCs w:val="29"/>
                <w:b w:val="1"/>
                <w:bCs w:val="1"/>
                <w:color w:val="auto"/>
              </w:rPr>
              <w:t>(9)</w:t>
            </w:r>
          </w:p>
        </w:tc>
        <w:tc>
          <w:tcPr>
            <w:tcW w:w="2000" w:type="dxa"/>
            <w:vAlign w:val="bottom"/>
            <w:gridSpan w:val="2"/>
          </w:tcPr>
          <w:p>
            <w:pPr>
              <w:jc w:val="right"/>
              <w:spacing w:after="0"/>
              <w:rPr>
                <w:sz w:val="20"/>
                <w:szCs w:val="20"/>
                <w:color w:val="auto"/>
              </w:rPr>
            </w:pPr>
            <w:r>
              <w:rPr>
                <w:rFonts w:ascii="Arial" w:cs="Arial" w:eastAsia="Arial" w:hAnsi="Arial"/>
                <w:sz w:val="29"/>
                <w:szCs w:val="29"/>
                <w:b w:val="1"/>
                <w:bCs w:val="1"/>
                <w:color w:val="auto"/>
              </w:rPr>
              <w:t>(11)</w:t>
            </w:r>
          </w:p>
        </w:tc>
        <w:tc>
          <w:tcPr>
            <w:tcW w:w="0" w:type="dxa"/>
            <w:vAlign w:val="bottom"/>
          </w:tcPr>
          <w:p>
            <w:pPr>
              <w:spacing w:after="0"/>
              <w:rPr>
                <w:sz w:val="1"/>
                <w:szCs w:val="1"/>
                <w:color w:val="auto"/>
              </w:rPr>
            </w:pPr>
          </w:p>
        </w:tc>
      </w:tr>
      <w:tr>
        <w:trPr>
          <w:trHeight w:val="154"/>
        </w:trPr>
        <w:tc>
          <w:tcPr>
            <w:tcW w:w="566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Change in Cash</w:t>
            </w:r>
          </w:p>
        </w:tc>
        <w:tc>
          <w:tcPr>
            <w:tcW w:w="1620" w:type="dxa"/>
            <w:vAlign w:val="bottom"/>
            <w:tcBorders>
              <w:bottom w:val="single" w:sz="8" w:color="auto"/>
            </w:tcBorders>
          </w:tcPr>
          <w:p>
            <w:pPr>
              <w:spacing w:after="0"/>
              <w:rPr>
                <w:sz w:val="13"/>
                <w:szCs w:val="13"/>
                <w:color w:val="auto"/>
              </w:rPr>
            </w:pPr>
          </w:p>
        </w:tc>
        <w:tc>
          <w:tcPr>
            <w:tcW w:w="400" w:type="dxa"/>
            <w:vAlign w:val="bottom"/>
            <w:vMerge w:val="restart"/>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5"/>
        </w:trPr>
        <w:tc>
          <w:tcPr>
            <w:tcW w:w="566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9"/>
                <w:szCs w:val="29"/>
                <w:b w:val="1"/>
                <w:bCs w:val="1"/>
                <w:color w:val="auto"/>
              </w:rPr>
              <w:t>(209)</w:t>
            </w:r>
          </w:p>
        </w:tc>
        <w:tc>
          <w:tcPr>
            <w:tcW w:w="40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9"/>
                <w:szCs w:val="29"/>
                <w:b w:val="1"/>
                <w:bCs w:val="1"/>
                <w:color w:val="auto"/>
              </w:rPr>
              <w:t>(416)</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397510</wp:posOffset>
            </wp:positionV>
            <wp:extent cx="726694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680" w:top="452" w:right="639" w:bottom="1440" w:gutter="0" w:footer="0" w:header="0"/>
          <w:type w:val="continuous"/>
        </w:sectPr>
      </w:pPr>
    </w:p>
    <w:bookmarkStart w:id="25" w:name="page26"/>
    <w:bookmarkEnd w:id="25"/>
    <w:p>
      <w:pPr>
        <w:ind w:left="220" w:right="328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460" w:lineRule="exact"/>
        <w:rPr>
          <w:sz w:val="20"/>
          <w:szCs w:val="20"/>
          <w:color w:val="auto"/>
        </w:rPr>
      </w:pPr>
    </w:p>
    <w:p>
      <w:pPr>
        <w:sectPr>
          <w:pgSz w:w="11900" w:h="16838" w:orient="portrait"/>
          <w:cols w:equalWidth="0" w:num="2">
            <w:col w:w="8640" w:space="720"/>
            <w:col w:w="1580"/>
          </w:cols>
          <w:pgMar w:left="460" w:top="452" w:right="499" w:bottom="1440" w:gutter="0" w:footer="0" w:header="0"/>
        </w:sectPr>
      </w:pPr>
    </w:p>
    <w:p>
      <w:pPr>
        <w:ind w:left="640"/>
        <w:spacing w:after="0"/>
        <w:rPr>
          <w:sz w:val="20"/>
          <w:szCs w:val="20"/>
          <w:color w:val="auto"/>
        </w:rPr>
      </w:pPr>
      <w:r>
        <w:rPr>
          <w:rFonts w:ascii="Arial" w:cs="Arial" w:eastAsia="Arial" w:hAnsi="Arial"/>
          <w:sz w:val="51"/>
          <w:szCs w:val="51"/>
          <w:color w:val="5F81AA"/>
        </w:rPr>
        <w:t>Balance Sheet Highlights</w:t>
      </w:r>
    </w:p>
    <w:p>
      <w:pPr>
        <w:spacing w:after="0" w:line="35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Total Debt</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9"/>
          <w:szCs w:val="19"/>
          <w:color w:val="auto"/>
        </w:rPr>
        <w:t>($ in millions)</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Total Debt</w:t>
      </w:r>
    </w:p>
    <w:p>
      <w:pPr>
        <w:spacing w:after="0" w:line="190" w:lineRule="exact"/>
        <w:rPr>
          <w:sz w:val="20"/>
          <w:szCs w:val="20"/>
          <w:color w:val="auto"/>
        </w:rPr>
      </w:pPr>
    </w:p>
    <w:p>
      <w:pPr>
        <w:ind w:left="10020"/>
        <w:spacing w:after="0"/>
        <w:rPr>
          <w:sz w:val="20"/>
          <w:szCs w:val="20"/>
          <w:color w:val="auto"/>
        </w:rPr>
      </w:pPr>
      <w:r>
        <w:rPr>
          <w:rFonts w:ascii="Arial" w:cs="Arial" w:eastAsia="Arial" w:hAnsi="Arial"/>
          <w:sz w:val="21"/>
          <w:szCs w:val="21"/>
          <w:color w:val="auto"/>
        </w:rPr>
        <w:t>Net</w:t>
      </w:r>
    </w:p>
    <w:p>
      <w:pPr>
        <w:ind w:left="10020"/>
        <w:spacing w:after="0"/>
        <w:rPr>
          <w:sz w:val="20"/>
          <w:szCs w:val="20"/>
          <w:color w:val="auto"/>
        </w:rPr>
      </w:pPr>
      <w:r>
        <w:rPr>
          <w:rFonts w:ascii="Arial" w:cs="Arial" w:eastAsia="Arial" w:hAnsi="Arial"/>
          <w:sz w:val="21"/>
          <w:szCs w:val="21"/>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900"/>
        <w:spacing w:after="0"/>
        <w:rPr>
          <w:sz w:val="20"/>
          <w:szCs w:val="20"/>
          <w:color w:val="auto"/>
        </w:rPr>
      </w:pPr>
      <w:r>
        <w:rPr>
          <w:rFonts w:ascii="Arial" w:cs="Arial" w:eastAsia="Arial" w:hAnsi="Arial"/>
          <w:sz w:val="22"/>
          <w:szCs w:val="22"/>
          <w:b w:val="1"/>
          <w:bCs w:val="1"/>
          <w:color w:val="auto"/>
        </w:rPr>
        <w:t>Total Debt to</w:t>
      </w:r>
    </w:p>
    <w:p>
      <w:pPr>
        <w:spacing w:after="0" w:line="44" w:lineRule="exact"/>
        <w:rPr>
          <w:sz w:val="20"/>
          <w:szCs w:val="20"/>
          <w:color w:val="auto"/>
        </w:rPr>
      </w:pPr>
    </w:p>
    <w:p>
      <w:pPr>
        <w:jc w:val="center"/>
        <w:ind w:right="8900"/>
        <w:spacing w:after="0"/>
        <w:rPr>
          <w:sz w:val="20"/>
          <w:szCs w:val="20"/>
          <w:color w:val="auto"/>
        </w:rPr>
      </w:pPr>
      <w:r>
        <w:rPr>
          <w:rFonts w:ascii="Arial" w:cs="Arial" w:eastAsia="Arial" w:hAnsi="Arial"/>
          <w:sz w:val="22"/>
          <w:szCs w:val="22"/>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2235835</wp:posOffset>
            </wp:positionV>
            <wp:extent cx="726694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940"/>
          </w:cols>
          <w:pgMar w:left="460" w:top="452" w:right="499" w:bottom="1440" w:gutter="0" w:footer="0" w:header="0"/>
          <w:type w:val="continuous"/>
        </w:sectPr>
      </w:pPr>
    </w:p>
    <w:bookmarkStart w:id="26" w:name="page27"/>
    <w:bookmarkEnd w:id="26"/>
    <w:tbl>
      <w:tblPr>
        <w:tblLayout w:type="fixed"/>
        <w:tblInd w:w="240" w:type="dxa"/>
        <w:tblCellMar>
          <w:top w:w="0" w:type="dxa"/>
          <w:left w:w="0" w:type="dxa"/>
          <w:bottom w:w="0" w:type="dxa"/>
          <w:right w:w="0" w:type="dxa"/>
        </w:tblCellMar>
      </w:tblPr>
      <w:tr>
        <w:trPr>
          <w:trHeight w:val="300"/>
        </w:trPr>
        <w:tc>
          <w:tcPr>
            <w:tcW w:w="5940" w:type="dxa"/>
            <w:vAlign w:val="bottom"/>
            <w:gridSpan w:val="3"/>
          </w:tcPr>
          <w:p>
            <w:pPr>
              <w:ind w:left="200"/>
              <w:spacing w:after="0"/>
              <w:rPr>
                <w:sz w:val="20"/>
                <w:szCs w:val="20"/>
                <w:color w:val="auto"/>
              </w:rPr>
            </w:pPr>
            <w:r>
              <w:rPr>
                <w:rFonts w:ascii="Arial" w:cs="Arial" w:eastAsia="Arial" w:hAnsi="Arial"/>
                <w:sz w:val="26"/>
                <w:szCs w:val="26"/>
                <w:b w:val="1"/>
                <w:bCs w:val="1"/>
                <w:color w:val="FFFFFF"/>
              </w:rPr>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w:t>
            </w: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80" w:type="dxa"/>
            <w:vAlign w:val="bottom"/>
            <w:gridSpan w:val="2"/>
          </w:tcPr>
          <w:p>
            <w:pPr>
              <w:jc w:val="right"/>
              <w:ind w:right="563"/>
              <w:spacing w:after="0"/>
              <w:rPr>
                <w:sz w:val="20"/>
                <w:szCs w:val="20"/>
                <w:color w:val="auto"/>
              </w:rPr>
            </w:pPr>
            <w:r>
              <w:rPr>
                <w:rFonts w:ascii="Arial" w:cs="Arial" w:eastAsia="Arial" w:hAnsi="Arial"/>
                <w:sz w:val="26"/>
                <w:szCs w:val="26"/>
                <w:b w:val="1"/>
                <w:bCs w:val="1"/>
                <w:color w:val="FFFFFF"/>
              </w:rPr>
              <w:t>October</w:t>
            </w:r>
          </w:p>
        </w:tc>
        <w:tc>
          <w:tcPr>
            <w:tcW w:w="0" w:type="dxa"/>
            <w:vAlign w:val="bottom"/>
          </w:tcPr>
          <w:p>
            <w:pPr>
              <w:spacing w:after="0"/>
              <w:rPr>
                <w:sz w:val="1"/>
                <w:szCs w:val="1"/>
                <w:color w:val="auto"/>
              </w:rPr>
            </w:pPr>
          </w:p>
        </w:tc>
      </w:tr>
      <w:tr>
        <w:trPr>
          <w:trHeight w:val="340"/>
        </w:trPr>
        <w:tc>
          <w:tcPr>
            <w:tcW w:w="3540" w:type="dxa"/>
            <w:vAlign w:val="bottom"/>
          </w:tcPr>
          <w:p>
            <w:pPr>
              <w:ind w:left="200"/>
              <w:spacing w:after="0"/>
              <w:rPr>
                <w:sz w:val="20"/>
                <w:szCs w:val="20"/>
                <w:color w:val="auto"/>
              </w:rPr>
            </w:pPr>
            <w:r>
              <w:rPr>
                <w:rFonts w:ascii="Arial" w:cs="Arial" w:eastAsia="Arial" w:hAnsi="Arial"/>
                <w:sz w:val="26"/>
                <w:szCs w:val="26"/>
                <w:b w:val="1"/>
                <w:bCs w:val="1"/>
                <w:color w:val="FFFFFF"/>
              </w:rPr>
              <w:t>2011</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4580" w:type="dxa"/>
            <w:vAlign w:val="bottom"/>
            <w:gridSpan w:val="2"/>
            <w:vMerge w:val="restart"/>
          </w:tcPr>
          <w:p>
            <w:pPr>
              <w:ind w:left="400"/>
              <w:spacing w:after="0" w:line="453" w:lineRule="exact"/>
              <w:rPr>
                <w:sz w:val="20"/>
                <w:szCs w:val="20"/>
                <w:color w:val="auto"/>
              </w:rPr>
            </w:pPr>
            <w:r>
              <w:rPr>
                <w:rFonts w:ascii="Arial" w:cs="Arial" w:eastAsia="Arial" w:hAnsi="Arial"/>
                <w:sz w:val="51"/>
                <w:szCs w:val="51"/>
                <w:color w:val="5F81AA"/>
              </w:rPr>
              <w:t>Credit Facilities</w:t>
            </w: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22"/>
                <w:szCs w:val="22"/>
                <w:b w:val="1"/>
                <w:bCs w:val="1"/>
                <w:color w:val="7F7F7F"/>
              </w:rPr>
              <w:t>Remaining</w:t>
            </w:r>
          </w:p>
        </w:tc>
        <w:tc>
          <w:tcPr>
            <w:tcW w:w="0" w:type="dxa"/>
            <w:vAlign w:val="bottom"/>
          </w:tcPr>
          <w:p>
            <w:pPr>
              <w:spacing w:after="0"/>
              <w:rPr>
                <w:sz w:val="1"/>
                <w:szCs w:val="1"/>
                <w:color w:val="auto"/>
              </w:rPr>
            </w:pPr>
          </w:p>
        </w:tc>
      </w:tr>
      <w:tr>
        <w:trPr>
          <w:trHeight w:val="0"/>
        </w:trPr>
        <w:tc>
          <w:tcPr>
            <w:tcW w:w="4580" w:type="dxa"/>
            <w:vAlign w:val="bottom"/>
            <w:gridSpan w:val="2"/>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jc w:val="center"/>
              <w:spacing w:after="0" w:line="1" w:lineRule="exact"/>
              <w:rPr>
                <w:sz w:val="20"/>
                <w:szCs w:val="20"/>
                <w:color w:val="auto"/>
              </w:rPr>
            </w:pPr>
            <w:r>
              <w:rPr>
                <w:rFonts w:ascii="Arial" w:cs="Arial" w:eastAsia="Arial" w:hAnsi="Arial"/>
                <w:sz w:val="1"/>
                <w:szCs w:val="1"/>
                <w:b w:val="1"/>
                <w:bCs w:val="1"/>
                <w:color w:val="7F7F7F"/>
              </w:rPr>
              <w:t>Adjusted</w:t>
            </w:r>
          </w:p>
        </w:tc>
        <w:tc>
          <w:tcPr>
            <w:tcW w:w="0" w:type="dxa"/>
            <w:vAlign w:val="bottom"/>
          </w:tcPr>
          <w:p>
            <w:pPr>
              <w:spacing w:after="0" w:line="20" w:lineRule="exact"/>
              <w:rPr>
                <w:sz w:val="1"/>
                <w:szCs w:val="1"/>
                <w:color w:val="auto"/>
              </w:rPr>
            </w:pPr>
          </w:p>
        </w:tc>
      </w:tr>
      <w:tr>
        <w:trPr>
          <w:trHeight w:val="297"/>
        </w:trPr>
        <w:tc>
          <w:tcPr>
            <w:tcW w:w="3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22"/>
                <w:szCs w:val="22"/>
                <w:b w:val="1"/>
                <w:bCs w:val="1"/>
                <w:color w:val="7F7F7F"/>
              </w:rPr>
              <w:t>Available</w:t>
            </w:r>
          </w:p>
        </w:tc>
        <w:tc>
          <w:tcPr>
            <w:tcW w:w="0" w:type="dxa"/>
            <w:vAlign w:val="bottom"/>
          </w:tcPr>
          <w:p>
            <w:pPr>
              <w:spacing w:after="0"/>
              <w:rPr>
                <w:sz w:val="1"/>
                <w:szCs w:val="1"/>
                <w:color w:val="auto"/>
              </w:rPr>
            </w:pPr>
          </w:p>
        </w:tc>
      </w:tr>
      <w:tr>
        <w:trPr>
          <w:trHeight w:val="324"/>
        </w:trPr>
        <w:tc>
          <w:tcPr>
            <w:tcW w:w="3540" w:type="dxa"/>
            <w:vAlign w:val="bottom"/>
            <w:vMerge w:val="restart"/>
          </w:tcPr>
          <w:p>
            <w:pPr>
              <w:ind w:left="400"/>
              <w:spacing w:after="0"/>
              <w:rPr>
                <w:sz w:val="20"/>
                <w:szCs w:val="20"/>
                <w:color w:val="auto"/>
              </w:rPr>
            </w:pPr>
            <w:r>
              <w:rPr>
                <w:rFonts w:ascii="Arial" w:cs="Arial" w:eastAsia="Arial" w:hAnsi="Arial"/>
                <w:sz w:val="22"/>
                <w:szCs w:val="22"/>
                <w:color w:val="5F81AA"/>
              </w:rPr>
              <w:t>($ in millions)</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2"/>
                <w:szCs w:val="22"/>
                <w:b w:val="1"/>
                <w:bCs w:val="1"/>
                <w:color w:val="7F7F7F"/>
                <w:w w:val="98"/>
              </w:rPr>
              <w:t>Total</w:t>
            </w:r>
          </w:p>
        </w:tc>
        <w:tc>
          <w:tcPr>
            <w:tcW w:w="2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2"/>
                <w:szCs w:val="22"/>
                <w:b w:val="1"/>
                <w:bCs w:val="1"/>
                <w:color w:val="7F7F7F"/>
              </w:rPr>
              <w:t>Remaining</w:t>
            </w:r>
          </w:p>
        </w:tc>
        <w:tc>
          <w:tcPr>
            <w:tcW w:w="260" w:type="dxa"/>
            <w:vAlign w:val="bottom"/>
          </w:tcPr>
          <w:p>
            <w:pPr>
              <w:spacing w:after="0"/>
              <w:rPr>
                <w:sz w:val="24"/>
                <w:szCs w:val="24"/>
                <w:color w:val="auto"/>
              </w:rPr>
            </w:pPr>
          </w:p>
        </w:tc>
        <w:tc>
          <w:tcPr>
            <w:tcW w:w="1520" w:type="dxa"/>
            <w:vAlign w:val="bottom"/>
            <w:vMerge w:val="restart"/>
          </w:tcPr>
          <w:p>
            <w:pPr>
              <w:jc w:val="center"/>
              <w:spacing w:after="0"/>
              <w:rPr>
                <w:sz w:val="20"/>
                <w:szCs w:val="20"/>
                <w:color w:val="auto"/>
              </w:rPr>
            </w:pPr>
            <w:r>
              <w:rPr>
                <w:rFonts w:ascii="Arial" w:cs="Arial" w:eastAsia="Arial" w:hAnsi="Arial"/>
                <w:sz w:val="22"/>
                <w:szCs w:val="22"/>
                <w:b w:val="1"/>
                <w:bCs w:val="1"/>
                <w:color w:val="7F7F7F"/>
              </w:rPr>
              <w:t>for New</w:t>
            </w:r>
          </w:p>
        </w:tc>
        <w:tc>
          <w:tcPr>
            <w:tcW w:w="0" w:type="dxa"/>
            <w:vAlign w:val="bottom"/>
          </w:tcPr>
          <w:p>
            <w:pPr>
              <w:spacing w:after="0"/>
              <w:rPr>
                <w:sz w:val="1"/>
                <w:szCs w:val="1"/>
                <w:color w:val="auto"/>
              </w:rPr>
            </w:pPr>
          </w:p>
        </w:tc>
      </w:tr>
      <w:tr>
        <w:trPr>
          <w:trHeight w:val="144"/>
        </w:trPr>
        <w:tc>
          <w:tcPr>
            <w:tcW w:w="3540" w:type="dxa"/>
            <w:vAlign w:val="bottom"/>
            <w:vMerge w:val="continue"/>
          </w:tcPr>
          <w:p>
            <w:pPr>
              <w:spacing w:after="0"/>
              <w:rPr>
                <w:sz w:val="12"/>
                <w:szCs w:val="12"/>
                <w:color w:val="auto"/>
              </w:rPr>
            </w:pPr>
          </w:p>
        </w:tc>
        <w:tc>
          <w:tcPr>
            <w:tcW w:w="1040" w:type="dxa"/>
            <w:vAlign w:val="bottom"/>
            <w:vMerge w:val="restart"/>
          </w:tcPr>
          <w:p>
            <w:pPr>
              <w:jc w:val="center"/>
              <w:ind w:right="8"/>
              <w:spacing w:after="0"/>
              <w:rPr>
                <w:sz w:val="20"/>
                <w:szCs w:val="20"/>
                <w:color w:val="auto"/>
              </w:rPr>
            </w:pPr>
            <w:r>
              <w:rPr>
                <w:rFonts w:ascii="Arial" w:cs="Arial" w:eastAsia="Arial" w:hAnsi="Arial"/>
                <w:sz w:val="22"/>
                <w:szCs w:val="22"/>
                <w:b w:val="1"/>
                <w:bCs w:val="1"/>
                <w:color w:val="7F7F7F"/>
              </w:rPr>
              <w:t>Interest</w:t>
            </w:r>
          </w:p>
        </w:tc>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7F7F7F"/>
              </w:rPr>
              <w:t>Maturity</w:t>
            </w:r>
          </w:p>
        </w:tc>
        <w:tc>
          <w:tcPr>
            <w:tcW w:w="1560" w:type="dxa"/>
            <w:vAlign w:val="bottom"/>
            <w:vMerge w:val="restart"/>
          </w:tcPr>
          <w:p>
            <w:pPr>
              <w:jc w:val="center"/>
              <w:spacing w:after="0"/>
              <w:rPr>
                <w:sz w:val="20"/>
                <w:szCs w:val="20"/>
                <w:color w:val="auto"/>
              </w:rPr>
            </w:pPr>
            <w:r>
              <w:rPr>
                <w:rFonts w:ascii="Arial" w:cs="Arial" w:eastAsia="Arial" w:hAnsi="Arial"/>
                <w:sz w:val="22"/>
                <w:szCs w:val="22"/>
                <w:b w:val="1"/>
                <w:bCs w:val="1"/>
                <w:color w:val="7F7F7F"/>
              </w:rPr>
              <w:t>Outstanding</w:t>
            </w:r>
          </w:p>
        </w:tc>
        <w:tc>
          <w:tcPr>
            <w:tcW w:w="26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22"/>
                <w:szCs w:val="22"/>
                <w:b w:val="1"/>
                <w:bCs w:val="1"/>
                <w:color w:val="7F7F7F"/>
              </w:rPr>
              <w:t>Available</w:t>
            </w:r>
          </w:p>
        </w:tc>
        <w:tc>
          <w:tcPr>
            <w:tcW w:w="2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5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22"/>
                <w:szCs w:val="22"/>
                <w:b w:val="1"/>
                <w:bCs w:val="1"/>
                <w:color w:val="7F7F7F"/>
              </w:rPr>
              <w:t>Agreement</w:t>
            </w:r>
          </w:p>
        </w:tc>
        <w:tc>
          <w:tcPr>
            <w:tcW w:w="0" w:type="dxa"/>
            <w:vAlign w:val="bottom"/>
          </w:tcPr>
          <w:p>
            <w:pPr>
              <w:spacing w:after="0"/>
              <w:rPr>
                <w:sz w:val="1"/>
                <w:szCs w:val="1"/>
                <w:color w:val="auto"/>
              </w:rPr>
            </w:pPr>
          </w:p>
        </w:tc>
      </w:tr>
      <w:tr>
        <w:trPr>
          <w:trHeight w:val="177"/>
        </w:trPr>
        <w:tc>
          <w:tcPr>
            <w:tcW w:w="3540" w:type="dxa"/>
            <w:vAlign w:val="bottom"/>
          </w:tcPr>
          <w:p>
            <w:pPr>
              <w:spacing w:after="0"/>
              <w:rPr>
                <w:sz w:val="15"/>
                <w:szCs w:val="15"/>
                <w:color w:val="auto"/>
              </w:rPr>
            </w:pPr>
          </w:p>
        </w:tc>
        <w:tc>
          <w:tcPr>
            <w:tcW w:w="1040" w:type="dxa"/>
            <w:vAlign w:val="bottom"/>
            <w:vMerge w:val="restart"/>
          </w:tcPr>
          <w:p>
            <w:pPr>
              <w:jc w:val="center"/>
              <w:ind w:right="8"/>
              <w:spacing w:after="0"/>
              <w:rPr>
                <w:sz w:val="20"/>
                <w:szCs w:val="20"/>
                <w:color w:val="auto"/>
              </w:rPr>
            </w:pPr>
            <w:r>
              <w:rPr>
                <w:rFonts w:ascii="Arial" w:cs="Arial" w:eastAsia="Arial" w:hAnsi="Arial"/>
                <w:sz w:val="22"/>
                <w:szCs w:val="22"/>
                <w:b w:val="1"/>
                <w:bCs w:val="1"/>
                <w:color w:val="7F7F7F"/>
              </w:rPr>
              <w:t>Rate</w:t>
            </w:r>
          </w:p>
        </w:tc>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7F7F7F"/>
              </w:rPr>
              <w:t>Date</w:t>
            </w:r>
          </w:p>
        </w:tc>
        <w:tc>
          <w:tcPr>
            <w:tcW w:w="1560" w:type="dxa"/>
            <w:vAlign w:val="bottom"/>
            <w:vMerge w:val="restart"/>
          </w:tcPr>
          <w:p>
            <w:pPr>
              <w:jc w:val="center"/>
              <w:spacing w:after="0"/>
              <w:rPr>
                <w:sz w:val="20"/>
                <w:szCs w:val="20"/>
                <w:color w:val="auto"/>
              </w:rPr>
            </w:pPr>
            <w:r>
              <w:rPr>
                <w:rFonts w:ascii="Arial" w:cs="Arial" w:eastAsia="Arial" w:hAnsi="Arial"/>
                <w:sz w:val="22"/>
                <w:szCs w:val="22"/>
                <w:b w:val="1"/>
                <w:bCs w:val="1"/>
                <w:color w:val="7F7F7F"/>
              </w:rPr>
              <w:t>at 9/30/11</w:t>
            </w:r>
          </w:p>
        </w:tc>
        <w:tc>
          <w:tcPr>
            <w:tcW w:w="26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Arial" w:cs="Arial" w:eastAsia="Arial" w:hAnsi="Arial"/>
                <w:sz w:val="22"/>
                <w:szCs w:val="22"/>
                <w:b w:val="1"/>
                <w:bCs w:val="1"/>
                <w:color w:val="7F7F7F"/>
              </w:rPr>
              <w:t>at 9/30/11</w:t>
            </w:r>
          </w:p>
        </w:tc>
        <w:tc>
          <w:tcPr>
            <w:tcW w:w="2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100"/>
              <w:spacing w:after="0"/>
              <w:rPr>
                <w:sz w:val="20"/>
                <w:szCs w:val="20"/>
                <w:color w:val="auto"/>
              </w:rPr>
            </w:pPr>
            <w:r>
              <w:rPr>
                <w:rFonts w:ascii="Arial" w:cs="Arial" w:eastAsia="Arial" w:hAnsi="Arial"/>
                <w:sz w:val="22"/>
                <w:szCs w:val="22"/>
                <w:b w:val="1"/>
                <w:bCs w:val="1"/>
                <w:color w:val="auto"/>
              </w:rPr>
              <w:t>Euro Notes:</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3540" w:type="dxa"/>
            <w:vAlign w:val="bottom"/>
          </w:tcPr>
          <w:p>
            <w:pPr>
              <w:ind w:left="340"/>
              <w:spacing w:after="0"/>
              <w:rPr>
                <w:sz w:val="20"/>
                <w:szCs w:val="20"/>
                <w:color w:val="auto"/>
              </w:rPr>
            </w:pPr>
            <w:r>
              <w:rPr>
                <w:rFonts w:ascii="Arial" w:cs="Arial" w:eastAsia="Arial" w:hAnsi="Arial"/>
                <w:sz w:val="22"/>
                <w:szCs w:val="22"/>
                <w:b w:val="1"/>
                <w:bCs w:val="1"/>
                <w:color w:val="auto"/>
              </w:rPr>
              <w:t>- Euro 200M</w:t>
            </w:r>
          </w:p>
        </w:tc>
        <w:tc>
          <w:tcPr>
            <w:tcW w:w="1040" w:type="dxa"/>
            <w:vAlign w:val="bottom"/>
          </w:tcPr>
          <w:p>
            <w:pPr>
              <w:jc w:val="center"/>
              <w:ind w:right="8"/>
              <w:spacing w:after="0"/>
              <w:rPr>
                <w:sz w:val="20"/>
                <w:szCs w:val="20"/>
                <w:color w:val="auto"/>
              </w:rPr>
            </w:pPr>
            <w:r>
              <w:rPr>
                <w:rFonts w:ascii="Arial" w:cs="Arial" w:eastAsia="Arial" w:hAnsi="Arial"/>
                <w:sz w:val="22"/>
                <w:szCs w:val="22"/>
                <w:b w:val="1"/>
                <w:bCs w:val="1"/>
                <w:color w:val="auto"/>
              </w:rPr>
              <w:t>4.86%</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rPr>
              <w:t>Jun 2013</w:t>
            </w:r>
          </w:p>
        </w:tc>
        <w:tc>
          <w:tcPr>
            <w:tcW w:w="1560" w:type="dxa"/>
            <w:vAlign w:val="bottom"/>
          </w:tcPr>
          <w:p>
            <w:pPr>
              <w:jc w:val="right"/>
              <w:ind w:right="8"/>
              <w:spacing w:after="0"/>
              <w:rPr>
                <w:sz w:val="20"/>
                <w:szCs w:val="20"/>
                <w:color w:val="auto"/>
              </w:rPr>
            </w:pPr>
            <w:r>
              <w:rPr>
                <w:rFonts w:ascii="Arial" w:cs="Arial" w:eastAsia="Arial" w:hAnsi="Arial"/>
                <w:sz w:val="22"/>
                <w:szCs w:val="22"/>
                <w:b w:val="1"/>
                <w:bCs w:val="1"/>
                <w:color w:val="auto"/>
              </w:rPr>
              <w:t>267</w:t>
            </w:r>
          </w:p>
        </w:tc>
        <w:tc>
          <w:tcPr>
            <w:tcW w:w="1720" w:type="dxa"/>
            <w:vAlign w:val="bottom"/>
            <w:gridSpan w:val="2"/>
          </w:tcPr>
          <w:p>
            <w:pPr>
              <w:jc w:val="right"/>
              <w:ind w:right="28"/>
              <w:spacing w:after="0"/>
              <w:rPr>
                <w:sz w:val="20"/>
                <w:szCs w:val="20"/>
                <w:color w:val="auto"/>
              </w:rPr>
            </w:pPr>
            <w:r>
              <w:rPr>
                <w:rFonts w:ascii="Arial" w:cs="Arial" w:eastAsia="Arial" w:hAnsi="Arial"/>
                <w:sz w:val="22"/>
                <w:szCs w:val="22"/>
                <w:b w:val="1"/>
                <w:bCs w:val="1"/>
                <w:color w:val="auto"/>
              </w:rPr>
              <w:t>-</w:t>
            </w:r>
          </w:p>
        </w:tc>
        <w:tc>
          <w:tcPr>
            <w:tcW w:w="1780" w:type="dxa"/>
            <w:vAlign w:val="bottom"/>
            <w:gridSpan w:val="2"/>
          </w:tcPr>
          <w:p>
            <w:pPr>
              <w:jc w:val="right"/>
              <w:ind w:right="43"/>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456"/>
        </w:trPr>
        <w:tc>
          <w:tcPr>
            <w:tcW w:w="3540" w:type="dxa"/>
            <w:vAlign w:val="bottom"/>
          </w:tcPr>
          <w:p>
            <w:pPr>
              <w:ind w:left="340"/>
              <w:spacing w:after="0"/>
              <w:rPr>
                <w:sz w:val="20"/>
                <w:szCs w:val="20"/>
                <w:color w:val="auto"/>
              </w:rPr>
            </w:pPr>
            <w:r>
              <w:rPr>
                <w:rFonts w:ascii="Arial" w:cs="Arial" w:eastAsia="Arial" w:hAnsi="Arial"/>
                <w:sz w:val="22"/>
                <w:szCs w:val="22"/>
                <w:b w:val="1"/>
                <w:bCs w:val="1"/>
                <w:color w:val="auto"/>
              </w:rPr>
              <w:t>- Euro 300M</w:t>
            </w:r>
          </w:p>
        </w:tc>
        <w:tc>
          <w:tcPr>
            <w:tcW w:w="1040" w:type="dxa"/>
            <w:vAlign w:val="bottom"/>
          </w:tcPr>
          <w:p>
            <w:pPr>
              <w:jc w:val="center"/>
              <w:ind w:right="8"/>
              <w:spacing w:after="0"/>
              <w:rPr>
                <w:sz w:val="20"/>
                <w:szCs w:val="20"/>
                <w:color w:val="auto"/>
              </w:rPr>
            </w:pPr>
            <w:r>
              <w:rPr>
                <w:rFonts w:ascii="Arial" w:cs="Arial" w:eastAsia="Arial" w:hAnsi="Arial"/>
                <w:sz w:val="22"/>
                <w:szCs w:val="22"/>
                <w:b w:val="1"/>
                <w:bCs w:val="1"/>
                <w:color w:val="auto"/>
              </w:rPr>
              <w:t>4.58%</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rPr>
              <w:t>Jun 2012</w:t>
            </w:r>
          </w:p>
        </w:tc>
        <w:tc>
          <w:tcPr>
            <w:tcW w:w="1560" w:type="dxa"/>
            <w:vAlign w:val="bottom"/>
          </w:tcPr>
          <w:p>
            <w:pPr>
              <w:jc w:val="right"/>
              <w:ind w:right="8"/>
              <w:spacing w:after="0"/>
              <w:rPr>
                <w:sz w:val="20"/>
                <w:szCs w:val="20"/>
                <w:color w:val="auto"/>
              </w:rPr>
            </w:pPr>
            <w:r>
              <w:rPr>
                <w:rFonts w:ascii="Arial" w:cs="Arial" w:eastAsia="Arial" w:hAnsi="Arial"/>
                <w:sz w:val="22"/>
                <w:szCs w:val="22"/>
                <w:b w:val="1"/>
                <w:bCs w:val="1"/>
                <w:color w:val="auto"/>
              </w:rPr>
              <w:t>401</w:t>
            </w:r>
          </w:p>
        </w:tc>
        <w:tc>
          <w:tcPr>
            <w:tcW w:w="1720" w:type="dxa"/>
            <w:vAlign w:val="bottom"/>
            <w:gridSpan w:val="2"/>
          </w:tcPr>
          <w:p>
            <w:pPr>
              <w:jc w:val="right"/>
              <w:ind w:right="28"/>
              <w:spacing w:after="0"/>
              <w:rPr>
                <w:sz w:val="20"/>
                <w:szCs w:val="20"/>
                <w:color w:val="auto"/>
              </w:rPr>
            </w:pPr>
            <w:r>
              <w:rPr>
                <w:rFonts w:ascii="Arial" w:cs="Arial" w:eastAsia="Arial" w:hAnsi="Arial"/>
                <w:sz w:val="22"/>
                <w:szCs w:val="22"/>
                <w:b w:val="1"/>
                <w:bCs w:val="1"/>
                <w:color w:val="auto"/>
              </w:rPr>
              <w:t>-</w:t>
            </w:r>
          </w:p>
        </w:tc>
        <w:tc>
          <w:tcPr>
            <w:tcW w:w="1780" w:type="dxa"/>
            <w:vAlign w:val="bottom"/>
            <w:gridSpan w:val="2"/>
          </w:tcPr>
          <w:p>
            <w:pPr>
              <w:jc w:val="right"/>
              <w:ind w:right="43"/>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556"/>
        </w:trPr>
        <w:tc>
          <w:tcPr>
            <w:tcW w:w="3540" w:type="dxa"/>
            <w:vAlign w:val="bottom"/>
          </w:tcPr>
          <w:p>
            <w:pPr>
              <w:ind w:left="100"/>
              <w:spacing w:after="0"/>
              <w:rPr>
                <w:sz w:val="20"/>
                <w:szCs w:val="20"/>
                <w:color w:val="auto"/>
              </w:rPr>
            </w:pPr>
            <w:r>
              <w:rPr>
                <w:rFonts w:ascii="Arial" w:cs="Arial" w:eastAsia="Arial" w:hAnsi="Arial"/>
                <w:sz w:val="22"/>
                <w:szCs w:val="22"/>
                <w:b w:val="1"/>
                <w:bCs w:val="1"/>
                <w:color w:val="auto"/>
              </w:rPr>
              <w:t xml:space="preserve">Revolving Credit Agreement </w:t>
            </w:r>
            <w:r>
              <w:rPr>
                <w:rFonts w:ascii="Arial" w:cs="Arial" w:eastAsia="Arial" w:hAnsi="Arial"/>
                <w:sz w:val="28"/>
                <w:szCs w:val="28"/>
                <w:color w:val="auto"/>
                <w:vertAlign w:val="superscript"/>
              </w:rPr>
              <w:t>(1)</w:t>
            </w:r>
          </w:p>
        </w:tc>
        <w:tc>
          <w:tcPr>
            <w:tcW w:w="1040" w:type="dxa"/>
            <w:vAlign w:val="bottom"/>
          </w:tcPr>
          <w:p>
            <w:pPr>
              <w:jc w:val="center"/>
              <w:ind w:right="8"/>
              <w:spacing w:after="0"/>
              <w:rPr>
                <w:sz w:val="20"/>
                <w:szCs w:val="20"/>
                <w:color w:val="auto"/>
              </w:rPr>
            </w:pPr>
            <w:r>
              <w:rPr>
                <w:rFonts w:ascii="Arial" w:cs="Arial" w:eastAsia="Arial" w:hAnsi="Arial"/>
                <w:sz w:val="22"/>
                <w:szCs w:val="22"/>
                <w:b w:val="1"/>
                <w:bCs w:val="1"/>
                <w:color w:val="auto"/>
              </w:rPr>
              <w:t>2.79%</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rPr>
              <w:t>Nov 2012</w:t>
            </w:r>
          </w:p>
        </w:tc>
        <w:tc>
          <w:tcPr>
            <w:tcW w:w="1560" w:type="dxa"/>
            <w:vAlign w:val="bottom"/>
          </w:tcPr>
          <w:p>
            <w:pPr>
              <w:jc w:val="right"/>
              <w:ind w:right="8"/>
              <w:spacing w:after="0"/>
              <w:rPr>
                <w:sz w:val="20"/>
                <w:szCs w:val="20"/>
                <w:color w:val="auto"/>
              </w:rPr>
            </w:pPr>
            <w:r>
              <w:rPr>
                <w:rFonts w:ascii="Arial" w:cs="Arial" w:eastAsia="Arial" w:hAnsi="Arial"/>
                <w:sz w:val="22"/>
                <w:szCs w:val="22"/>
                <w:b w:val="1"/>
                <w:bCs w:val="1"/>
                <w:color w:val="auto"/>
              </w:rPr>
              <w:t>-</w:t>
            </w:r>
          </w:p>
        </w:tc>
        <w:tc>
          <w:tcPr>
            <w:tcW w:w="1720" w:type="dxa"/>
            <w:vAlign w:val="bottom"/>
            <w:gridSpan w:val="2"/>
          </w:tcPr>
          <w:p>
            <w:pPr>
              <w:jc w:val="right"/>
              <w:ind w:right="28"/>
              <w:spacing w:after="0"/>
              <w:rPr>
                <w:sz w:val="20"/>
                <w:szCs w:val="20"/>
                <w:color w:val="auto"/>
              </w:rPr>
            </w:pPr>
            <w:r>
              <w:rPr>
                <w:rFonts w:ascii="Arial" w:cs="Arial" w:eastAsia="Arial" w:hAnsi="Arial"/>
                <w:sz w:val="22"/>
                <w:szCs w:val="22"/>
                <w:b w:val="1"/>
                <w:bCs w:val="1"/>
                <w:color w:val="auto"/>
              </w:rPr>
              <w:t>398</w:t>
            </w:r>
          </w:p>
        </w:tc>
        <w:tc>
          <w:tcPr>
            <w:tcW w:w="260" w:type="dxa"/>
            <w:vAlign w:val="bottom"/>
          </w:tcPr>
          <w:p>
            <w:pPr>
              <w:spacing w:after="0"/>
              <w:rPr>
                <w:sz w:val="24"/>
                <w:szCs w:val="24"/>
                <w:color w:val="auto"/>
              </w:rPr>
            </w:pPr>
          </w:p>
        </w:tc>
        <w:tc>
          <w:tcPr>
            <w:tcW w:w="1520" w:type="dxa"/>
            <w:vAlign w:val="bottom"/>
          </w:tcPr>
          <w:p>
            <w:pPr>
              <w:jc w:val="right"/>
              <w:ind w:right="43"/>
              <w:spacing w:after="0"/>
              <w:rPr>
                <w:sz w:val="20"/>
                <w:szCs w:val="20"/>
                <w:color w:val="auto"/>
              </w:rPr>
            </w:pPr>
            <w:r>
              <w:rPr>
                <w:rFonts w:ascii="Arial" w:cs="Arial" w:eastAsia="Arial" w:hAnsi="Arial"/>
                <w:sz w:val="22"/>
                <w:szCs w:val="22"/>
                <w:b w:val="1"/>
                <w:bCs w:val="1"/>
                <w:color w:val="auto"/>
              </w:rPr>
              <w:t>n/a</w:t>
            </w:r>
          </w:p>
        </w:tc>
        <w:tc>
          <w:tcPr>
            <w:tcW w:w="0" w:type="dxa"/>
            <w:vAlign w:val="bottom"/>
          </w:tcPr>
          <w:p>
            <w:pPr>
              <w:spacing w:after="0"/>
              <w:rPr>
                <w:sz w:val="1"/>
                <w:szCs w:val="1"/>
                <w:color w:val="auto"/>
              </w:rPr>
            </w:pPr>
          </w:p>
        </w:tc>
      </w:tr>
      <w:tr>
        <w:trPr>
          <w:trHeight w:val="324"/>
        </w:trPr>
        <w:tc>
          <w:tcPr>
            <w:tcW w:w="3540" w:type="dxa"/>
            <w:vAlign w:val="bottom"/>
          </w:tcPr>
          <w:p>
            <w:pPr>
              <w:ind w:left="100"/>
              <w:spacing w:after="0"/>
              <w:rPr>
                <w:sz w:val="20"/>
                <w:szCs w:val="20"/>
                <w:color w:val="auto"/>
              </w:rPr>
            </w:pPr>
            <w:r>
              <w:rPr>
                <w:rFonts w:ascii="Arial" w:cs="Arial" w:eastAsia="Arial" w:hAnsi="Arial"/>
                <w:sz w:val="22"/>
                <w:szCs w:val="22"/>
                <w:b w:val="1"/>
                <w:bCs w:val="1"/>
                <w:color w:val="auto"/>
              </w:rPr>
              <w:t>Revolving Credit Agreement -</w:t>
            </w:r>
          </w:p>
        </w:tc>
        <w:tc>
          <w:tcPr>
            <w:tcW w:w="1040" w:type="dxa"/>
            <w:vAlign w:val="bottom"/>
          </w:tcPr>
          <w:p>
            <w:pPr>
              <w:jc w:val="center"/>
              <w:ind w:right="8"/>
              <w:spacing w:after="0"/>
              <w:rPr>
                <w:sz w:val="20"/>
                <w:szCs w:val="20"/>
                <w:color w:val="auto"/>
              </w:rPr>
            </w:pPr>
            <w:r>
              <w:rPr>
                <w:rFonts w:ascii="Arial" w:cs="Arial" w:eastAsia="Arial" w:hAnsi="Arial"/>
                <w:sz w:val="22"/>
                <w:szCs w:val="22"/>
                <w:b w:val="1"/>
                <w:bCs w:val="1"/>
                <w:color w:val="auto"/>
              </w:rPr>
              <w:t>1.51%</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rPr>
              <w:t>Oct 2016</w:t>
            </w:r>
          </w:p>
        </w:tc>
        <w:tc>
          <w:tcPr>
            <w:tcW w:w="1560" w:type="dxa"/>
            <w:vAlign w:val="bottom"/>
          </w:tcPr>
          <w:p>
            <w:pPr>
              <w:jc w:val="right"/>
              <w:ind w:right="8"/>
              <w:spacing w:after="0"/>
              <w:rPr>
                <w:sz w:val="20"/>
                <w:szCs w:val="20"/>
                <w:color w:val="auto"/>
              </w:rPr>
            </w:pPr>
            <w:r>
              <w:rPr>
                <w:rFonts w:ascii="Arial" w:cs="Arial" w:eastAsia="Arial" w:hAnsi="Arial"/>
                <w:sz w:val="22"/>
                <w:szCs w:val="22"/>
                <w:b w:val="1"/>
                <w:bCs w:val="1"/>
                <w:color w:val="auto"/>
              </w:rPr>
              <w:t>n/a</w:t>
            </w:r>
          </w:p>
        </w:tc>
        <w:tc>
          <w:tcPr>
            <w:tcW w:w="260" w:type="dxa"/>
            <w:vAlign w:val="bottom"/>
          </w:tcPr>
          <w:p>
            <w:pPr>
              <w:spacing w:after="0"/>
              <w:rPr>
                <w:sz w:val="24"/>
                <w:szCs w:val="24"/>
                <w:color w:val="auto"/>
              </w:rPr>
            </w:pPr>
          </w:p>
        </w:tc>
        <w:tc>
          <w:tcPr>
            <w:tcW w:w="1460" w:type="dxa"/>
            <w:vAlign w:val="bottom"/>
          </w:tcPr>
          <w:p>
            <w:pPr>
              <w:jc w:val="right"/>
              <w:ind w:right="28"/>
              <w:spacing w:after="0"/>
              <w:rPr>
                <w:sz w:val="20"/>
                <w:szCs w:val="20"/>
                <w:color w:val="auto"/>
              </w:rPr>
            </w:pPr>
            <w:r>
              <w:rPr>
                <w:rFonts w:ascii="Arial" w:cs="Arial" w:eastAsia="Arial" w:hAnsi="Arial"/>
                <w:sz w:val="22"/>
                <w:szCs w:val="22"/>
                <w:b w:val="1"/>
                <w:bCs w:val="1"/>
                <w:color w:val="auto"/>
              </w:rPr>
              <w:t>n/a</w:t>
            </w:r>
          </w:p>
        </w:tc>
        <w:tc>
          <w:tcPr>
            <w:tcW w:w="1780" w:type="dxa"/>
            <w:vAlign w:val="bottom"/>
            <w:gridSpan w:val="2"/>
          </w:tcPr>
          <w:p>
            <w:pPr>
              <w:jc w:val="right"/>
              <w:ind w:right="43"/>
              <w:spacing w:after="0"/>
              <w:rPr>
                <w:sz w:val="20"/>
                <w:szCs w:val="20"/>
                <w:color w:val="auto"/>
              </w:rPr>
            </w:pPr>
            <w:r>
              <w:rPr>
                <w:rFonts w:ascii="Arial" w:cs="Arial" w:eastAsia="Arial" w:hAnsi="Arial"/>
                <w:sz w:val="22"/>
                <w:szCs w:val="22"/>
                <w:b w:val="1"/>
                <w:bCs w:val="1"/>
                <w:color w:val="auto"/>
              </w:rPr>
              <w:t>800</w:t>
            </w:r>
          </w:p>
        </w:tc>
        <w:tc>
          <w:tcPr>
            <w:tcW w:w="0" w:type="dxa"/>
            <w:vAlign w:val="bottom"/>
          </w:tcPr>
          <w:p>
            <w:pPr>
              <w:spacing w:after="0"/>
              <w:rPr>
                <w:sz w:val="1"/>
                <w:szCs w:val="1"/>
                <w:color w:val="auto"/>
              </w:rPr>
            </w:pPr>
          </w:p>
        </w:tc>
      </w:tr>
      <w:tr>
        <w:trPr>
          <w:trHeight w:val="297"/>
        </w:trPr>
        <w:tc>
          <w:tcPr>
            <w:tcW w:w="3540" w:type="dxa"/>
            <w:vAlign w:val="bottom"/>
          </w:tcPr>
          <w:p>
            <w:pPr>
              <w:ind w:left="240"/>
              <w:spacing w:after="0"/>
              <w:rPr>
                <w:sz w:val="20"/>
                <w:szCs w:val="20"/>
                <w:color w:val="auto"/>
              </w:rPr>
            </w:pPr>
            <w:r>
              <w:rPr>
                <w:rFonts w:ascii="Arial" w:cs="Arial" w:eastAsia="Arial" w:hAnsi="Arial"/>
                <w:sz w:val="22"/>
                <w:szCs w:val="22"/>
                <w:b w:val="1"/>
                <w:bCs w:val="1"/>
                <w:color w:val="auto"/>
              </w:rPr>
              <w:t xml:space="preserve">New </w:t>
            </w:r>
            <w:r>
              <w:rPr>
                <w:rFonts w:ascii="Arial" w:cs="Arial" w:eastAsia="Arial" w:hAnsi="Arial"/>
                <w:sz w:val="14"/>
                <w:szCs w:val="14"/>
                <w:color w:val="auto"/>
              </w:rPr>
              <w:t>(2)</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3540" w:type="dxa"/>
            <w:vAlign w:val="bottom"/>
          </w:tcPr>
          <w:p>
            <w:pPr>
              <w:ind w:left="100"/>
              <w:spacing w:after="0"/>
              <w:rPr>
                <w:sz w:val="20"/>
                <w:szCs w:val="20"/>
                <w:color w:val="auto"/>
              </w:rPr>
            </w:pPr>
            <w:r>
              <w:rPr>
                <w:rFonts w:ascii="Arial" w:cs="Arial" w:eastAsia="Arial" w:hAnsi="Arial"/>
                <w:sz w:val="22"/>
                <w:szCs w:val="22"/>
                <w:b w:val="1"/>
                <w:bCs w:val="1"/>
                <w:color w:val="auto"/>
              </w:rPr>
              <w:t xml:space="preserve">Uncommitted lines and Other </w:t>
            </w:r>
            <w:r>
              <w:rPr>
                <w:rFonts w:ascii="Arial" w:cs="Arial" w:eastAsia="Arial" w:hAnsi="Arial"/>
                <w:sz w:val="28"/>
                <w:szCs w:val="28"/>
                <w:color w:val="auto"/>
                <w:vertAlign w:val="superscript"/>
              </w:rPr>
              <w:t>(3)</w:t>
            </w:r>
          </w:p>
        </w:tc>
        <w:tc>
          <w:tcPr>
            <w:tcW w:w="1040" w:type="dxa"/>
            <w:vAlign w:val="bottom"/>
          </w:tcPr>
          <w:p>
            <w:pPr>
              <w:jc w:val="center"/>
              <w:ind w:right="8"/>
              <w:spacing w:after="0"/>
              <w:rPr>
                <w:sz w:val="20"/>
                <w:szCs w:val="20"/>
                <w:color w:val="auto"/>
              </w:rPr>
            </w:pPr>
            <w:r>
              <w:rPr>
                <w:rFonts w:ascii="Arial" w:cs="Arial" w:eastAsia="Arial" w:hAnsi="Arial"/>
                <w:sz w:val="22"/>
                <w:szCs w:val="22"/>
                <w:b w:val="1"/>
                <w:bCs w:val="1"/>
                <w:color w:val="auto"/>
                <w:w w:val="99"/>
              </w:rPr>
              <w:t>Various</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w w:val="99"/>
              </w:rPr>
              <w:t>Various</w:t>
            </w:r>
          </w:p>
        </w:tc>
        <w:tc>
          <w:tcPr>
            <w:tcW w:w="1560" w:type="dxa"/>
            <w:vAlign w:val="bottom"/>
          </w:tcPr>
          <w:p>
            <w:pPr>
              <w:jc w:val="right"/>
              <w:ind w:right="8"/>
              <w:spacing w:after="0"/>
              <w:rPr>
                <w:sz w:val="20"/>
                <w:szCs w:val="20"/>
                <w:color w:val="auto"/>
              </w:rPr>
            </w:pPr>
            <w:r>
              <w:rPr>
                <w:rFonts w:ascii="Arial" w:cs="Arial" w:eastAsia="Arial" w:hAnsi="Arial"/>
                <w:sz w:val="22"/>
                <w:szCs w:val="22"/>
                <w:b w:val="1"/>
                <w:bCs w:val="1"/>
                <w:color w:val="auto"/>
              </w:rPr>
              <w:t>35</w:t>
            </w:r>
          </w:p>
        </w:tc>
        <w:tc>
          <w:tcPr>
            <w:tcW w:w="1720" w:type="dxa"/>
            <w:vAlign w:val="bottom"/>
            <w:gridSpan w:val="2"/>
          </w:tcPr>
          <w:p>
            <w:pPr>
              <w:jc w:val="right"/>
              <w:ind w:right="28"/>
              <w:spacing w:after="0"/>
              <w:rPr>
                <w:sz w:val="20"/>
                <w:szCs w:val="20"/>
                <w:color w:val="auto"/>
              </w:rPr>
            </w:pPr>
            <w:r>
              <w:rPr>
                <w:rFonts w:ascii="Arial" w:cs="Arial" w:eastAsia="Arial" w:hAnsi="Arial"/>
                <w:sz w:val="22"/>
                <w:szCs w:val="22"/>
                <w:b w:val="1"/>
                <w:bCs w:val="1"/>
                <w:color w:val="auto"/>
              </w:rPr>
              <w:t>354</w:t>
            </w:r>
          </w:p>
        </w:tc>
        <w:tc>
          <w:tcPr>
            <w:tcW w:w="1780" w:type="dxa"/>
            <w:vAlign w:val="bottom"/>
            <w:gridSpan w:val="2"/>
          </w:tcPr>
          <w:p>
            <w:pPr>
              <w:jc w:val="right"/>
              <w:ind w:right="43"/>
              <w:spacing w:after="0"/>
              <w:rPr>
                <w:sz w:val="20"/>
                <w:szCs w:val="20"/>
                <w:color w:val="auto"/>
              </w:rPr>
            </w:pPr>
            <w:r>
              <w:rPr>
                <w:rFonts w:ascii="Arial" w:cs="Arial" w:eastAsia="Arial" w:hAnsi="Arial"/>
                <w:sz w:val="22"/>
                <w:szCs w:val="22"/>
                <w:b w:val="1"/>
                <w:bCs w:val="1"/>
                <w:color w:val="auto"/>
              </w:rPr>
              <w:t>354</w:t>
            </w:r>
          </w:p>
        </w:tc>
        <w:tc>
          <w:tcPr>
            <w:tcW w:w="0" w:type="dxa"/>
            <w:vAlign w:val="bottom"/>
          </w:tcPr>
          <w:p>
            <w:pPr>
              <w:spacing w:after="0"/>
              <w:rPr>
                <w:sz w:val="1"/>
                <w:szCs w:val="1"/>
                <w:color w:val="auto"/>
              </w:rPr>
            </w:pPr>
          </w:p>
        </w:tc>
      </w:tr>
      <w:tr>
        <w:trPr>
          <w:trHeight w:val="75"/>
        </w:trPr>
        <w:tc>
          <w:tcPr>
            <w:tcW w:w="354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Total Debt</w:t>
            </w:r>
          </w:p>
        </w:tc>
        <w:tc>
          <w:tcPr>
            <w:tcW w:w="10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260" w:type="dxa"/>
            <w:vAlign w:val="bottom"/>
            <w:vMerge w:val="restart"/>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60" w:type="dxa"/>
            <w:vAlign w:val="bottom"/>
            <w:vMerge w:val="restart"/>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35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jc w:val="right"/>
              <w:ind w:right="8"/>
              <w:spacing w:after="0"/>
              <w:rPr>
                <w:sz w:val="20"/>
                <w:szCs w:val="20"/>
                <w:color w:val="auto"/>
              </w:rPr>
            </w:pPr>
            <w:r>
              <w:rPr>
                <w:rFonts w:ascii="Arial" w:cs="Arial" w:eastAsia="Arial" w:hAnsi="Arial"/>
                <w:sz w:val="22"/>
                <w:szCs w:val="22"/>
                <w:b w:val="1"/>
                <w:bCs w:val="1"/>
                <w:color w:val="auto"/>
              </w:rPr>
              <w:t>703</w:t>
            </w:r>
          </w:p>
        </w:tc>
        <w:tc>
          <w:tcPr>
            <w:tcW w:w="260" w:type="dxa"/>
            <w:vAlign w:val="bottom"/>
            <w:vMerge w:val="continue"/>
          </w:tcPr>
          <w:p>
            <w:pPr>
              <w:spacing w:after="0"/>
              <w:rPr>
                <w:sz w:val="24"/>
                <w:szCs w:val="24"/>
                <w:color w:val="auto"/>
              </w:rPr>
            </w:pPr>
          </w:p>
        </w:tc>
        <w:tc>
          <w:tcPr>
            <w:tcW w:w="1460" w:type="dxa"/>
            <w:vAlign w:val="bottom"/>
          </w:tcPr>
          <w:p>
            <w:pPr>
              <w:jc w:val="right"/>
              <w:ind w:right="28"/>
              <w:spacing w:after="0"/>
              <w:rPr>
                <w:sz w:val="20"/>
                <w:szCs w:val="20"/>
                <w:color w:val="auto"/>
              </w:rPr>
            </w:pPr>
            <w:r>
              <w:rPr>
                <w:rFonts w:ascii="Arial" w:cs="Arial" w:eastAsia="Arial" w:hAnsi="Arial"/>
                <w:sz w:val="22"/>
                <w:szCs w:val="22"/>
                <w:b w:val="1"/>
                <w:bCs w:val="1"/>
                <w:color w:val="auto"/>
              </w:rPr>
              <w:t>752</w:t>
            </w:r>
          </w:p>
        </w:tc>
        <w:tc>
          <w:tcPr>
            <w:tcW w:w="260" w:type="dxa"/>
            <w:vAlign w:val="bottom"/>
            <w:vMerge w:val="continue"/>
          </w:tcPr>
          <w:p>
            <w:pPr>
              <w:spacing w:after="0"/>
              <w:rPr>
                <w:sz w:val="24"/>
                <w:szCs w:val="24"/>
                <w:color w:val="auto"/>
              </w:rPr>
            </w:pPr>
          </w:p>
        </w:tc>
        <w:tc>
          <w:tcPr>
            <w:tcW w:w="1520" w:type="dxa"/>
            <w:vAlign w:val="bottom"/>
          </w:tcPr>
          <w:p>
            <w:pPr>
              <w:jc w:val="right"/>
              <w:ind w:right="43"/>
              <w:spacing w:after="0"/>
              <w:rPr>
                <w:sz w:val="20"/>
                <w:szCs w:val="20"/>
                <w:color w:val="auto"/>
              </w:rPr>
            </w:pPr>
            <w:r>
              <w:rPr>
                <w:rFonts w:ascii="Arial" w:cs="Arial" w:eastAsia="Arial" w:hAnsi="Arial"/>
                <w:sz w:val="22"/>
                <w:szCs w:val="22"/>
                <w:b w:val="1"/>
                <w:bCs w:val="1"/>
                <w:color w:val="auto"/>
              </w:rPr>
              <w:t>1,154</w:t>
            </w:r>
          </w:p>
        </w:tc>
        <w:tc>
          <w:tcPr>
            <w:tcW w:w="0" w:type="dxa"/>
            <w:vAlign w:val="bottom"/>
          </w:tcPr>
          <w:p>
            <w:pPr>
              <w:spacing w:after="0"/>
              <w:rPr>
                <w:sz w:val="1"/>
                <w:szCs w:val="1"/>
                <w:color w:val="auto"/>
              </w:rPr>
            </w:pPr>
          </w:p>
        </w:tc>
      </w:tr>
      <w:tr>
        <w:trPr>
          <w:trHeight w:val="140"/>
        </w:trPr>
        <w:tc>
          <w:tcPr>
            <w:tcW w:w="3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ind w:left="940" w:right="780" w:hanging="235"/>
        <w:spacing w:after="0" w:line="256" w:lineRule="auto"/>
        <w:tabs>
          <w:tab w:leader="none" w:pos="9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This $400M agreement required, as of September 30, that we comply with a Debt-to-EBITDA ratio of less than 3.25 to 1 and a fixed charge coverage ratio of greater than 1.50 to 1. As defined in the agreement, we had a Debt-to-EBITDA ratio of 1.17 and a fixed charge coverage ratio of 2.96 as of September 30, 2011. As of September 30, there were $2.2M of standby letters of credit issued under the agreement. This agreement was terminated on October 5, 2011 in connection with our entry into our new $800M agreement.</w:t>
      </w:r>
    </w:p>
    <w:p>
      <w:pPr>
        <w:spacing w:after="0" w:line="129" w:lineRule="exact"/>
        <w:rPr>
          <w:rFonts w:ascii="Arial" w:cs="Arial" w:eastAsia="Arial" w:hAnsi="Arial"/>
          <w:sz w:val="14"/>
          <w:szCs w:val="14"/>
          <w:color w:val="auto"/>
        </w:rPr>
      </w:pPr>
    </w:p>
    <w:p>
      <w:pPr>
        <w:ind w:left="940" w:right="840" w:hanging="247"/>
        <w:spacing w:after="0" w:line="254" w:lineRule="auto"/>
        <w:tabs>
          <w:tab w:leader="none" w:pos="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completed a new $800M five year revolving credit agreement on October 5, 2011 with a syndicate of commercial banks .This new agreement replaces the previous $400M agreement. This agreement, which expires in October 2016, allows for borrowings in various currencies and up to $150M may be used for the issuance of stand-by letters of credit. Under this agreement, a debt ratings-based pricing grid determines the credit spread that we add to the applicable interbank borrowing rate on all borrowings as well as the facility and issuance fees. At our current credit ratings, our facility fee is 0.225% and our credit spread for borrowings is 1.275%. This agreement requires that we comply with a Leverage Ratio (Debt-to-EBITDA) of not greater than 3.5 to 1 and a Fixed Charge Coverage Ratio of not less than 1.5 to 1, in addition to other customary restrictive covenants.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580" w:type="dxa"/>
            <w:vAlign w:val="bottom"/>
          </w:tcPr>
          <w:p>
            <w:pPr>
              <w:ind w:left="700"/>
              <w:spacing w:after="0"/>
              <w:rPr>
                <w:sz w:val="20"/>
                <w:szCs w:val="20"/>
                <w:color w:val="auto"/>
              </w:rPr>
            </w:pPr>
            <w:r>
              <w:rPr>
                <w:rFonts w:ascii="Arial" w:cs="Arial" w:eastAsia="Arial" w:hAnsi="Arial"/>
                <w:sz w:val="14"/>
                <w:szCs w:val="14"/>
                <w:color w:val="auto"/>
              </w:rPr>
              <w:t>(3) Represents subsidiary uncommitted lines of credit &amp; overdraft facilities, which total $386.9M. Total subsidiary borrowing are limited to $300M due to</w:t>
            </w:r>
          </w:p>
        </w:tc>
        <w:tc>
          <w:tcPr>
            <w:tcW w:w="860" w:type="dxa"/>
            <w:vAlign w:val="bottom"/>
            <w:vMerge w:val="restart"/>
          </w:tcPr>
          <w:p>
            <w:pPr>
              <w:jc w:val="right"/>
              <w:ind w:right="408"/>
              <w:spacing w:after="0"/>
              <w:rPr>
                <w:sz w:val="20"/>
                <w:szCs w:val="20"/>
                <w:color w:val="auto"/>
              </w:rPr>
            </w:pPr>
            <w:r>
              <w:rPr>
                <w:rFonts w:ascii="Arial" w:cs="Arial" w:eastAsia="Arial" w:hAnsi="Arial"/>
                <w:sz w:val="14"/>
                <w:szCs w:val="14"/>
                <w:color w:val="898989"/>
              </w:rPr>
              <w:t>16</w:t>
            </w:r>
          </w:p>
        </w:tc>
        <w:tc>
          <w:tcPr>
            <w:tcW w:w="0" w:type="dxa"/>
            <w:vAlign w:val="bottom"/>
          </w:tcPr>
          <w:p>
            <w:pPr>
              <w:spacing w:after="0"/>
              <w:rPr>
                <w:sz w:val="1"/>
                <w:szCs w:val="1"/>
                <w:color w:val="auto"/>
              </w:rPr>
            </w:pPr>
          </w:p>
        </w:tc>
      </w:tr>
      <w:tr>
        <w:trPr>
          <w:trHeight w:val="52"/>
        </w:trPr>
        <w:tc>
          <w:tcPr>
            <w:tcW w:w="10580" w:type="dxa"/>
            <w:vAlign w:val="bottom"/>
            <w:vMerge w:val="restart"/>
          </w:tcPr>
          <w:p>
            <w:pPr>
              <w:ind w:left="940"/>
              <w:spacing w:after="0"/>
              <w:rPr>
                <w:sz w:val="20"/>
                <w:szCs w:val="20"/>
                <w:color w:val="auto"/>
              </w:rPr>
            </w:pPr>
            <w:r>
              <w:rPr>
                <w:rFonts w:ascii="Arial" w:cs="Arial" w:eastAsia="Arial" w:hAnsi="Arial"/>
                <w:sz w:val="14"/>
                <w:szCs w:val="14"/>
                <w:color w:val="auto"/>
              </w:rPr>
              <w:t>restrictions in our Revolving Credit Facility, with the exception of Q3 when subsidiary borrowings are limited to $600M.</w:t>
            </w: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05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7"/>
        </w:trPr>
        <w:tc>
          <w:tcPr>
            <w:tcW w:w="105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2" w:right="219" w:bottom="1440" w:gutter="0" w:footer="0" w:header="0"/>
        </w:sectPr>
      </w:pPr>
    </w:p>
    <w:bookmarkStart w:id="27" w:name="page28"/>
    <w:bookmarkEnd w:id="27"/>
    <w:p>
      <w:pPr>
        <w:ind w:left="440" w:right="3280"/>
        <w:spacing w:after="0" w:line="256"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339" w:lineRule="exact"/>
        <w:rPr>
          <w:sz w:val="20"/>
          <w:szCs w:val="20"/>
          <w:color w:val="auto"/>
        </w:rPr>
      </w:pPr>
    </w:p>
    <w:p>
      <w:pPr>
        <w:sectPr>
          <w:pgSz w:w="11900" w:h="16838" w:orient="portrait"/>
          <w:cols w:equalWidth="0" w:num="2">
            <w:col w:w="8860" w:space="720"/>
            <w:col w:w="1860"/>
          </w:cols>
          <w:pgMar w:left="240" w:top="452" w:right="219" w:bottom="1440" w:gutter="0" w:footer="0" w:header="0"/>
        </w:sectPr>
      </w:pPr>
    </w:p>
    <w:p>
      <w:pPr>
        <w:ind w:left="460"/>
        <w:spacing w:after="0" w:line="224" w:lineRule="auto"/>
        <w:rPr>
          <w:sz w:val="20"/>
          <w:szCs w:val="20"/>
          <w:color w:val="auto"/>
        </w:rPr>
      </w:pPr>
      <w:r>
        <w:rPr>
          <w:rFonts w:ascii="Arial" w:cs="Arial" w:eastAsia="Arial" w:hAnsi="Arial"/>
          <w:sz w:val="51"/>
          <w:szCs w:val="51"/>
          <w:color w:val="5F81AA"/>
        </w:rPr>
        <w:t>Fourth Quarter Outlook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492"/>
        </w:trPr>
        <w:tc>
          <w:tcPr>
            <w:tcW w:w="460" w:type="dxa"/>
            <w:vAlign w:val="bottom"/>
          </w:tcPr>
          <w:p>
            <w:pPr>
              <w:spacing w:after="0"/>
              <w:rPr>
                <w:sz w:val="24"/>
                <w:szCs w:val="24"/>
                <w:color w:val="auto"/>
              </w:rPr>
            </w:pPr>
          </w:p>
        </w:tc>
        <w:tc>
          <w:tcPr>
            <w:tcW w:w="1880" w:type="dxa"/>
            <w:vAlign w:val="bottom"/>
            <w:tcBorders>
              <w:top w:val="single" w:sz="8" w:color="auto"/>
            </w:tcBorders>
          </w:tcPr>
          <w:p>
            <w:pPr>
              <w:ind w:left="100"/>
              <w:spacing w:after="0"/>
              <w:rPr>
                <w:sz w:val="20"/>
                <w:szCs w:val="20"/>
                <w:color w:val="auto"/>
              </w:rPr>
            </w:pPr>
            <w:r>
              <w:rPr>
                <w:rFonts w:ascii="Arial" w:cs="Arial" w:eastAsia="Arial" w:hAnsi="Arial"/>
                <w:sz w:val="32"/>
                <w:szCs w:val="32"/>
                <w:b w:val="1"/>
                <w:bCs w:val="1"/>
                <w:color w:val="5F81AA"/>
              </w:rPr>
              <w:t>Revenue</w:t>
            </w:r>
          </w:p>
        </w:tc>
        <w:tc>
          <w:tcPr>
            <w:tcW w:w="2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Total</w:t>
            </w:r>
          </w:p>
        </w:tc>
        <w:tc>
          <w:tcPr>
            <w:tcW w:w="5420" w:type="dxa"/>
            <w:vAlign w:val="bottom"/>
            <w:tcBorders>
              <w:top w:val="single" w:sz="8" w:color="auto"/>
            </w:tcBorders>
          </w:tcPr>
          <w:p>
            <w:pPr>
              <w:ind w:left="220"/>
              <w:spacing w:after="0"/>
              <w:rPr>
                <w:sz w:val="20"/>
                <w:szCs w:val="20"/>
                <w:color w:val="auto"/>
              </w:rPr>
            </w:pPr>
            <w:r>
              <w:rPr>
                <w:rFonts w:ascii="Arial" w:cs="Arial" w:eastAsia="Arial" w:hAnsi="Arial"/>
                <w:sz w:val="29"/>
                <w:szCs w:val="29"/>
                <w:color w:val="auto"/>
              </w:rPr>
              <w:t>Up 7-9% (Up 5-7% CC)</w:t>
            </w: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72"/>
        </w:trPr>
        <w:tc>
          <w:tcPr>
            <w:tcW w:w="4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980" w:type="dxa"/>
            <w:vAlign w:val="bottom"/>
            <w:tcBorders>
              <w:bottom w:val="single" w:sz="8" w:color="auto"/>
              <w:right w:val="single" w:sz="8" w:color="auto"/>
            </w:tcBorders>
          </w:tcPr>
          <w:p>
            <w:pPr>
              <w:spacing w:after="0"/>
              <w:rPr>
                <w:sz w:val="6"/>
                <w:szCs w:val="6"/>
                <w:color w:val="auto"/>
              </w:rPr>
            </w:pPr>
          </w:p>
        </w:tc>
        <w:tc>
          <w:tcPr>
            <w:tcW w:w="54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r>
      <w:tr>
        <w:trPr>
          <w:trHeight w:val="462"/>
        </w:trPr>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980" w:type="dxa"/>
            <w:vAlign w:val="bottom"/>
            <w:tcBorders>
              <w:right w:val="single" w:sz="8" w:color="auto"/>
            </w:tcBorders>
          </w:tcPr>
          <w:p>
            <w:pPr>
              <w:jc w:val="right"/>
              <w:spacing w:after="0"/>
              <w:rPr>
                <w:sz w:val="20"/>
                <w:szCs w:val="20"/>
                <w:color w:val="auto"/>
              </w:rPr>
            </w:pPr>
            <w:r>
              <w:rPr>
                <w:rFonts w:ascii="Arial" w:cs="Arial" w:eastAsia="Arial" w:hAnsi="Arial"/>
                <w:sz w:val="29"/>
                <w:szCs w:val="29"/>
                <w:b w:val="1"/>
                <w:bCs w:val="1"/>
                <w:color w:val="auto"/>
              </w:rPr>
              <w:t>Americas</w:t>
            </w:r>
          </w:p>
        </w:tc>
        <w:tc>
          <w:tcPr>
            <w:tcW w:w="5420" w:type="dxa"/>
            <w:vAlign w:val="bottom"/>
          </w:tcPr>
          <w:p>
            <w:pPr>
              <w:ind w:left="220"/>
              <w:spacing w:after="0"/>
              <w:rPr>
                <w:sz w:val="20"/>
                <w:szCs w:val="20"/>
                <w:color w:val="auto"/>
              </w:rPr>
            </w:pPr>
            <w:r>
              <w:rPr>
                <w:rFonts w:ascii="Arial" w:cs="Arial" w:eastAsia="Arial" w:hAnsi="Arial"/>
                <w:sz w:val="29"/>
                <w:szCs w:val="29"/>
                <w:color w:val="auto"/>
              </w:rPr>
              <w:t>Up 3-5% (Up 4-6% CC)</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4"/>
        </w:trPr>
        <w:tc>
          <w:tcPr>
            <w:tcW w:w="4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980" w:type="dxa"/>
            <w:vAlign w:val="bottom"/>
            <w:tcBorders>
              <w:bottom w:val="single" w:sz="8" w:color="auto"/>
              <w:right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r>
      <w:tr>
        <w:trPr>
          <w:trHeight w:val="462"/>
        </w:trPr>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980" w:type="dxa"/>
            <w:vAlign w:val="bottom"/>
            <w:tcBorders>
              <w:right w:val="single" w:sz="8" w:color="auto"/>
            </w:tcBorders>
          </w:tcPr>
          <w:p>
            <w:pPr>
              <w:jc w:val="right"/>
              <w:spacing w:after="0"/>
              <w:rPr>
                <w:sz w:val="20"/>
                <w:szCs w:val="20"/>
                <w:color w:val="auto"/>
              </w:rPr>
            </w:pPr>
            <w:r>
              <w:rPr>
                <w:rFonts w:ascii="Arial" w:cs="Arial" w:eastAsia="Arial" w:hAnsi="Arial"/>
                <w:sz w:val="29"/>
                <w:szCs w:val="29"/>
                <w:b w:val="1"/>
                <w:bCs w:val="1"/>
                <w:color w:val="auto"/>
              </w:rPr>
              <w:t>Southern Europe</w:t>
            </w:r>
          </w:p>
        </w:tc>
        <w:tc>
          <w:tcPr>
            <w:tcW w:w="5420" w:type="dxa"/>
            <w:vAlign w:val="bottom"/>
          </w:tcPr>
          <w:p>
            <w:pPr>
              <w:ind w:left="220"/>
              <w:spacing w:after="0"/>
              <w:rPr>
                <w:sz w:val="20"/>
                <w:szCs w:val="20"/>
                <w:color w:val="auto"/>
              </w:rPr>
            </w:pPr>
            <w:r>
              <w:rPr>
                <w:rFonts w:ascii="Arial" w:cs="Arial" w:eastAsia="Arial" w:hAnsi="Arial"/>
                <w:sz w:val="29"/>
                <w:szCs w:val="29"/>
                <w:color w:val="auto"/>
              </w:rPr>
              <w:t>Up 7-9% (Up 5-7% CC)</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4"/>
        </w:trPr>
        <w:tc>
          <w:tcPr>
            <w:tcW w:w="4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980" w:type="dxa"/>
            <w:vAlign w:val="bottom"/>
            <w:tcBorders>
              <w:bottom w:val="single" w:sz="8" w:color="auto"/>
              <w:right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r>
      <w:tr>
        <w:trPr>
          <w:trHeight w:val="462"/>
        </w:trPr>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980" w:type="dxa"/>
            <w:vAlign w:val="bottom"/>
            <w:tcBorders>
              <w:right w:val="single" w:sz="8" w:color="auto"/>
            </w:tcBorders>
          </w:tcPr>
          <w:p>
            <w:pPr>
              <w:jc w:val="right"/>
              <w:spacing w:after="0"/>
              <w:rPr>
                <w:sz w:val="20"/>
                <w:szCs w:val="20"/>
                <w:color w:val="auto"/>
              </w:rPr>
            </w:pPr>
            <w:r>
              <w:rPr>
                <w:rFonts w:ascii="Arial" w:cs="Arial" w:eastAsia="Arial" w:hAnsi="Arial"/>
                <w:sz w:val="29"/>
                <w:szCs w:val="29"/>
                <w:b w:val="1"/>
                <w:bCs w:val="1"/>
                <w:color w:val="auto"/>
              </w:rPr>
              <w:t>Northern Europe</w:t>
            </w:r>
          </w:p>
        </w:tc>
        <w:tc>
          <w:tcPr>
            <w:tcW w:w="5420" w:type="dxa"/>
            <w:vAlign w:val="bottom"/>
          </w:tcPr>
          <w:p>
            <w:pPr>
              <w:ind w:left="220"/>
              <w:spacing w:after="0"/>
              <w:rPr>
                <w:sz w:val="20"/>
                <w:szCs w:val="20"/>
                <w:color w:val="auto"/>
              </w:rPr>
            </w:pPr>
            <w:r>
              <w:rPr>
                <w:rFonts w:ascii="Arial" w:cs="Arial" w:eastAsia="Arial" w:hAnsi="Arial"/>
                <w:sz w:val="29"/>
                <w:szCs w:val="29"/>
                <w:color w:val="auto"/>
              </w:rPr>
              <w:t>Up 7-9% (Up 5-7% CC)</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4"/>
        </w:trPr>
        <w:tc>
          <w:tcPr>
            <w:tcW w:w="4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980" w:type="dxa"/>
            <w:vAlign w:val="bottom"/>
            <w:tcBorders>
              <w:bottom w:val="single" w:sz="8" w:color="auto"/>
              <w:right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r>
      <w:tr>
        <w:trPr>
          <w:trHeight w:val="462"/>
        </w:trPr>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980" w:type="dxa"/>
            <w:vAlign w:val="bottom"/>
            <w:tcBorders>
              <w:right w:val="single" w:sz="8" w:color="auto"/>
            </w:tcBorders>
          </w:tcPr>
          <w:p>
            <w:pPr>
              <w:jc w:val="right"/>
              <w:spacing w:after="0"/>
              <w:rPr>
                <w:sz w:val="20"/>
                <w:szCs w:val="20"/>
                <w:color w:val="auto"/>
              </w:rPr>
            </w:pPr>
            <w:r>
              <w:rPr>
                <w:rFonts w:ascii="Arial" w:cs="Arial" w:eastAsia="Arial" w:hAnsi="Arial"/>
                <w:sz w:val="29"/>
                <w:szCs w:val="29"/>
                <w:b w:val="1"/>
                <w:bCs w:val="1"/>
                <w:color w:val="auto"/>
              </w:rPr>
              <w:t>APME</w:t>
            </w:r>
          </w:p>
        </w:tc>
        <w:tc>
          <w:tcPr>
            <w:tcW w:w="5420" w:type="dxa"/>
            <w:vAlign w:val="bottom"/>
          </w:tcPr>
          <w:p>
            <w:pPr>
              <w:ind w:left="220"/>
              <w:spacing w:after="0"/>
              <w:rPr>
                <w:sz w:val="20"/>
                <w:szCs w:val="20"/>
                <w:color w:val="auto"/>
              </w:rPr>
            </w:pPr>
            <w:r>
              <w:rPr>
                <w:rFonts w:ascii="Arial" w:cs="Arial" w:eastAsia="Arial" w:hAnsi="Arial"/>
                <w:sz w:val="29"/>
                <w:szCs w:val="29"/>
                <w:color w:val="auto"/>
              </w:rPr>
              <w:t>Up 16-18% (Up 10-12% CC)</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4"/>
        </w:trPr>
        <w:tc>
          <w:tcPr>
            <w:tcW w:w="4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980" w:type="dxa"/>
            <w:vAlign w:val="bottom"/>
            <w:tcBorders>
              <w:bottom w:val="single" w:sz="8" w:color="auto"/>
              <w:right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r>
      <w:tr>
        <w:trPr>
          <w:trHeight w:val="450"/>
        </w:trPr>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980" w:type="dxa"/>
            <w:vAlign w:val="bottom"/>
            <w:tcBorders>
              <w:right w:val="single" w:sz="8" w:color="auto"/>
            </w:tcBorders>
          </w:tcPr>
          <w:p>
            <w:pPr>
              <w:jc w:val="right"/>
              <w:spacing w:after="0"/>
              <w:rPr>
                <w:sz w:val="20"/>
                <w:szCs w:val="20"/>
                <w:color w:val="auto"/>
              </w:rPr>
            </w:pPr>
            <w:r>
              <w:rPr>
                <w:rFonts w:ascii="Arial" w:cs="Arial" w:eastAsia="Arial" w:hAnsi="Arial"/>
                <w:sz w:val="29"/>
                <w:szCs w:val="29"/>
                <w:b w:val="1"/>
                <w:bCs w:val="1"/>
                <w:color w:val="auto"/>
              </w:rPr>
              <w:t>Right Management</w:t>
            </w:r>
          </w:p>
        </w:tc>
        <w:tc>
          <w:tcPr>
            <w:tcW w:w="5420" w:type="dxa"/>
            <w:vAlign w:val="bottom"/>
          </w:tcPr>
          <w:p>
            <w:pPr>
              <w:ind w:left="220"/>
              <w:spacing w:after="0"/>
              <w:rPr>
                <w:sz w:val="20"/>
                <w:szCs w:val="20"/>
                <w:color w:val="auto"/>
              </w:rPr>
            </w:pPr>
            <w:r>
              <w:rPr>
                <w:rFonts w:ascii="Arial" w:cs="Arial" w:eastAsia="Arial" w:hAnsi="Arial"/>
                <w:sz w:val="29"/>
                <w:szCs w:val="29"/>
                <w:color w:val="auto"/>
              </w:rPr>
              <w:t>Down 7-9% (Down 8-10% CC)</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460" w:type="dxa"/>
            <w:vAlign w:val="bottom"/>
          </w:tcPr>
          <w:p>
            <w:pPr>
              <w:spacing w:after="0"/>
              <w:rPr>
                <w:sz w:val="8"/>
                <w:szCs w:val="8"/>
                <w:color w:val="auto"/>
              </w:rPr>
            </w:pPr>
          </w:p>
        </w:tc>
        <w:tc>
          <w:tcPr>
            <w:tcW w:w="4860" w:type="dxa"/>
            <w:vAlign w:val="bottom"/>
            <w:tcBorders>
              <w:bottom w:val="single" w:sz="8" w:color="auto"/>
              <w:right w:val="single" w:sz="8" w:color="auto"/>
            </w:tcBorders>
            <w:gridSpan w:val="2"/>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r>
      <w:tr>
        <w:trPr>
          <w:trHeight w:val="468"/>
        </w:trPr>
        <w:tc>
          <w:tcPr>
            <w:tcW w:w="460" w:type="dxa"/>
            <w:vAlign w:val="bottom"/>
          </w:tcPr>
          <w:p>
            <w:pPr>
              <w:spacing w:after="0"/>
              <w:rPr>
                <w:sz w:val="24"/>
                <w:szCs w:val="24"/>
                <w:color w:val="auto"/>
              </w:rPr>
            </w:pPr>
          </w:p>
        </w:tc>
        <w:tc>
          <w:tcPr>
            <w:tcW w:w="4860" w:type="dxa"/>
            <w:vAlign w:val="bottom"/>
            <w:tcBorders>
              <w:right w:val="single" w:sz="8" w:color="auto"/>
            </w:tcBorders>
            <w:gridSpan w:val="2"/>
          </w:tcPr>
          <w:p>
            <w:pPr>
              <w:ind w:left="100"/>
              <w:spacing w:after="0"/>
              <w:rPr>
                <w:sz w:val="20"/>
                <w:szCs w:val="20"/>
                <w:color w:val="auto"/>
              </w:rPr>
            </w:pPr>
            <w:r>
              <w:rPr>
                <w:rFonts w:ascii="Arial" w:cs="Arial" w:eastAsia="Arial" w:hAnsi="Arial"/>
                <w:sz w:val="32"/>
                <w:szCs w:val="32"/>
                <w:b w:val="1"/>
                <w:bCs w:val="1"/>
                <w:color w:val="5F81AA"/>
              </w:rPr>
              <w:t>Gross Profit Margin</w:t>
            </w:r>
          </w:p>
        </w:tc>
        <w:tc>
          <w:tcPr>
            <w:tcW w:w="5420" w:type="dxa"/>
            <w:vAlign w:val="bottom"/>
          </w:tcPr>
          <w:p>
            <w:pPr>
              <w:ind w:left="220"/>
              <w:spacing w:after="0"/>
              <w:rPr>
                <w:sz w:val="20"/>
                <w:szCs w:val="20"/>
                <w:color w:val="auto"/>
              </w:rPr>
            </w:pPr>
            <w:r>
              <w:rPr>
                <w:rFonts w:ascii="Arial" w:cs="Arial" w:eastAsia="Arial" w:hAnsi="Arial"/>
                <w:sz w:val="29"/>
                <w:szCs w:val="29"/>
                <w:color w:val="auto"/>
              </w:rPr>
              <w:t>16.9 - 17.1%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88"/>
        </w:trPr>
        <w:tc>
          <w:tcPr>
            <w:tcW w:w="460" w:type="dxa"/>
            <w:vAlign w:val="bottom"/>
          </w:tcPr>
          <w:p>
            <w:pPr>
              <w:spacing w:after="0"/>
              <w:rPr>
                <w:sz w:val="7"/>
                <w:szCs w:val="7"/>
                <w:color w:val="auto"/>
              </w:rPr>
            </w:pPr>
          </w:p>
        </w:tc>
        <w:tc>
          <w:tcPr>
            <w:tcW w:w="4860" w:type="dxa"/>
            <w:vAlign w:val="bottom"/>
            <w:tcBorders>
              <w:bottom w:val="single" w:sz="8" w:color="auto"/>
              <w:right w:val="single" w:sz="8" w:color="auto"/>
            </w:tcBorders>
            <w:gridSpan w:val="2"/>
          </w:tcPr>
          <w:p>
            <w:pPr>
              <w:spacing w:after="0"/>
              <w:rPr>
                <w:sz w:val="7"/>
                <w:szCs w:val="7"/>
                <w:color w:val="auto"/>
              </w:rPr>
            </w:pPr>
          </w:p>
        </w:tc>
        <w:tc>
          <w:tcPr>
            <w:tcW w:w="54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r>
      <w:tr>
        <w:trPr>
          <w:trHeight w:val="557"/>
        </w:trPr>
        <w:tc>
          <w:tcPr>
            <w:tcW w:w="460" w:type="dxa"/>
            <w:vAlign w:val="bottom"/>
          </w:tcPr>
          <w:p>
            <w:pPr>
              <w:spacing w:after="0"/>
              <w:rPr>
                <w:sz w:val="24"/>
                <w:szCs w:val="24"/>
                <w:color w:val="auto"/>
              </w:rPr>
            </w:pPr>
          </w:p>
        </w:tc>
        <w:tc>
          <w:tcPr>
            <w:tcW w:w="48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32"/>
                <w:szCs w:val="32"/>
                <w:b w:val="1"/>
                <w:bCs w:val="1"/>
                <w:color w:val="5F81AA"/>
              </w:rPr>
              <w:t>Operating Profit Margin</w:t>
            </w:r>
            <w:r>
              <w:rPr>
                <w:rFonts w:ascii="Arial" w:cs="Arial" w:eastAsia="Arial" w:hAnsi="Arial"/>
                <w:sz w:val="44"/>
                <w:szCs w:val="44"/>
                <w:b w:val="1"/>
                <w:bCs w:val="1"/>
                <w:color w:val="4F81BD"/>
                <w:vertAlign w:val="superscript"/>
              </w:rPr>
              <w:t>(a)</w:t>
            </w:r>
          </w:p>
        </w:tc>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29"/>
                <w:szCs w:val="29"/>
                <w:color w:val="auto"/>
              </w:rPr>
              <w:t>2.5 - 2.7%</w:t>
            </w:r>
          </w:p>
        </w:tc>
        <w:tc>
          <w:tcPr>
            <w:tcW w:w="4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1880" w:type="dxa"/>
            <w:vAlign w:val="bottom"/>
          </w:tcPr>
          <w:p>
            <w:pPr>
              <w:ind w:left="100"/>
              <w:spacing w:after="0"/>
              <w:rPr>
                <w:sz w:val="20"/>
                <w:szCs w:val="20"/>
                <w:color w:val="auto"/>
              </w:rPr>
            </w:pPr>
            <w:r>
              <w:rPr>
                <w:rFonts w:ascii="Arial" w:cs="Arial" w:eastAsia="Arial" w:hAnsi="Arial"/>
                <w:sz w:val="32"/>
                <w:szCs w:val="32"/>
                <w:b w:val="1"/>
                <w:bCs w:val="1"/>
                <w:color w:val="5F81AA"/>
              </w:rPr>
              <w:t>Tax Rate</w:t>
            </w:r>
          </w:p>
        </w:tc>
        <w:tc>
          <w:tcPr>
            <w:tcW w:w="2980" w:type="dxa"/>
            <w:vAlign w:val="bottom"/>
            <w:tcBorders>
              <w:right w:val="single" w:sz="8" w:color="auto"/>
            </w:tcBorders>
          </w:tcPr>
          <w:p>
            <w:pPr>
              <w:spacing w:after="0"/>
              <w:rPr>
                <w:sz w:val="24"/>
                <w:szCs w:val="24"/>
                <w:color w:val="auto"/>
              </w:rPr>
            </w:pPr>
          </w:p>
        </w:tc>
        <w:tc>
          <w:tcPr>
            <w:tcW w:w="5420" w:type="dxa"/>
            <w:vAlign w:val="bottom"/>
          </w:tcPr>
          <w:p>
            <w:pPr>
              <w:ind w:left="220"/>
              <w:spacing w:after="0"/>
              <w:rPr>
                <w:sz w:val="20"/>
                <w:szCs w:val="20"/>
                <w:color w:val="auto"/>
              </w:rPr>
            </w:pPr>
            <w:r>
              <w:rPr>
                <w:rFonts w:ascii="Arial" w:cs="Arial" w:eastAsia="Arial" w:hAnsi="Arial"/>
                <w:sz w:val="29"/>
                <w:szCs w:val="29"/>
                <w:color w:val="auto"/>
              </w:rPr>
              <w:t>46%</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2"/>
        </w:trPr>
        <w:tc>
          <w:tcPr>
            <w:tcW w:w="460" w:type="dxa"/>
            <w:vAlign w:val="bottom"/>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557"/>
        </w:trPr>
        <w:tc>
          <w:tcPr>
            <w:tcW w:w="460" w:type="dxa"/>
            <w:vAlign w:val="bottom"/>
          </w:tcPr>
          <w:p>
            <w:pPr>
              <w:spacing w:after="0"/>
              <w:rPr>
                <w:sz w:val="24"/>
                <w:szCs w:val="24"/>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32"/>
                <w:szCs w:val="32"/>
                <w:b w:val="1"/>
                <w:bCs w:val="1"/>
                <w:color w:val="5F81AA"/>
              </w:rPr>
              <w:t>EPS</w:t>
            </w:r>
            <w:r>
              <w:rPr>
                <w:rFonts w:ascii="Arial" w:cs="Arial" w:eastAsia="Arial" w:hAnsi="Arial"/>
                <w:sz w:val="44"/>
                <w:szCs w:val="44"/>
                <w:b w:val="1"/>
                <w:bCs w:val="1"/>
                <w:color w:val="4F81BD"/>
                <w:vertAlign w:val="superscript"/>
              </w:rPr>
              <w:t>(a)</w:t>
            </w:r>
          </w:p>
        </w:tc>
        <w:tc>
          <w:tcPr>
            <w:tcW w:w="2980" w:type="dxa"/>
            <w:vAlign w:val="bottom"/>
            <w:tcBorders>
              <w:bottom w:val="single" w:sz="8" w:color="auto"/>
              <w:right w:val="single" w:sz="8" w:color="auto"/>
            </w:tcBorders>
          </w:tcPr>
          <w:p>
            <w:pPr>
              <w:spacing w:after="0"/>
              <w:rPr>
                <w:sz w:val="24"/>
                <w:szCs w:val="24"/>
                <w:color w:val="auto"/>
              </w:rPr>
            </w:pPr>
          </w:p>
        </w:tc>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29"/>
                <w:szCs w:val="29"/>
                <w:color w:val="auto"/>
              </w:rPr>
              <w:t>$0.85 - $0.95 (Favorable $.03 Currency)</w:t>
            </w:r>
          </w:p>
        </w:tc>
        <w:tc>
          <w:tcPr>
            <w:tcW w:w="4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667"/>
        </w:trPr>
        <w:tc>
          <w:tcPr>
            <w:tcW w:w="460" w:type="dxa"/>
            <w:vAlign w:val="bottom"/>
          </w:tcPr>
          <w:p>
            <w:pPr>
              <w:spacing w:after="0"/>
              <w:rPr>
                <w:sz w:val="24"/>
                <w:szCs w:val="24"/>
                <w:color w:val="auto"/>
              </w:rPr>
            </w:pPr>
          </w:p>
        </w:tc>
        <w:tc>
          <w:tcPr>
            <w:tcW w:w="10280" w:type="dxa"/>
            <w:vAlign w:val="bottom"/>
            <w:gridSpan w:val="3"/>
          </w:tcPr>
          <w:p>
            <w:pPr>
              <w:ind w:left="120"/>
              <w:spacing w:after="0"/>
              <w:rPr>
                <w:sz w:val="20"/>
                <w:szCs w:val="20"/>
                <w:color w:val="auto"/>
              </w:rPr>
            </w:pPr>
            <w:r>
              <w:rPr>
                <w:rFonts w:ascii="Arial" w:cs="Arial" w:eastAsia="Arial" w:hAnsi="Arial"/>
                <w:sz w:val="26"/>
                <w:szCs w:val="26"/>
                <w:color w:val="auto"/>
                <w:vertAlign w:val="superscript"/>
              </w:rPr>
              <w:t>(a)</w:t>
            </w:r>
            <w:r>
              <w:rPr>
                <w:rFonts w:ascii="Arial" w:cs="Arial" w:eastAsia="Arial" w:hAnsi="Arial"/>
                <w:sz w:val="19"/>
                <w:szCs w:val="19"/>
                <w:color w:val="auto"/>
              </w:rPr>
              <w:t xml:space="preserve"> Excludes anticipated reorganization charges of $16M-$22M ($0.15-$0.20 per diluted share).</w:t>
            </w:r>
          </w:p>
        </w:tc>
        <w:tc>
          <w:tcPr>
            <w:tcW w:w="460" w:type="dxa"/>
            <w:vAlign w:val="bottom"/>
          </w:tcPr>
          <w:p>
            <w:pPr>
              <w:jc w:val="right"/>
              <w:ind w:right="168"/>
              <w:spacing w:after="0"/>
              <w:rPr>
                <w:sz w:val="20"/>
                <w:szCs w:val="20"/>
                <w:color w:val="auto"/>
              </w:rPr>
            </w:pPr>
            <w:r>
              <w:rPr>
                <w:rFonts w:ascii="Arial" w:cs="Arial" w:eastAsia="Arial" w:hAnsi="Arial"/>
                <w:sz w:val="14"/>
                <w:szCs w:val="14"/>
                <w:color w:val="898989"/>
              </w:rPr>
              <w:t>17</w:t>
            </w:r>
          </w:p>
        </w:tc>
        <w:tc>
          <w:tcPr>
            <w:tcW w:w="240" w:type="dxa"/>
            <w:vAlign w:val="bottom"/>
          </w:tcPr>
          <w:p>
            <w:pPr>
              <w:spacing w:after="0"/>
              <w:rPr>
                <w:sz w:val="24"/>
                <w:szCs w:val="24"/>
                <w:color w:val="auto"/>
              </w:rPr>
            </w:pPr>
          </w:p>
        </w:tc>
      </w:tr>
      <w:tr>
        <w:trPr>
          <w:trHeight w:val="566"/>
        </w:trPr>
        <w:tc>
          <w:tcPr>
            <w:tcW w:w="46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2" w:right="219" w:bottom="1440" w:gutter="0" w:footer="0" w:header="0"/>
          <w:type w:val="continuous"/>
        </w:sectPr>
      </w:pPr>
    </w:p>
    <w:bookmarkStart w:id="28" w:name="page29"/>
    <w:bookmarkEnd w:id="28"/>
    <w:p>
      <w:pPr>
        <w:ind w:left="100" w:right="328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3</w:t>
      </w:r>
      <w:r>
        <w:rPr>
          <w:rFonts w:ascii="Arial" w:cs="Arial" w:eastAsia="Arial" w:hAnsi="Arial"/>
          <w:sz w:val="17"/>
          <w:szCs w:val="17"/>
          <w:b w:val="1"/>
          <w:bCs w:val="1"/>
          <w:color w:val="FFFFFF"/>
        </w:rPr>
        <w:t>rd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October</w:t>
      </w:r>
    </w:p>
    <w:p>
      <w:pPr>
        <w:spacing w:after="0" w:line="581" w:lineRule="exact"/>
        <w:rPr>
          <w:sz w:val="20"/>
          <w:szCs w:val="20"/>
          <w:color w:val="auto"/>
        </w:rPr>
      </w:pPr>
    </w:p>
    <w:p>
      <w:pPr>
        <w:sectPr>
          <w:pgSz w:w="11900" w:h="16838" w:orient="portrait"/>
          <w:cols w:equalWidth="0" w:num="2">
            <w:col w:w="8520" w:space="720"/>
            <w:col w:w="1380"/>
          </w:cols>
          <w:pgMar w:left="580" w:top="452" w:right="69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51"/>
          <w:szCs w:val="51"/>
          <w:color w:val="5F81AA"/>
        </w:rPr>
        <w:t>Gross Profit Development - Q3 2011</w:t>
      </w:r>
    </w:p>
    <w:p>
      <w:pPr>
        <w:spacing w:after="0" w:line="200" w:lineRule="exact"/>
        <w:rPr>
          <w:sz w:val="20"/>
          <w:szCs w:val="20"/>
          <w:color w:val="auto"/>
        </w:rPr>
      </w:pPr>
    </w:p>
    <w:p>
      <w:pPr>
        <w:spacing w:after="0" w:line="292" w:lineRule="exact"/>
        <w:rPr>
          <w:sz w:val="20"/>
          <w:szCs w:val="20"/>
          <w:color w:val="auto"/>
        </w:rPr>
      </w:pPr>
    </w:p>
    <w:tbl>
      <w:tblPr>
        <w:tblLayout w:type="fixed"/>
        <w:tblInd w:w="960" w:type="dxa"/>
        <w:tblCellMar>
          <w:top w:w="0" w:type="dxa"/>
          <w:left w:w="0" w:type="dxa"/>
          <w:bottom w:w="0" w:type="dxa"/>
          <w:right w:w="0" w:type="dxa"/>
        </w:tblCellMar>
      </w:tblPr>
      <w:tr>
        <w:trPr>
          <w:trHeight w:val="312"/>
        </w:trPr>
        <w:tc>
          <w:tcPr>
            <w:tcW w:w="4540" w:type="dxa"/>
            <w:vAlign w:val="bottom"/>
          </w:tcPr>
          <w:p>
            <w:pPr>
              <w:jc w:val="center"/>
              <w:ind w:right="1132"/>
              <w:spacing w:after="0"/>
              <w:rPr>
                <w:sz w:val="20"/>
                <w:szCs w:val="20"/>
                <w:color w:val="auto"/>
              </w:rPr>
            </w:pPr>
            <w:r>
              <w:rPr>
                <w:rFonts w:ascii="Arial" w:cs="Arial" w:eastAsia="Arial" w:hAnsi="Arial"/>
                <w:sz w:val="26"/>
                <w:szCs w:val="26"/>
                <w:b w:val="1"/>
                <w:bCs w:val="1"/>
                <w:color w:val="auto"/>
                <w:w w:val="98"/>
              </w:rPr>
              <w:t>Business Line Gross Profit</w:t>
            </w:r>
          </w:p>
        </w:tc>
        <w:tc>
          <w:tcPr>
            <w:tcW w:w="3700" w:type="dxa"/>
            <w:vAlign w:val="bottom"/>
          </w:tcPr>
          <w:p>
            <w:pPr>
              <w:jc w:val="center"/>
              <w:ind w:left="1148"/>
              <w:spacing w:after="0"/>
              <w:rPr>
                <w:sz w:val="20"/>
                <w:szCs w:val="20"/>
                <w:color w:val="auto"/>
              </w:rPr>
            </w:pPr>
            <w:r>
              <w:rPr>
                <w:rFonts w:ascii="Arial" w:cs="Arial" w:eastAsia="Arial" w:hAnsi="Arial"/>
                <w:sz w:val="26"/>
                <w:szCs w:val="26"/>
                <w:b w:val="1"/>
                <w:bCs w:val="1"/>
                <w:color w:val="auto"/>
                <w:w w:val="98"/>
              </w:rPr>
              <w:t>Gross Profit Growth</w:t>
            </w:r>
          </w:p>
        </w:tc>
      </w:tr>
      <w:tr>
        <w:trPr>
          <w:trHeight w:val="340"/>
        </w:trPr>
        <w:tc>
          <w:tcPr>
            <w:tcW w:w="4540" w:type="dxa"/>
            <w:vAlign w:val="bottom"/>
          </w:tcPr>
          <w:p>
            <w:pPr>
              <w:jc w:val="center"/>
              <w:ind w:right="1112"/>
              <w:spacing w:after="0"/>
              <w:rPr>
                <w:sz w:val="20"/>
                <w:szCs w:val="20"/>
                <w:color w:val="auto"/>
              </w:rPr>
            </w:pPr>
            <w:r>
              <w:rPr>
                <w:rFonts w:ascii="Arial" w:cs="Arial" w:eastAsia="Arial" w:hAnsi="Arial"/>
                <w:sz w:val="26"/>
                <w:szCs w:val="26"/>
                <w:b w:val="1"/>
                <w:bCs w:val="1"/>
                <w:color w:val="auto"/>
                <w:w w:val="98"/>
              </w:rPr>
              <w:t>$951M</w:t>
            </w:r>
          </w:p>
        </w:tc>
        <w:tc>
          <w:tcPr>
            <w:tcW w:w="3700" w:type="dxa"/>
            <w:vAlign w:val="bottom"/>
          </w:tcPr>
          <w:p>
            <w:pPr>
              <w:jc w:val="center"/>
              <w:ind w:left="1148"/>
              <w:spacing w:after="0"/>
              <w:rPr>
                <w:sz w:val="20"/>
                <w:szCs w:val="20"/>
                <w:color w:val="auto"/>
              </w:rPr>
            </w:pPr>
            <w:r>
              <w:rPr>
                <w:rFonts w:ascii="Arial" w:cs="Arial" w:eastAsia="Arial" w:hAnsi="Arial"/>
                <w:sz w:val="19"/>
                <w:szCs w:val="19"/>
                <w:b w:val="1"/>
                <w:bCs w:val="1"/>
                <w:color w:val="auto"/>
              </w:rPr>
              <w:t>in CC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18</w:t>
      </w:r>
    </w:p>
    <w:p>
      <w:pPr>
        <w:ind w:left="1200"/>
        <w:spacing w:after="0"/>
        <w:tabs>
          <w:tab w:leader="none" w:pos="4000" w:val="left"/>
          <w:tab w:leader="none" w:pos="6800" w:val="left"/>
        </w:tabs>
        <w:rPr>
          <w:sz w:val="20"/>
          <w:szCs w:val="20"/>
          <w:color w:val="auto"/>
        </w:rPr>
      </w:pPr>
      <w:r>
        <w:rPr>
          <w:rFonts w:ascii="Arial" w:cs="Arial" w:eastAsia="Arial" w:hAnsi="Arial"/>
          <w:sz w:val="16"/>
          <w:szCs w:val="16"/>
          <w:b w:val="1"/>
          <w:bCs w:val="1"/>
          <w:color w:val="6698C2"/>
        </w:rPr>
        <w:t xml:space="preserve">█ </w:t>
      </w:r>
      <w:r>
        <w:rPr>
          <w:rFonts w:ascii="Arial" w:cs="Arial" w:eastAsia="Arial" w:hAnsi="Arial"/>
          <w:sz w:val="16"/>
          <w:szCs w:val="16"/>
          <w:b w:val="1"/>
          <w:bCs w:val="1"/>
          <w:color w:val="000000"/>
        </w:rPr>
        <w:t>ManpowerGroup Solutions</w:t>
      </w:r>
      <w:r>
        <w:rPr>
          <w:sz w:val="20"/>
          <w:szCs w:val="20"/>
          <w:color w:val="auto"/>
        </w:rPr>
        <w:tab/>
      </w:r>
      <w:r>
        <w:rPr>
          <w:rFonts w:ascii="Arial" w:cs="Arial" w:eastAsia="Arial" w:hAnsi="Arial"/>
          <w:sz w:val="16"/>
          <w:szCs w:val="16"/>
          <w:b w:val="1"/>
          <w:bCs w:val="1"/>
          <w:color w:val="C46D24"/>
        </w:rPr>
        <w:t xml:space="preserve">█ </w:t>
      </w:r>
      <w:r>
        <w:rPr>
          <w:rFonts w:ascii="Arial" w:cs="Arial" w:eastAsia="Arial" w:hAnsi="Arial"/>
          <w:sz w:val="16"/>
          <w:szCs w:val="16"/>
          <w:b w:val="1"/>
          <w:bCs w:val="1"/>
          <w:color w:val="000000"/>
        </w:rPr>
        <w:t>Talent &amp; Career Management</w:t>
      </w:r>
      <w:r>
        <w:rPr>
          <w:sz w:val="20"/>
          <w:szCs w:val="20"/>
          <w:color w:val="auto"/>
        </w:rPr>
        <w:tab/>
      </w:r>
      <w:r>
        <w:rPr>
          <w:rFonts w:ascii="Arial" w:cs="Arial" w:eastAsia="Arial" w:hAnsi="Arial"/>
          <w:sz w:val="16"/>
          <w:szCs w:val="16"/>
          <w:b w:val="1"/>
          <w:bCs w:val="1"/>
          <w:color w:val="auto"/>
        </w:rPr>
        <w:t>█ ManpowerGroup -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323850</wp:posOffset>
            </wp:positionV>
            <wp:extent cx="726694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20"/>
          </w:cols>
          <w:pgMar w:left="580" w:top="452" w:right="69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980"/>
        <w:spacing w:after="0"/>
        <w:rPr>
          <w:sz w:val="20"/>
          <w:szCs w:val="20"/>
          <w:color w:val="auto"/>
        </w:rPr>
      </w:pPr>
      <w:r>
        <w:rPr>
          <w:rFonts w:ascii="Arial" w:cs="Arial" w:eastAsia="Arial" w:hAnsi="Arial"/>
          <w:sz w:val="76"/>
          <w:szCs w:val="76"/>
          <w:color w:val="FFFFFF"/>
        </w:rPr>
        <w:t>Questions</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lvl w:ilvl="1">
      <w:lvlJc w:val="left"/>
      <w:lvlText w:val="(%2)"/>
      <w:numFmt w:val="decimal"/>
      <w:start w:val="1"/>
    </w:lvl>
  </w:abstractNum>
  <w:abstractNum w:abstractNumId="12">
    <w:nsid w:val="3352255A"/>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2019-12-10T10:24:35Z</dcterms:created>
  <dcterms:modified xsi:type="dcterms:W3CDTF">2019-12-10T10:24:35Z</dcterms:modified>
</cp:coreProperties>
</file>