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5"/>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146050</wp:posOffset>
            </wp:positionH>
            <wp:positionV relativeFrom="page">
              <wp:posOffset>146050</wp:posOffset>
            </wp:positionV>
            <wp:extent cx="726948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9480" cy="27940"/>
                    </a:xfrm>
                    <a:prstGeom prst="rect">
                      <a:avLst/>
                    </a:prstGeom>
                    <a:noFill/>
                  </pic:spPr>
                </pic:pic>
              </a:graphicData>
            </a:graphic>
          </wp:anchor>
        </w:drawing>
        <w:t>UNITED STATES</w:t>
      </w:r>
    </w:p>
    <w:p>
      <w:pPr>
        <w:spacing w:after="0" w:line="29" w:lineRule="exact"/>
        <w:rPr>
          <w:sz w:val="24"/>
          <w:szCs w:val="24"/>
          <w:color w:val="auto"/>
        </w:rPr>
      </w:pPr>
    </w:p>
    <w:p>
      <w:pPr>
        <w:jc w:val="center"/>
        <w:ind w:right="-1125"/>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Washington, D.C. 20549</w:t>
      </w:r>
    </w:p>
    <w:p>
      <w:pPr>
        <w:spacing w:after="0" w:line="101" w:lineRule="exact"/>
        <w:rPr>
          <w:sz w:val="24"/>
          <w:szCs w:val="24"/>
          <w:color w:val="auto"/>
        </w:rPr>
      </w:pPr>
    </w:p>
    <w:p>
      <w:pPr>
        <w:jc w:val="center"/>
        <w:ind w:right="-1125"/>
        <w:spacing w:after="0"/>
        <w:rPr>
          <w:sz w:val="20"/>
          <w:szCs w:val="20"/>
          <w:color w:val="auto"/>
        </w:rPr>
      </w:pPr>
      <w:r>
        <w:rPr>
          <w:rFonts w:ascii="Arial" w:cs="Arial" w:eastAsia="Arial" w:hAnsi="Arial"/>
          <w:sz w:val="28"/>
          <w:szCs w:val="28"/>
          <w:b w:val="1"/>
          <w:bCs w:val="1"/>
          <w:color w:val="auto"/>
        </w:rPr>
        <w:t>FORM 8-K</w:t>
      </w:r>
    </w:p>
    <w:p>
      <w:pPr>
        <w:spacing w:after="0" w:line="148" w:lineRule="exact"/>
        <w:rPr>
          <w:sz w:val="24"/>
          <w:szCs w:val="24"/>
          <w:color w:val="auto"/>
        </w:rPr>
      </w:pPr>
    </w:p>
    <w:p>
      <w:pPr>
        <w:jc w:val="center"/>
        <w:ind w:right="-1125"/>
        <w:spacing w:after="0"/>
        <w:rPr>
          <w:sz w:val="20"/>
          <w:szCs w:val="20"/>
          <w:color w:val="auto"/>
        </w:rPr>
      </w:pPr>
      <w:r>
        <w:rPr>
          <w:rFonts w:ascii="Arial" w:cs="Arial" w:eastAsia="Arial" w:hAnsi="Arial"/>
          <w:sz w:val="19"/>
          <w:szCs w:val="19"/>
          <w:b w:val="1"/>
          <w:bCs w:val="1"/>
          <w:color w:val="auto"/>
        </w:rPr>
        <w:t>CURRENT REPORT</w:t>
      </w:r>
    </w:p>
    <w:p>
      <w:pPr>
        <w:spacing w:after="0" w:line="134" w:lineRule="exact"/>
        <w:rPr>
          <w:sz w:val="24"/>
          <w:szCs w:val="24"/>
          <w:color w:val="auto"/>
        </w:rPr>
      </w:pPr>
    </w:p>
    <w:p>
      <w:pPr>
        <w:jc w:val="center"/>
        <w:ind w:right="-1125"/>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7" w:lineRule="exact"/>
        <w:rPr>
          <w:sz w:val="24"/>
          <w:szCs w:val="24"/>
          <w:color w:val="auto"/>
        </w:rPr>
      </w:pPr>
    </w:p>
    <w:p>
      <w:pPr>
        <w:jc w:val="center"/>
        <w:ind w:right="-1125"/>
        <w:spacing w:after="0"/>
        <w:rPr>
          <w:sz w:val="20"/>
          <w:szCs w:val="20"/>
          <w:color w:val="auto"/>
        </w:rPr>
      </w:pPr>
      <w:r>
        <w:rPr>
          <w:rFonts w:ascii="Arial" w:cs="Arial" w:eastAsia="Arial" w:hAnsi="Arial"/>
          <w:sz w:val="15"/>
          <w:szCs w:val="15"/>
          <w:color w:val="auto"/>
        </w:rPr>
        <w:t>Date of Report (Date of earliest event reported): July 19, 2006</w:t>
      </w:r>
    </w:p>
    <w:p>
      <w:pPr>
        <w:spacing w:after="0" w:line="126" w:lineRule="exact"/>
        <w:rPr>
          <w:sz w:val="24"/>
          <w:szCs w:val="24"/>
          <w:color w:val="auto"/>
        </w:rPr>
      </w:pPr>
    </w:p>
    <w:p>
      <w:pPr>
        <w:jc w:val="center"/>
        <w:ind w:right="-1125"/>
        <w:spacing w:after="0"/>
        <w:rPr>
          <w:sz w:val="20"/>
          <w:szCs w:val="20"/>
          <w:color w:val="auto"/>
        </w:rPr>
      </w:pPr>
      <w:r>
        <w:rPr>
          <w:rFonts w:ascii="Arial" w:cs="Arial" w:eastAsia="Arial" w:hAnsi="Arial"/>
          <w:sz w:val="38"/>
          <w:szCs w:val="38"/>
          <w:b w:val="1"/>
          <w:bCs w:val="1"/>
          <w:color w:val="auto"/>
        </w:rPr>
        <w:t>MANPOWER INC.</w:t>
      </w:r>
    </w:p>
    <w:p>
      <w:pPr>
        <w:spacing w:after="0" w:line="37" w:lineRule="exact"/>
        <w:rPr>
          <w:sz w:val="24"/>
          <w:szCs w:val="24"/>
          <w:color w:val="auto"/>
        </w:rPr>
      </w:pPr>
    </w:p>
    <w:p>
      <w:pPr>
        <w:ind w:left="4426"/>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0306"/>
          </w:cols>
          <w:pgMar w:left="234" w:top="527" w:right="1359" w:bottom="1440" w:gutter="0" w:footer="0" w:header="0"/>
        </w:sectPr>
      </w:pPr>
    </w:p>
    <w:p>
      <w:pPr>
        <w:spacing w:after="0" w:line="156" w:lineRule="exact"/>
        <w:rPr>
          <w:sz w:val="24"/>
          <w:szCs w:val="24"/>
          <w:color w:val="auto"/>
        </w:rPr>
      </w:pPr>
    </w:p>
    <w:p>
      <w:pPr>
        <w:ind w:left="1606"/>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1-10686</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39-1672779</w:t>
      </w:r>
    </w:p>
    <w:p>
      <w:pPr>
        <w:spacing w:after="0" w:line="42" w:lineRule="exact"/>
        <w:rPr>
          <w:sz w:val="24"/>
          <w:szCs w:val="24"/>
          <w:color w:val="auto"/>
        </w:rPr>
      </w:pPr>
    </w:p>
    <w:p>
      <w:pPr>
        <w:sectPr>
          <w:pgSz w:w="11900" w:h="16838" w:orient="portrait"/>
          <w:cols w:equalWidth="0" w:num="3">
            <w:col w:w="4866" w:space="720"/>
            <w:col w:w="2940" w:space="720"/>
            <w:col w:w="1060"/>
          </w:cols>
          <w:pgMar w:left="234" w:top="527" w:right="1359" w:bottom="1440" w:gutter="0" w:footer="0" w:header="0"/>
          <w:type w:val="continuous"/>
        </w:sectPr>
      </w:pPr>
    </w:p>
    <w:p>
      <w:pPr>
        <w:spacing w:after="0" w:line="6" w:lineRule="exact"/>
        <w:rPr>
          <w:sz w:val="24"/>
          <w:szCs w:val="24"/>
          <w:color w:val="auto"/>
        </w:rPr>
      </w:pPr>
    </w:p>
    <w:p>
      <w:pPr>
        <w:jc w:val="center"/>
        <w:ind w:right="894"/>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894"/>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line="2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Arial" w:cs="Arial" w:eastAsia="Arial" w:hAnsi="Arial"/>
          <w:sz w:val="12"/>
          <w:szCs w:val="12"/>
          <w:b w:val="1"/>
          <w:bCs w:val="1"/>
          <w:color w:val="auto"/>
        </w:rPr>
        <w:t>(IRS Employer</w:t>
      </w:r>
    </w:p>
    <w:p>
      <w:pPr>
        <w:jc w:val="center"/>
        <w:ind w:right="240"/>
        <w:spacing w:after="0"/>
        <w:rPr>
          <w:sz w:val="20"/>
          <w:szCs w:val="20"/>
          <w:color w:val="auto"/>
        </w:rPr>
      </w:pPr>
      <w:r>
        <w:rPr>
          <w:rFonts w:ascii="Arial" w:cs="Arial" w:eastAsia="Arial" w:hAnsi="Arial"/>
          <w:sz w:val="9"/>
          <w:szCs w:val="9"/>
          <w:b w:val="1"/>
          <w:bCs w:val="1"/>
          <w:color w:val="auto"/>
        </w:rPr>
        <w:t>Identification No.)</w:t>
      </w:r>
    </w:p>
    <w:p>
      <w:pPr>
        <w:spacing w:after="0" w:line="190" w:lineRule="exact"/>
        <w:rPr>
          <w:sz w:val="24"/>
          <w:szCs w:val="24"/>
          <w:color w:val="auto"/>
        </w:rPr>
      </w:pPr>
    </w:p>
    <w:p>
      <w:pPr>
        <w:sectPr>
          <w:pgSz w:w="11900" w:h="16838" w:orient="portrait"/>
          <w:cols w:equalWidth="0" w:num="3">
            <w:col w:w="4786" w:space="720"/>
            <w:col w:w="2920" w:space="720"/>
            <w:col w:w="1160"/>
          </w:cols>
          <w:pgMar w:left="234" w:top="527" w:right="1359" w:bottom="1440" w:gutter="0" w:footer="0" w:header="0"/>
          <w:type w:val="continuous"/>
        </w:sectPr>
      </w:pPr>
    </w:p>
    <w:p>
      <w:pPr>
        <w:jc w:val="center"/>
        <w:ind w:right="2054"/>
        <w:spacing w:after="0"/>
        <w:rPr>
          <w:sz w:val="20"/>
          <w:szCs w:val="20"/>
          <w:color w:val="auto"/>
        </w:rPr>
      </w:pPr>
      <w:r>
        <w:rPr>
          <w:rFonts w:ascii="Arial" w:cs="Arial" w:eastAsia="Arial" w:hAnsi="Arial"/>
          <w:sz w:val="14"/>
          <w:szCs w:val="14"/>
          <w:b w:val="1"/>
          <w:bCs w:val="1"/>
          <w:color w:val="auto"/>
        </w:rPr>
        <w:t>5301 North Ironwood Road</w:t>
      </w:r>
    </w:p>
    <w:p>
      <w:pPr>
        <w:spacing w:after="0" w:line="37" w:lineRule="exact"/>
        <w:rPr>
          <w:sz w:val="24"/>
          <w:szCs w:val="24"/>
          <w:color w:val="auto"/>
        </w:rPr>
      </w:pPr>
    </w:p>
    <w:p>
      <w:pPr>
        <w:jc w:val="center"/>
        <w:ind w:right="2054"/>
        <w:spacing w:after="0"/>
        <w:rPr>
          <w:sz w:val="20"/>
          <w:szCs w:val="20"/>
          <w:color w:val="auto"/>
        </w:rPr>
      </w:pPr>
      <w:r>
        <w:rPr>
          <w:rFonts w:ascii="Arial" w:cs="Arial" w:eastAsia="Arial" w:hAnsi="Arial"/>
          <w:sz w:val="15"/>
          <w:szCs w:val="15"/>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53217</w:t>
      </w:r>
    </w:p>
    <w:p>
      <w:pPr>
        <w:spacing w:after="0" w:line="49" w:lineRule="exact"/>
        <w:rPr>
          <w:sz w:val="24"/>
          <w:szCs w:val="24"/>
          <w:color w:val="auto"/>
        </w:rPr>
      </w:pPr>
    </w:p>
    <w:p>
      <w:pPr>
        <w:sectPr>
          <w:pgSz w:w="11900" w:h="16838" w:orient="portrait"/>
          <w:cols w:equalWidth="0" w:num="2">
            <w:col w:w="7786" w:space="720"/>
            <w:col w:w="1800"/>
          </w:cols>
          <w:pgMar w:left="234" w:top="527" w:right="1359" w:bottom="1440" w:gutter="0" w:footer="0" w:header="0"/>
          <w:type w:val="continuous"/>
        </w:sectPr>
      </w:pPr>
    </w:p>
    <w:p>
      <w:pPr>
        <w:ind w:left="188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61" w:lineRule="exact"/>
        <w:rPr>
          <w:sz w:val="24"/>
          <w:szCs w:val="24"/>
          <w:color w:val="auto"/>
        </w:rPr>
      </w:pPr>
    </w:p>
    <w:p>
      <w:pPr>
        <w:sectPr>
          <w:pgSz w:w="11900" w:h="16838" w:orient="portrait"/>
          <w:cols w:equalWidth="0" w:num="2">
            <w:col w:w="7706" w:space="720"/>
            <w:col w:w="1880"/>
          </w:cols>
          <w:pgMar w:left="234" w:top="527" w:right="1359" w:bottom="1440" w:gutter="0" w:footer="0" w:header="0"/>
          <w:type w:val="continuous"/>
        </w:sectPr>
      </w:pPr>
    </w:p>
    <w:p>
      <w:pPr>
        <w:ind w:left="3626"/>
        <w:spacing w:after="0"/>
        <w:rPr>
          <w:sz w:val="20"/>
          <w:szCs w:val="20"/>
          <w:color w:val="auto"/>
        </w:rPr>
      </w:pPr>
      <w:r>
        <w:rPr>
          <w:rFonts w:ascii="Arial" w:cs="Arial" w:eastAsia="Arial" w:hAnsi="Arial"/>
          <w:sz w:val="15"/>
          <w:szCs w:val="15"/>
          <w:color w:val="auto"/>
        </w:rPr>
        <w:t>Registrant’s telephone number, including area code: (414) 961-1000</w:t>
      </w:r>
    </w:p>
    <w:p>
      <w:pPr>
        <w:spacing w:after="0" w:line="157"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Securities Act (17 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269480"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9480" cy="27940"/>
                    </a:xfrm>
                    <a:prstGeom prst="rect">
                      <a:avLst/>
                    </a:prstGeom>
                    <a:noFill/>
                  </pic:spPr>
                </pic:pic>
              </a:graphicData>
            </a:graphic>
          </wp:anchor>
        </w:drawing>
      </w:r>
    </w:p>
    <w:p>
      <w:pPr>
        <w:sectPr>
          <w:pgSz w:w="11900" w:h="16838" w:orient="portrait"/>
          <w:cols w:equalWidth="0" w:num="1">
            <w:col w:w="10306"/>
          </w:cols>
          <w:pgMar w:left="234" w:top="527" w:right="135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720" cy="24765"/>
                    </a:xfrm>
                    <a:prstGeom prst="rect">
                      <a:avLst/>
                    </a:prstGeom>
                    <a:noFill/>
                  </pic:spPr>
                </pic:pic>
              </a:graphicData>
            </a:graphic>
          </wp:anchor>
        </w:drawing>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90"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On July 19, 2006, we issued a press release announcing our results of operations for the quarter and six-month period ended June 30, 2006. A copy of the press release is attached hereto as Exhibit 99.1 and is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800" w:type="dxa"/>
            <w:vAlign w:val="bottom"/>
            <w:gridSpan w:val="2"/>
          </w:tcPr>
          <w:p>
            <w:pPr>
              <w:ind w:left="80"/>
              <w:spacing w:after="0"/>
              <w:rPr>
                <w:sz w:val="20"/>
                <w:szCs w:val="20"/>
                <w:color w:val="auto"/>
              </w:rPr>
            </w:pPr>
            <w:r>
              <w:rPr>
                <w:rFonts w:ascii="Arial" w:cs="Arial" w:eastAsia="Arial" w:hAnsi="Arial"/>
                <w:sz w:val="15"/>
                <w:szCs w:val="15"/>
                <w:b w:val="1"/>
                <w:bCs w:val="1"/>
                <w:color w:val="auto"/>
              </w:rPr>
              <w:t>Exhibits.</w:t>
            </w:r>
          </w:p>
        </w:tc>
        <w:tc>
          <w:tcPr>
            <w:tcW w:w="9240" w:type="dxa"/>
            <w:vAlign w:val="bottom"/>
          </w:tcPr>
          <w:p>
            <w:pPr>
              <w:spacing w:after="0"/>
              <w:rPr>
                <w:sz w:val="17"/>
                <w:szCs w:val="17"/>
                <w:color w:val="auto"/>
              </w:rPr>
            </w:pPr>
          </w:p>
        </w:tc>
      </w:tr>
      <w:tr>
        <w:trPr>
          <w:trHeight w:val="318"/>
        </w:trPr>
        <w:tc>
          <w:tcPr>
            <w:tcW w:w="460" w:type="dxa"/>
            <w:vAlign w:val="bottom"/>
          </w:tcPr>
          <w:p>
            <w:pPr>
              <w:spacing w:after="0"/>
              <w:rPr>
                <w:sz w:val="24"/>
                <w:szCs w:val="24"/>
                <w:color w:val="auto"/>
              </w:rPr>
            </w:pPr>
          </w:p>
        </w:tc>
        <w:tc>
          <w:tcPr>
            <w:tcW w:w="1280" w:type="dxa"/>
            <w:vAlign w:val="bottom"/>
            <w:gridSpan w:val="3"/>
          </w:tcPr>
          <w:p>
            <w:pPr>
              <w:jc w:val="center"/>
              <w:ind w:right="720"/>
              <w:spacing w:after="0"/>
              <w:rPr>
                <w:sz w:val="20"/>
                <w:szCs w:val="20"/>
                <w:color w:val="auto"/>
              </w:rPr>
            </w:pPr>
            <w:r>
              <w:rPr>
                <w:rFonts w:ascii="Arial" w:cs="Arial" w:eastAsia="Arial" w:hAnsi="Arial"/>
                <w:sz w:val="12"/>
                <w:szCs w:val="12"/>
                <w:b w:val="1"/>
                <w:bCs w:val="1"/>
                <w:color w:val="auto"/>
                <w:w w:val="89"/>
              </w:rPr>
              <w:t>Exhibit No.</w:t>
            </w:r>
          </w:p>
        </w:tc>
        <w:tc>
          <w:tcPr>
            <w:tcW w:w="924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460" w:type="dxa"/>
            <w:vAlign w:val="bottom"/>
          </w:tcPr>
          <w:p>
            <w:pPr>
              <w:spacing w:after="0"/>
              <w:rPr>
                <w:sz w:val="23"/>
                <w:szCs w:val="23"/>
                <w:color w:val="auto"/>
              </w:rPr>
            </w:pPr>
          </w:p>
        </w:tc>
        <w:tc>
          <w:tcPr>
            <w:tcW w:w="480" w:type="dxa"/>
            <w:vAlign w:val="bottom"/>
            <w:tcBorders>
              <w:top w:val="single" w:sz="8" w:color="auto"/>
            </w:tcBorders>
          </w:tcPr>
          <w:p>
            <w:pPr>
              <w:jc w:val="center"/>
              <w:ind w:left="12"/>
              <w:spacing w:after="0"/>
              <w:rPr>
                <w:sz w:val="20"/>
                <w:szCs w:val="20"/>
                <w:color w:val="auto"/>
              </w:rPr>
            </w:pPr>
            <w:r>
              <w:rPr>
                <w:rFonts w:ascii="Arial" w:cs="Arial" w:eastAsia="Arial" w:hAnsi="Arial"/>
                <w:sz w:val="15"/>
                <w:szCs w:val="15"/>
                <w:color w:val="auto"/>
                <w:w w:val="95"/>
              </w:rPr>
              <w:t>99.1</w:t>
            </w:r>
          </w:p>
        </w:tc>
        <w:tc>
          <w:tcPr>
            <w:tcW w:w="80" w:type="dxa"/>
            <w:vAlign w:val="bottom"/>
            <w:tcBorders>
              <w:top w:val="single" w:sz="8" w:color="auto"/>
            </w:tcBorders>
          </w:tcPr>
          <w:p>
            <w:pPr>
              <w:spacing w:after="0"/>
              <w:rPr>
                <w:sz w:val="23"/>
                <w:szCs w:val="23"/>
                <w:color w:val="auto"/>
              </w:rPr>
            </w:pPr>
          </w:p>
        </w:tc>
        <w:tc>
          <w:tcPr>
            <w:tcW w:w="720" w:type="dxa"/>
            <w:vAlign w:val="bottom"/>
          </w:tcPr>
          <w:p>
            <w:pPr>
              <w:spacing w:after="0"/>
              <w:rPr>
                <w:sz w:val="23"/>
                <w:szCs w:val="23"/>
                <w:color w:val="auto"/>
              </w:rPr>
            </w:pPr>
          </w:p>
        </w:tc>
        <w:tc>
          <w:tcPr>
            <w:tcW w:w="92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Press Release dated July 19, 2006</w:t>
            </w:r>
          </w:p>
        </w:tc>
      </w:tr>
      <w:tr>
        <w:trPr>
          <w:trHeight w:val="282"/>
        </w:trPr>
        <w:tc>
          <w:tcPr>
            <w:tcW w:w="940" w:type="dxa"/>
            <w:vAlign w:val="bottom"/>
            <w:gridSpan w:val="2"/>
          </w:tcPr>
          <w:p>
            <w:pPr>
              <w:jc w:val="center"/>
              <w:ind w:left="464"/>
              <w:spacing w:after="0"/>
              <w:rPr>
                <w:sz w:val="20"/>
                <w:szCs w:val="20"/>
                <w:color w:val="auto"/>
              </w:rPr>
            </w:pPr>
            <w:r>
              <w:rPr>
                <w:rFonts w:ascii="Arial" w:cs="Arial" w:eastAsia="Arial" w:hAnsi="Arial"/>
                <w:sz w:val="15"/>
                <w:szCs w:val="15"/>
                <w:color w:val="auto"/>
                <w:w w:val="95"/>
              </w:rPr>
              <w:t>99.2</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July 19, 2006 conference call</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61" w:lineRule="exact"/>
        <w:rPr>
          <w:sz w:val="20"/>
          <w:szCs w:val="20"/>
          <w:color w:val="auto"/>
        </w:rPr>
      </w:pPr>
    </w:p>
    <w:p>
      <w:pPr>
        <w:jc w:val="both"/>
        <w:ind w:right="500" w:firstLine="457"/>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tbl>
      <w:tblPr>
        <w:tblLayout w:type="fixed"/>
        <w:tblInd w:w="380" w:type="dxa"/>
        <w:tblCellMar>
          <w:top w:w="0" w:type="dxa"/>
          <w:left w:w="0" w:type="dxa"/>
          <w:bottom w:w="0" w:type="dxa"/>
          <w:right w:w="0" w:type="dxa"/>
        </w:tblCellMar>
      </w:tblPr>
      <w:tr>
        <w:trPr>
          <w:trHeight w:val="194"/>
        </w:trPr>
        <w:tc>
          <w:tcPr>
            <w:tcW w:w="3480" w:type="dxa"/>
            <w:vAlign w:val="bottom"/>
          </w:tcPr>
          <w:p>
            <w:pPr>
              <w:spacing w:after="0"/>
              <w:rPr>
                <w:sz w:val="16"/>
                <w:szCs w:val="16"/>
                <w:color w:val="auto"/>
              </w:rPr>
            </w:pPr>
          </w:p>
        </w:tc>
        <w:tc>
          <w:tcPr>
            <w:tcW w:w="7580" w:type="dxa"/>
            <w:vAlign w:val="bottom"/>
            <w:gridSpan w:val="2"/>
          </w:tcPr>
          <w:p>
            <w:pPr>
              <w:ind w:left="2220"/>
              <w:spacing w:after="0"/>
              <w:rPr>
                <w:sz w:val="20"/>
                <w:szCs w:val="20"/>
                <w:color w:val="auto"/>
              </w:rPr>
            </w:pPr>
            <w:r>
              <w:rPr>
                <w:rFonts w:ascii="Arial" w:cs="Arial" w:eastAsia="Arial" w:hAnsi="Arial"/>
                <w:sz w:val="15"/>
                <w:szCs w:val="15"/>
                <w:color w:val="auto"/>
              </w:rPr>
              <w:t>MANPOWER INC.</w:t>
            </w:r>
          </w:p>
        </w:tc>
      </w:tr>
      <w:tr>
        <w:trPr>
          <w:trHeight w:val="377"/>
        </w:trPr>
        <w:tc>
          <w:tcPr>
            <w:tcW w:w="3480" w:type="dxa"/>
            <w:vAlign w:val="bottom"/>
          </w:tcPr>
          <w:p>
            <w:pPr>
              <w:spacing w:after="0"/>
              <w:rPr>
                <w:sz w:val="20"/>
                <w:szCs w:val="20"/>
                <w:color w:val="auto"/>
              </w:rPr>
            </w:pPr>
            <w:r>
              <w:rPr>
                <w:rFonts w:ascii="Arial" w:cs="Arial" w:eastAsia="Arial" w:hAnsi="Arial"/>
                <w:sz w:val="15"/>
                <w:szCs w:val="15"/>
                <w:color w:val="auto"/>
              </w:rPr>
              <w:t>Dated: July 19, 2006</w:t>
            </w:r>
          </w:p>
        </w:tc>
        <w:tc>
          <w:tcPr>
            <w:tcW w:w="7580" w:type="dxa"/>
            <w:vAlign w:val="bottom"/>
            <w:gridSpan w:val="2"/>
          </w:tcPr>
          <w:p>
            <w:pPr>
              <w:ind w:left="2220"/>
              <w:spacing w:after="0"/>
              <w:rPr>
                <w:sz w:val="20"/>
                <w:szCs w:val="20"/>
                <w:color w:val="auto"/>
              </w:rPr>
            </w:pPr>
            <w:r>
              <w:rPr>
                <w:rFonts w:ascii="Arial" w:cs="Arial" w:eastAsia="Arial" w:hAnsi="Arial"/>
                <w:sz w:val="15"/>
                <w:szCs w:val="15"/>
                <w:color w:val="auto"/>
              </w:rPr>
              <w:t>By:  /s/ Michael J. Van Handel</w:t>
            </w:r>
          </w:p>
        </w:tc>
      </w:tr>
      <w:tr>
        <w:trPr>
          <w:trHeight w:val="173"/>
        </w:trPr>
        <w:tc>
          <w:tcPr>
            <w:tcW w:w="3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40" w:type="dxa"/>
            <w:vAlign w:val="bottom"/>
            <w:tcBorders>
              <w:top w:val="single" w:sz="8" w:color="auto"/>
            </w:tcBorders>
          </w:tcPr>
          <w:p>
            <w:pPr>
              <w:ind w:left="100"/>
              <w:spacing w:after="0"/>
              <w:rPr>
                <w:sz w:val="20"/>
                <w:szCs w:val="20"/>
                <w:color w:val="auto"/>
              </w:rPr>
            </w:pPr>
            <w:r>
              <w:rPr>
                <w:rFonts w:ascii="Arial" w:cs="Arial" w:eastAsia="Arial" w:hAnsi="Arial"/>
                <w:sz w:val="15"/>
                <w:szCs w:val="15"/>
                <w:color w:val="auto"/>
              </w:rPr>
              <w:t>Michael J. Van Handel</w:t>
            </w:r>
          </w:p>
        </w:tc>
      </w:tr>
      <w:tr>
        <w:trPr>
          <w:trHeight w:val="188"/>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Executive Vice President,</w:t>
            </w:r>
          </w:p>
        </w:tc>
      </w:tr>
      <w:tr>
        <w:trPr>
          <w:trHeight w:val="194"/>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5"/>
                <w:szCs w:val="15"/>
                <w:color w:val="auto"/>
              </w:rPr>
              <w:t>Chief Financial Officer and Secretary</w:t>
            </w:r>
          </w:p>
        </w:tc>
      </w:tr>
    </w:tbl>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Pr>
          <w:p>
            <w:pPr>
              <w:ind w:left="3380"/>
              <w:spacing w:after="0"/>
              <w:rPr>
                <w:sz w:val="20"/>
                <w:szCs w:val="20"/>
                <w:color w:val="auto"/>
              </w:rPr>
            </w:pPr>
            <w:r>
              <w:rPr>
                <w:rFonts w:ascii="Arial" w:cs="Arial" w:eastAsia="Arial" w:hAnsi="Arial"/>
                <w:sz w:val="15"/>
                <w:szCs w:val="15"/>
                <w:b w:val="1"/>
                <w:bCs w:val="1"/>
                <w:color w:val="auto"/>
              </w:rPr>
              <w:t>EXHIBIT INDEX</w:t>
            </w:r>
          </w:p>
        </w:tc>
      </w:tr>
      <w:tr>
        <w:trPr>
          <w:trHeight w:val="318"/>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Exhibit No.</w:t>
            </w:r>
          </w:p>
        </w:tc>
        <w:tc>
          <w:tcPr>
            <w:tcW w:w="720" w:type="dxa"/>
            <w:vAlign w:val="bottom"/>
          </w:tcPr>
          <w:p>
            <w:pPr>
              <w:spacing w:after="0"/>
              <w:rPr>
                <w:sz w:val="24"/>
                <w:szCs w:val="2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w:t>
            </w:r>
          </w:p>
        </w:tc>
      </w:tr>
      <w:tr>
        <w:trPr>
          <w:trHeight w:val="273"/>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99.1</w:t>
            </w:r>
          </w:p>
        </w:tc>
        <w:tc>
          <w:tcPr>
            <w:tcW w:w="720" w:type="dxa"/>
            <w:vAlign w:val="bottom"/>
          </w:tcPr>
          <w:p>
            <w:pPr>
              <w:spacing w:after="0"/>
              <w:rPr>
                <w:sz w:val="23"/>
                <w:szCs w:val="23"/>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Press Release dated July 19, 2006</w:t>
            </w:r>
          </w:p>
        </w:tc>
      </w:tr>
      <w:tr>
        <w:trPr>
          <w:trHeight w:val="282"/>
        </w:trPr>
        <w:tc>
          <w:tcPr>
            <w:tcW w:w="560" w:type="dxa"/>
            <w:vAlign w:val="bottom"/>
          </w:tcPr>
          <w:p>
            <w:pPr>
              <w:jc w:val="center"/>
              <w:spacing w:after="0"/>
              <w:rPr>
                <w:sz w:val="20"/>
                <w:szCs w:val="20"/>
                <w:color w:val="auto"/>
              </w:rPr>
            </w:pPr>
            <w:r>
              <w:rPr>
                <w:rFonts w:ascii="Arial" w:cs="Arial" w:eastAsia="Arial" w:hAnsi="Arial"/>
                <w:sz w:val="15"/>
                <w:szCs w:val="15"/>
                <w:color w:val="auto"/>
                <w:w w:val="95"/>
              </w:rPr>
              <w:t>99.2</w:t>
            </w:r>
          </w:p>
        </w:tc>
        <w:tc>
          <w:tcPr>
            <w:tcW w:w="720" w:type="dxa"/>
            <w:vAlign w:val="bottom"/>
          </w:tcPr>
          <w:p>
            <w:pPr>
              <w:spacing w:after="0"/>
              <w:rPr>
                <w:sz w:val="24"/>
                <w:szCs w:val="24"/>
                <w:color w:val="auto"/>
              </w:rPr>
            </w:pPr>
          </w:p>
        </w:tc>
        <w:tc>
          <w:tcPr>
            <w:tcW w:w="9240" w:type="dxa"/>
            <w:vAlign w:val="bottom"/>
          </w:tcPr>
          <w:p>
            <w:pPr>
              <w:spacing w:after="0"/>
              <w:rPr>
                <w:sz w:val="20"/>
                <w:szCs w:val="20"/>
                <w:color w:val="auto"/>
              </w:rPr>
            </w:pPr>
            <w:r>
              <w:rPr>
                <w:rFonts w:ascii="Arial" w:cs="Arial" w:eastAsia="Arial" w:hAnsi="Arial"/>
                <w:sz w:val="15"/>
                <w:szCs w:val="15"/>
                <w:color w:val="auto"/>
              </w:rPr>
              <w:t>Presentation materials for July 19, 2006 conference call</w:t>
            </w:r>
          </w:p>
        </w:tc>
      </w:tr>
    </w:tbl>
    <w:p>
      <w:pPr>
        <w:sectPr>
          <w:pgSz w:w="11900" w:h="16838" w:orient="portrait"/>
          <w:cols w:equalWidth="0" w:num="1">
            <w:col w:w="11440"/>
          </w:cols>
          <w:pgMar w:left="240" w:top="258"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color w:val="auto"/>
        </w:rPr>
        <w:t>Exhibit 99.1</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[MANPOWER logo]</w:t>
      </w:r>
    </w:p>
    <w:p>
      <w:pPr>
        <w:sectPr>
          <w:pgSz w:w="11900" w:h="16838" w:orient="portrait"/>
          <w:cols w:equalWidth="0" w:num="1">
            <w:col w:w="11440"/>
          </w:cols>
          <w:pgMar w:left="240" w:top="132" w:right="2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Mike Van Handel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Manpower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+1.414.906.6305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michael.vanhandel@manpower.com</w:t>
      </w:r>
    </w:p>
    <w:p>
      <w:pPr>
        <w:spacing w:after="0" w:line="200" w:lineRule="exact"/>
        <w:rPr>
          <w:sz w:val="20"/>
          <w:szCs w:val="20"/>
          <w:color w:val="auto"/>
        </w:rPr>
      </w:pPr>
    </w:p>
    <w:p>
      <w:pPr>
        <w:sectPr>
          <w:pgSz w:w="11900" w:h="16838" w:orient="portrait"/>
          <w:cols w:equalWidth="0" w:num="2">
            <w:col w:w="6480" w:space="720"/>
            <w:col w:w="4240"/>
          </w:cols>
          <w:pgMar w:left="240" w:top="132" w:right="219" w:bottom="1440" w:gutter="0" w:footer="0" w:header="0"/>
          <w:type w:val="continuous"/>
        </w:sectPr>
      </w:pP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Manpower Reports 2nd Quarter and First Half 2006 Results</w:t>
      </w:r>
    </w:p>
    <w:p>
      <w:pPr>
        <w:spacing w:after="0" w:line="157" w:lineRule="exact"/>
        <w:rPr>
          <w:sz w:val="20"/>
          <w:szCs w:val="20"/>
          <w:color w:val="auto"/>
        </w:rPr>
      </w:pPr>
    </w:p>
    <w:p>
      <w:pPr>
        <w:jc w:val="both"/>
        <w:ind w:right="40"/>
        <w:spacing w:after="0" w:line="305" w:lineRule="auto"/>
        <w:rPr>
          <w:sz w:val="20"/>
          <w:szCs w:val="20"/>
          <w:color w:val="auto"/>
        </w:rPr>
      </w:pPr>
      <w:r>
        <w:rPr>
          <w:rFonts w:ascii="Arial" w:cs="Arial" w:eastAsia="Arial" w:hAnsi="Arial"/>
          <w:sz w:val="14"/>
          <w:szCs w:val="14"/>
          <w:color w:val="auto"/>
        </w:rPr>
        <w:t>MILWAUKEE, WI, USA, July 19, 2006 – Manpower Inc. (NYSE: MAN) today reported that earnings per diluted share for the three months ended June 30, 2006 increased 30 percent to 91 cents from 70 cents in the prior year period. Net income in the quarter increased to $80.4 million from $62.5 million a year earlier. Revenues for the second quarter totaled $4.4 billion, an increase of 10 percent from the year-earlier period. Results for the second quarter were not significantly impacted by changes in foreign currency exchange rates.</w:t>
      </w:r>
    </w:p>
    <w:p>
      <w:pPr>
        <w:spacing w:after="0" w:line="92" w:lineRule="exact"/>
        <w:rPr>
          <w:sz w:val="20"/>
          <w:szCs w:val="20"/>
          <w:color w:val="auto"/>
        </w:rPr>
      </w:pPr>
    </w:p>
    <w:p>
      <w:pPr>
        <w:jc w:val="both"/>
        <w:ind w:right="480" w:firstLine="457"/>
        <w:spacing w:after="0" w:line="373" w:lineRule="auto"/>
        <w:rPr>
          <w:sz w:val="20"/>
          <w:szCs w:val="20"/>
          <w:color w:val="auto"/>
        </w:rPr>
      </w:pPr>
      <w:r>
        <w:rPr>
          <w:rFonts w:ascii="Arial" w:cs="Arial" w:eastAsia="Arial" w:hAnsi="Arial"/>
          <w:sz w:val="13"/>
          <w:szCs w:val="13"/>
          <w:color w:val="auto"/>
        </w:rPr>
        <w:t>Jeffrey A. Joerres, Manpower Chairman and Chief Executive Officer, said, “We had very strong results across nearly all business units in the second quarter. The relentless execution of our key strategies of elevating and broadening our relationships with our clients, and improving our efficiency through speed and quality is producing superior results.</w:t>
      </w:r>
    </w:p>
    <w:p>
      <w:pPr>
        <w:spacing w:after="0" w:line="53" w:lineRule="exact"/>
        <w:rPr>
          <w:sz w:val="20"/>
          <w:szCs w:val="20"/>
          <w:color w:val="auto"/>
        </w:rPr>
      </w:pPr>
    </w:p>
    <w:p>
      <w:pPr>
        <w:ind w:right="460" w:firstLine="457"/>
        <w:spacing w:after="0" w:line="291" w:lineRule="auto"/>
        <w:rPr>
          <w:sz w:val="20"/>
          <w:szCs w:val="20"/>
          <w:color w:val="auto"/>
        </w:rPr>
      </w:pPr>
      <w:r>
        <w:rPr>
          <w:rFonts w:ascii="Arial" w:cs="Arial" w:eastAsia="Arial" w:hAnsi="Arial"/>
          <w:sz w:val="15"/>
          <w:szCs w:val="15"/>
          <w:color w:val="auto"/>
        </w:rPr>
        <w:t>“Our performance underscores the momentum that we have established over the past eighteen months. As we move into the second half of 2006, our major geographies and business units continue to be well-positioned for a strong year.</w:t>
      </w:r>
    </w:p>
    <w:p>
      <w:pPr>
        <w:spacing w:after="0" w:line="99"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“We are anticipating the third quarter of 2006 diluted earnings per share to be in the range of $1.00 to $1.04, which includes an estimated favorable currency impact of 2 cents,” Joerres stated.</w:t>
      </w:r>
    </w:p>
    <w:p>
      <w:pPr>
        <w:spacing w:after="0" w:line="99" w:lineRule="exact"/>
        <w:rPr>
          <w:sz w:val="20"/>
          <w:szCs w:val="20"/>
          <w:color w:val="auto"/>
        </w:rPr>
      </w:pPr>
    </w:p>
    <w:p>
      <w:pPr>
        <w:jc w:val="both"/>
        <w:ind w:right="320" w:firstLine="457"/>
        <w:spacing w:after="0" w:line="276" w:lineRule="auto"/>
        <w:rPr>
          <w:sz w:val="20"/>
          <w:szCs w:val="20"/>
          <w:color w:val="auto"/>
        </w:rPr>
      </w:pPr>
      <w:r>
        <w:rPr>
          <w:rFonts w:ascii="Arial" w:cs="Arial" w:eastAsia="Arial" w:hAnsi="Arial"/>
          <w:sz w:val="15"/>
          <w:szCs w:val="15"/>
          <w:color w:val="auto"/>
        </w:rPr>
        <w:t>Earnings per diluted share for the six months ended June 30, 2006 were $1.50, an increase of 46 percent from $1.03 per diluted share in 2005. Net income was $133.0 million compared to $94.7 million the prior year. Revenues for the six-month period were $8.4 billion, an increase of 7 percent from the prior year or 11 percent in constant currency. Foreign currency exchange rates had a negative impact of 5 cents for the six-month period.</w:t>
      </w:r>
    </w:p>
    <w:p>
      <w:pPr>
        <w:spacing w:after="0" w:line="110" w:lineRule="exact"/>
        <w:rPr>
          <w:sz w:val="20"/>
          <w:szCs w:val="20"/>
          <w:color w:val="auto"/>
        </w:rPr>
      </w:pPr>
    </w:p>
    <w:p>
      <w:pPr>
        <w:ind w:right="100" w:firstLine="457"/>
        <w:spacing w:after="0" w:line="291" w:lineRule="auto"/>
        <w:rPr>
          <w:sz w:val="20"/>
          <w:szCs w:val="20"/>
          <w:color w:val="auto"/>
        </w:rPr>
      </w:pPr>
      <w:r>
        <w:rPr>
          <w:rFonts w:ascii="Arial" w:cs="Arial" w:eastAsia="Arial" w:hAnsi="Arial"/>
          <w:sz w:val="15"/>
          <w:szCs w:val="15"/>
          <w:color w:val="auto"/>
        </w:rPr>
        <w:t>Included in the 2006 six-month period was a 27 cents per diluted share gain on the sale of a payroll processing business in Sweden, and a 16 cents per diluted share charge related to reorganization and a global cost reduction initiative.</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MORE -</w:t>
      </w:r>
    </w:p>
    <w:p>
      <w:pPr>
        <w:sectPr>
          <w:pgSz w:w="11900" w:h="16838" w:orient="portrait"/>
          <w:cols w:equalWidth="0" w:num="1">
            <w:col w:w="11440"/>
          </w:cols>
          <w:pgMar w:left="240" w:top="132" w:right="219" w:bottom="1440" w:gutter="0" w:footer="0" w:header="0"/>
          <w:type w:val="continuous"/>
        </w:sectPr>
      </w:pPr>
    </w:p>
    <w:bookmarkStart w:id="3" w:name="page4"/>
    <w:bookmarkEnd w:id="3"/>
    <w:p>
      <w:pPr>
        <w:ind w:left="81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 Reports 2</w:t>
      </w:r>
      <w:r>
        <w:rPr>
          <w:rFonts w:ascii="Arial" w:cs="Arial" w:eastAsia="Arial" w:hAnsi="Arial"/>
          <w:sz w:val="16"/>
          <w:szCs w:val="16"/>
          <w:b w:val="1"/>
          <w:bCs w:val="1"/>
          <w:color w:val="auto"/>
          <w:vertAlign w:val="superscript"/>
        </w:rPr>
        <w:t>nd</w:t>
      </w:r>
      <w:r>
        <w:rPr>
          <w:rFonts w:ascii="Arial" w:cs="Arial" w:eastAsia="Arial" w:hAnsi="Arial"/>
          <w:sz w:val="13"/>
          <w:szCs w:val="13"/>
          <w:b w:val="1"/>
          <w:bCs w:val="1"/>
          <w:color w:val="auto"/>
        </w:rPr>
        <w:t xml:space="preserve"> Quarter Results/Page 2</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conjunction with its second quarter earnings release, Manpower will broadcast its conference call live over the Internet on July 19, 2006 at 7:30 a.m. CDT (8:30 a.m. EDT).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Interested parties are invited to listen to the webcast by logging on to http://investor.manpower.com.</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Supplemental financial information referenced in the conference call can be found at http://investor.manpower.com.</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Manpower Inc.</w:t>
      </w:r>
    </w:p>
    <w:p>
      <w:pPr>
        <w:spacing w:after="0" w:line="90"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Manpower Inc. (NYSE: MAN) is a world leader in the employment services industry; creating and delivering services that enable its clients to win in the changing world of work. The $16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72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4"/>
          <w:szCs w:val="14"/>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2005, which information is incorporated herein by reference.</w:t>
      </w:r>
    </w:p>
    <w:p>
      <w:pPr>
        <w:sectPr>
          <w:pgSz w:w="11900" w:h="16838" w:orient="portrait"/>
          <w:cols w:equalWidth="0" w:num="1">
            <w:col w:w="11440"/>
          </w:cols>
          <w:pgMar w:left="240" w:top="258" w:right="219" w:bottom="1440" w:gutter="0" w:footer="0" w:header="0"/>
        </w:sectPr>
      </w:pPr>
    </w:p>
    <w:bookmarkStart w:id="4" w:name="page5"/>
    <w:bookmarkEnd w:id="4"/>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2"/>
                <w:szCs w:val="12"/>
                <w:b w:val="1"/>
                <w:bCs w:val="1"/>
                <w:color w:val="auto"/>
                <w:w w:val="88"/>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160" w:type="dxa"/>
            <w:vAlign w:val="bottom"/>
          </w:tcPr>
          <w:p>
            <w:pPr>
              <w:spacing w:after="0"/>
              <w:rPr>
                <w:sz w:val="12"/>
                <w:szCs w:val="1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121"/>
        </w:trPr>
        <w:tc>
          <w:tcPr>
            <w:tcW w:w="51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4,440.0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4,053.7</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Cost of services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3,623.6</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3,314.5</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9.3%</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816.4</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739.2</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677.3</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629.5</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7.6%</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139.1</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Interest and other expenses</w:t>
            </w: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19"/>
              <w:spacing w:after="0"/>
              <w:rPr>
                <w:sz w:val="20"/>
                <w:szCs w:val="20"/>
                <w:color w:val="auto"/>
              </w:rPr>
            </w:pPr>
            <w:r>
              <w:rPr>
                <w:rFonts w:ascii="Arial" w:cs="Arial" w:eastAsia="Arial" w:hAnsi="Arial"/>
                <w:sz w:val="15"/>
                <w:szCs w:val="15"/>
                <w:color w:val="auto"/>
              </w:rPr>
              <w:t>11.3</w:t>
            </w: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11.2%</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29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126.6</w:t>
            </w:r>
          </w:p>
        </w:tc>
        <w:tc>
          <w:tcPr>
            <w:tcW w:w="3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28.7%</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8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29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35.9</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28.7%</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29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29.6%</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0.92</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0.71</w:t>
            </w: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0.70</w:t>
            </w:r>
          </w:p>
        </w:tc>
        <w:tc>
          <w:tcPr>
            <w:tcW w:w="1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-1.5%</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w:t>
            </w:r>
          </w:p>
        </w:tc>
        <w:tc>
          <w:tcPr>
            <w:tcW w:w="16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2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w:t>
            </w:r>
          </w:p>
        </w:tc>
        <w:tc>
          <w:tcPr>
            <w:tcW w:w="3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6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-0.9%</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320" w:hanging="446"/>
        <w:spacing w:after="0" w:line="329" w:lineRule="auto"/>
        <w:tabs>
          <w:tab w:leader="none" w:pos="44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Revenues from services include fees received from our franchise offices of $8.8 million for the three months ended June 30, 2006 and 2005. These fees are primarily based on revenues generated by the franchise offices, which were $388.8 million and $375.7 million for the three months ended June 30, 2006 and 2005, respectively.</w:t>
      </w:r>
    </w:p>
    <w:p>
      <w:pPr>
        <w:sectPr>
          <w:pgSz w:w="11900" w:h="16838" w:orient="portrait"/>
          <w:cols w:equalWidth="0" w:num="1">
            <w:col w:w="11446"/>
          </w:cols>
          <w:pgMar w:left="234" w:top="262" w:right="219" w:bottom="1440" w:gutter="0" w:footer="0" w:header="0"/>
        </w:sectPr>
      </w:pPr>
    </w:p>
    <w:bookmarkStart w:id="5" w:name="page6"/>
    <w:bookmarkEnd w:id="5"/>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2"/>
                <w:szCs w:val="12"/>
                <w:b w:val="1"/>
                <w:bCs w:val="1"/>
                <w:color w:val="auto"/>
                <w:w w:val="88"/>
              </w:rPr>
              <w:t>Three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8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8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4"/>
              <w:spacing w:after="0"/>
              <w:rPr>
                <w:sz w:val="20"/>
                <w:szCs w:val="20"/>
                <w:color w:val="auto"/>
              </w:rPr>
            </w:pPr>
            <w:r>
              <w:rPr>
                <w:rFonts w:ascii="Arial" w:cs="Arial" w:eastAsia="Arial" w:hAnsi="Arial"/>
                <w:sz w:val="12"/>
                <w:szCs w:val="12"/>
                <w:b w:val="1"/>
                <w:bCs w:val="1"/>
                <w:color w:val="auto"/>
              </w:rPr>
              <w:t>2005</w:t>
            </w:r>
          </w:p>
        </w:tc>
        <w:tc>
          <w:tcPr>
            <w:tcW w:w="160" w:type="dxa"/>
            <w:vAlign w:val="bottom"/>
          </w:tcPr>
          <w:p>
            <w:pPr>
              <w:spacing w:after="0"/>
              <w:rPr>
                <w:sz w:val="12"/>
                <w:szCs w:val="1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Reported</w:t>
            </w: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r>
      <w:tr>
        <w:trPr>
          <w:trHeight w:val="121"/>
        </w:trPr>
        <w:tc>
          <w:tcPr>
            <w:tcW w:w="8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8"/>
                <w:szCs w:val="8"/>
                <w:b w:val="1"/>
                <w:bCs w:val="1"/>
                <w:color w:val="auto"/>
                <w:w w:val="71"/>
              </w:rPr>
              <w:t>(Unaudited)</w:t>
            </w:r>
          </w:p>
        </w:tc>
        <w:tc>
          <w:tcPr>
            <w:tcW w:w="4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United States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534.6</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506.7</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5.5%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5.5%</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7"/>
              </w:rPr>
              <w:t>1,535.6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1,397.0</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1,590.1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1,430.4</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11.2%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11.6%</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98.8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93.5</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w:t>
            </w: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103.9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108.5</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-4.2%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-4.1%</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577.0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517.6</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w:t>
            </w:r>
          </w:p>
        </w:tc>
      </w:tr>
      <w:tr>
        <w:trPr>
          <w:trHeight w:val="191"/>
        </w:trPr>
        <w:tc>
          <w:tcPr>
            <w:tcW w:w="81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4,440.0</w:t>
            </w:r>
          </w:p>
        </w:tc>
        <w:tc>
          <w:tcPr>
            <w:tcW w:w="26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4,053.7</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9.5%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20"/>
        </w:trPr>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22.5</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18.0</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25.2%</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25.2%</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18.3%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17.7%</w:t>
            </w: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EMEA</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51.7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37.9</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36.3%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35.4%</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188"/>
        </w:trPr>
        <w:tc>
          <w:tcPr>
            <w:tcW w:w="818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9.3</w:t>
            </w:r>
          </w:p>
        </w:tc>
        <w:tc>
          <w:tcPr>
            <w:tcW w:w="160" w:type="dxa"/>
            <w:vAlign w:val="bottom"/>
          </w:tcPr>
          <w:p>
            <w:pPr>
              <w:spacing w:after="0"/>
              <w:rPr>
                <w:sz w:val="16"/>
                <w:szCs w:val="16"/>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5"/>
                <w:szCs w:val="15"/>
                <w:color w:val="auto"/>
              </w:rPr>
              <w:t>19.0%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17.6%</w:t>
            </w: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17.6%</w:t>
            </w:r>
          </w:p>
        </w:tc>
      </w:tr>
      <w:tr>
        <w:trPr>
          <w:trHeight w:val="191"/>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159.8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129.7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18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818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139.1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w:t>
            </w:r>
          </w:p>
        </w:tc>
        <w:tc>
          <w:tcPr>
            <w:tcW w:w="16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26.9%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26.8%</w:t>
            </w:r>
          </w:p>
        </w:tc>
      </w:tr>
      <w:tr>
        <w:trPr>
          <w:trHeight w:val="192"/>
        </w:trPr>
        <w:tc>
          <w:tcPr>
            <w:tcW w:w="8180" w:type="dxa"/>
            <w:vAlign w:val="bottom"/>
          </w:tcPr>
          <w:p>
            <w:pPr>
              <w:spacing w:after="0"/>
              <w:rPr>
                <w:sz w:val="20"/>
                <w:szCs w:val="20"/>
                <w:color w:val="auto"/>
              </w:rPr>
            </w:pPr>
            <w:r>
              <w:rPr>
                <w:rFonts w:ascii="Arial" w:cs="Arial" w:eastAsia="Arial" w:hAnsi="Arial"/>
                <w:sz w:val="15"/>
                <w:szCs w:val="15"/>
                <w:color w:val="auto"/>
              </w:rPr>
              <w:t>Interest and other expenses (c)</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40" w:hanging="446"/>
        <w:spacing w:after="0" w:line="291"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are now reported in EMEA due to a change in management structure. All previously reported results for France and EMEA have been restated to conform to the current presentation.</w:t>
      </w:r>
    </w:p>
    <w:p>
      <w:pPr>
        <w:spacing w:after="0" w:line="28" w:lineRule="exact"/>
        <w:rPr>
          <w:rFonts w:ascii="Arial" w:cs="Arial" w:eastAsia="Arial" w:hAnsi="Arial"/>
          <w:sz w:val="15"/>
          <w:szCs w:val="15"/>
          <w:color w:val="auto"/>
        </w:rPr>
      </w:pPr>
    </w:p>
    <w:p>
      <w:pPr>
        <w:ind w:left="446" w:right="80" w:hanging="446"/>
        <w:spacing w:after="0" w:line="276" w:lineRule="auto"/>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$6.0 million and $6.3 million for the three months ended June 30, 2006 and 2005, respectively. These fees are primarily based on revenues generated by the franchise offices, which were $291.9 million and $296.8 million for the three months ended June 30, 2006 and 2005,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components of interest and other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938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80"/>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$13.1</w:t>
            </w:r>
          </w:p>
        </w:tc>
        <w:tc>
          <w:tcPr>
            <w:tcW w:w="20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60" w:type="dxa"/>
            <w:vAlign w:val="bottom"/>
            <w:shd w:val="clear" w:color="auto" w:fill="CCEEFF"/>
          </w:tcPr>
          <w:p>
            <w:pPr>
              <w:spacing w:after="0"/>
              <w:rPr>
                <w:sz w:val="15"/>
                <w:szCs w:val="15"/>
                <w:color w:val="auto"/>
              </w:rPr>
            </w:pPr>
          </w:p>
        </w:tc>
      </w:tr>
      <w:tr>
        <w:trPr>
          <w:trHeight w:val="188"/>
        </w:trPr>
        <w:tc>
          <w:tcPr>
            <w:tcW w:w="9380" w:type="dxa"/>
            <w:vAlign w:val="bottom"/>
          </w:tcPr>
          <w:p>
            <w:pPr>
              <w:spacing w:after="0"/>
              <w:rPr>
                <w:sz w:val="20"/>
                <w:szCs w:val="20"/>
                <w:color w:val="auto"/>
              </w:rPr>
            </w:pPr>
            <w:r>
              <w:rPr>
                <w:rFonts w:ascii="Arial" w:cs="Arial" w:eastAsia="Arial" w:hAnsi="Arial"/>
                <w:sz w:val="15"/>
                <w:szCs w:val="15"/>
                <w:color w:val="auto"/>
              </w:rPr>
              <w:t>Interest income</w:t>
            </w: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(3.8)</w:t>
            </w:r>
          </w:p>
        </w:tc>
        <w:tc>
          <w:tcPr>
            <w:tcW w:w="580" w:type="dxa"/>
            <w:vAlign w:val="bottom"/>
            <w:gridSpan w:val="3"/>
          </w:tcPr>
          <w:p>
            <w:pPr>
              <w:jc w:val="right"/>
              <w:ind w:right="20"/>
              <w:spacing w:after="0"/>
              <w:rPr>
                <w:sz w:val="20"/>
                <w:szCs w:val="20"/>
                <w:color w:val="auto"/>
              </w:rPr>
            </w:pPr>
            <w:r>
              <w:rPr>
                <w:rFonts w:ascii="Arial" w:cs="Arial" w:eastAsia="Arial" w:hAnsi="Arial"/>
                <w:sz w:val="15"/>
                <w:szCs w:val="15"/>
                <w:color w:val="auto"/>
              </w:rPr>
              <w:t>(2.1)</w:t>
            </w:r>
          </w:p>
        </w:tc>
      </w:tr>
      <w:tr>
        <w:trPr>
          <w:trHeight w:val="188"/>
        </w:trPr>
        <w:tc>
          <w:tcPr>
            <w:tcW w:w="938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 (gains)</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(0.6)</w:t>
            </w:r>
          </w:p>
        </w:tc>
      </w:tr>
      <w:tr>
        <w:trPr>
          <w:trHeight w:val="192"/>
        </w:trPr>
        <w:tc>
          <w:tcPr>
            <w:tcW w:w="9380" w:type="dxa"/>
            <w:vAlign w:val="bottom"/>
          </w:tcPr>
          <w:p>
            <w:pPr>
              <w:spacing w:after="0"/>
              <w:rPr>
                <w:sz w:val="20"/>
                <w:szCs w:val="20"/>
                <w:color w:val="auto"/>
              </w:rPr>
            </w:pPr>
            <w:r>
              <w:rPr>
                <w:rFonts w:ascii="Arial" w:cs="Arial" w:eastAsia="Arial" w:hAnsi="Arial"/>
                <w:sz w:val="15"/>
                <w:szCs w:val="15"/>
                <w:color w:val="auto"/>
              </w:rPr>
              <w:t>Miscellaneous expenses, net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6"/>
                <w:szCs w:val="16"/>
                <w:color w:val="auto"/>
              </w:rPr>
            </w:pPr>
          </w:p>
        </w:tc>
      </w:tr>
      <w:tr>
        <w:trPr>
          <w:trHeight w:val="188"/>
        </w:trPr>
        <w:tc>
          <w:tcPr>
            <w:tcW w:w="93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12.5</w:t>
            </w:r>
          </w:p>
        </w:tc>
        <w:tc>
          <w:tcPr>
            <w:tcW w:w="2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11.3</w:t>
            </w:r>
          </w:p>
        </w:tc>
        <w:tc>
          <w:tcPr>
            <w:tcW w:w="60" w:type="dxa"/>
            <w:vAlign w:val="bottom"/>
            <w:shd w:val="clear" w:color="auto" w:fill="CCEEFF"/>
          </w:tcPr>
          <w:p>
            <w:pPr>
              <w:spacing w:after="0"/>
              <w:rPr>
                <w:sz w:val="16"/>
                <w:szCs w:val="16"/>
                <w:color w:val="auto"/>
              </w:rPr>
            </w:pPr>
          </w:p>
        </w:tc>
      </w:tr>
      <w:tr>
        <w:trPr>
          <w:trHeight w:val="20"/>
        </w:trPr>
        <w:tc>
          <w:tcPr>
            <w:tcW w:w="9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6" w:name="page7"/>
    <w:bookmarkEnd w:id="6"/>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Results of Operations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 except per share data)</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8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8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6"/>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8,369.9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7,812.4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Cost of services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6,836.1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6,391.2</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7.0%</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Gross profit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1,533.8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1,421.2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7.9%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Selling and administrative expenses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1,335.0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7"/>
              </w:rPr>
              <w:t>1,249.0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6.9%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198.8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Interest and other (income) expenses</w:t>
            </w:r>
          </w:p>
        </w:tc>
        <w:tc>
          <w:tcPr>
            <w:tcW w:w="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23.0</w:t>
            </w:r>
          </w:p>
        </w:tc>
        <w:tc>
          <w:tcPr>
            <w:tcW w:w="32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35.8%</w:t>
            </w: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27.8%</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Net earnings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Net earnings per share - basic</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43.4%</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1.52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1.06</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Net earnings per share - diluted</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45.6%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5"/>
                <w:szCs w:val="15"/>
                <w:color w:val="auto"/>
              </w:rPr>
              <w:t>Weighted average shares - basic</w:t>
            </w: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320"/>
              <w:spacing w:after="0"/>
              <w:rPr>
                <w:sz w:val="20"/>
                <w:szCs w:val="20"/>
                <w:color w:val="auto"/>
              </w:rPr>
            </w:pPr>
            <w:r>
              <w:rPr>
                <w:rFonts w:ascii="Arial" w:cs="Arial" w:eastAsia="Arial" w:hAnsi="Arial"/>
                <w:sz w:val="15"/>
                <w:szCs w:val="15"/>
                <w:color w:val="auto"/>
              </w:rPr>
              <w:t>-2.1%</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87.3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89.2</w:t>
            </w:r>
          </w:p>
        </w:tc>
        <w:tc>
          <w:tcPr>
            <w:tcW w:w="1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shares - diluted</w:t>
            </w: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-4.8%</w:t>
            </w: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40" w:hanging="446"/>
        <w:spacing w:after="0" w:line="276" w:lineRule="auto"/>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Revenues from services include fees received from our franchise offices of $16.8 million and $17.1 million for the six months ended June 30, 2006 and 2005, respectively. These fees are primarily based on revenues generated by the franchise offices, which were $751.6 million and $725.5 million for the six months ended June 30, 2006 and 2005, respectively.</w:t>
      </w:r>
    </w:p>
    <w:p>
      <w:pPr>
        <w:sectPr>
          <w:pgSz w:w="11900" w:h="16838" w:orient="portrait"/>
          <w:cols w:equalWidth="0" w:num="1">
            <w:col w:w="11446"/>
          </w:cols>
          <w:pgMar w:left="234" w:top="262" w:right="219" w:bottom="1440" w:gutter="0" w:footer="0" w:header="0"/>
        </w:sectPr>
      </w:pPr>
    </w:p>
    <w:bookmarkStart w:id="7" w:name="page8"/>
    <w:bookmarkEnd w:id="7"/>
    <w:p>
      <w:pPr>
        <w:jc w:val="center"/>
        <w:ind w:right="-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Operating Unit Results</w:t>
      </w:r>
    </w:p>
    <w:p>
      <w:pPr>
        <w:spacing w:after="0" w:line="16"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(In millions)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40"/>
        </w:trPr>
        <w:tc>
          <w:tcPr>
            <w:tcW w:w="8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6"/>
          </w:tcPr>
          <w:p>
            <w:pPr>
              <w:ind w:left="160"/>
              <w:spacing w:after="0"/>
              <w:rPr>
                <w:sz w:val="20"/>
                <w:szCs w:val="20"/>
                <w:color w:val="auto"/>
              </w:rPr>
            </w:pPr>
            <w:r>
              <w:rPr>
                <w:rFonts w:ascii="Arial" w:cs="Arial" w:eastAsia="Arial" w:hAnsi="Arial"/>
                <w:sz w:val="12"/>
                <w:szCs w:val="12"/>
                <w:b w:val="1"/>
                <w:bCs w:val="1"/>
                <w:color w:val="auto"/>
              </w:rPr>
              <w:t>Six Months Ended June 30</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Borders>
              <w:bottom w:val="single" w:sz="8" w:color="auto"/>
            </w:tcBorders>
            <w:gridSpan w:val="3"/>
          </w:tcPr>
          <w:p>
            <w:pPr>
              <w:ind w:left="400"/>
              <w:spacing w:after="0" w:line="121" w:lineRule="exact"/>
              <w:rPr>
                <w:sz w:val="20"/>
                <w:szCs w:val="20"/>
                <w:color w:val="auto"/>
              </w:rPr>
            </w:pPr>
            <w:r>
              <w:rPr>
                <w:rFonts w:ascii="Arial" w:cs="Arial" w:eastAsia="Arial" w:hAnsi="Arial"/>
                <w:sz w:val="12"/>
                <w:szCs w:val="12"/>
                <w:b w:val="1"/>
                <w:bCs w:val="1"/>
                <w:color w:val="auto"/>
              </w:rPr>
              <w:t>% Variance</w:t>
            </w:r>
          </w:p>
        </w:tc>
        <w:tc>
          <w:tcPr>
            <w:tcW w:w="140" w:type="dxa"/>
            <w:vAlign w:val="bottom"/>
          </w:tcPr>
          <w:p>
            <w:pPr>
              <w:spacing w:after="0"/>
              <w:rPr>
                <w:sz w:val="10"/>
                <w:szCs w:val="10"/>
                <w:color w:val="auto"/>
              </w:rPr>
            </w:pPr>
          </w:p>
        </w:tc>
      </w:tr>
      <w:tr>
        <w:trPr>
          <w:trHeight w:val="110"/>
        </w:trPr>
        <w:tc>
          <w:tcPr>
            <w:tcW w:w="8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w w:val="92"/>
              </w:rPr>
              <w:t>Amount</w:t>
            </w:r>
          </w:p>
        </w:tc>
        <w:tc>
          <w:tcPr>
            <w:tcW w:w="480" w:type="dxa"/>
            <w:vAlign w:val="bottom"/>
          </w:tcPr>
          <w:p>
            <w:pPr>
              <w:ind w:left="20"/>
              <w:spacing w:after="0" w:line="110" w:lineRule="exact"/>
              <w:rPr>
                <w:sz w:val="20"/>
                <w:szCs w:val="20"/>
                <w:color w:val="auto"/>
              </w:rPr>
            </w:pPr>
            <w:r>
              <w:rPr>
                <w:rFonts w:ascii="Arial" w:cs="Arial" w:eastAsia="Arial" w:hAnsi="Arial"/>
                <w:sz w:val="12"/>
                <w:szCs w:val="12"/>
                <w:b w:val="1"/>
                <w:bCs w:val="1"/>
                <w:color w:val="auto"/>
                <w:w w:val="84"/>
              </w:rPr>
              <w:t>Constant</w:t>
            </w:r>
          </w:p>
        </w:tc>
        <w:tc>
          <w:tcPr>
            <w:tcW w:w="140" w:type="dxa"/>
            <w:vAlign w:val="bottom"/>
          </w:tcPr>
          <w:p>
            <w:pPr>
              <w:spacing w:after="0"/>
              <w:rPr>
                <w:sz w:val="9"/>
                <w:szCs w:val="9"/>
                <w:color w:val="auto"/>
              </w:rPr>
            </w:pPr>
          </w:p>
        </w:tc>
      </w:tr>
      <w:tr>
        <w:trPr>
          <w:trHeight w:val="140"/>
        </w:trPr>
        <w:tc>
          <w:tcPr>
            <w:tcW w:w="8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84"/>
              <w:spacing w:after="0"/>
              <w:rPr>
                <w:sz w:val="20"/>
                <w:szCs w:val="20"/>
                <w:color w:val="auto"/>
              </w:rPr>
            </w:pPr>
            <w:r>
              <w:rPr>
                <w:rFonts w:ascii="Arial" w:cs="Arial" w:eastAsia="Arial" w:hAnsi="Arial"/>
                <w:sz w:val="12"/>
                <w:szCs w:val="12"/>
                <w:b w:val="1"/>
                <w:bCs w:val="1"/>
                <w:color w:val="auto"/>
              </w:rPr>
              <w:t>2006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65"/>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w w:val="87"/>
              </w:rPr>
              <w:t>Reported</w:t>
            </w:r>
          </w:p>
        </w:tc>
        <w:tc>
          <w:tcPr>
            <w:tcW w:w="4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7"/>
              </w:rPr>
              <w:t>Currency</w:t>
            </w:r>
          </w:p>
        </w:tc>
      </w:tr>
      <w:tr>
        <w:trPr>
          <w:trHeight w:val="20"/>
        </w:trPr>
        <w:tc>
          <w:tcPr>
            <w:tcW w:w="8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1"/>
        </w:trPr>
        <w:tc>
          <w:tcPr>
            <w:tcW w:w="8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4"/>
          </w:tcPr>
          <w:p>
            <w:pPr>
              <w:jc w:val="right"/>
              <w:ind w:right="800"/>
              <w:spacing w:after="0" w:line="121" w:lineRule="exact"/>
              <w:rPr>
                <w:sz w:val="20"/>
                <w:szCs w:val="20"/>
                <w:color w:val="auto"/>
              </w:rPr>
            </w:pPr>
            <w:r>
              <w:rPr>
                <w:rFonts w:ascii="Arial" w:cs="Arial" w:eastAsia="Arial" w:hAnsi="Arial"/>
                <w:sz w:val="12"/>
                <w:szCs w:val="12"/>
                <w:b w:val="1"/>
                <w:bCs w:val="1"/>
                <w:color w:val="auto"/>
              </w:rPr>
              <w:t>(Unaudited)</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8"/>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Revenues from Services: (a)</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United States (b)</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1,044.9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982.6</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6.3%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6.3%</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1"/>
              </w:rPr>
              <w:t>2,776.1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2,635.0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EMEA</w:t>
            </w:r>
          </w:p>
        </w:tc>
        <w:tc>
          <w:tcPr>
            <w:tcW w:w="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3,023.0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7"/>
              </w:rPr>
              <w:t>2,773.0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9.0%</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13.7%</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194.3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199.9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212.5</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-5.9%</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-4.2%</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1,131.7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1,023.1</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r>
      <w:tr>
        <w:trPr>
          <w:trHeight w:val="191"/>
        </w:trPr>
        <w:tc>
          <w:tcPr>
            <w:tcW w:w="81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8,369.9</w:t>
            </w:r>
          </w:p>
        </w:tc>
        <w:tc>
          <w:tcPr>
            <w:tcW w:w="240" w:type="dxa"/>
            <w:vAlign w:val="bottom"/>
            <w:gridSpan w:val="2"/>
          </w:tcPr>
          <w:p>
            <w:pPr>
              <w:ind w:left="160"/>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87"/>
              </w:rPr>
              <w:t>7,812.4</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7.1%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10.7%</w:t>
            </w:r>
          </w:p>
        </w:tc>
      </w:tr>
      <w:tr>
        <w:trPr>
          <w:trHeight w:val="20"/>
        </w:trPr>
        <w:tc>
          <w:tcPr>
            <w:tcW w:w="8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Operating Unit Profit: (a)</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United States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32.0</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22.9</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39.8%</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39.8%</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France</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80.1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EMEA</w:t>
            </w:r>
          </w:p>
        </w:tc>
        <w:tc>
          <w:tcPr>
            <w:tcW w:w="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74.1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52.0</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42.3%</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45.9%</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Jefferson Wells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88"/>
        </w:trPr>
        <w:tc>
          <w:tcPr>
            <w:tcW w:w="8140" w:type="dxa"/>
            <w:vAlign w:val="bottom"/>
          </w:tcPr>
          <w:p>
            <w:pPr>
              <w:ind w:left="380"/>
              <w:spacing w:after="0"/>
              <w:rPr>
                <w:sz w:val="20"/>
                <w:szCs w:val="20"/>
                <w:color w:val="auto"/>
              </w:rPr>
            </w:pPr>
            <w:r>
              <w:rPr>
                <w:rFonts w:ascii="Arial" w:cs="Arial" w:eastAsia="Arial" w:hAnsi="Arial"/>
                <w:sz w:val="15"/>
                <w:szCs w:val="15"/>
                <w:color w:val="auto"/>
              </w:rPr>
              <w:t>Right Management</w:t>
            </w:r>
          </w:p>
        </w:tc>
        <w:tc>
          <w:tcPr>
            <w:tcW w:w="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15.4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19.1</w:t>
            </w:r>
          </w:p>
        </w:tc>
        <w:tc>
          <w:tcPr>
            <w:tcW w:w="1240" w:type="dxa"/>
            <w:vAlign w:val="bottom"/>
            <w:gridSpan w:val="3"/>
          </w:tcPr>
          <w:p>
            <w:pPr>
              <w:jc w:val="right"/>
              <w:ind w:right="320"/>
              <w:spacing w:after="0"/>
              <w:rPr>
                <w:sz w:val="20"/>
                <w:szCs w:val="20"/>
                <w:color w:val="auto"/>
              </w:rPr>
            </w:pPr>
            <w:r>
              <w:rPr>
                <w:rFonts w:ascii="Arial" w:cs="Arial" w:eastAsia="Arial" w:hAnsi="Arial"/>
                <w:sz w:val="15"/>
                <w:szCs w:val="15"/>
                <w:color w:val="auto"/>
              </w:rPr>
              <w:t>-19.5%</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-20.7%</w:t>
            </w: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Operations</w:t>
            </w:r>
          </w:p>
        </w:tc>
        <w:tc>
          <w:tcPr>
            <w:tcW w:w="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27.7%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34.4%</w:t>
            </w:r>
          </w:p>
        </w:tc>
      </w:tr>
      <w:tr>
        <w:trPr>
          <w:trHeight w:val="191"/>
        </w:trPr>
        <w:tc>
          <w:tcPr>
            <w:tcW w:w="8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250.0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207.5</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814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expenses</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44.7</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profit</w:t>
            </w:r>
          </w:p>
        </w:tc>
        <w:tc>
          <w:tcPr>
            <w:tcW w:w="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198.8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15.5%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18.9%</w:t>
            </w:r>
          </w:p>
        </w:tc>
      </w:tr>
      <w:tr>
        <w:trPr>
          <w:trHeight w:val="192"/>
        </w:trPr>
        <w:tc>
          <w:tcPr>
            <w:tcW w:w="8140" w:type="dxa"/>
            <w:vAlign w:val="bottom"/>
          </w:tcPr>
          <w:p>
            <w:pPr>
              <w:spacing w:after="0"/>
              <w:rPr>
                <w:sz w:val="20"/>
                <w:szCs w:val="20"/>
                <w:color w:val="auto"/>
              </w:rPr>
            </w:pPr>
            <w:r>
              <w:rPr>
                <w:rFonts w:ascii="Arial" w:cs="Arial" w:eastAsia="Arial" w:hAnsi="Arial"/>
                <w:sz w:val="15"/>
                <w:szCs w:val="15"/>
                <w:color w:val="auto"/>
              </w:rPr>
              <w:t>Interest and other (income) expenses (c)</w:t>
            </w:r>
          </w:p>
        </w:tc>
        <w:tc>
          <w:tcPr>
            <w:tcW w:w="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23.0</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81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Earnings before income taxes</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149.2</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
        </w:trPr>
        <w:tc>
          <w:tcPr>
            <w:tcW w:w="8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75" w:lineRule="exact"/>
        <w:rPr>
          <w:sz w:val="20"/>
          <w:szCs w:val="20"/>
          <w:color w:val="auto"/>
        </w:rPr>
      </w:pPr>
    </w:p>
    <w:p>
      <w:pPr>
        <w:ind w:left="446" w:right="140" w:hanging="446"/>
        <w:spacing w:after="0" w:line="291"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Certain Eastern European countries previously reported in France are now reported in EMEA due to a change in management structure. All previously reported results for France and EMEA have been restated to conform to the current presentation.</w:t>
      </w:r>
    </w:p>
    <w:p>
      <w:pPr>
        <w:spacing w:after="0" w:line="28" w:lineRule="exact"/>
        <w:rPr>
          <w:rFonts w:ascii="Arial" w:cs="Arial" w:eastAsia="Arial" w:hAnsi="Arial"/>
          <w:sz w:val="15"/>
          <w:szCs w:val="15"/>
          <w:color w:val="auto"/>
        </w:rPr>
      </w:pPr>
    </w:p>
    <w:p>
      <w:pPr>
        <w:jc w:val="both"/>
        <w:ind w:left="446" w:right="60" w:hanging="446"/>
        <w:spacing w:after="0" w:line="276" w:lineRule="auto"/>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the related franchise offices of $11.3 million and $11.7 million for the six months ended June 30, 2006 and 2005, respectively. These fees are primarily based on revenues generated by the franchise offices, which were $574.2 million and $574.4 million for the six months ended June 30, 2006 and 2005, respectively.</w:t>
      </w:r>
    </w:p>
    <w:p>
      <w:pPr>
        <w:spacing w:after="0" w:line="39" w:lineRule="exact"/>
        <w:rPr>
          <w:rFonts w:ascii="Arial" w:cs="Arial" w:eastAsia="Arial" w:hAnsi="Arial"/>
          <w:sz w:val="15"/>
          <w:szCs w:val="15"/>
          <w:color w:val="auto"/>
        </w:rPr>
      </w:pPr>
    </w:p>
    <w:p>
      <w:pPr>
        <w:ind w:left="446" w:hanging="446"/>
        <w:spacing w:after="0"/>
        <w:tabs>
          <w:tab w:leader="none" w:pos="446"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components of interest and other (income) expenses were:</w:t>
      </w:r>
    </w:p>
    <w:p>
      <w:pPr>
        <w:spacing w:after="0" w:line="188" w:lineRule="exact"/>
        <w:rPr>
          <w:sz w:val="20"/>
          <w:szCs w:val="20"/>
          <w:color w:val="auto"/>
        </w:rPr>
      </w:pPr>
    </w:p>
    <w:tbl>
      <w:tblPr>
        <w:tblLayout w:type="fixed"/>
        <w:tblInd w:w="466" w:type="dxa"/>
        <w:tblCellMar>
          <w:top w:w="0" w:type="dxa"/>
          <w:left w:w="0" w:type="dxa"/>
          <w:bottom w:w="0" w:type="dxa"/>
          <w:right w:w="0" w:type="dxa"/>
        </w:tblCellMar>
      </w:tblPr>
      <w:tr>
        <w:trPr>
          <w:trHeight w:val="140"/>
        </w:trPr>
        <w:tc>
          <w:tcPr>
            <w:tcW w:w="5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w w:val="82"/>
              </w:rPr>
              <w:t>2006</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8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2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60" w:type="dxa"/>
            <w:vAlign w:val="bottom"/>
            <w:shd w:val="clear" w:color="auto" w:fill="CCEEFF"/>
          </w:tcPr>
          <w:p>
            <w:pPr>
              <w:spacing w:after="0"/>
              <w:rPr>
                <w:sz w:val="15"/>
                <w:szCs w:val="15"/>
                <w:color w:val="auto"/>
              </w:rPr>
            </w:pPr>
          </w:p>
        </w:tc>
      </w:tr>
      <w:tr>
        <w:trPr>
          <w:trHeight w:val="188"/>
        </w:trPr>
        <w:tc>
          <w:tcPr>
            <w:tcW w:w="5740" w:type="dxa"/>
            <w:vAlign w:val="bottom"/>
          </w:tcPr>
          <w:p>
            <w:pPr>
              <w:spacing w:after="0"/>
              <w:rPr>
                <w:sz w:val="20"/>
                <w:szCs w:val="20"/>
                <w:color w:val="auto"/>
              </w:rPr>
            </w:pPr>
            <w:r>
              <w:rPr>
                <w:rFonts w:ascii="Arial" w:cs="Arial" w:eastAsia="Arial" w:hAnsi="Arial"/>
                <w:sz w:val="15"/>
                <w:szCs w:val="15"/>
                <w:color w:val="auto"/>
              </w:rPr>
              <w:t>Interest income</w:t>
            </w: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(7.1)</w:t>
            </w:r>
          </w:p>
        </w:tc>
        <w:tc>
          <w:tcPr>
            <w:tcW w:w="620" w:type="dxa"/>
            <w:vAlign w:val="bottom"/>
            <w:gridSpan w:val="3"/>
          </w:tcPr>
          <w:p>
            <w:pPr>
              <w:jc w:val="right"/>
              <w:ind w:right="20"/>
              <w:spacing w:after="0"/>
              <w:rPr>
                <w:sz w:val="20"/>
                <w:szCs w:val="20"/>
                <w:color w:val="auto"/>
              </w:rPr>
            </w:pPr>
            <w:r>
              <w:rPr>
                <w:rFonts w:ascii="Arial" w:cs="Arial" w:eastAsia="Arial" w:hAnsi="Arial"/>
                <w:sz w:val="15"/>
                <w:szCs w:val="15"/>
                <w:color w:val="auto"/>
              </w:rPr>
              <w:t>(4.4)</w:t>
            </w:r>
          </w:p>
        </w:tc>
      </w:tr>
      <w:tr>
        <w:trPr>
          <w:trHeight w:val="188"/>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losses</w:t>
            </w:r>
          </w:p>
        </w:tc>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60" w:type="dxa"/>
            <w:vAlign w:val="bottom"/>
            <w:shd w:val="clear" w:color="auto" w:fill="CCEEFF"/>
          </w:tcPr>
          <w:p>
            <w:pPr>
              <w:spacing w:after="0"/>
              <w:rPr>
                <w:sz w:val="16"/>
                <w:szCs w:val="16"/>
                <w:color w:val="auto"/>
              </w:rPr>
            </w:pPr>
          </w:p>
        </w:tc>
      </w:tr>
      <w:tr>
        <w:trPr>
          <w:trHeight w:val="188"/>
        </w:trPr>
        <w:tc>
          <w:tcPr>
            <w:tcW w:w="5740" w:type="dxa"/>
            <w:vAlign w:val="bottom"/>
          </w:tcPr>
          <w:p>
            <w:pPr>
              <w:spacing w:after="0"/>
              <w:rPr>
                <w:sz w:val="20"/>
                <w:szCs w:val="20"/>
                <w:color w:val="auto"/>
              </w:rPr>
            </w:pPr>
            <w:r>
              <w:rPr>
                <w:rFonts w:ascii="Arial" w:cs="Arial" w:eastAsia="Arial" w:hAnsi="Arial"/>
                <w:sz w:val="15"/>
                <w:szCs w:val="15"/>
                <w:color w:val="auto"/>
              </w:rPr>
              <w:t>Miscellaneous (income) expense, net</w:t>
            </w:r>
          </w:p>
        </w:tc>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w w:val="91"/>
              </w:rPr>
              <w:t>(23.6)</w:t>
            </w: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60" w:type="dxa"/>
            <w:vAlign w:val="bottom"/>
          </w:tcPr>
          <w:p>
            <w:pPr>
              <w:spacing w:after="0"/>
              <w:rPr>
                <w:sz w:val="16"/>
                <w:szCs w:val="16"/>
                <w:color w:val="auto"/>
              </w:rPr>
            </w:pPr>
          </w:p>
        </w:tc>
      </w:tr>
      <w:tr>
        <w:trPr>
          <w:trHeight w:val="24"/>
        </w:trPr>
        <w:tc>
          <w:tcPr>
            <w:tcW w:w="57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574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23.0</w:t>
            </w:r>
          </w:p>
        </w:tc>
        <w:tc>
          <w:tcPr>
            <w:tcW w:w="60" w:type="dxa"/>
            <w:vAlign w:val="bottom"/>
            <w:shd w:val="clear" w:color="auto" w:fill="CCEEFF"/>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6"/>
          </w:cols>
          <w:pgMar w:left="234" w:top="262" w:right="2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Balance Sheets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2"/>
              </w:rPr>
              <w:t>Jun. 30</w:t>
            </w:r>
          </w:p>
        </w:tc>
        <w:tc>
          <w:tcPr>
            <w:tcW w:w="8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0"/>
              </w:rPr>
              <w:t>Dec. 31</w:t>
            </w:r>
          </w:p>
        </w:tc>
      </w:tr>
      <w:tr>
        <w:trPr>
          <w:trHeight w:val="140"/>
        </w:trPr>
        <w:tc>
          <w:tcPr>
            <w:tcW w:w="10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2006</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2005</w:t>
            </w:r>
          </w:p>
        </w:tc>
        <w:tc>
          <w:tcPr>
            <w:tcW w:w="60" w:type="dxa"/>
            <w:vAlign w:val="bottom"/>
          </w:tcPr>
          <w:p>
            <w:pPr>
              <w:spacing w:after="0"/>
              <w:rPr>
                <w:sz w:val="12"/>
                <w:szCs w:val="12"/>
                <w:color w:val="auto"/>
              </w:rPr>
            </w:pPr>
          </w:p>
        </w:tc>
      </w:tr>
      <w:tr>
        <w:trPr>
          <w:trHeight w:val="121"/>
        </w:trPr>
        <w:tc>
          <w:tcPr>
            <w:tcW w:w="10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right"/>
              <w:ind w:right="440"/>
              <w:spacing w:after="0" w:line="121" w:lineRule="exact"/>
              <w:rPr>
                <w:sz w:val="20"/>
                <w:szCs w:val="20"/>
                <w:color w:val="auto"/>
              </w:rPr>
            </w:pPr>
            <w:r>
              <w:rPr>
                <w:rFonts w:ascii="Arial" w:cs="Arial" w:eastAsia="Arial" w:hAnsi="Arial"/>
                <w:sz w:val="12"/>
                <w:szCs w:val="12"/>
                <w:b w:val="1"/>
                <w:bCs w:val="1"/>
                <w:color w:val="auto"/>
              </w:rPr>
              <w:t>(Unaudited)</w:t>
            </w:r>
          </w:p>
        </w:tc>
      </w:tr>
      <w:tr>
        <w:trPr>
          <w:trHeight w:val="188"/>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768.1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454.9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3,610.8</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3,208.2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 and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109.6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Future income tax benefits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94.8</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4,583.3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3,841.7</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assets: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 and other intangible assets, net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1,281.1</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1,256.5</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334.2</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273.8</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assets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1,615.3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1,530.3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Property and equipment: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Land, buildings, leasehold improvements and equipment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687.0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642.4</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485.4</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446.0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Net property and equipment</w:t>
            </w: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60" w:type="dxa"/>
            <w:vAlign w:val="bottom"/>
            <w:shd w:val="clear" w:color="auto" w:fill="CCEEFF"/>
          </w:tcPr>
          <w:p>
            <w:pPr>
              <w:spacing w:after="0"/>
              <w:rPr>
                <w:sz w:val="16"/>
                <w:szCs w:val="16"/>
                <w:color w:val="auto"/>
              </w:rPr>
            </w:pPr>
          </w:p>
        </w:tc>
      </w:tr>
      <w:tr>
        <w:trPr>
          <w:trHeight w:val="191"/>
        </w:trPr>
        <w:tc>
          <w:tcPr>
            <w:tcW w:w="100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6,400.2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898.0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Employee compensation payable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151.7</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150.6</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559.0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435.4</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Accrued payroll taxes and insurance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603.8</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607.2</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Value added taxes payable</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480.6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441.9</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Short-term borrowings and current maturities of long-term debt</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281.3</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260.0</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current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2,974.4</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2,580.5</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Long-term debt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766.3</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475.0</w:t>
            </w:r>
          </w:p>
        </w:tc>
      </w:tr>
      <w:tr>
        <w:trPr>
          <w:trHeight w:val="192"/>
        </w:trPr>
        <w:tc>
          <w:tcPr>
            <w:tcW w:w="10020" w:type="dxa"/>
            <w:vAlign w:val="bottom"/>
          </w:tcPr>
          <w:p>
            <w:pPr>
              <w:ind w:left="380"/>
              <w:spacing w:after="0"/>
              <w:rPr>
                <w:sz w:val="20"/>
                <w:szCs w:val="20"/>
                <w:color w:val="auto"/>
              </w:rPr>
            </w:pPr>
            <w:r>
              <w:rPr>
                <w:rFonts w:ascii="Arial" w:cs="Arial" w:eastAsia="Arial" w:hAnsi="Arial"/>
                <w:sz w:val="15"/>
                <w:szCs w:val="15"/>
                <w:color w:val="auto"/>
              </w:rPr>
              <w:t>Other long-term liabilities</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366.3</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Total other liabilities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1,156.9</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841.3</w:t>
            </w:r>
          </w:p>
        </w:tc>
      </w:tr>
      <w:tr>
        <w:trPr>
          <w:trHeight w:val="188"/>
        </w:trPr>
        <w:tc>
          <w:tcPr>
            <w:tcW w:w="1002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stock</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Capital in excess of par value</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w w:val="87"/>
              </w:rPr>
              <w:t>2,389.5</w:t>
            </w: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w w:val="87"/>
              </w:rPr>
              <w:t>2,346.7</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379.2</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269.9</w:t>
            </w:r>
          </w:p>
        </w:tc>
      </w:tr>
      <w:tr>
        <w:trPr>
          <w:trHeight w:val="188"/>
        </w:trPr>
        <w:tc>
          <w:tcPr>
            <w:tcW w:w="10020" w:type="dxa"/>
            <w:vAlign w:val="bottom"/>
          </w:tcPr>
          <w:p>
            <w:pPr>
              <w:ind w:left="380"/>
              <w:spacing w:after="0"/>
              <w:rPr>
                <w:sz w:val="20"/>
                <w:szCs w:val="20"/>
                <w:color w:val="auto"/>
              </w:rPr>
            </w:pPr>
            <w:r>
              <w:rPr>
                <w:rFonts w:ascii="Arial" w:cs="Arial" w:eastAsia="Arial" w:hAnsi="Arial"/>
                <w:sz w:val="15"/>
                <w:szCs w:val="15"/>
                <w:color w:val="auto"/>
              </w:rPr>
              <w:t>Accumulated other comprehensive income (loss)</w:t>
            </w:r>
          </w:p>
        </w:tc>
        <w:tc>
          <w:tcPr>
            <w:tcW w:w="8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68.8</w:t>
            </w:r>
          </w:p>
        </w:tc>
        <w:tc>
          <w:tcPr>
            <w:tcW w:w="8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5"/>
                <w:szCs w:val="15"/>
                <w:color w:val="auto"/>
              </w:rPr>
              <w:t>(11.0)</w:t>
            </w:r>
          </w:p>
        </w:tc>
      </w:tr>
      <w:tr>
        <w:trPr>
          <w:trHeight w:val="188"/>
        </w:trPr>
        <w:tc>
          <w:tcPr>
            <w:tcW w:w="10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Treasury stock, at cost</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(569.6)</w:t>
            </w: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(460.0)</w:t>
            </w:r>
          </w:p>
        </w:tc>
      </w:tr>
      <w:tr>
        <w:trPr>
          <w:trHeight w:val="195"/>
        </w:trPr>
        <w:tc>
          <w:tcPr>
            <w:tcW w:w="10020" w:type="dxa"/>
            <w:vAlign w:val="bottom"/>
          </w:tcPr>
          <w:p>
            <w:pPr>
              <w:ind w:left="740"/>
              <w:spacing w:after="0"/>
              <w:rPr>
                <w:sz w:val="20"/>
                <w:szCs w:val="20"/>
                <w:color w:val="auto"/>
              </w:rPr>
            </w:pPr>
            <w:r>
              <w:rPr>
                <w:rFonts w:ascii="Arial" w:cs="Arial" w:eastAsia="Arial" w:hAnsi="Arial"/>
                <w:sz w:val="15"/>
                <w:szCs w:val="15"/>
                <w:color w:val="auto"/>
              </w:rPr>
              <w:t>Total shareholders’ equity</w:t>
            </w: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2,268.9</w:t>
            </w:r>
          </w:p>
        </w:tc>
        <w:tc>
          <w:tcPr>
            <w:tcW w:w="2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87"/>
              </w:rPr>
              <w:t>2,146.6</w:t>
            </w:r>
          </w:p>
        </w:tc>
        <w:tc>
          <w:tcPr>
            <w:tcW w:w="60" w:type="dxa"/>
            <w:vAlign w:val="bottom"/>
          </w:tcPr>
          <w:p>
            <w:pPr>
              <w:spacing w:after="0"/>
              <w:rPr>
                <w:sz w:val="16"/>
                <w:szCs w:val="16"/>
                <w:color w:val="auto"/>
              </w:rPr>
            </w:pPr>
          </w:p>
        </w:tc>
      </w:tr>
      <w:tr>
        <w:trPr>
          <w:trHeight w:val="188"/>
        </w:trPr>
        <w:tc>
          <w:tcPr>
            <w:tcW w:w="1002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87"/>
              </w:rPr>
              <w:t>6,400.2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7"/>
              </w:rPr>
              <w:t>5,568.4</w:t>
            </w:r>
          </w:p>
        </w:tc>
      </w:tr>
      <w:tr>
        <w:trPr>
          <w:trHeight w:val="20"/>
        </w:trPr>
        <w:tc>
          <w:tcPr>
            <w:tcW w:w="10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24765"/>
                    </a:xfrm>
                    <a:prstGeom prst="rect">
                      <a:avLst/>
                    </a:prstGeom>
                    <a:noFill/>
                  </pic:spPr>
                </pic:pic>
              </a:graphicData>
            </a:graphic>
          </wp:anchor>
        </w:drawing>
        <w:t>Manpower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Consolidated Statements of Cash Flows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w w:val="90"/>
              </w:rPr>
              <w:t>Six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June 30</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Borders>
              <w:bottom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4"/>
              <w:spacing w:after="0" w:line="121" w:lineRule="exact"/>
              <w:rPr>
                <w:sz w:val="20"/>
                <w:szCs w:val="20"/>
                <w:color w:val="auto"/>
              </w:rPr>
            </w:pPr>
            <w:r>
              <w:rPr>
                <w:rFonts w:ascii="Arial" w:cs="Arial" w:eastAsia="Arial" w:hAnsi="Arial"/>
                <w:sz w:val="12"/>
                <w:szCs w:val="12"/>
                <w:b w:val="1"/>
                <w:bCs w:val="1"/>
                <w:color w:val="auto"/>
                <w:w w:val="97"/>
              </w:rPr>
              <w:t>2005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79"/>
              </w:rPr>
              <w:t>(Unaudited)</w:t>
            </w:r>
          </w:p>
        </w:tc>
        <w:tc>
          <w:tcPr>
            <w:tcW w:w="4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earnings</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w w:val="91"/>
              </w:rPr>
              <w:t>$ 133.0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94.7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Adjustments to reconcile net earnings to net cash provided by operating activities: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Depreciation and amortization</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43.8</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discount on convertible debentures</w:t>
            </w:r>
          </w:p>
        </w:tc>
        <w:tc>
          <w:tcPr>
            <w:tcW w:w="880" w:type="dxa"/>
            <w:vAlign w:val="bottom"/>
            <w:gridSpan w:val="2"/>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(25.3)</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Provision for doubtful accounts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Stock based compensation</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720"/>
              <w:spacing w:after="0"/>
              <w:rPr>
                <w:sz w:val="20"/>
                <w:szCs w:val="20"/>
                <w:color w:val="auto"/>
              </w:rPr>
            </w:pPr>
            <w:r>
              <w:rPr>
                <w:rFonts w:ascii="Arial" w:cs="Arial" w:eastAsia="Arial" w:hAnsi="Arial"/>
                <w:sz w:val="15"/>
                <w:szCs w:val="15"/>
                <w:color w:val="auto"/>
              </w:rPr>
              <w:t>Other non-operating gains</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Changes in operating assets and liabilities excluding the impact of acquisitions:</w:t>
            </w: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Accounts receivable</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(216.4)</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w w:val="88"/>
              </w:rPr>
              <w:t>(140.9)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100"/>
              <w:spacing w:after="0"/>
              <w:rPr>
                <w:sz w:val="20"/>
                <w:szCs w:val="20"/>
                <w:color w:val="auto"/>
              </w:rPr>
            </w:pPr>
            <w:r>
              <w:rPr>
                <w:rFonts w:ascii="Arial" w:cs="Arial" w:eastAsia="Arial" w:hAnsi="Arial"/>
                <w:sz w:val="15"/>
                <w:szCs w:val="15"/>
                <w:color w:val="auto"/>
              </w:rPr>
              <w:t>Other assets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18.1</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ind w:left="1100"/>
              <w:spacing w:after="0"/>
              <w:rPr>
                <w:sz w:val="20"/>
                <w:szCs w:val="20"/>
                <w:color w:val="auto"/>
              </w:rPr>
            </w:pPr>
            <w:r>
              <w:rPr>
                <w:rFonts w:ascii="Arial" w:cs="Arial" w:eastAsia="Arial" w:hAnsi="Arial"/>
                <w:sz w:val="15"/>
                <w:szCs w:val="15"/>
                <w:color w:val="auto"/>
              </w:rPr>
              <w:t>Other liabilities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191.3</w:t>
            </w: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provided by operating activities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135.6</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99.2</w:t>
            </w:r>
          </w:p>
        </w:tc>
        <w:tc>
          <w:tcPr>
            <w:tcW w:w="0" w:type="dxa"/>
            <w:vAlign w:val="bottom"/>
          </w:tcPr>
          <w:p>
            <w:pPr>
              <w:spacing w:after="0"/>
              <w:rPr>
                <w:sz w:val="1"/>
                <w:szCs w:val="1"/>
                <w:color w:val="auto"/>
              </w:rPr>
            </w:pPr>
          </w:p>
        </w:tc>
      </w:tr>
      <w:tr>
        <w:trPr>
          <w:trHeight w:val="191"/>
        </w:trPr>
        <w:tc>
          <w:tcPr>
            <w:tcW w:w="10020" w:type="dxa"/>
            <w:vAlign w:val="bottom"/>
            <w:gridSpan w:val="2"/>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48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Capital expenditures</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Acquisitions of businesses, net of cash acquired</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sale of business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sale of an equity interest</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8.8</w:t>
            </w: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the sale of property and equipment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4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0" w:type="dxa"/>
            <w:vAlign w:val="bottom"/>
          </w:tcPr>
          <w:p>
            <w:pPr>
              <w:ind w:left="1480"/>
              <w:spacing w:after="0"/>
              <w:rPr>
                <w:sz w:val="20"/>
                <w:szCs w:val="20"/>
                <w:color w:val="auto"/>
              </w:rPr>
            </w:pPr>
            <w:r>
              <w:rPr>
                <w:rFonts w:ascii="Arial" w:cs="Arial" w:eastAsia="Arial" w:hAnsi="Arial"/>
                <w:sz w:val="15"/>
                <w:szCs w:val="15"/>
                <w:color w:val="auto"/>
              </w:rPr>
              <w:t>Cash used by investing activities</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48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Net borrowings of short-term facilities and long-term debt</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250.8</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174.2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paid to settle convertible debentures</w:t>
            </w:r>
          </w:p>
        </w:tc>
        <w:tc>
          <w:tcPr>
            <w:tcW w:w="880" w:type="dxa"/>
            <w:vAlign w:val="bottom"/>
            <w:gridSpan w:val="2"/>
            <w:shd w:val="clear" w:color="auto" w:fill="CCEEFF"/>
          </w:tcPr>
          <w:p>
            <w:pPr>
              <w:jc w:val="right"/>
              <w:ind w:right="427"/>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(206.6)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Proceeds from settlement of swap agreements</w:t>
            </w:r>
          </w:p>
        </w:tc>
        <w:tc>
          <w:tcPr>
            <w:tcW w:w="880" w:type="dxa"/>
            <w:vAlign w:val="bottom"/>
            <w:gridSpan w:val="2"/>
          </w:tcPr>
          <w:p>
            <w:pPr>
              <w:jc w:val="right"/>
              <w:ind w:right="427"/>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5"/>
                <w:szCs w:val="15"/>
                <w:color w:val="auto"/>
              </w:rPr>
              <w:t>50.7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Proceeds from stock option and purchase plans</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rPr>
              <w:t>40.6</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Excess tax benefit on exercise of stock options</w:t>
            </w:r>
          </w:p>
        </w:tc>
        <w:tc>
          <w:tcPr>
            <w:tcW w:w="880" w:type="dxa"/>
            <w:vAlign w:val="bottom"/>
            <w:gridSpan w:val="2"/>
          </w:tcPr>
          <w:p>
            <w:pPr>
              <w:jc w:val="right"/>
              <w:ind w:right="347"/>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Repurchases of common stock</w:t>
            </w:r>
          </w:p>
        </w:tc>
        <w:tc>
          <w:tcPr>
            <w:tcW w:w="880" w:type="dxa"/>
            <w:vAlign w:val="bottom"/>
            <w:gridSpan w:val="2"/>
            <w:shd w:val="clear" w:color="auto" w:fill="CCEEFF"/>
          </w:tcPr>
          <w:p>
            <w:pPr>
              <w:jc w:val="right"/>
              <w:ind w:right="307"/>
              <w:spacing w:after="0"/>
              <w:rPr>
                <w:sz w:val="20"/>
                <w:szCs w:val="20"/>
                <w:color w:val="auto"/>
              </w:rPr>
            </w:pPr>
            <w:r>
              <w:rPr>
                <w:rFonts w:ascii="Arial" w:cs="Arial" w:eastAsia="Arial" w:hAnsi="Arial"/>
                <w:sz w:val="15"/>
                <w:szCs w:val="15"/>
                <w:color w:val="auto"/>
              </w:rPr>
              <w:t>(119.1)</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(203.5)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ind w:left="360"/>
              <w:spacing w:after="0"/>
              <w:rPr>
                <w:sz w:val="20"/>
                <w:szCs w:val="20"/>
                <w:color w:val="auto"/>
              </w:rPr>
            </w:pPr>
            <w:r>
              <w:rPr>
                <w:rFonts w:ascii="Arial" w:cs="Arial" w:eastAsia="Arial" w:hAnsi="Arial"/>
                <w:sz w:val="15"/>
                <w:szCs w:val="15"/>
                <w:color w:val="auto"/>
              </w:rPr>
              <w:t>Dividends paid</w:t>
            </w:r>
          </w:p>
        </w:tc>
        <w:tc>
          <w:tcPr>
            <w:tcW w:w="880" w:type="dxa"/>
            <w:vAlign w:val="bottom"/>
            <w:gridSpan w:val="2"/>
          </w:tcPr>
          <w:p>
            <w:pPr>
              <w:jc w:val="right"/>
              <w:ind w:right="307"/>
              <w:spacing w:after="0"/>
              <w:rPr>
                <w:sz w:val="20"/>
                <w:szCs w:val="20"/>
                <w:color w:val="auto"/>
              </w:rPr>
            </w:pPr>
            <w:r>
              <w:rPr>
                <w:rFonts w:ascii="Arial" w:cs="Arial" w:eastAsia="Arial" w:hAnsi="Arial"/>
                <w:sz w:val="15"/>
                <w:szCs w:val="15"/>
                <w:color w:val="auto"/>
              </w:rPr>
              <w:t>(23.7)</w:t>
            </w: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ind w:left="1480"/>
              <w:spacing w:after="0"/>
              <w:rPr>
                <w:sz w:val="20"/>
                <w:szCs w:val="20"/>
                <w:color w:val="auto"/>
              </w:rPr>
            </w:pPr>
            <w:r>
              <w:rPr>
                <w:rFonts w:ascii="Arial" w:cs="Arial" w:eastAsia="Arial" w:hAnsi="Arial"/>
                <w:sz w:val="15"/>
                <w:szCs w:val="15"/>
                <w:color w:val="auto"/>
              </w:rPr>
              <w:t>Cash provided (used) by financing activities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150.2</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(194.4)</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spacing w:after="0"/>
              <w:rPr>
                <w:sz w:val="20"/>
                <w:szCs w:val="20"/>
                <w:color w:val="auto"/>
              </w:rPr>
            </w:pPr>
            <w:r>
              <w:rPr>
                <w:rFonts w:ascii="Arial" w:cs="Arial" w:eastAsia="Arial" w:hAnsi="Arial"/>
                <w:sz w:val="15"/>
                <w:szCs w:val="15"/>
                <w:color w:val="auto"/>
              </w:rPr>
              <w:t>Effect of exchange rate changes on cash</w:t>
            </w: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20" w:type="dxa"/>
            <w:vAlign w:val="bottom"/>
            <w:gridSpan w:val="2"/>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27.9</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5"/>
                <w:szCs w:val="15"/>
                <w:color w:val="auto"/>
              </w:rPr>
              <w:t>(37.2)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Change in cash and cash equivalents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313.2</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88"/>
              </w:rPr>
              <w:t>(168.5)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Cash and cash equivalents, beginning of period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880" w:type="dxa"/>
            <w:vAlign w:val="bottom"/>
            <w:gridSpan w:val="2"/>
            <w:shd w:val="clear" w:color="auto" w:fill="CCEEFF"/>
          </w:tcPr>
          <w:p>
            <w:pPr>
              <w:jc w:val="right"/>
              <w:ind w:right="347"/>
              <w:spacing w:after="0"/>
              <w:rPr>
                <w:sz w:val="20"/>
                <w:szCs w:val="20"/>
                <w:color w:val="auto"/>
              </w:rPr>
            </w:pPr>
            <w:r>
              <w:rPr>
                <w:rFonts w:ascii="Arial" w:cs="Arial" w:eastAsia="Arial" w:hAnsi="Arial"/>
                <w:sz w:val="15"/>
                <w:szCs w:val="15"/>
                <w:color w:val="auto"/>
                <w:w w:val="91"/>
              </w:rPr>
              <w:t>$ 768.1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262" w:right="219" w:bottom="1440" w:gutter="0" w:footer="0" w:header="0"/>
        </w:sectPr>
      </w:pPr>
    </w:p>
    <w:bookmarkStart w:id="10" w:name="page11"/>
    <w:bookmarkEnd w:id="10"/>
    <w:p>
      <w:pPr>
        <w:spacing w:after="0"/>
        <w:rPr>
          <w:sz w:val="20"/>
          <w:szCs w:val="20"/>
          <w:color w:val="auto"/>
        </w:rPr>
      </w:pPr>
      <w:r>
        <w:rPr>
          <w:rFonts w:ascii="Arial" w:cs="Arial" w:eastAsia="Arial" w:hAnsi="Arial"/>
          <w:sz w:val="28"/>
          <w:szCs w:val="28"/>
          <w:b w:val="1"/>
          <w:bCs w:val="1"/>
          <w:color w:val="6698C2"/>
        </w:rPr>
        <w:t>Manpower Inc.</w:t>
      </w:r>
    </w:p>
    <w:p>
      <w:pPr>
        <w:ind w:left="840"/>
        <w:spacing w:after="0" w:line="180" w:lineRule="auto"/>
        <w:rPr>
          <w:sz w:val="20"/>
          <w:szCs w:val="20"/>
          <w:color w:val="auto"/>
        </w:rPr>
      </w:pPr>
      <w:r>
        <w:rPr>
          <w:rFonts w:ascii="Arial" w:cs="Arial" w:eastAsia="Arial" w:hAnsi="Arial"/>
          <w:sz w:val="17"/>
          <w:szCs w:val="17"/>
          <w:b w:val="1"/>
          <w:bCs w:val="1"/>
          <w:color w:val="6698C2"/>
        </w:rPr>
        <w:t>nd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4"/>
          <w:szCs w:val="24"/>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-2735580</wp:posOffset>
            </wp:positionH>
            <wp:positionV relativeFrom="paragraph">
              <wp:posOffset>205740</wp:posOffset>
            </wp:positionV>
            <wp:extent cx="4128770" cy="431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6920" w:space="720"/>
            <w:col w:w="2459"/>
          </w:cols>
          <w:pgMar w:left="360" w:top="129" w:right="1440"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24"/>
          <w:szCs w:val="24"/>
          <w:color w:val="auto"/>
        </w:rPr>
        <w:t>July 19, 2006</w:t>
      </w:r>
    </w:p>
    <w:p>
      <w:pPr>
        <w:sectPr>
          <w:pgSz w:w="11900" w:h="16838" w:orient="portrait"/>
          <w:cols w:equalWidth="0" w:num="1">
            <w:col w:w="10099"/>
          </w:cols>
          <w:pgMar w:left="360" w:top="1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00"/>
        <w:spacing w:after="0"/>
        <w:rPr>
          <w:sz w:val="20"/>
          <w:szCs w:val="20"/>
          <w:color w:val="auto"/>
        </w:rPr>
      </w:pPr>
      <w:r>
        <w:rPr>
          <w:rFonts w:ascii="Arial" w:cs="Arial" w:eastAsia="Arial" w:hAnsi="Arial"/>
          <w:sz w:val="79"/>
          <w:szCs w:val="79"/>
          <w:color w:val="auto"/>
        </w:rPr>
        <w:t>Now</w:t>
      </w:r>
    </w:p>
    <w:p>
      <w:pPr>
        <w:ind w:left="5060"/>
        <w:spacing w:after="0"/>
        <w:rPr>
          <w:sz w:val="20"/>
          <w:szCs w:val="20"/>
          <w:color w:val="auto"/>
        </w:rPr>
      </w:pPr>
      <w:r>
        <w:rPr>
          <w:rFonts w:ascii="Arial" w:cs="Arial" w:eastAsia="Arial" w:hAnsi="Arial"/>
          <w:sz w:val="117"/>
          <w:szCs w:val="117"/>
          <w:color w:val="auto"/>
        </w:rPr>
        <w:t>Next</w:t>
      </w:r>
    </w:p>
    <w:p>
      <w:pPr>
        <w:sectPr>
          <w:pgSz w:w="11900" w:h="16838" w:orient="portrait"/>
          <w:cols w:equalWidth="0" w:num="1">
            <w:col w:w="10099"/>
          </w:cols>
          <w:pgMar w:left="360" w:top="129" w:right="1440" w:bottom="1440" w:gutter="0" w:footer="0" w:header="0"/>
          <w:type w:val="continuous"/>
        </w:sectPr>
      </w:pPr>
    </w:p>
    <w:bookmarkStart w:id="11" w:name="page12"/>
    <w:bookmarkEnd w:id="11"/>
    <w:tbl>
      <w:tblPr>
        <w:tblLayout w:type="fixed"/>
        <w:tblInd w:w="20" w:type="dxa"/>
        <w:tblCellMar>
          <w:top w:w="0" w:type="dxa"/>
          <w:left w:w="0" w:type="dxa"/>
          <w:bottom w:w="0" w:type="dxa"/>
          <w:right w:w="0" w:type="dxa"/>
        </w:tblCellMar>
      </w:tblPr>
      <w:tr>
        <w:trPr>
          <w:trHeight w:val="394"/>
        </w:trPr>
        <w:tc>
          <w:tcPr>
            <w:tcW w:w="682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40" w:type="dxa"/>
            <w:vAlign w:val="bottom"/>
          </w:tcPr>
          <w:p>
            <w:pPr>
              <w:jc w:val="right"/>
              <w:spacing w:after="0"/>
              <w:rPr>
                <w:sz w:val="20"/>
                <w:szCs w:val="20"/>
                <w:color w:val="auto"/>
              </w:rPr>
            </w:pPr>
            <w:r>
              <w:rPr>
                <w:rFonts w:ascii="Arial" w:cs="Arial" w:eastAsia="Arial" w:hAnsi="Arial"/>
                <w:sz w:val="22"/>
                <w:szCs w:val="22"/>
                <w:color w:val="FFFFFF"/>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Forward Looking Statement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40"/>
        <w:spacing w:after="0" w:line="246" w:lineRule="auto"/>
        <w:rPr>
          <w:sz w:val="20"/>
          <w:szCs w:val="20"/>
          <w:color w:val="auto"/>
        </w:rPr>
      </w:pPr>
      <w:r>
        <w:rPr>
          <w:rFonts w:ascii="Arial" w:cs="Arial" w:eastAsia="Arial" w:hAnsi="Arial"/>
          <w:sz w:val="32"/>
          <w:szCs w:val="32"/>
          <w:color w:val="auto"/>
        </w:rPr>
        <w:t>This presentation includes forward-looking statements which are subject to risks and uncertainties. Actual results might differ materially from those projected in the forward-looking statements. Forward-looking statements can be identified by words such as “expect,” “plan,” “may,” “will,” and similar expressions. Additional information concerning factors that could cause actual results to materially differ from those in the forward-looking statements is contained in the Company’s Annual Report on Form 10-K dated December 31, 2005, which information is incorporated herein by reference, and such other factors as may be described from time to time in the Company’s SEC filings.</w:t>
      </w:r>
    </w:p>
    <w:p>
      <w:pPr>
        <w:sectPr>
          <w:pgSz w:w="11900" w:h="16838" w:orient="portrait"/>
          <w:cols w:equalWidth="0" w:num="1">
            <w:col w:w="9880"/>
          </w:cols>
          <w:pgMar w:left="1200" w:top="423" w:right="819" w:bottom="1440" w:gutter="0" w:footer="0" w:header="0"/>
        </w:sectPr>
      </w:pPr>
    </w:p>
    <w:bookmarkStart w:id="12" w:name="page13"/>
    <w:bookmarkEnd w:id="12"/>
    <w:tbl>
      <w:tblPr>
        <w:tblLayout w:type="fixed"/>
        <w:tblInd w:w="12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47"/>
          <w:szCs w:val="47"/>
          <w:color w:val="6698C2"/>
        </w:rPr>
        <w:t>Consolidated Financial Highlights</w:t>
      </w:r>
    </w:p>
    <w:p>
      <w:pPr>
        <w:spacing w:after="0" w:line="321" w:lineRule="exact"/>
        <w:rPr>
          <w:sz w:val="20"/>
          <w:szCs w:val="20"/>
          <w:color w:val="auto"/>
        </w:rPr>
      </w:pPr>
    </w:p>
    <w:tbl>
      <w:tblPr>
        <w:tblLayout w:type="fixed"/>
        <w:tblInd w:w="2200" w:type="dxa"/>
        <w:tblCellMar>
          <w:top w:w="0" w:type="dxa"/>
          <w:left w:w="0" w:type="dxa"/>
          <w:bottom w:w="0" w:type="dxa"/>
          <w:right w:w="0" w:type="dxa"/>
        </w:tblCellMar>
      </w:tblPr>
      <w:tr>
        <w:trPr>
          <w:trHeight w:val="548"/>
        </w:trPr>
        <w:tc>
          <w:tcPr>
            <w:tcW w:w="1540" w:type="dxa"/>
            <w:vAlign w:val="bottom"/>
          </w:tcPr>
          <w:p>
            <w:pPr>
              <w:spacing w:after="0"/>
              <w:rPr>
                <w:sz w:val="24"/>
                <w:szCs w:val="24"/>
                <w:color w:val="auto"/>
              </w:rPr>
            </w:pPr>
          </w:p>
        </w:tc>
        <w:tc>
          <w:tcPr>
            <w:tcW w:w="4880" w:type="dxa"/>
            <w:vAlign w:val="bottom"/>
          </w:tcPr>
          <w:p>
            <w:pPr>
              <w:ind w:left="140"/>
              <w:spacing w:after="0"/>
              <w:rPr>
                <w:sz w:val="20"/>
                <w:szCs w:val="20"/>
                <w:color w:val="auto"/>
              </w:rPr>
            </w:pPr>
            <w:r>
              <w:rPr>
                <w:rFonts w:ascii="Arial" w:cs="Arial" w:eastAsia="Arial" w:hAnsi="Arial"/>
                <w:sz w:val="41"/>
                <w:szCs w:val="41"/>
                <w:b w:val="1"/>
                <w:bCs w:val="1"/>
                <w:color w:val="auto"/>
              </w:rPr>
              <w:t>Q2 Highlights</w:t>
            </w:r>
          </w:p>
        </w:tc>
        <w:tc>
          <w:tcPr>
            <w:tcW w:w="0" w:type="dxa"/>
            <w:vAlign w:val="bottom"/>
          </w:tcPr>
          <w:p>
            <w:pPr>
              <w:spacing w:after="0"/>
              <w:rPr>
                <w:sz w:val="1"/>
                <w:szCs w:val="1"/>
                <w:color w:val="auto"/>
              </w:rPr>
            </w:pPr>
          </w:p>
        </w:tc>
      </w:tr>
      <w:tr>
        <w:trPr>
          <w:trHeight w:val="582"/>
        </w:trPr>
        <w:tc>
          <w:tcPr>
            <w:tcW w:w="1540" w:type="dxa"/>
            <w:vAlign w:val="bottom"/>
          </w:tcPr>
          <w:p>
            <w:pPr>
              <w:jc w:val="center"/>
              <w:spacing w:after="0"/>
              <w:rPr>
                <w:sz w:val="20"/>
                <w:szCs w:val="20"/>
                <w:color w:val="auto"/>
              </w:rPr>
            </w:pPr>
            <w:r>
              <w:rPr>
                <w:rFonts w:ascii="Arial" w:cs="Arial" w:eastAsia="Arial" w:hAnsi="Arial"/>
                <w:sz w:val="38"/>
                <w:szCs w:val="38"/>
                <w:color w:val="auto"/>
                <w:w w:val="99"/>
              </w:rPr>
              <w:t>10%</w:t>
            </w:r>
          </w:p>
        </w:tc>
        <w:tc>
          <w:tcPr>
            <w:tcW w:w="4880" w:type="dxa"/>
            <w:vAlign w:val="bottom"/>
            <w:vMerge w:val="restart"/>
          </w:tcPr>
          <w:p>
            <w:pPr>
              <w:ind w:left="22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6698C2"/>
              </w:rPr>
              <w:t>$4.4B</w:t>
            </w:r>
          </w:p>
        </w:tc>
        <w:tc>
          <w:tcPr>
            <w:tcW w:w="0" w:type="dxa"/>
            <w:vAlign w:val="bottom"/>
          </w:tcPr>
          <w:p>
            <w:pPr>
              <w:spacing w:after="0"/>
              <w:rPr>
                <w:sz w:val="1"/>
                <w:szCs w:val="1"/>
                <w:color w:val="auto"/>
              </w:rPr>
            </w:pPr>
          </w:p>
        </w:tc>
      </w:tr>
      <w:tr>
        <w:trPr>
          <w:trHeight w:val="452"/>
        </w:trPr>
        <w:tc>
          <w:tcPr>
            <w:tcW w:w="1540" w:type="dxa"/>
            <w:vAlign w:val="bottom"/>
          </w:tcPr>
          <w:p>
            <w:pPr>
              <w:spacing w:after="0"/>
              <w:rPr>
                <w:sz w:val="20"/>
                <w:szCs w:val="20"/>
                <w:color w:val="auto"/>
              </w:rPr>
            </w:pPr>
            <w:r>
              <w:rPr>
                <w:rFonts w:ascii="Arial" w:cs="Arial" w:eastAsia="Arial" w:hAnsi="Arial"/>
                <w:sz w:val="38"/>
                <w:szCs w:val="38"/>
                <w:color w:val="auto"/>
              </w:rPr>
              <w:t>10%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1"/>
        </w:trPr>
        <w:tc>
          <w:tcPr>
            <w:tcW w:w="1540" w:type="dxa"/>
            <w:vAlign w:val="bottom"/>
          </w:tcPr>
          <w:p>
            <w:pPr>
              <w:jc w:val="center"/>
              <w:spacing w:after="0"/>
              <w:rPr>
                <w:sz w:val="20"/>
                <w:szCs w:val="20"/>
                <w:color w:val="auto"/>
              </w:rPr>
            </w:pPr>
            <w:r>
              <w:rPr>
                <w:rFonts w:ascii="Arial" w:cs="Arial" w:eastAsia="Arial" w:hAnsi="Arial"/>
                <w:sz w:val="38"/>
                <w:szCs w:val="38"/>
                <w:color w:val="auto"/>
                <w:w w:val="99"/>
              </w:rPr>
              <w:t>15 bps</w:t>
            </w:r>
          </w:p>
        </w:tc>
        <w:tc>
          <w:tcPr>
            <w:tcW w:w="4880" w:type="dxa"/>
            <w:vAlign w:val="bottom"/>
          </w:tcPr>
          <w:p>
            <w:pPr>
              <w:ind w:left="160"/>
              <w:spacing w:after="0"/>
              <w:rPr>
                <w:sz w:val="20"/>
                <w:szCs w:val="20"/>
                <w:color w:val="auto"/>
              </w:rPr>
            </w:pPr>
            <w:r>
              <w:rPr>
                <w:rFonts w:ascii="Arial" w:cs="Arial" w:eastAsia="Arial" w:hAnsi="Arial"/>
                <w:sz w:val="41"/>
                <w:szCs w:val="41"/>
                <w:b w:val="1"/>
                <w:bCs w:val="1"/>
                <w:color w:val="auto"/>
              </w:rPr>
              <w:t xml:space="preserve">Gross Margin </w:t>
            </w:r>
            <w:r>
              <w:rPr>
                <w:rFonts w:ascii="Arial" w:cs="Arial" w:eastAsia="Arial" w:hAnsi="Arial"/>
                <w:sz w:val="43"/>
                <w:szCs w:val="43"/>
                <w:b w:val="1"/>
                <w:bCs w:val="1"/>
                <w:color w:val="6698C2"/>
              </w:rPr>
              <w:t>18.4%</w:t>
            </w:r>
          </w:p>
        </w:tc>
        <w:tc>
          <w:tcPr>
            <w:tcW w:w="0" w:type="dxa"/>
            <w:vAlign w:val="bottom"/>
          </w:tcPr>
          <w:p>
            <w:pPr>
              <w:spacing w:after="0"/>
              <w:rPr>
                <w:sz w:val="1"/>
                <w:szCs w:val="1"/>
                <w:color w:val="auto"/>
              </w:rPr>
            </w:pPr>
          </w:p>
        </w:tc>
      </w:tr>
      <w:tr>
        <w:trPr>
          <w:trHeight w:val="653"/>
        </w:trPr>
        <w:tc>
          <w:tcPr>
            <w:tcW w:w="1540" w:type="dxa"/>
            <w:vAlign w:val="bottom"/>
          </w:tcPr>
          <w:p>
            <w:pPr>
              <w:jc w:val="center"/>
              <w:spacing w:after="0"/>
              <w:rPr>
                <w:sz w:val="20"/>
                <w:szCs w:val="20"/>
                <w:color w:val="auto"/>
              </w:rPr>
            </w:pPr>
            <w:r>
              <w:rPr>
                <w:rFonts w:ascii="Arial" w:cs="Arial" w:eastAsia="Arial" w:hAnsi="Arial"/>
                <w:sz w:val="38"/>
                <w:szCs w:val="38"/>
                <w:color w:val="auto"/>
                <w:w w:val="99"/>
              </w:rPr>
              <w:t>27%</w:t>
            </w:r>
          </w:p>
        </w:tc>
        <w:tc>
          <w:tcPr>
            <w:tcW w:w="48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Operating Profit </w:t>
            </w:r>
            <w:r>
              <w:rPr>
                <w:rFonts w:ascii="Arial" w:cs="Arial" w:eastAsia="Arial" w:hAnsi="Arial"/>
                <w:sz w:val="43"/>
                <w:szCs w:val="43"/>
                <w:b w:val="1"/>
                <w:bCs w:val="1"/>
                <w:color w:val="6698C2"/>
              </w:rPr>
              <w:t>$139M</w:t>
            </w:r>
          </w:p>
        </w:tc>
        <w:tc>
          <w:tcPr>
            <w:tcW w:w="0" w:type="dxa"/>
            <w:vAlign w:val="bottom"/>
          </w:tcPr>
          <w:p>
            <w:pPr>
              <w:spacing w:after="0"/>
              <w:rPr>
                <w:sz w:val="1"/>
                <w:szCs w:val="1"/>
                <w:color w:val="auto"/>
              </w:rPr>
            </w:pPr>
          </w:p>
        </w:tc>
      </w:tr>
      <w:tr>
        <w:trPr>
          <w:trHeight w:val="452"/>
        </w:trPr>
        <w:tc>
          <w:tcPr>
            <w:tcW w:w="1540" w:type="dxa"/>
            <w:vAlign w:val="bottom"/>
          </w:tcPr>
          <w:p>
            <w:pPr>
              <w:jc w:val="center"/>
              <w:spacing w:after="0"/>
              <w:rPr>
                <w:sz w:val="20"/>
                <w:szCs w:val="20"/>
                <w:color w:val="auto"/>
              </w:rPr>
            </w:pPr>
            <w:r>
              <w:rPr>
                <w:rFonts w:ascii="Arial" w:cs="Arial" w:eastAsia="Arial" w:hAnsi="Arial"/>
                <w:sz w:val="38"/>
                <w:szCs w:val="38"/>
                <w:color w:val="auto"/>
                <w:w w:val="98"/>
              </w:rPr>
              <w:t>27%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6420" w:type="dxa"/>
            <w:vAlign w:val="bottom"/>
            <w:gridSpan w:val="2"/>
          </w:tcPr>
          <w:p>
            <w:pPr>
              <w:ind w:left="220"/>
              <w:spacing w:after="0"/>
              <w:rPr>
                <w:sz w:val="20"/>
                <w:szCs w:val="20"/>
                <w:color w:val="auto"/>
              </w:rPr>
            </w:pPr>
            <w:r>
              <w:rPr>
                <w:rFonts w:ascii="Arial" w:cs="Arial" w:eastAsia="Arial" w:hAnsi="Arial"/>
                <w:sz w:val="38"/>
                <w:szCs w:val="38"/>
                <w:color w:val="auto"/>
              </w:rPr>
              <w:t xml:space="preserve">40 bps  </w:t>
            </w:r>
            <w:r>
              <w:rPr>
                <w:rFonts w:ascii="Arial" w:cs="Arial" w:eastAsia="Arial" w:hAnsi="Arial"/>
                <w:sz w:val="41"/>
                <w:szCs w:val="41"/>
                <w:b w:val="1"/>
                <w:bCs w:val="1"/>
                <w:color w:val="auto"/>
              </w:rPr>
              <w:t>OP Margin</w:t>
            </w:r>
            <w:r>
              <w:rPr>
                <w:rFonts w:ascii="Arial" w:cs="Arial" w:eastAsia="Arial" w:hAnsi="Arial"/>
                <w:sz w:val="38"/>
                <w:szCs w:val="38"/>
                <w:color w:val="auto"/>
              </w:rPr>
              <w:t xml:space="preserve"> </w:t>
            </w:r>
            <w:r>
              <w:rPr>
                <w:rFonts w:ascii="Arial" w:cs="Arial" w:eastAsia="Arial" w:hAnsi="Arial"/>
                <w:sz w:val="43"/>
                <w:szCs w:val="43"/>
                <w:b w:val="1"/>
                <w:bCs w:val="1"/>
                <w:color w:val="6698C2"/>
              </w:rPr>
              <w:t>3.1%</w:t>
            </w:r>
          </w:p>
        </w:tc>
        <w:tc>
          <w:tcPr>
            <w:tcW w:w="0" w:type="dxa"/>
            <w:vAlign w:val="bottom"/>
          </w:tcPr>
          <w:p>
            <w:pPr>
              <w:spacing w:after="0"/>
              <w:rPr>
                <w:sz w:val="1"/>
                <w:szCs w:val="1"/>
                <w:color w:val="auto"/>
              </w:rPr>
            </w:pPr>
          </w:p>
        </w:tc>
      </w:tr>
      <w:tr>
        <w:trPr>
          <w:trHeight w:val="735"/>
        </w:trPr>
        <w:tc>
          <w:tcPr>
            <w:tcW w:w="1540" w:type="dxa"/>
            <w:vAlign w:val="bottom"/>
          </w:tcPr>
          <w:p>
            <w:pPr>
              <w:jc w:val="center"/>
              <w:spacing w:after="0"/>
              <w:rPr>
                <w:sz w:val="20"/>
                <w:szCs w:val="20"/>
                <w:color w:val="auto"/>
              </w:rPr>
            </w:pPr>
            <w:r>
              <w:rPr>
                <w:rFonts w:ascii="Arial" w:cs="Arial" w:eastAsia="Arial" w:hAnsi="Arial"/>
                <w:sz w:val="38"/>
                <w:szCs w:val="38"/>
                <w:color w:val="auto"/>
                <w:w w:val="99"/>
              </w:rPr>
              <w:t>30%</w:t>
            </w:r>
          </w:p>
        </w:tc>
        <w:tc>
          <w:tcPr>
            <w:tcW w:w="48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EPS </w:t>
            </w:r>
            <w:r>
              <w:rPr>
                <w:rFonts w:ascii="Arial" w:cs="Arial" w:eastAsia="Arial" w:hAnsi="Arial"/>
                <w:sz w:val="43"/>
                <w:szCs w:val="43"/>
                <w:b w:val="1"/>
                <w:bCs w:val="1"/>
                <w:color w:val="6698C2"/>
              </w:rPr>
              <w:t>$ .91</w:t>
            </w:r>
          </w:p>
        </w:tc>
        <w:tc>
          <w:tcPr>
            <w:tcW w:w="0" w:type="dxa"/>
            <w:vAlign w:val="bottom"/>
          </w:tcPr>
          <w:p>
            <w:pPr>
              <w:spacing w:after="0"/>
              <w:rPr>
                <w:sz w:val="1"/>
                <w:szCs w:val="1"/>
                <w:color w:val="auto"/>
              </w:rPr>
            </w:pPr>
          </w:p>
        </w:tc>
      </w:tr>
      <w:tr>
        <w:trPr>
          <w:trHeight w:val="452"/>
        </w:trPr>
        <w:tc>
          <w:tcPr>
            <w:tcW w:w="1540" w:type="dxa"/>
            <w:vAlign w:val="bottom"/>
          </w:tcPr>
          <w:p>
            <w:pPr>
              <w:jc w:val="center"/>
              <w:spacing w:after="0"/>
              <w:rPr>
                <w:sz w:val="20"/>
                <w:szCs w:val="20"/>
                <w:color w:val="auto"/>
              </w:rPr>
            </w:pPr>
            <w:r>
              <w:rPr>
                <w:rFonts w:ascii="Arial" w:cs="Arial" w:eastAsia="Arial" w:hAnsi="Arial"/>
                <w:sz w:val="38"/>
                <w:szCs w:val="38"/>
                <w:color w:val="auto"/>
                <w:w w:val="98"/>
              </w:rPr>
              <w:t>29% CC</w:t>
            </w:r>
          </w:p>
        </w:tc>
        <w:tc>
          <w:tcPr>
            <w:tcW w:w="4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Throughout this presentation, the difference between reported variances and Constant Currency</w:t>
      </w:r>
    </w:p>
    <w:p>
      <w:pPr>
        <w:spacing w:after="0" w:line="29" w:lineRule="exact"/>
        <w:rPr>
          <w:sz w:val="20"/>
          <w:szCs w:val="20"/>
          <w:color w:val="auto"/>
        </w:rPr>
      </w:pPr>
    </w:p>
    <w:p>
      <w:pPr>
        <w:ind w:right="1440" w:firstLine="4"/>
        <w:spacing w:after="0" w:line="266" w:lineRule="auto"/>
        <w:tabs>
          <w:tab w:leader="none" w:pos="449"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variances represents the impact of currency on our financial results. Constant Currency is further explained on our Web site.</w:t>
      </w:r>
    </w:p>
    <w:p>
      <w:pPr>
        <w:sectPr>
          <w:pgSz w:w="11900" w:h="16838" w:orient="portrait"/>
          <w:cols w:equalWidth="0" w:num="1">
            <w:col w:w="9980"/>
          </w:cols>
          <w:pgMar w:left="1100" w:top="423" w:right="819" w:bottom="1440" w:gutter="0" w:footer="0" w:header="0"/>
        </w:sectPr>
      </w:pPr>
    </w:p>
    <w:bookmarkStart w:id="13" w:name="page14"/>
    <w:bookmarkEnd w:id="13"/>
    <w:tbl>
      <w:tblPr>
        <w:tblLayout w:type="fixed"/>
        <w:tblInd w:w="12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47"/>
          <w:szCs w:val="47"/>
          <w:color w:val="7EA190"/>
        </w:rPr>
        <w:t>Consolidated Gross Profit Margin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w:t>
      </w:r>
    </w:p>
    <w:p>
      <w:pPr>
        <w:spacing w:after="0" w:line="313" w:lineRule="exact"/>
        <w:rPr>
          <w:sz w:val="20"/>
          <w:szCs w:val="20"/>
          <w:color w:val="auto"/>
        </w:rPr>
      </w:pPr>
    </w:p>
    <w:p>
      <w:pPr>
        <w:ind w:left="4940"/>
        <w:spacing w:after="0"/>
        <w:tabs>
          <w:tab w:leader="none" w:pos="6820" w:val="left"/>
        </w:tabs>
        <w:rPr>
          <w:sz w:val="20"/>
          <w:szCs w:val="20"/>
          <w:color w:val="auto"/>
        </w:rPr>
      </w:pPr>
      <w:r>
        <w:rPr>
          <w:rFonts w:ascii="Arial" w:cs="Arial" w:eastAsia="Arial" w:hAnsi="Arial"/>
          <w:sz w:val="20"/>
          <w:szCs w:val="20"/>
          <w:b w:val="1"/>
          <w:bCs w:val="1"/>
          <w:color w:val="auto"/>
        </w:rPr>
        <w:t>+ 0.27%</w:t>
      </w:r>
      <w:r>
        <w:rPr>
          <w:sz w:val="20"/>
          <w:szCs w:val="20"/>
          <w:color w:val="auto"/>
        </w:rPr>
        <w:tab/>
      </w:r>
      <w:r>
        <w:rPr>
          <w:rFonts w:ascii="Arial" w:cs="Arial" w:eastAsia="Arial" w:hAnsi="Arial"/>
          <w:sz w:val="20"/>
          <w:szCs w:val="20"/>
          <w:b w:val="1"/>
          <w:bCs w:val="1"/>
          <w:color w:val="auto"/>
        </w:rPr>
        <w:t>- 0.31%</w:t>
      </w:r>
    </w:p>
    <w:p>
      <w:pPr>
        <w:sectPr>
          <w:pgSz w:w="11900" w:h="16838" w:orient="portrait"/>
          <w:cols w:equalWidth="0" w:num="1">
            <w:col w:w="9980"/>
          </w:cols>
          <w:pgMar w:left="1100" w:top="423" w:right="819" w:bottom="1440" w:gutter="0" w:footer="0" w:header="0"/>
        </w:sectPr>
      </w:pPr>
    </w:p>
    <w:p>
      <w:pPr>
        <w:spacing w:after="0" w:line="47" w:lineRule="exact"/>
        <w:rPr>
          <w:sz w:val="20"/>
          <w:szCs w:val="20"/>
          <w:color w:val="auto"/>
        </w:rPr>
      </w:pPr>
    </w:p>
    <w:p>
      <w:pPr>
        <w:jc w:val="right"/>
        <w:ind w:right="4260"/>
        <w:spacing w:after="0"/>
        <w:rPr>
          <w:sz w:val="20"/>
          <w:szCs w:val="20"/>
          <w:color w:val="auto"/>
        </w:rPr>
      </w:pPr>
      <w:r>
        <w:rPr>
          <w:rFonts w:ascii="Arial" w:cs="Arial" w:eastAsia="Arial" w:hAnsi="Arial"/>
          <w:sz w:val="20"/>
          <w:szCs w:val="20"/>
          <w:b w:val="1"/>
          <w:bCs w:val="1"/>
          <w:color w:val="auto"/>
        </w:rPr>
        <w:t>+ 0.19%</w:t>
      </w:r>
    </w:p>
    <w:p>
      <w:pPr>
        <w:spacing w:after="0" w:line="183" w:lineRule="auto"/>
        <w:tabs>
          <w:tab w:leader="none" w:pos="1200" w:val="left"/>
        </w:tabs>
        <w:rPr>
          <w:sz w:val="20"/>
          <w:szCs w:val="20"/>
          <w:color w:val="auto"/>
        </w:rPr>
      </w:pPr>
      <w:r>
        <w:rPr>
          <w:rFonts w:ascii="Arial" w:cs="Arial" w:eastAsia="Arial" w:hAnsi="Arial"/>
          <w:sz w:val="32"/>
          <w:szCs w:val="32"/>
          <w:b w:val="1"/>
          <w:bCs w:val="1"/>
          <w:color w:val="auto"/>
          <w:vertAlign w:val="subscript"/>
        </w:rPr>
        <w:t>18%</w:t>
      </w:r>
      <w:r>
        <w:rPr>
          <w:sz w:val="20"/>
          <w:szCs w:val="20"/>
          <w:color w:val="auto"/>
        </w:rPr>
        <w:tab/>
      </w:r>
      <w:r>
        <w:rPr>
          <w:rFonts w:ascii="Arial" w:cs="Arial" w:eastAsia="Arial" w:hAnsi="Arial"/>
          <w:sz w:val="16"/>
          <w:szCs w:val="16"/>
          <w:b w:val="1"/>
          <w:bCs w:val="1"/>
          <w:color w:val="FFFFFF"/>
        </w:rPr>
        <w:t>18.24%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18.39%</w:t>
      </w:r>
    </w:p>
    <w:p>
      <w:pPr>
        <w:spacing w:after="0" w:line="2838" w:lineRule="exact"/>
        <w:rPr>
          <w:sz w:val="20"/>
          <w:szCs w:val="20"/>
          <w:color w:val="auto"/>
        </w:rPr>
      </w:pPr>
    </w:p>
    <w:p>
      <w:pPr>
        <w:sectPr>
          <w:pgSz w:w="11900" w:h="16838" w:orient="portrait"/>
          <w:cols w:equalWidth="0" w:num="2">
            <w:col w:w="8060" w:space="720"/>
            <w:col w:w="1200"/>
          </w:cols>
          <w:pgMar w:left="1100" w:top="423" w:right="819"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Q2 2005</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Temporary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6"/>
              </w:rPr>
              <w:t>Permanent</w:t>
            </w:r>
          </w:p>
        </w:tc>
        <w:tc>
          <w:tcPr>
            <w:tcW w:w="1920" w:type="dxa"/>
            <w:vAlign w:val="bottom"/>
          </w:tcPr>
          <w:p>
            <w:pPr>
              <w:ind w:left="460"/>
              <w:spacing w:after="0"/>
              <w:rPr>
                <w:sz w:val="20"/>
                <w:szCs w:val="20"/>
                <w:color w:val="auto"/>
              </w:rPr>
            </w:pPr>
            <w:r>
              <w:rPr>
                <w:rFonts w:ascii="Arial" w:cs="Arial" w:eastAsia="Arial" w:hAnsi="Arial"/>
                <w:sz w:val="18"/>
                <w:szCs w:val="18"/>
                <w:b w:val="1"/>
                <w:bCs w:val="1"/>
                <w:color w:val="auto"/>
              </w:rPr>
              <w:t>Mix - Right</w:t>
            </w:r>
          </w:p>
        </w:tc>
        <w:tc>
          <w:tcPr>
            <w:tcW w:w="1220" w:type="dxa"/>
            <w:vAlign w:val="bottom"/>
          </w:tcPr>
          <w:p>
            <w:pPr>
              <w:ind w:left="540"/>
              <w:spacing w:after="0"/>
              <w:rPr>
                <w:sz w:val="20"/>
                <w:szCs w:val="20"/>
                <w:color w:val="auto"/>
              </w:rPr>
            </w:pPr>
            <w:r>
              <w:rPr>
                <w:rFonts w:ascii="Arial" w:cs="Arial" w:eastAsia="Arial" w:hAnsi="Arial"/>
                <w:sz w:val="18"/>
                <w:szCs w:val="18"/>
                <w:b w:val="1"/>
                <w:bCs w:val="1"/>
                <w:color w:val="auto"/>
                <w:w w:val="95"/>
              </w:rPr>
              <w:t>Q2 2006</w:t>
            </w:r>
          </w:p>
        </w:tc>
      </w:tr>
      <w:tr>
        <w:trPr>
          <w:trHeight w:val="235"/>
        </w:trPr>
        <w:tc>
          <w:tcPr>
            <w:tcW w:w="1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7"/>
              </w:rPr>
              <w:t>Recruitment</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7"/>
              </w:rPr>
              <w:t>Recruitment</w:t>
            </w:r>
          </w:p>
        </w:tc>
        <w:tc>
          <w:tcPr>
            <w:tcW w:w="19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ectPr>
          <w:pgSz w:w="11900" w:h="16838" w:orient="portrait"/>
          <w:cols w:equalWidth="0" w:num="1">
            <w:col w:w="9980"/>
          </w:cols>
          <w:pgMar w:left="1100" w:top="423" w:right="819" w:bottom="1440" w:gutter="0" w:footer="0" w:header="0"/>
          <w:type w:val="continuous"/>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5</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7"/>
          <w:szCs w:val="47"/>
          <w:color w:val="C8504F"/>
        </w:rPr>
        <w:t>United States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399" w:lineRule="exact"/>
        <w:rPr>
          <w:sz w:val="20"/>
          <w:szCs w:val="20"/>
          <w:color w:val="auto"/>
        </w:rPr>
      </w:pPr>
    </w:p>
    <w:p>
      <w:pPr>
        <w:ind w:left="2180"/>
        <w:spacing w:after="0"/>
        <w:tabs>
          <w:tab w:leader="none" w:pos="3400" w:val="left"/>
        </w:tabs>
        <w:rPr>
          <w:sz w:val="20"/>
          <w:szCs w:val="20"/>
          <w:color w:val="auto"/>
        </w:rPr>
      </w:pPr>
      <w:r>
        <w:rPr>
          <w:rFonts w:ascii="Arial" w:cs="Arial" w:eastAsia="Arial" w:hAnsi="Arial"/>
          <w:sz w:val="38"/>
          <w:szCs w:val="38"/>
          <w:color w:val="auto"/>
        </w:rPr>
        <w:t>6%</w:t>
      </w:r>
      <w:r>
        <w:rPr>
          <w:sz w:val="20"/>
          <w:szCs w:val="20"/>
          <w:color w:val="auto"/>
        </w:rPr>
        <w:tab/>
      </w: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$535M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100"/>
        <w:spacing w:after="0"/>
        <w:tabs>
          <w:tab w:leader="none" w:pos="3440" w:val="left"/>
        </w:tabs>
        <w:rPr>
          <w:sz w:val="20"/>
          <w:szCs w:val="20"/>
          <w:color w:val="auto"/>
        </w:rPr>
      </w:pPr>
      <w:r>
        <w:rPr>
          <w:rFonts w:ascii="Arial" w:cs="Arial" w:eastAsia="Arial" w:hAnsi="Arial"/>
          <w:sz w:val="38"/>
          <w:szCs w:val="38"/>
          <w:color w:val="auto"/>
        </w:rPr>
        <w:t>25%</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$22M</w:t>
      </w:r>
    </w:p>
    <w:p>
      <w:pPr>
        <w:spacing w:after="0" w:line="200" w:lineRule="exact"/>
        <w:rPr>
          <w:sz w:val="20"/>
          <w:szCs w:val="20"/>
          <w:color w:val="auto"/>
        </w:rPr>
      </w:pPr>
    </w:p>
    <w:p>
      <w:pPr>
        <w:spacing w:after="0" w:line="399"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70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1200"/>
        <w:spacing w:after="0" w:line="265" w:lineRule="auto"/>
        <w:rPr>
          <w:sz w:val="20"/>
          <w:szCs w:val="20"/>
          <w:color w:val="auto"/>
        </w:rPr>
      </w:pPr>
      <w:r>
        <w:rPr>
          <w:rFonts w:ascii="Arial" w:cs="Arial" w:eastAsia="Arial" w:hAnsi="Arial"/>
          <w:sz w:val="22"/>
          <w:szCs w:val="22"/>
          <w:b w:val="1"/>
          <w:bCs w:val="1"/>
          <w:color w:val="auto"/>
        </w:rPr>
        <w:t>Operating Unit Profit (OUP) is the measure that we use to evaluate segment performance. OUP is equal to segment revenues less direct costs and branch and national headquarters operating costs.</w:t>
      </w:r>
    </w:p>
    <w:p>
      <w:pPr>
        <w:sectPr>
          <w:pgSz w:w="11900" w:h="16838" w:orient="portrait"/>
          <w:cols w:equalWidth="0" w:num="1">
            <w:col w:w="9860"/>
          </w:cols>
          <w:pgMar w:left="1220" w:top="423" w:right="8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7"/>
          <w:szCs w:val="47"/>
          <w:color w:val="D47C18"/>
        </w:rPr>
        <w:t>France Segment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center"/>
              <w:spacing w:after="0"/>
              <w:rPr>
                <w:sz w:val="20"/>
                <w:szCs w:val="20"/>
                <w:color w:val="auto"/>
              </w:rPr>
            </w:pPr>
            <w:r>
              <w:rPr>
                <w:rFonts w:ascii="Arial" w:cs="Arial" w:eastAsia="Arial" w:hAnsi="Arial"/>
                <w:sz w:val="38"/>
                <w:szCs w:val="38"/>
                <w:color w:val="auto"/>
                <w:w w:val="97"/>
              </w:rPr>
              <w:t>10%</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$1.5B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10%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jc w:val="center"/>
              <w:spacing w:after="0"/>
              <w:rPr>
                <w:sz w:val="20"/>
                <w:szCs w:val="20"/>
                <w:color w:val="auto"/>
              </w:rPr>
            </w:pPr>
            <w:r>
              <w:rPr>
                <w:rFonts w:ascii="Arial" w:cs="Arial" w:eastAsia="Arial" w:hAnsi="Arial"/>
                <w:sz w:val="38"/>
                <w:szCs w:val="38"/>
                <w:color w:val="auto"/>
                <w:w w:val="99"/>
              </w:rPr>
              <w:t>18%</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$50M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18%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20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3.2%</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7</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7"/>
          <w:szCs w:val="47"/>
          <w:color w:val="5F81AA"/>
        </w:rPr>
        <w:t>EMEA Segment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center"/>
              <w:spacing w:after="0"/>
              <w:rPr>
                <w:sz w:val="20"/>
                <w:szCs w:val="20"/>
                <w:color w:val="auto"/>
              </w:rPr>
            </w:pPr>
            <w:r>
              <w:rPr>
                <w:rFonts w:ascii="Arial" w:cs="Arial" w:eastAsia="Arial" w:hAnsi="Arial"/>
                <w:sz w:val="38"/>
                <w:szCs w:val="38"/>
                <w:color w:val="auto"/>
                <w:w w:val="99"/>
              </w:rPr>
              <w:t>11%</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5F81AA"/>
              </w:rPr>
              <w:t>$1.6B</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12%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36%</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5F81AA"/>
              </w:rPr>
              <w:t>$52M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35%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60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5F81AA"/>
              </w:rPr>
              <w:t>3.2%</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1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52711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4"/>
        </w:trPr>
        <w:tc>
          <w:tcPr>
            <w:tcW w:w="686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00" w:type="dxa"/>
            <w:vAlign w:val="bottom"/>
          </w:tcPr>
          <w:p>
            <w:pPr>
              <w:jc w:val="right"/>
              <w:spacing w:after="0"/>
              <w:rPr>
                <w:sz w:val="20"/>
                <w:szCs w:val="20"/>
                <w:color w:val="auto"/>
              </w:rPr>
            </w:pPr>
            <w:r>
              <w:rPr>
                <w:rFonts w:ascii="Arial" w:cs="Arial" w:eastAsia="Arial" w:hAnsi="Arial"/>
                <w:sz w:val="22"/>
                <w:szCs w:val="22"/>
                <w:color w:val="FFFFFF"/>
              </w:rPr>
              <w:t>8</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
        <w:spacing w:after="0"/>
        <w:rPr>
          <w:sz w:val="20"/>
          <w:szCs w:val="20"/>
          <w:color w:val="auto"/>
        </w:rPr>
      </w:pPr>
      <w:r>
        <w:rPr>
          <w:rFonts w:ascii="Arial" w:cs="Arial" w:eastAsia="Arial" w:hAnsi="Arial"/>
          <w:sz w:val="47"/>
          <w:szCs w:val="47"/>
          <w:color w:val="6698C2"/>
        </w:rPr>
        <w:t>EMEA – Q2 Revenue Growth YoY</w:t>
      </w:r>
    </w:p>
    <w:p>
      <w:pPr>
        <w:sectPr>
          <w:pgSz w:w="11900" w:h="16838" w:orient="portrait"/>
          <w:cols w:equalWidth="0" w:num="1">
            <w:col w:w="9870"/>
          </w:cols>
          <w:pgMar w:left="1210" w:top="423" w:right="819" w:bottom="1440" w:gutter="0" w:footer="0" w:header="0"/>
        </w:sectPr>
      </w:pPr>
    </w:p>
    <w:p>
      <w:pPr>
        <w:spacing w:after="0" w:line="397" w:lineRule="exact"/>
        <w:rPr>
          <w:sz w:val="20"/>
          <w:szCs w:val="20"/>
          <w:color w:val="auto"/>
        </w:rPr>
      </w:pPr>
    </w:p>
    <w:p>
      <w:pPr>
        <w:ind w:left="10" w:right="1360" w:hanging="10"/>
        <w:spacing w:after="0" w:line="317" w:lineRule="auto"/>
        <w:tabs>
          <w:tab w:leader="none" w:pos="284"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p>
      <w:pPr>
        <w:ind w:left="50"/>
        <w:spacing w:after="0"/>
        <w:tabs>
          <w:tab w:leader="none" w:pos="2350" w:val="left"/>
        </w:tabs>
        <w:rPr>
          <w:sz w:val="20"/>
          <w:szCs w:val="20"/>
          <w:color w:val="auto"/>
        </w:rPr>
      </w:pPr>
      <w:r>
        <w:rPr>
          <w:rFonts w:ascii="Arial" w:cs="Arial" w:eastAsia="Arial" w:hAnsi="Arial"/>
          <w:sz w:val="27"/>
          <w:szCs w:val="27"/>
          <w:b w:val="1"/>
          <w:bCs w:val="1"/>
          <w:color w:val="D47C18"/>
        </w:rPr>
        <w:t>18%</w:t>
      </w:r>
      <w:r>
        <w:rPr>
          <w:sz w:val="20"/>
          <w:szCs w:val="20"/>
          <w:color w:val="auto"/>
        </w:rPr>
        <w:tab/>
      </w:r>
      <w:r>
        <w:rPr>
          <w:rFonts w:ascii="Arial" w:cs="Arial" w:eastAsia="Arial" w:hAnsi="Arial"/>
          <w:sz w:val="26"/>
          <w:szCs w:val="26"/>
          <w:b w:val="1"/>
          <w:bCs w:val="1"/>
          <w:color w:val="auto"/>
        </w:rPr>
        <w:t>Italy</w:t>
      </w:r>
    </w:p>
    <w:p>
      <w:pPr>
        <w:spacing w:after="0" w:line="265" w:lineRule="exact"/>
        <w:rPr>
          <w:sz w:val="20"/>
          <w:szCs w:val="20"/>
          <w:color w:val="auto"/>
        </w:rPr>
      </w:pPr>
    </w:p>
    <w:p>
      <w:pPr>
        <w:ind w:left="50"/>
        <w:spacing w:after="0"/>
        <w:tabs>
          <w:tab w:leader="none" w:pos="1850" w:val="left"/>
        </w:tabs>
        <w:rPr>
          <w:sz w:val="20"/>
          <w:szCs w:val="20"/>
          <w:color w:val="auto"/>
        </w:rPr>
      </w:pPr>
      <w:r>
        <w:rPr>
          <w:rFonts w:ascii="Arial" w:cs="Arial" w:eastAsia="Arial" w:hAnsi="Arial"/>
          <w:sz w:val="28"/>
          <w:szCs w:val="28"/>
          <w:b w:val="1"/>
          <w:bCs w:val="1"/>
          <w:color w:val="D47C18"/>
        </w:rPr>
        <w:t>18%</w:t>
      </w:r>
      <w:r>
        <w:rPr>
          <w:sz w:val="20"/>
          <w:szCs w:val="20"/>
          <w:color w:val="auto"/>
        </w:rPr>
        <w:tab/>
      </w:r>
      <w:r>
        <w:rPr>
          <w:rFonts w:ascii="Arial" w:cs="Arial" w:eastAsia="Arial" w:hAnsi="Arial"/>
          <w:sz w:val="27"/>
          <w:szCs w:val="27"/>
          <w:b w:val="1"/>
          <w:bCs w:val="1"/>
          <w:color w:val="auto"/>
        </w:rPr>
        <w:t>Nordics</w:t>
      </w:r>
    </w:p>
    <w:p>
      <w:pPr>
        <w:spacing w:after="0" w:line="278" w:lineRule="exact"/>
        <w:rPr>
          <w:sz w:val="20"/>
          <w:szCs w:val="20"/>
          <w:color w:val="auto"/>
        </w:rPr>
      </w:pPr>
    </w:p>
    <w:p>
      <w:pPr>
        <w:ind w:left="50"/>
        <w:spacing w:after="0"/>
        <w:tabs>
          <w:tab w:leader="none" w:pos="870" w:val="left"/>
        </w:tabs>
        <w:rPr>
          <w:sz w:val="20"/>
          <w:szCs w:val="20"/>
          <w:color w:val="auto"/>
        </w:rPr>
      </w:pPr>
      <w:r>
        <w:rPr>
          <w:rFonts w:ascii="Arial" w:cs="Arial" w:eastAsia="Arial" w:hAnsi="Arial"/>
          <w:sz w:val="28"/>
          <w:szCs w:val="28"/>
          <w:b w:val="1"/>
          <w:bCs w:val="1"/>
          <w:color w:val="D47C18"/>
        </w:rPr>
        <w:t>14%</w:t>
      </w:r>
      <w:r>
        <w:rPr>
          <w:sz w:val="20"/>
          <w:szCs w:val="20"/>
          <w:color w:val="auto"/>
        </w:rPr>
        <w:tab/>
      </w:r>
      <w:r>
        <w:rPr>
          <w:rFonts w:ascii="Arial" w:cs="Arial" w:eastAsia="Arial" w:hAnsi="Arial"/>
          <w:sz w:val="27"/>
          <w:szCs w:val="27"/>
          <w:b w:val="1"/>
          <w:bCs w:val="1"/>
          <w:color w:val="auto"/>
        </w:rPr>
        <w:t>UK - Manpower</w:t>
      </w:r>
    </w:p>
    <w:p>
      <w:pPr>
        <w:spacing w:after="0" w:line="278" w:lineRule="exact"/>
        <w:rPr>
          <w:sz w:val="20"/>
          <w:szCs w:val="20"/>
          <w:color w:val="auto"/>
        </w:rPr>
      </w:pPr>
    </w:p>
    <w:p>
      <w:pPr>
        <w:ind w:left="70"/>
        <w:spacing w:after="0"/>
        <w:tabs>
          <w:tab w:leader="none" w:pos="2290" w:val="left"/>
        </w:tabs>
        <w:rPr>
          <w:sz w:val="20"/>
          <w:szCs w:val="20"/>
          <w:color w:val="auto"/>
        </w:rPr>
      </w:pPr>
      <w:r>
        <w:rPr>
          <w:rFonts w:ascii="Arial" w:cs="Arial" w:eastAsia="Arial" w:hAnsi="Arial"/>
          <w:sz w:val="28"/>
          <w:szCs w:val="28"/>
          <w:b w:val="1"/>
          <w:bCs w:val="1"/>
          <w:color w:val="D47C18"/>
        </w:rPr>
        <w:t>12%</w:t>
      </w:r>
      <w:r>
        <w:rPr>
          <w:sz w:val="20"/>
          <w:szCs w:val="20"/>
          <w:color w:val="auto"/>
        </w:rPr>
        <w:tab/>
      </w:r>
      <w:r>
        <w:rPr>
          <w:rFonts w:ascii="Arial" w:cs="Arial" w:eastAsia="Arial" w:hAnsi="Arial"/>
          <w:sz w:val="27"/>
          <w:szCs w:val="27"/>
          <w:b w:val="1"/>
          <w:bCs w:val="1"/>
          <w:color w:val="auto"/>
        </w:rPr>
        <w:t>Elan</w:t>
      </w:r>
    </w:p>
    <w:p>
      <w:pPr>
        <w:spacing w:after="0" w:line="290" w:lineRule="exact"/>
        <w:rPr>
          <w:sz w:val="20"/>
          <w:szCs w:val="20"/>
          <w:color w:val="auto"/>
        </w:rPr>
      </w:pPr>
    </w:p>
    <w:p>
      <w:pPr>
        <w:ind w:left="230"/>
        <w:spacing w:after="0"/>
        <w:tabs>
          <w:tab w:leader="none" w:pos="1730" w:val="left"/>
        </w:tabs>
        <w:rPr>
          <w:sz w:val="20"/>
          <w:szCs w:val="20"/>
          <w:color w:val="auto"/>
        </w:rPr>
      </w:pPr>
      <w:r>
        <w:rPr>
          <w:rFonts w:ascii="Arial" w:cs="Arial" w:eastAsia="Arial" w:hAnsi="Arial"/>
          <w:sz w:val="27"/>
          <w:szCs w:val="27"/>
          <w:b w:val="1"/>
          <w:bCs w:val="1"/>
          <w:color w:val="D47C18"/>
        </w:rPr>
        <w:t>7%</w:t>
      </w:r>
      <w:r>
        <w:rPr>
          <w:sz w:val="20"/>
          <w:szCs w:val="20"/>
          <w:color w:val="auto"/>
        </w:rPr>
        <w:tab/>
      </w:r>
      <w:r>
        <w:rPr>
          <w:rFonts w:ascii="Arial" w:cs="Arial" w:eastAsia="Arial" w:hAnsi="Arial"/>
          <w:sz w:val="26"/>
          <w:szCs w:val="26"/>
          <w:b w:val="1"/>
          <w:bCs w:val="1"/>
          <w:color w:val="auto"/>
        </w:rPr>
        <w:t>Germany</w:t>
      </w:r>
    </w:p>
    <w:p>
      <w:pPr>
        <w:spacing w:after="0" w:line="277" w:lineRule="exact"/>
        <w:rPr>
          <w:sz w:val="20"/>
          <w:szCs w:val="20"/>
          <w:color w:val="auto"/>
        </w:rPr>
      </w:pPr>
    </w:p>
    <w:p>
      <w:pPr>
        <w:ind w:left="230"/>
        <w:spacing w:after="0"/>
        <w:tabs>
          <w:tab w:leader="none" w:pos="211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Spain</w:t>
      </w:r>
    </w:p>
    <w:p>
      <w:pPr>
        <w:spacing w:after="0" w:line="289" w:lineRule="exact"/>
        <w:rPr>
          <w:sz w:val="20"/>
          <w:szCs w:val="20"/>
          <w:color w:val="auto"/>
        </w:rPr>
      </w:pPr>
    </w:p>
    <w:p>
      <w:pPr>
        <w:ind w:left="230"/>
        <w:spacing w:after="0"/>
        <w:tabs>
          <w:tab w:leader="none" w:pos="1850" w:val="left"/>
        </w:tabs>
        <w:rPr>
          <w:sz w:val="20"/>
          <w:szCs w:val="20"/>
          <w:color w:val="auto"/>
        </w:rPr>
      </w:pPr>
      <w:r>
        <w:rPr>
          <w:rFonts w:ascii="Arial" w:cs="Arial" w:eastAsia="Arial" w:hAnsi="Arial"/>
          <w:sz w:val="28"/>
          <w:szCs w:val="28"/>
          <w:b w:val="1"/>
          <w:bCs w:val="1"/>
          <w:color w:val="D47C18"/>
        </w:rPr>
        <w:t>7%</w:t>
      </w:r>
      <w:r>
        <w:rPr>
          <w:sz w:val="20"/>
          <w:szCs w:val="20"/>
          <w:color w:val="auto"/>
        </w:rPr>
        <w:tab/>
      </w:r>
      <w:r>
        <w:rPr>
          <w:rFonts w:ascii="Arial" w:cs="Arial" w:eastAsia="Arial" w:hAnsi="Arial"/>
          <w:sz w:val="27"/>
          <w:szCs w:val="27"/>
          <w:b w:val="1"/>
          <w:bCs w:val="1"/>
          <w:color w:val="auto"/>
        </w:rPr>
        <w:t>Holland</w:t>
      </w:r>
    </w:p>
    <w:p>
      <w:pPr>
        <w:spacing w:after="0" w:line="278" w:lineRule="exact"/>
        <w:rPr>
          <w:sz w:val="20"/>
          <w:szCs w:val="20"/>
          <w:color w:val="auto"/>
        </w:rPr>
      </w:pPr>
    </w:p>
    <w:p>
      <w:pPr>
        <w:ind w:left="70"/>
        <w:spacing w:after="0"/>
        <w:tabs>
          <w:tab w:leader="none" w:pos="2130" w:val="left"/>
        </w:tabs>
        <w:rPr>
          <w:sz w:val="20"/>
          <w:szCs w:val="20"/>
          <w:color w:val="auto"/>
        </w:rPr>
      </w:pPr>
      <w:r>
        <w:rPr>
          <w:rFonts w:ascii="Arial" w:cs="Arial" w:eastAsia="Arial" w:hAnsi="Arial"/>
          <w:sz w:val="28"/>
          <w:szCs w:val="28"/>
          <w:b w:val="1"/>
          <w:bCs w:val="1"/>
          <w:color w:val="D47C18"/>
        </w:rPr>
        <w:t>17%</w:t>
      </w:r>
      <w:r>
        <w:rPr>
          <w:sz w:val="20"/>
          <w:szCs w:val="20"/>
          <w:color w:val="auto"/>
        </w:rPr>
        <w:tab/>
      </w:r>
      <w:r>
        <w:rPr>
          <w:rFonts w:ascii="Arial" w:cs="Arial" w:eastAsia="Arial" w:hAnsi="Arial"/>
          <w:sz w:val="27"/>
          <w:szCs w:val="27"/>
          <w:b w:val="1"/>
          <w:b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760"/>
        <w:spacing w:after="0"/>
        <w:rPr>
          <w:sz w:val="20"/>
          <w:szCs w:val="20"/>
          <w:color w:val="auto"/>
        </w:rPr>
      </w:pPr>
      <w:r>
        <w:rPr>
          <w:rFonts w:ascii="Arial" w:cs="Arial" w:eastAsia="Arial" w:hAnsi="Arial"/>
          <w:sz w:val="24"/>
          <w:szCs w:val="24"/>
          <w:b w:val="1"/>
          <w:bCs w:val="1"/>
          <w:color w:val="FFFFFF"/>
        </w:rPr>
        <w:t>25%</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4"/>
          <w:szCs w:val="24"/>
          <w:b w:val="1"/>
          <w:bCs w:val="1"/>
          <w:color w:val="FFFFFF"/>
        </w:rPr>
        <w:t>25%</w:t>
      </w:r>
    </w:p>
    <w:p>
      <w:pPr>
        <w:spacing w:after="0" w:line="36" w:lineRule="exact"/>
        <w:rPr>
          <w:sz w:val="20"/>
          <w:szCs w:val="20"/>
          <w:color w:val="auto"/>
        </w:rPr>
      </w:pPr>
    </w:p>
    <w:p>
      <w:pPr>
        <w:ind w:left="2740"/>
        <w:spacing w:after="0"/>
        <w:rPr>
          <w:sz w:val="20"/>
          <w:szCs w:val="20"/>
          <w:color w:val="auto"/>
        </w:rPr>
      </w:pPr>
      <w:r>
        <w:rPr>
          <w:rFonts w:ascii="Arial" w:cs="Arial" w:eastAsia="Arial" w:hAnsi="Arial"/>
          <w:sz w:val="24"/>
          <w:szCs w:val="24"/>
          <w:b w:val="1"/>
          <w:bCs w:val="1"/>
          <w:color w:val="FFFFFF"/>
        </w:rPr>
        <w:t>11%</w:t>
      </w:r>
    </w:p>
    <w:p>
      <w:pPr>
        <w:ind w:left="2740"/>
        <w:spacing w:after="0"/>
        <w:rPr>
          <w:sz w:val="20"/>
          <w:szCs w:val="20"/>
          <w:color w:val="auto"/>
        </w:rPr>
      </w:pPr>
      <w:r>
        <w:rPr>
          <w:rFonts w:ascii="Arial" w:cs="Arial" w:eastAsia="Arial" w:hAnsi="Arial"/>
          <w:sz w:val="24"/>
          <w:szCs w:val="24"/>
          <w:b w:val="1"/>
          <w:bCs w:val="1"/>
          <w:color w:val="FFFFFF"/>
        </w:rPr>
        <w:t>11%</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FFFFFF"/>
        </w:rPr>
        <w:t>-11%</w:t>
      </w:r>
    </w:p>
    <w:p>
      <w:pPr>
        <w:ind w:left="440"/>
        <w:spacing w:after="0"/>
        <w:rPr>
          <w:sz w:val="20"/>
          <w:szCs w:val="20"/>
          <w:color w:val="auto"/>
        </w:rPr>
      </w:pPr>
      <w:r>
        <w:rPr>
          <w:rFonts w:ascii="Arial" w:cs="Arial" w:eastAsia="Arial" w:hAnsi="Arial"/>
          <w:sz w:val="24"/>
          <w:szCs w:val="24"/>
          <w:b w:val="1"/>
          <w:bCs w:val="1"/>
          <w:color w:val="FFFFFF"/>
        </w:rPr>
        <w:t>-9%</w:t>
      </w:r>
    </w:p>
    <w:p>
      <w:pPr>
        <w:spacing w:after="0" w:line="48" w:lineRule="exact"/>
        <w:rPr>
          <w:sz w:val="20"/>
          <w:szCs w:val="20"/>
          <w:color w:val="auto"/>
        </w:rPr>
      </w:pPr>
    </w:p>
    <w:p>
      <w:pPr>
        <w:ind w:left="3020"/>
        <w:spacing w:after="0"/>
        <w:rPr>
          <w:sz w:val="20"/>
          <w:szCs w:val="20"/>
          <w:color w:val="auto"/>
        </w:rPr>
      </w:pPr>
      <w:r>
        <w:rPr>
          <w:rFonts w:ascii="Arial" w:cs="Arial" w:eastAsia="Arial" w:hAnsi="Arial"/>
          <w:sz w:val="24"/>
          <w:szCs w:val="24"/>
          <w:b w:val="1"/>
          <w:bCs w:val="1"/>
          <w:color w:val="FFFFFF"/>
        </w:rPr>
        <w:t>13%</w:t>
      </w:r>
    </w:p>
    <w:p>
      <w:pPr>
        <w:ind w:left="3160"/>
        <w:spacing w:after="0"/>
        <w:rPr>
          <w:sz w:val="20"/>
          <w:szCs w:val="20"/>
          <w:color w:val="auto"/>
        </w:rPr>
      </w:pPr>
      <w:r>
        <w:rPr>
          <w:rFonts w:ascii="Arial" w:cs="Arial" w:eastAsia="Arial" w:hAnsi="Arial"/>
          <w:sz w:val="24"/>
          <w:szCs w:val="24"/>
          <w:b w:val="1"/>
          <w:bCs w:val="1"/>
          <w:color w:val="FFFFFF"/>
        </w:rPr>
        <w:t>14%</w:t>
      </w:r>
    </w:p>
    <w:p>
      <w:pPr>
        <w:spacing w:after="0" w:line="48" w:lineRule="exact"/>
        <w:rPr>
          <w:sz w:val="20"/>
          <w:szCs w:val="20"/>
          <w:color w:val="auto"/>
        </w:rPr>
      </w:pPr>
    </w:p>
    <w:p>
      <w:pPr>
        <w:ind w:left="3460"/>
        <w:spacing w:after="0"/>
        <w:rPr>
          <w:sz w:val="20"/>
          <w:szCs w:val="20"/>
          <w:color w:val="auto"/>
        </w:rPr>
      </w:pPr>
      <w:r>
        <w:rPr>
          <w:rFonts w:ascii="Arial" w:cs="Arial" w:eastAsia="Arial" w:hAnsi="Arial"/>
          <w:sz w:val="24"/>
          <w:szCs w:val="24"/>
          <w:b w:val="1"/>
          <w:bCs w:val="1"/>
          <w:color w:val="FFFFFF"/>
        </w:rPr>
        <w:t>16%</w:t>
      </w:r>
    </w:p>
    <w:p>
      <w:pPr>
        <w:ind w:left="3320"/>
        <w:spacing w:after="0"/>
        <w:rPr>
          <w:sz w:val="20"/>
          <w:szCs w:val="20"/>
          <w:color w:val="auto"/>
        </w:rPr>
      </w:pPr>
      <w:r>
        <w:rPr>
          <w:rFonts w:ascii="Arial" w:cs="Arial" w:eastAsia="Arial" w:hAnsi="Arial"/>
          <w:sz w:val="24"/>
          <w:szCs w:val="24"/>
          <w:b w:val="1"/>
          <w:bCs w:val="1"/>
          <w:color w:val="FFFFFF"/>
        </w:rPr>
        <w:t>15%</w:t>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24"/>
          <w:szCs w:val="24"/>
          <w:b w:val="1"/>
          <w:bCs w:val="1"/>
          <w:color w:val="FFFFFF"/>
        </w:rPr>
        <w:t>9%</w:t>
      </w:r>
    </w:p>
    <w:p>
      <w:pPr>
        <w:ind w:left="2520"/>
        <w:spacing w:after="0"/>
        <w:rPr>
          <w:sz w:val="20"/>
          <w:szCs w:val="20"/>
          <w:color w:val="auto"/>
        </w:rPr>
      </w:pPr>
      <w:r>
        <w:rPr>
          <w:rFonts w:ascii="Arial" w:cs="Arial" w:eastAsia="Arial" w:hAnsi="Arial"/>
          <w:sz w:val="24"/>
          <w:szCs w:val="24"/>
          <w:b w:val="1"/>
          <w:bCs w:val="1"/>
          <w:color w:val="FFFFFF"/>
        </w:rPr>
        <w:t>9%</w:t>
      </w:r>
    </w:p>
    <w:p>
      <w:pPr>
        <w:spacing w:after="0" w:line="48" w:lineRule="exact"/>
        <w:rPr>
          <w:sz w:val="20"/>
          <w:szCs w:val="20"/>
          <w:color w:val="auto"/>
        </w:rPr>
      </w:pPr>
    </w:p>
    <w:p>
      <w:pPr>
        <w:jc w:val="right"/>
        <w:ind w:right="1220"/>
        <w:spacing w:after="0"/>
        <w:rPr>
          <w:sz w:val="20"/>
          <w:szCs w:val="20"/>
          <w:color w:val="auto"/>
        </w:rPr>
      </w:pPr>
      <w:r>
        <w:rPr>
          <w:rFonts w:ascii="Arial" w:cs="Arial" w:eastAsia="Arial" w:hAnsi="Arial"/>
          <w:sz w:val="24"/>
          <w:szCs w:val="24"/>
          <w:b w:val="1"/>
          <w:bCs w:val="1"/>
          <w:color w:val="FFFFFF"/>
        </w:rPr>
        <w:t>26%</w:t>
      </w:r>
    </w:p>
    <w:p>
      <w:pPr>
        <w:jc w:val="right"/>
        <w:ind w:right="1220"/>
        <w:spacing w:after="0"/>
        <w:rPr>
          <w:sz w:val="20"/>
          <w:szCs w:val="20"/>
          <w:color w:val="auto"/>
        </w:rPr>
      </w:pPr>
      <w:r>
        <w:rPr>
          <w:rFonts w:ascii="Arial" w:cs="Arial" w:eastAsia="Arial" w:hAnsi="Arial"/>
          <w:sz w:val="24"/>
          <w:szCs w:val="24"/>
          <w:b w:val="1"/>
          <w:bCs w:val="1"/>
          <w:color w:val="FFFFFF"/>
        </w:rPr>
        <w:t>26%</w:t>
      </w:r>
    </w:p>
    <w:p>
      <w:pPr>
        <w:spacing w:after="0" w:line="48" w:lineRule="exact"/>
        <w:rPr>
          <w:sz w:val="20"/>
          <w:szCs w:val="20"/>
          <w:color w:val="auto"/>
        </w:rPr>
      </w:pPr>
    </w:p>
    <w:p>
      <w:pPr>
        <w:ind w:left="4140"/>
        <w:spacing w:after="0"/>
        <w:rPr>
          <w:sz w:val="20"/>
          <w:szCs w:val="20"/>
          <w:color w:val="auto"/>
        </w:rPr>
      </w:pPr>
      <w:r>
        <w:rPr>
          <w:rFonts w:ascii="Arial" w:cs="Arial" w:eastAsia="Arial" w:hAnsi="Arial"/>
          <w:sz w:val="24"/>
          <w:szCs w:val="24"/>
          <w:b w:val="1"/>
          <w:bCs w:val="1"/>
          <w:color w:val="FFFFFF"/>
        </w:rPr>
        <w:t>21%</w:t>
      </w:r>
    </w:p>
    <w:p>
      <w:pPr>
        <w:ind w:left="4320"/>
        <w:spacing w:after="0"/>
        <w:rPr>
          <w:sz w:val="20"/>
          <w:szCs w:val="20"/>
          <w:color w:val="auto"/>
        </w:rPr>
      </w:pPr>
      <w:r>
        <w:rPr>
          <w:rFonts w:ascii="Arial" w:cs="Arial" w:eastAsia="Arial" w:hAnsi="Arial"/>
          <w:sz w:val="24"/>
          <w:szCs w:val="24"/>
          <w:b w:val="1"/>
          <w:bCs w:val="1"/>
          <w:color w:val="FFFFFF"/>
        </w:rPr>
        <w:t>22%</w:t>
      </w:r>
    </w:p>
    <w:p>
      <w:pPr>
        <w:spacing w:after="0" w:line="236"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2">
            <w:col w:w="2910" w:space="380"/>
            <w:col w:w="6580"/>
          </w:cols>
          <w:pgMar w:left="1210" w:top="423" w:right="819" w:bottom="1440" w:gutter="0" w:footer="0" w:header="0"/>
          <w:type w:val="continuous"/>
        </w:sectPr>
      </w:pPr>
    </w:p>
    <w:bookmarkStart w:id="18" w:name="page19"/>
    <w:bookmarkEnd w:id="18"/>
    <w:p>
      <w:pPr>
        <w:spacing w:after="0"/>
        <w:tabs>
          <w:tab w:leader="none" w:pos="972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1"/>
          <w:szCs w:val="21"/>
          <w:color w:val="FFFFFF"/>
        </w:rPr>
        <w:t>9</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47"/>
          <w:szCs w:val="47"/>
          <w:color w:val="7EA190"/>
        </w:rPr>
        <w:t>Jefferson Wells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Arial" w:cs="Arial" w:eastAsia="Arial" w:hAnsi="Arial"/>
          <w:sz w:val="41"/>
          <w:szCs w:val="41"/>
          <w:b w:val="1"/>
          <w:bCs w:val="1"/>
          <w:color w:val="auto"/>
        </w:rPr>
        <w:t>Q2 Financial Highlights</w:t>
      </w:r>
    </w:p>
    <w:p>
      <w:pPr>
        <w:spacing w:after="0" w:line="399" w:lineRule="exact"/>
        <w:rPr>
          <w:sz w:val="20"/>
          <w:szCs w:val="20"/>
          <w:color w:val="auto"/>
        </w:rPr>
      </w:pPr>
    </w:p>
    <w:p>
      <w:pPr>
        <w:ind w:left="2180"/>
        <w:spacing w:after="0"/>
        <w:tabs>
          <w:tab w:leader="none" w:pos="3400" w:val="left"/>
          <w:tab w:leader="none" w:pos="5520" w:val="left"/>
        </w:tabs>
        <w:rPr>
          <w:sz w:val="20"/>
          <w:szCs w:val="20"/>
          <w:color w:val="auto"/>
        </w:rPr>
      </w:pPr>
      <w:r>
        <w:rPr>
          <w:rFonts w:ascii="Arial" w:cs="Arial" w:eastAsia="Arial" w:hAnsi="Arial"/>
          <w:sz w:val="38"/>
          <w:szCs w:val="38"/>
          <w:color w:val="auto"/>
        </w:rPr>
        <w:t>6%</w:t>
      </w:r>
      <w:r>
        <w:rPr>
          <w:sz w:val="20"/>
          <w:szCs w:val="20"/>
          <w:color w:val="auto"/>
        </w:rPr>
        <w:tab/>
      </w:r>
      <w:r>
        <w:rPr>
          <w:rFonts w:ascii="Arial" w:cs="Arial" w:eastAsia="Arial" w:hAnsi="Arial"/>
          <w:sz w:val="41"/>
          <w:szCs w:val="41"/>
          <w:b w:val="1"/>
          <w:bCs w:val="1"/>
          <w:color w:val="auto"/>
        </w:rPr>
        <w:t>Revenue</w:t>
      </w:r>
      <w:r>
        <w:rPr>
          <w:sz w:val="20"/>
          <w:szCs w:val="20"/>
          <w:color w:val="auto"/>
        </w:rPr>
        <w:tab/>
      </w:r>
      <w:r>
        <w:rPr>
          <w:rFonts w:ascii="Arial" w:cs="Arial" w:eastAsia="Arial" w:hAnsi="Arial"/>
          <w:sz w:val="42"/>
          <w:szCs w:val="42"/>
          <w:b w:val="1"/>
          <w:bCs w:val="1"/>
          <w:color w:val="7EA190"/>
        </w:rPr>
        <w:t>$99M</w:t>
      </w:r>
    </w:p>
    <w:p>
      <w:pPr>
        <w:spacing w:after="0" w:line="379" w:lineRule="exact"/>
        <w:rPr>
          <w:sz w:val="20"/>
          <w:szCs w:val="20"/>
          <w:color w:val="auto"/>
        </w:rPr>
      </w:pPr>
    </w:p>
    <w:p>
      <w:pPr>
        <w:ind w:left="3460"/>
        <w:spacing w:after="0"/>
        <w:rPr>
          <w:sz w:val="20"/>
          <w:szCs w:val="20"/>
          <w:color w:val="auto"/>
        </w:rPr>
      </w:pPr>
      <w:r>
        <w:rPr>
          <w:rFonts w:ascii="Arial" w:cs="Arial" w:eastAsia="Arial" w:hAnsi="Arial"/>
          <w:sz w:val="32"/>
          <w:szCs w:val="32"/>
          <w:color w:val="FFFFFF"/>
        </w:rPr>
        <w:t>contemporary working</w:t>
      </w:r>
    </w:p>
    <w:p>
      <w:pPr>
        <w:ind w:left="2220"/>
        <w:spacing w:after="0"/>
        <w:tabs>
          <w:tab w:leader="none" w:pos="3440" w:val="left"/>
        </w:tabs>
        <w:rPr>
          <w:sz w:val="20"/>
          <w:szCs w:val="20"/>
          <w:color w:val="auto"/>
        </w:rPr>
      </w:pPr>
      <w:r>
        <w:rPr>
          <w:rFonts w:ascii="Arial" w:cs="Arial" w:eastAsia="Arial" w:hAnsi="Arial"/>
          <w:sz w:val="38"/>
          <w:szCs w:val="38"/>
          <w:color w:val="auto"/>
        </w:rPr>
        <w:t>8%</w:t>
      </w:r>
      <w:r>
        <w:rPr>
          <w:sz w:val="20"/>
          <w:szCs w:val="20"/>
          <w:color w:val="auto"/>
        </w:rPr>
        <w:tab/>
      </w:r>
      <w:r>
        <w:rPr>
          <w:rFonts w:ascii="Arial" w:cs="Arial" w:eastAsia="Arial" w:hAnsi="Arial"/>
          <w:sz w:val="41"/>
          <w:szCs w:val="41"/>
          <w:b w:val="1"/>
          <w:bCs w:val="1"/>
          <w:color w:val="auto"/>
        </w:rPr>
        <w:t xml:space="preserve">OUP </w:t>
      </w:r>
      <w:r>
        <w:rPr>
          <w:rFonts w:ascii="Arial" w:cs="Arial" w:eastAsia="Arial" w:hAnsi="Arial"/>
          <w:sz w:val="43"/>
          <w:szCs w:val="43"/>
          <w:b w:val="1"/>
          <w:bCs w:val="1"/>
          <w:color w:val="7EA190"/>
        </w:rPr>
        <w:t>$10M</w:t>
      </w:r>
    </w:p>
    <w:p>
      <w:pPr>
        <w:spacing w:after="0" w:line="200" w:lineRule="exact"/>
        <w:rPr>
          <w:sz w:val="20"/>
          <w:szCs w:val="20"/>
          <w:color w:val="auto"/>
        </w:rPr>
      </w:pPr>
    </w:p>
    <w:p>
      <w:pPr>
        <w:spacing w:after="0" w:line="345" w:lineRule="exact"/>
        <w:rPr>
          <w:sz w:val="20"/>
          <w:szCs w:val="20"/>
          <w:color w:val="auto"/>
        </w:rPr>
      </w:pPr>
    </w:p>
    <w:p>
      <w:pPr>
        <w:ind w:left="1820"/>
        <w:spacing w:after="0"/>
        <w:tabs>
          <w:tab w:leader="none" w:pos="3420" w:val="left"/>
        </w:tabs>
        <w:rPr>
          <w:sz w:val="20"/>
          <w:szCs w:val="20"/>
          <w:color w:val="auto"/>
        </w:rPr>
      </w:pPr>
      <w:r>
        <w:rPr>
          <w:rFonts w:ascii="Arial" w:cs="Arial" w:eastAsia="Arial" w:hAnsi="Arial"/>
          <w:sz w:val="38"/>
          <w:szCs w:val="38"/>
          <w:color w:val="auto"/>
        </w:rPr>
        <w:t>20 bps</w:t>
      </w:r>
      <w:r>
        <w:rPr>
          <w:sz w:val="20"/>
          <w:szCs w:val="20"/>
          <w:color w:val="auto"/>
        </w:rPr>
        <w:tab/>
      </w: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7EA190"/>
        </w:rPr>
        <w:t>10.2%</w:t>
      </w:r>
    </w:p>
    <w:p>
      <w:pPr>
        <w:sectPr>
          <w:pgSz w:w="11900" w:h="16838" w:orient="portrait"/>
          <w:cols w:equalWidth="0" w:num="1">
            <w:col w:w="9860"/>
          </w:cols>
          <w:pgMar w:left="1220" w:top="423" w:right="819" w:bottom="1440" w:gutter="0" w:footer="0" w:header="0"/>
          <w:type w:val="continuous"/>
        </w:sectPr>
      </w:pPr>
    </w:p>
    <w:bookmarkStart w:id="19" w:name="page20"/>
    <w:bookmarkEnd w:id="19"/>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10</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47"/>
          <w:szCs w:val="47"/>
          <w:color w:val="C8504F"/>
        </w:rPr>
        <w:t>Right Management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76"/>
        </w:trPr>
        <w:tc>
          <w:tcPr>
            <w:tcW w:w="1560" w:type="dxa"/>
            <w:vAlign w:val="bottom"/>
          </w:tcPr>
          <w:p>
            <w:pPr>
              <w:jc w:val="right"/>
              <w:ind w:right="272"/>
              <w:spacing w:after="0"/>
              <w:rPr>
                <w:sz w:val="20"/>
                <w:szCs w:val="20"/>
                <w:color w:val="auto"/>
              </w:rPr>
            </w:pPr>
            <w:r>
              <w:rPr>
                <w:rFonts w:ascii="Arial" w:cs="Arial" w:eastAsia="Arial" w:hAnsi="Arial"/>
                <w:sz w:val="38"/>
                <w:szCs w:val="38"/>
                <w:color w:val="auto"/>
              </w:rPr>
              <w:t>4%</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C8504F"/>
              </w:rPr>
              <w:t>$104M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9"/>
              </w:rPr>
              <w:t>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jc w:val="right"/>
              <w:ind w:right="192"/>
              <w:spacing w:after="0"/>
              <w:rPr>
                <w:sz w:val="20"/>
                <w:szCs w:val="20"/>
                <w:color w:val="auto"/>
              </w:rPr>
            </w:pPr>
            <w:r>
              <w:rPr>
                <w:rFonts w:ascii="Arial" w:cs="Arial" w:eastAsia="Arial" w:hAnsi="Arial"/>
                <w:sz w:val="38"/>
                <w:szCs w:val="38"/>
                <w:color w:val="auto"/>
              </w:rPr>
              <w:t>19%</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C8504F"/>
              </w:rPr>
              <w:t>$11M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18%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7"/>
              </w:rPr>
              <w:t>200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C8504F"/>
              </w:rPr>
              <w:t>10.6%</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type w:val="continuous"/>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80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60" w:type="dxa"/>
            <w:vAlign w:val="bottom"/>
          </w:tcPr>
          <w:p>
            <w:pPr>
              <w:jc w:val="right"/>
              <w:spacing w:after="0"/>
              <w:rPr>
                <w:sz w:val="20"/>
                <w:szCs w:val="20"/>
                <w:color w:val="auto"/>
              </w:rPr>
            </w:pPr>
            <w:r>
              <w:rPr>
                <w:rFonts w:ascii="Arial" w:cs="Arial" w:eastAsia="Arial" w:hAnsi="Arial"/>
                <w:sz w:val="22"/>
                <w:szCs w:val="22"/>
                <w:color w:val="FFFFFF"/>
              </w:rPr>
              <w:t>11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D47C18"/>
        </w:rPr>
        <w:t>Other Operations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548"/>
        </w:trPr>
        <w:tc>
          <w:tcPr>
            <w:tcW w:w="1560" w:type="dxa"/>
            <w:vAlign w:val="bottom"/>
          </w:tcPr>
          <w:p>
            <w:pPr>
              <w:spacing w:after="0"/>
              <w:rPr>
                <w:sz w:val="24"/>
                <w:szCs w:val="24"/>
                <w:color w:val="auto"/>
              </w:rPr>
            </w:pPr>
          </w:p>
        </w:tc>
        <w:tc>
          <w:tcPr>
            <w:tcW w:w="4780" w:type="dxa"/>
            <w:vAlign w:val="bottom"/>
          </w:tcPr>
          <w:p>
            <w:pPr>
              <w:ind w:left="200"/>
              <w:spacing w:after="0"/>
              <w:rPr>
                <w:sz w:val="20"/>
                <w:szCs w:val="20"/>
                <w:color w:val="auto"/>
              </w:rPr>
            </w:pPr>
            <w:r>
              <w:rPr>
                <w:rFonts w:ascii="Arial" w:cs="Arial" w:eastAsia="Arial" w:hAnsi="Arial"/>
                <w:sz w:val="41"/>
                <w:szCs w:val="41"/>
                <w:b w:val="1"/>
                <w:bCs w:val="1"/>
                <w:color w:val="auto"/>
              </w:rPr>
              <w:t>Q2 Financial Highlights</w:t>
            </w:r>
          </w:p>
        </w:tc>
        <w:tc>
          <w:tcPr>
            <w:tcW w:w="0" w:type="dxa"/>
            <w:vAlign w:val="bottom"/>
          </w:tcPr>
          <w:p>
            <w:pPr>
              <w:spacing w:after="0"/>
              <w:rPr>
                <w:sz w:val="1"/>
                <w:szCs w:val="1"/>
                <w:color w:val="auto"/>
              </w:rPr>
            </w:pPr>
          </w:p>
        </w:tc>
      </w:tr>
      <w:tr>
        <w:trPr>
          <w:trHeight w:val="676"/>
        </w:trPr>
        <w:tc>
          <w:tcPr>
            <w:tcW w:w="1560" w:type="dxa"/>
            <w:vAlign w:val="bottom"/>
          </w:tcPr>
          <w:p>
            <w:pPr>
              <w:ind w:left="440"/>
              <w:spacing w:after="0"/>
              <w:rPr>
                <w:sz w:val="20"/>
                <w:szCs w:val="20"/>
                <w:color w:val="auto"/>
              </w:rPr>
            </w:pPr>
            <w:r>
              <w:rPr>
                <w:rFonts w:ascii="Arial" w:cs="Arial" w:eastAsia="Arial" w:hAnsi="Arial"/>
                <w:sz w:val="38"/>
                <w:szCs w:val="38"/>
                <w:color w:val="auto"/>
              </w:rPr>
              <w:t>11%</w:t>
            </w:r>
          </w:p>
        </w:tc>
        <w:tc>
          <w:tcPr>
            <w:tcW w:w="4780" w:type="dxa"/>
            <w:vAlign w:val="bottom"/>
            <w:vMerge w:val="restart"/>
          </w:tcPr>
          <w:p>
            <w:pPr>
              <w:ind w:left="160"/>
              <w:spacing w:after="0"/>
              <w:rPr>
                <w:sz w:val="20"/>
                <w:szCs w:val="20"/>
                <w:color w:val="auto"/>
              </w:rPr>
            </w:pPr>
            <w:r>
              <w:rPr>
                <w:rFonts w:ascii="Arial" w:cs="Arial" w:eastAsia="Arial" w:hAnsi="Arial"/>
                <w:sz w:val="41"/>
                <w:szCs w:val="41"/>
                <w:b w:val="1"/>
                <w:bCs w:val="1"/>
                <w:color w:val="auto"/>
              </w:rPr>
              <w:t xml:space="preserve">Revenue </w:t>
            </w:r>
            <w:r>
              <w:rPr>
                <w:rFonts w:ascii="Arial" w:cs="Arial" w:eastAsia="Arial" w:hAnsi="Arial"/>
                <w:sz w:val="43"/>
                <w:szCs w:val="43"/>
                <w:b w:val="1"/>
                <w:bCs w:val="1"/>
                <w:color w:val="D47C18"/>
              </w:rPr>
              <w:t>$577M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14%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560" w:type="dxa"/>
            <w:vAlign w:val="bottom"/>
            <w:vMerge w:val="restart"/>
          </w:tcPr>
          <w:p>
            <w:pPr>
              <w:ind w:left="420"/>
              <w:spacing w:after="0"/>
              <w:rPr>
                <w:sz w:val="20"/>
                <w:szCs w:val="20"/>
                <w:color w:val="auto"/>
              </w:rPr>
            </w:pPr>
            <w:r>
              <w:rPr>
                <w:rFonts w:ascii="Arial" w:cs="Arial" w:eastAsia="Arial" w:hAnsi="Arial"/>
                <w:sz w:val="38"/>
                <w:szCs w:val="38"/>
                <w:color w:val="auto"/>
              </w:rPr>
              <w:t>13%</w:t>
            </w:r>
          </w:p>
        </w:tc>
        <w:tc>
          <w:tcPr>
            <w:tcW w:w="4780" w:type="dxa"/>
            <w:vAlign w:val="bottom"/>
          </w:tcPr>
          <w:p>
            <w:pPr>
              <w:ind w:left="200"/>
              <w:spacing w:after="0"/>
              <w:rPr>
                <w:sz w:val="20"/>
                <w:szCs w:val="20"/>
                <w:color w:val="auto"/>
              </w:rPr>
            </w:pPr>
            <w:r>
              <w:rPr>
                <w:rFonts w:ascii="Arial" w:cs="Arial" w:eastAsia="Arial" w:hAnsi="Arial"/>
                <w:sz w:val="32"/>
                <w:szCs w:val="32"/>
                <w:color w:val="FFFFFF"/>
              </w:rPr>
              <w:t>contemporary working</w:t>
            </w:r>
          </w:p>
        </w:tc>
        <w:tc>
          <w:tcPr>
            <w:tcW w:w="0" w:type="dxa"/>
            <w:vAlign w:val="bottom"/>
          </w:tcPr>
          <w:p>
            <w:pPr>
              <w:spacing w:after="0"/>
              <w:rPr>
                <w:sz w:val="1"/>
                <w:szCs w:val="1"/>
                <w:color w:val="auto"/>
              </w:rPr>
            </w:pPr>
          </w:p>
        </w:tc>
      </w:tr>
      <w:tr>
        <w:trPr>
          <w:trHeight w:val="236"/>
        </w:trPr>
        <w:tc>
          <w:tcPr>
            <w:tcW w:w="1560" w:type="dxa"/>
            <w:vAlign w:val="bottom"/>
            <w:vMerge w:val="continue"/>
          </w:tcPr>
          <w:p>
            <w:pPr>
              <w:spacing w:after="0"/>
              <w:rPr>
                <w:sz w:val="20"/>
                <w:szCs w:val="20"/>
                <w:color w:val="auto"/>
              </w:rPr>
            </w:pPr>
          </w:p>
        </w:tc>
        <w:tc>
          <w:tcPr>
            <w:tcW w:w="4780" w:type="dxa"/>
            <w:vAlign w:val="bottom"/>
            <w:vMerge w:val="restart"/>
          </w:tcPr>
          <w:p>
            <w:pPr>
              <w:ind w:left="200"/>
              <w:spacing w:after="0"/>
              <w:rPr>
                <w:sz w:val="20"/>
                <w:szCs w:val="20"/>
                <w:color w:val="auto"/>
              </w:rPr>
            </w:pPr>
            <w:r>
              <w:rPr>
                <w:rFonts w:ascii="Arial" w:cs="Arial" w:eastAsia="Arial" w:hAnsi="Arial"/>
                <w:sz w:val="41"/>
                <w:szCs w:val="41"/>
                <w:b w:val="1"/>
                <w:bCs w:val="1"/>
                <w:color w:val="auto"/>
              </w:rPr>
              <w:t xml:space="preserve">OUP </w:t>
            </w:r>
            <w:r>
              <w:rPr>
                <w:rFonts w:ascii="Arial" w:cs="Arial" w:eastAsia="Arial" w:hAnsi="Arial"/>
                <w:sz w:val="43"/>
                <w:szCs w:val="43"/>
                <w:b w:val="1"/>
                <w:bCs w:val="1"/>
                <w:color w:val="D47C18"/>
              </w:rPr>
              <w:t>$15M</w:t>
            </w:r>
          </w:p>
        </w:tc>
        <w:tc>
          <w:tcPr>
            <w:tcW w:w="0" w:type="dxa"/>
            <w:vAlign w:val="bottom"/>
          </w:tcPr>
          <w:p>
            <w:pPr>
              <w:spacing w:after="0"/>
              <w:rPr>
                <w:sz w:val="1"/>
                <w:szCs w:val="1"/>
                <w:color w:val="auto"/>
              </w:rPr>
            </w:pPr>
          </w:p>
        </w:tc>
      </w:tr>
      <w:tr>
        <w:trPr>
          <w:trHeight w:val="452"/>
        </w:trPr>
        <w:tc>
          <w:tcPr>
            <w:tcW w:w="1560" w:type="dxa"/>
            <w:vAlign w:val="bottom"/>
          </w:tcPr>
          <w:p>
            <w:pPr>
              <w:jc w:val="center"/>
              <w:spacing w:after="0"/>
              <w:rPr>
                <w:sz w:val="20"/>
                <w:szCs w:val="20"/>
                <w:color w:val="auto"/>
              </w:rPr>
            </w:pPr>
            <w:r>
              <w:rPr>
                <w:rFonts w:ascii="Arial" w:cs="Arial" w:eastAsia="Arial" w:hAnsi="Arial"/>
                <w:sz w:val="38"/>
                <w:szCs w:val="38"/>
                <w:color w:val="auto"/>
                <w:w w:val="98"/>
              </w:rPr>
              <w:t>18% CC</w:t>
            </w:r>
          </w:p>
        </w:tc>
        <w:tc>
          <w:tcPr>
            <w:tcW w:w="4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560" w:type="dxa"/>
            <w:vAlign w:val="bottom"/>
          </w:tcPr>
          <w:p>
            <w:pPr>
              <w:jc w:val="center"/>
              <w:spacing w:after="0"/>
              <w:rPr>
                <w:sz w:val="20"/>
                <w:szCs w:val="20"/>
                <w:color w:val="auto"/>
              </w:rPr>
            </w:pPr>
            <w:r>
              <w:rPr>
                <w:rFonts w:ascii="Arial" w:cs="Arial" w:eastAsia="Arial" w:hAnsi="Arial"/>
                <w:sz w:val="38"/>
                <w:szCs w:val="38"/>
                <w:color w:val="auto"/>
                <w:w w:val="99"/>
              </w:rPr>
              <w:t>10 bps</w:t>
            </w:r>
          </w:p>
        </w:tc>
        <w:tc>
          <w:tcPr>
            <w:tcW w:w="4780" w:type="dxa"/>
            <w:vAlign w:val="bottom"/>
          </w:tcPr>
          <w:p>
            <w:pPr>
              <w:ind w:left="180"/>
              <w:spacing w:after="0"/>
              <w:rPr>
                <w:sz w:val="20"/>
                <w:szCs w:val="20"/>
                <w:color w:val="auto"/>
              </w:rPr>
            </w:pPr>
            <w:r>
              <w:rPr>
                <w:rFonts w:ascii="Arial" w:cs="Arial" w:eastAsia="Arial" w:hAnsi="Arial"/>
                <w:sz w:val="41"/>
                <w:szCs w:val="41"/>
                <w:b w:val="1"/>
                <w:bCs w:val="1"/>
                <w:color w:val="auto"/>
              </w:rPr>
              <w:t xml:space="preserve">OUP Margin </w:t>
            </w:r>
            <w:r>
              <w:rPr>
                <w:rFonts w:ascii="Arial" w:cs="Arial" w:eastAsia="Arial" w:hAnsi="Arial"/>
                <w:sz w:val="43"/>
                <w:szCs w:val="43"/>
                <w:b w:val="1"/>
                <w:bCs w:val="1"/>
                <w:color w:val="D47C18"/>
              </w:rPr>
              <w:t>2.6%</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12</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47"/>
          <w:szCs w:val="47"/>
          <w:color w:val="5F81AA"/>
        </w:rPr>
        <w:t>Other Operations – Q2 Revenue Growth YoY</w:t>
      </w:r>
    </w:p>
    <w:p>
      <w:pPr>
        <w:spacing w:after="0" w:line="200" w:lineRule="exact"/>
        <w:rPr>
          <w:sz w:val="20"/>
          <w:szCs w:val="20"/>
          <w:color w:val="auto"/>
        </w:rPr>
      </w:pPr>
    </w:p>
    <w:p>
      <w:pPr>
        <w:spacing w:after="0" w:line="279" w:lineRule="exact"/>
        <w:rPr>
          <w:sz w:val="20"/>
          <w:szCs w:val="20"/>
          <w:color w:val="auto"/>
        </w:rPr>
      </w:pPr>
    </w:p>
    <w:p>
      <w:pPr>
        <w:ind w:left="20" w:right="8320" w:hanging="10"/>
        <w:spacing w:after="0" w:line="284" w:lineRule="auto"/>
        <w:tabs>
          <w:tab w:leader="none" w:pos="294"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of Segment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37%</w:t>
            </w:r>
          </w:p>
        </w:tc>
        <w:tc>
          <w:tcPr>
            <w:tcW w:w="1980" w:type="dxa"/>
            <w:vAlign w:val="bottom"/>
            <w:vMerge w:val="restart"/>
          </w:tcPr>
          <w:p>
            <w:pPr>
              <w:jc w:val="right"/>
              <w:ind w:right="79"/>
              <w:spacing w:after="0"/>
              <w:rPr>
                <w:sz w:val="20"/>
                <w:szCs w:val="20"/>
                <w:color w:val="auto"/>
              </w:rPr>
            </w:pPr>
            <w:r>
              <w:rPr>
                <w:rFonts w:ascii="Arial" w:cs="Arial" w:eastAsia="Arial" w:hAnsi="Arial"/>
                <w:sz w:val="28"/>
                <w:szCs w:val="28"/>
                <w:b w:val="1"/>
                <w:bCs w:val="1"/>
                <w:color w:val="auto"/>
              </w:rPr>
              <w:t>Japan</w:t>
            </w:r>
          </w:p>
        </w:tc>
        <w:tc>
          <w:tcPr>
            <w:tcW w:w="6600" w:type="dxa"/>
            <w:vAlign w:val="bottom"/>
          </w:tcPr>
          <w:p>
            <w:pPr>
              <w:jc w:val="right"/>
              <w:ind w:right="5882"/>
              <w:spacing w:after="0"/>
              <w:rPr>
                <w:sz w:val="20"/>
                <w:szCs w:val="20"/>
                <w:color w:val="auto"/>
              </w:rPr>
            </w:pPr>
            <w:r>
              <w:rPr>
                <w:rFonts w:ascii="Arial" w:cs="Arial" w:eastAsia="Arial" w:hAnsi="Arial"/>
                <w:sz w:val="24"/>
                <w:szCs w:val="24"/>
                <w:b w:val="1"/>
                <w:bCs w:val="1"/>
                <w:color w:val="auto"/>
              </w:rPr>
              <w:t>-1%</w:t>
            </w:r>
          </w:p>
        </w:tc>
        <w:tc>
          <w:tcPr>
            <w:tcW w:w="0" w:type="dxa"/>
            <w:vAlign w:val="bottom"/>
          </w:tcPr>
          <w:p>
            <w:pPr>
              <w:spacing w:after="0"/>
              <w:rPr>
                <w:sz w:val="1"/>
                <w:szCs w:val="1"/>
                <w:color w:val="auto"/>
              </w:rPr>
            </w:pPr>
          </w:p>
        </w:tc>
      </w:tr>
      <w:tr>
        <w:trPr>
          <w:trHeight w:val="197"/>
        </w:trPr>
        <w:tc>
          <w:tcPr>
            <w:tcW w:w="72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6600" w:type="dxa"/>
            <w:vAlign w:val="bottom"/>
            <w:vMerge w:val="restart"/>
          </w:tcPr>
          <w:p>
            <w:pPr>
              <w:jc w:val="right"/>
              <w:ind w:right="4662"/>
              <w:spacing w:after="0"/>
              <w:rPr>
                <w:sz w:val="20"/>
                <w:szCs w:val="20"/>
                <w:color w:val="auto"/>
              </w:rPr>
            </w:pPr>
            <w:r>
              <w:rPr>
                <w:rFonts w:ascii="Arial" w:cs="Arial" w:eastAsia="Arial" w:hAnsi="Arial"/>
                <w:sz w:val="24"/>
                <w:szCs w:val="24"/>
                <w:b w:val="1"/>
                <w:bCs w:val="1"/>
                <w:color w:val="FFFFFF"/>
              </w:rPr>
              <w:t>6%</w:t>
            </w:r>
          </w:p>
        </w:tc>
        <w:tc>
          <w:tcPr>
            <w:tcW w:w="0" w:type="dxa"/>
            <w:vAlign w:val="bottom"/>
          </w:tcPr>
          <w:p>
            <w:pPr>
              <w:spacing w:after="0"/>
              <w:rPr>
                <w:sz w:val="1"/>
                <w:szCs w:val="1"/>
                <w:color w:val="auto"/>
              </w:rPr>
            </w:pPr>
          </w:p>
        </w:tc>
      </w:tr>
      <w:tr>
        <w:trPr>
          <w:trHeight w:val="115"/>
        </w:trPr>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80" w:type="dxa"/>
            <w:vAlign w:val="bottom"/>
            <w:vMerge w:val="restart"/>
          </w:tcPr>
          <w:p>
            <w:pPr>
              <w:jc w:val="right"/>
              <w:ind w:right="39"/>
              <w:spacing w:after="0"/>
              <w:rPr>
                <w:sz w:val="20"/>
                <w:szCs w:val="20"/>
                <w:color w:val="auto"/>
              </w:rPr>
            </w:pPr>
            <w:r>
              <w:rPr>
                <w:rFonts w:ascii="Arial" w:cs="Arial" w:eastAsia="Arial" w:hAnsi="Arial"/>
                <w:sz w:val="28"/>
                <w:szCs w:val="28"/>
                <w:b w:val="1"/>
                <w:bCs w:val="1"/>
                <w:color w:val="auto"/>
              </w:rPr>
              <w:t>Australia/NZ</w:t>
            </w:r>
          </w:p>
        </w:tc>
        <w:tc>
          <w:tcPr>
            <w:tcW w:w="6600" w:type="dxa"/>
            <w:vAlign w:val="bottom"/>
          </w:tcPr>
          <w:p>
            <w:pPr>
              <w:jc w:val="right"/>
              <w:ind w:right="5642"/>
              <w:spacing w:after="0"/>
              <w:rPr>
                <w:sz w:val="20"/>
                <w:szCs w:val="20"/>
                <w:color w:val="auto"/>
              </w:rPr>
            </w:pPr>
            <w:r>
              <w:rPr>
                <w:rFonts w:ascii="Arial" w:cs="Arial" w:eastAsia="Arial" w:hAnsi="Arial"/>
                <w:sz w:val="24"/>
                <w:szCs w:val="24"/>
                <w:b w:val="1"/>
                <w:bCs w:val="1"/>
                <w:color w:val="FFFFFF"/>
              </w:rPr>
              <w:t>-3%</w:t>
            </w:r>
          </w:p>
        </w:tc>
        <w:tc>
          <w:tcPr>
            <w:tcW w:w="0" w:type="dxa"/>
            <w:vAlign w:val="bottom"/>
          </w:tcPr>
          <w:p>
            <w:pPr>
              <w:spacing w:after="0"/>
              <w:rPr>
                <w:sz w:val="1"/>
                <w:szCs w:val="1"/>
                <w:color w:val="auto"/>
              </w:rPr>
            </w:pPr>
          </w:p>
        </w:tc>
      </w:tr>
      <w:tr>
        <w:trPr>
          <w:trHeight w:val="197"/>
        </w:trPr>
        <w:tc>
          <w:tcPr>
            <w:tcW w:w="72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6600" w:type="dxa"/>
            <w:vAlign w:val="bottom"/>
            <w:vMerge w:val="restart"/>
          </w:tcPr>
          <w:p>
            <w:pPr>
              <w:jc w:val="right"/>
              <w:ind w:right="5002"/>
              <w:spacing w:after="0"/>
              <w:rPr>
                <w:sz w:val="20"/>
                <w:szCs w:val="20"/>
                <w:color w:val="auto"/>
              </w:rPr>
            </w:pPr>
            <w:r>
              <w:rPr>
                <w:rFonts w:ascii="Arial" w:cs="Arial" w:eastAsia="Arial" w:hAnsi="Arial"/>
                <w:sz w:val="24"/>
                <w:szCs w:val="24"/>
                <w:b w:val="1"/>
                <w:bCs w:val="1"/>
                <w:color w:val="auto"/>
              </w:rPr>
              <w:t>1%</w:t>
            </w:r>
          </w:p>
        </w:tc>
        <w:tc>
          <w:tcPr>
            <w:tcW w:w="0" w:type="dxa"/>
            <w:vAlign w:val="bottom"/>
          </w:tcPr>
          <w:p>
            <w:pPr>
              <w:spacing w:after="0"/>
              <w:rPr>
                <w:sz w:val="1"/>
                <w:szCs w:val="1"/>
                <w:color w:val="auto"/>
              </w:rPr>
            </w:pPr>
          </w:p>
        </w:tc>
      </w:tr>
      <w:tr>
        <w:trPr>
          <w:trHeight w:val="115"/>
        </w:trPr>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spacing w:after="0"/>
              <w:rPr>
                <w:sz w:val="20"/>
                <w:szCs w:val="20"/>
                <w:color w:val="auto"/>
              </w:rPr>
            </w:pPr>
            <w:r>
              <w:rPr>
                <w:rFonts w:ascii="Arial" w:cs="Arial" w:eastAsia="Arial" w:hAnsi="Arial"/>
                <w:sz w:val="28"/>
                <w:szCs w:val="28"/>
                <w:b w:val="1"/>
                <w:bCs w:val="1"/>
                <w:color w:val="D47C18"/>
              </w:rPr>
              <w:t>15%</w:t>
            </w:r>
          </w:p>
        </w:tc>
        <w:tc>
          <w:tcPr>
            <w:tcW w:w="1980" w:type="dxa"/>
            <w:vAlign w:val="bottom"/>
            <w:vMerge w:val="restart"/>
          </w:tcPr>
          <w:p>
            <w:pPr>
              <w:jc w:val="right"/>
              <w:ind w:right="79"/>
              <w:spacing w:after="0"/>
              <w:rPr>
                <w:sz w:val="20"/>
                <w:szCs w:val="20"/>
                <w:color w:val="auto"/>
              </w:rPr>
            </w:pPr>
            <w:r>
              <w:rPr>
                <w:rFonts w:ascii="Arial" w:cs="Arial" w:eastAsia="Arial" w:hAnsi="Arial"/>
                <w:sz w:val="28"/>
                <w:szCs w:val="28"/>
                <w:b w:val="1"/>
                <w:bCs w:val="1"/>
                <w:color w:val="auto"/>
              </w:rPr>
              <w:t>Mexico</w:t>
            </w:r>
          </w:p>
        </w:tc>
        <w:tc>
          <w:tcPr>
            <w:tcW w:w="6600" w:type="dxa"/>
            <w:vAlign w:val="bottom"/>
          </w:tcPr>
          <w:p>
            <w:pPr>
              <w:jc w:val="right"/>
              <w:ind w:right="662"/>
              <w:spacing w:after="0"/>
              <w:rPr>
                <w:sz w:val="20"/>
                <w:szCs w:val="20"/>
                <w:color w:val="auto"/>
              </w:rPr>
            </w:pPr>
            <w:r>
              <w:rPr>
                <w:rFonts w:ascii="Arial" w:cs="Arial" w:eastAsia="Arial" w:hAnsi="Arial"/>
                <w:sz w:val="24"/>
                <w:szCs w:val="24"/>
                <w:b w:val="1"/>
                <w:bCs w:val="1"/>
                <w:color w:val="FFFFFF"/>
              </w:rPr>
              <w:t>27%</w:t>
            </w:r>
          </w:p>
        </w:tc>
        <w:tc>
          <w:tcPr>
            <w:tcW w:w="0" w:type="dxa"/>
            <w:vAlign w:val="bottom"/>
          </w:tcPr>
          <w:p>
            <w:pPr>
              <w:spacing w:after="0"/>
              <w:rPr>
                <w:sz w:val="1"/>
                <w:szCs w:val="1"/>
                <w:color w:val="auto"/>
              </w:rPr>
            </w:pPr>
          </w:p>
        </w:tc>
      </w:tr>
      <w:tr>
        <w:trPr>
          <w:trHeight w:val="197"/>
        </w:trPr>
        <w:tc>
          <w:tcPr>
            <w:tcW w:w="72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6600" w:type="dxa"/>
            <w:vAlign w:val="bottom"/>
            <w:vMerge w:val="restart"/>
          </w:tcPr>
          <w:p>
            <w:pPr>
              <w:jc w:val="right"/>
              <w:ind w:right="202"/>
              <w:spacing w:after="0"/>
              <w:rPr>
                <w:sz w:val="20"/>
                <w:szCs w:val="20"/>
                <w:color w:val="auto"/>
              </w:rPr>
            </w:pPr>
            <w:r>
              <w:rPr>
                <w:rFonts w:ascii="Arial" w:cs="Arial" w:eastAsia="Arial" w:hAnsi="Arial"/>
                <w:sz w:val="24"/>
                <w:szCs w:val="24"/>
                <w:b w:val="1"/>
                <w:bCs w:val="1"/>
                <w:color w:val="FFFFFF"/>
              </w:rPr>
              <w:t>29%</w:t>
            </w:r>
          </w:p>
        </w:tc>
        <w:tc>
          <w:tcPr>
            <w:tcW w:w="0" w:type="dxa"/>
            <w:vAlign w:val="bottom"/>
          </w:tcPr>
          <w:p>
            <w:pPr>
              <w:spacing w:after="0"/>
              <w:rPr>
                <w:sz w:val="1"/>
                <w:szCs w:val="1"/>
                <w:color w:val="auto"/>
              </w:rPr>
            </w:pPr>
          </w:p>
        </w:tc>
      </w:tr>
      <w:tr>
        <w:trPr>
          <w:trHeight w:val="115"/>
        </w:trPr>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5"/>
        </w:trPr>
        <w:tc>
          <w:tcPr>
            <w:tcW w:w="720" w:type="dxa"/>
            <w:vAlign w:val="bottom"/>
            <w:vMerge w:val="restart"/>
          </w:tcPr>
          <w:p>
            <w:pPr>
              <w:ind w:left="20"/>
              <w:spacing w:after="0"/>
              <w:rPr>
                <w:sz w:val="20"/>
                <w:szCs w:val="20"/>
                <w:color w:val="auto"/>
              </w:rPr>
            </w:pPr>
            <w:r>
              <w:rPr>
                <w:rFonts w:ascii="Arial" w:cs="Arial" w:eastAsia="Arial" w:hAnsi="Arial"/>
                <w:sz w:val="28"/>
                <w:szCs w:val="28"/>
                <w:b w:val="1"/>
                <w:bCs w:val="1"/>
                <w:color w:val="D47C18"/>
              </w:rPr>
              <w:t>33%</w:t>
            </w:r>
          </w:p>
        </w:tc>
        <w:tc>
          <w:tcPr>
            <w:tcW w:w="1980" w:type="dxa"/>
            <w:vAlign w:val="bottom"/>
            <w:vMerge w:val="restart"/>
          </w:tcPr>
          <w:p>
            <w:pPr>
              <w:jc w:val="right"/>
              <w:ind w:right="99"/>
              <w:spacing w:after="0"/>
              <w:rPr>
                <w:sz w:val="20"/>
                <w:szCs w:val="20"/>
                <w:color w:val="auto"/>
              </w:rPr>
            </w:pPr>
            <w:r>
              <w:rPr>
                <w:rFonts w:ascii="Arial" w:cs="Arial" w:eastAsia="Arial" w:hAnsi="Arial"/>
                <w:sz w:val="28"/>
                <w:szCs w:val="28"/>
                <w:b w:val="1"/>
                <w:bCs w:val="1"/>
                <w:color w:val="auto"/>
              </w:rPr>
              <w:t>Other</w:t>
            </w:r>
          </w:p>
        </w:tc>
        <w:tc>
          <w:tcPr>
            <w:tcW w:w="6600" w:type="dxa"/>
            <w:vAlign w:val="bottom"/>
          </w:tcPr>
          <w:p>
            <w:pPr>
              <w:jc w:val="right"/>
              <w:spacing w:after="0"/>
              <w:rPr>
                <w:sz w:val="20"/>
                <w:szCs w:val="20"/>
                <w:color w:val="auto"/>
              </w:rPr>
            </w:pPr>
            <w:r>
              <w:rPr>
                <w:rFonts w:ascii="Arial" w:cs="Arial" w:eastAsia="Arial" w:hAnsi="Arial"/>
                <w:sz w:val="24"/>
                <w:szCs w:val="24"/>
                <w:b w:val="1"/>
                <w:bCs w:val="1"/>
                <w:color w:val="FFFFFF"/>
              </w:rPr>
              <w:t>31%</w:t>
            </w:r>
          </w:p>
        </w:tc>
        <w:tc>
          <w:tcPr>
            <w:tcW w:w="0" w:type="dxa"/>
            <w:vAlign w:val="bottom"/>
          </w:tcPr>
          <w:p>
            <w:pPr>
              <w:spacing w:after="0"/>
              <w:rPr>
                <w:sz w:val="1"/>
                <w:szCs w:val="1"/>
                <w:color w:val="auto"/>
              </w:rPr>
            </w:pPr>
          </w:p>
        </w:tc>
      </w:tr>
      <w:tr>
        <w:trPr>
          <w:trHeight w:val="174"/>
        </w:trPr>
        <w:tc>
          <w:tcPr>
            <w:tcW w:w="720" w:type="dxa"/>
            <w:vAlign w:val="bottom"/>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6600" w:type="dxa"/>
            <w:vAlign w:val="bottom"/>
            <w:vMerge w:val="restart"/>
          </w:tcPr>
          <w:p>
            <w:pPr>
              <w:jc w:val="right"/>
              <w:ind w:right="462"/>
              <w:spacing w:after="0"/>
              <w:rPr>
                <w:sz w:val="20"/>
                <w:szCs w:val="20"/>
                <w:color w:val="auto"/>
              </w:rPr>
            </w:pPr>
            <w:r>
              <w:rPr>
                <w:rFonts w:ascii="Arial" w:cs="Arial" w:eastAsia="Arial" w:hAnsi="Arial"/>
                <w:sz w:val="24"/>
                <w:szCs w:val="24"/>
                <w:b w:val="1"/>
                <w:bCs w:val="1"/>
                <w:color w:val="FFFFFF"/>
              </w:rPr>
              <w:t>28%</w:t>
            </w: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300"/>
        <w:spacing w:after="0"/>
        <w:tabs>
          <w:tab w:leader="none" w:pos="5540" w:val="left"/>
        </w:tabs>
        <w:rPr>
          <w:sz w:val="20"/>
          <w:szCs w:val="20"/>
          <w:color w:val="auto"/>
        </w:rPr>
      </w:pPr>
      <w:r>
        <w:rPr>
          <w:rFonts w:ascii="Arial" w:cs="Arial" w:eastAsia="Arial" w:hAnsi="Arial"/>
          <w:sz w:val="22"/>
          <w:szCs w:val="22"/>
          <w:b w:val="1"/>
          <w:bCs w:val="1"/>
          <w:color w:val="auto"/>
        </w:rPr>
        <w:t>Revenue Growth</w:t>
      </w:r>
      <w:r>
        <w:rPr>
          <w:sz w:val="20"/>
          <w:szCs w:val="20"/>
          <w:color w:val="auto"/>
        </w:rPr>
        <w:tab/>
      </w:r>
      <w:r>
        <w:rPr>
          <w:rFonts w:ascii="Arial" w:cs="Arial" w:eastAsia="Arial" w:hAnsi="Arial"/>
          <w:sz w:val="21"/>
          <w:szCs w:val="21"/>
          <w:b w:val="1"/>
          <w:bCs w:val="1"/>
          <w:color w:val="auto"/>
        </w:rPr>
        <w:t>Revenue Growth - CC</w:t>
      </w:r>
    </w:p>
    <w:p>
      <w:pPr>
        <w:sectPr>
          <w:pgSz w:w="11900" w:h="16838" w:orient="portrait"/>
          <w:cols w:equalWidth="0" w:num="1">
            <w:col w:w="9880"/>
          </w:cols>
          <w:pgMar w:left="1200" w:top="423" w:right="819" w:bottom="1440" w:gutter="0" w:footer="0" w:header="0"/>
        </w:sectPr>
      </w:pPr>
    </w:p>
    <w:bookmarkStart w:id="22" w:name="page23"/>
    <w:bookmarkEnd w:id="22"/>
    <w:p>
      <w:pPr>
        <w:spacing w:after="0"/>
        <w:tabs>
          <w:tab w:leader="none" w:pos="9580" w:val="left"/>
        </w:tabs>
        <w:rPr>
          <w:sz w:val="20"/>
          <w:szCs w:val="20"/>
          <w:color w:val="auto"/>
        </w:rPr>
      </w:pPr>
      <w:r>
        <w:rPr>
          <w:rFonts w:ascii="Arial" w:cs="Arial" w:eastAsia="Arial" w:hAnsi="Arial"/>
          <w:sz w:val="22"/>
          <w:szCs w:val="22"/>
          <w:color w:val="FFFFFF"/>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r>
        <w:rPr>
          <w:sz w:val="20"/>
          <w:szCs w:val="20"/>
          <w:color w:val="auto"/>
        </w:rPr>
        <w:tab/>
      </w:r>
      <w:r>
        <w:rPr>
          <w:rFonts w:ascii="Arial" w:cs="Arial" w:eastAsia="Arial" w:hAnsi="Arial"/>
          <w:sz w:val="22"/>
          <w:szCs w:val="22"/>
          <w:color w:val="FFFFFF"/>
        </w:rPr>
        <w:t>13</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380"/>
        <w:spacing w:after="0"/>
        <w:rPr>
          <w:sz w:val="20"/>
          <w:szCs w:val="20"/>
          <w:color w:val="auto"/>
        </w:rPr>
      </w:pPr>
      <w:r>
        <w:rPr>
          <w:rFonts w:ascii="Arial" w:cs="Arial" w:eastAsia="Arial" w:hAnsi="Arial"/>
          <w:sz w:val="85"/>
          <w:szCs w:val="85"/>
          <w:color w:val="6698C2"/>
        </w:rPr>
        <w:t>Financial Highlights</w:t>
      </w:r>
    </w:p>
    <w:p>
      <w:pPr>
        <w:sectPr>
          <w:pgSz w:w="11900" w:h="16838" w:orient="portrait"/>
          <w:cols w:equalWidth="0" w:num="1">
            <w:col w:w="9860"/>
          </w:cols>
          <w:pgMar w:left="1220" w:top="423" w:right="819" w:bottom="1440" w:gutter="0" w:footer="0" w:header="0"/>
          <w:type w:val="continuous"/>
        </w:sectPr>
      </w:pPr>
    </w:p>
    <w:bookmarkStart w:id="23" w:name="page24"/>
    <w:bookmarkEnd w:id="23"/>
    <w:tbl>
      <w:tblPr>
        <w:tblLayout w:type="fixed"/>
        <w:tblInd w:w="44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Arial" w:cs="Arial" w:eastAsia="Arial" w:hAnsi="Arial"/>
          <w:sz w:val="47"/>
          <w:szCs w:val="47"/>
          <w:color w:val="7EA190"/>
        </w:rPr>
        <w:t>Balance Sheet Highlights</w:t>
      </w:r>
    </w:p>
    <w:p>
      <w:pPr>
        <w:sectPr>
          <w:pgSz w:w="11900" w:h="16838" w:orient="portrait"/>
          <w:cols w:equalWidth="0" w:num="1">
            <w:col w:w="10300"/>
          </w:cols>
          <w:pgMar w:left="780" w:top="423" w:right="81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400" w:type="dxa"/>
            <w:vAlign w:val="bottom"/>
          </w:tcPr>
          <w:p>
            <w:pPr>
              <w:spacing w:after="0"/>
              <w:rPr>
                <w:sz w:val="20"/>
                <w:szCs w:val="20"/>
                <w:color w:val="auto"/>
              </w:rPr>
            </w:pPr>
            <w:r>
              <w:rPr>
                <w:rFonts w:ascii="Arial" w:cs="Arial" w:eastAsia="Arial" w:hAnsi="Arial"/>
                <w:sz w:val="22"/>
                <w:szCs w:val="22"/>
                <w:b w:val="1"/>
                <w:bCs w:val="1"/>
                <w:color w:val="auto"/>
              </w:rPr>
              <w:t>Total Debt</w:t>
            </w:r>
          </w:p>
        </w:tc>
        <w:tc>
          <w:tcPr>
            <w:tcW w:w="880" w:type="dxa"/>
            <w:vAlign w:val="bottom"/>
          </w:tcPr>
          <w:p>
            <w:pPr>
              <w:jc w:val="right"/>
              <w:spacing w:after="0"/>
              <w:rPr>
                <w:sz w:val="20"/>
                <w:szCs w:val="20"/>
                <w:color w:val="auto"/>
              </w:rPr>
            </w:pPr>
            <w:r>
              <w:rPr>
                <w:rFonts w:ascii="Arial" w:cs="Arial" w:eastAsia="Arial" w:hAnsi="Arial"/>
                <w:sz w:val="22"/>
                <w:szCs w:val="22"/>
                <w:color w:val="auto"/>
              </w:rPr>
              <w:t>1,200</w:t>
            </w: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26"/>
        </w:trPr>
        <w:tc>
          <w:tcPr>
            <w:tcW w:w="1440" w:type="dxa"/>
            <w:vAlign w:val="bottom"/>
          </w:tcPr>
          <w:p>
            <w:pPr>
              <w:spacing w:after="0"/>
              <w:rPr>
                <w:sz w:val="20"/>
                <w:szCs w:val="20"/>
                <w:color w:val="auto"/>
              </w:rPr>
            </w:pPr>
            <w:r>
              <w:rPr>
                <w:rFonts w:ascii="Arial" w:cs="Arial" w:eastAsia="Arial" w:hAnsi="Arial"/>
                <w:sz w:val="19"/>
                <w:szCs w:val="19"/>
                <w:color w:val="auto"/>
              </w:rPr>
              <w:t>($ in millions)</w:t>
            </w:r>
          </w:p>
        </w:tc>
        <w:tc>
          <w:tcPr>
            <w:tcW w:w="860" w:type="dxa"/>
            <w:vAlign w:val="bottom"/>
            <w:vMerge w:val="restart"/>
          </w:tcPr>
          <w:p>
            <w:pPr>
              <w:jc w:val="right"/>
              <w:spacing w:after="0"/>
              <w:rPr>
                <w:sz w:val="20"/>
                <w:szCs w:val="20"/>
                <w:color w:val="auto"/>
              </w:rPr>
            </w:pPr>
            <w:r>
              <w:rPr>
                <w:rFonts w:ascii="Arial" w:cs="Arial" w:eastAsia="Arial" w:hAnsi="Arial"/>
                <w:sz w:val="22"/>
                <w:szCs w:val="22"/>
                <w:color w:val="auto"/>
              </w:rPr>
              <w:t>1,000</w:t>
            </w:r>
          </w:p>
        </w:tc>
        <w:tc>
          <w:tcPr>
            <w:tcW w:w="0" w:type="dxa"/>
            <w:vAlign w:val="bottom"/>
          </w:tcPr>
          <w:p>
            <w:pPr>
              <w:spacing w:after="0"/>
              <w:rPr>
                <w:sz w:val="1"/>
                <w:szCs w:val="1"/>
                <w:color w:val="auto"/>
              </w:rPr>
            </w:pPr>
          </w:p>
        </w:tc>
      </w:tr>
      <w:tr>
        <w:trPr>
          <w:trHeight w:val="151"/>
        </w:trPr>
        <w:tc>
          <w:tcPr>
            <w:tcW w:w="14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800</w:t>
            </w: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600</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400</w:t>
            </w: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329"/>
        </w:trPr>
        <w:tc>
          <w:tcPr>
            <w:tcW w:w="1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36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Total Debt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Capitalization  </w:t>
      </w:r>
      <w:r>
        <w:rPr>
          <w:rFonts w:ascii="Arial" w:cs="Arial" w:eastAsia="Arial" w:hAnsi="Arial"/>
          <w:sz w:val="22"/>
          <w:szCs w:val="22"/>
          <w:color w:val="auto"/>
        </w:rPr>
        <w:t>40%</w:t>
      </w:r>
    </w:p>
    <w:p>
      <w:pPr>
        <w:spacing w:after="0" w:line="243"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30%</w:t>
      </w:r>
    </w:p>
    <w:p>
      <w:pPr>
        <w:spacing w:after="0" w:line="241"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20%</w:t>
      </w:r>
    </w:p>
    <w:p>
      <w:pPr>
        <w:spacing w:after="0" w:line="241" w:lineRule="exact"/>
        <w:rPr>
          <w:sz w:val="20"/>
          <w:szCs w:val="20"/>
          <w:color w:val="auto"/>
        </w:rPr>
      </w:pPr>
    </w:p>
    <w:p>
      <w:pPr>
        <w:jc w:val="right"/>
        <w:ind w:right="40"/>
        <w:spacing w:after="0"/>
        <w:rPr>
          <w:sz w:val="20"/>
          <w:szCs w:val="20"/>
          <w:color w:val="auto"/>
        </w:rPr>
      </w:pPr>
      <w:r>
        <w:rPr>
          <w:rFonts w:ascii="Arial" w:cs="Arial" w:eastAsia="Arial" w:hAnsi="Arial"/>
          <w:sz w:val="22"/>
          <w:szCs w:val="22"/>
          <w:color w:val="auto"/>
        </w:rPr>
        <w:t>10%</w:t>
      </w: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460" w:hanging="1360"/>
        <w:spacing w:after="0"/>
        <w:tabs>
          <w:tab w:leader="none" w:pos="1460" w:val="left"/>
        </w:tabs>
        <w:numPr>
          <w:ilvl w:val="0"/>
          <w:numId w:val="9"/>
        </w:numPr>
        <w:rPr>
          <w:rFonts w:ascii="Arial" w:cs="Arial" w:eastAsia="Arial" w:hAnsi="Arial"/>
          <w:sz w:val="49"/>
          <w:szCs w:val="49"/>
          <w:b w:val="1"/>
          <w:bCs w:val="1"/>
          <w:color w:val="FFFFFF"/>
          <w:vertAlign w:val="subscript"/>
        </w:rPr>
      </w:pPr>
      <w:r>
        <w:rPr>
          <w:rFonts w:ascii="Arial" w:cs="Arial" w:eastAsia="Arial" w:hAnsi="Arial"/>
          <w:sz w:val="25"/>
          <w:szCs w:val="25"/>
          <w:b w:val="1"/>
          <w:bCs w:val="1"/>
          <w:color w:val="FFFFFF"/>
        </w:rPr>
        <w:t>902</w:t>
      </w:r>
    </w:p>
    <w:p>
      <w:pPr>
        <w:spacing w:after="0" w:line="354" w:lineRule="exact"/>
        <w:rPr>
          <w:rFonts w:ascii="Arial" w:cs="Arial" w:eastAsia="Arial" w:hAnsi="Arial"/>
          <w:sz w:val="49"/>
          <w:szCs w:val="49"/>
          <w:b w:val="1"/>
          <w:bCs w:val="1"/>
          <w:color w:val="FFFFFF"/>
          <w:vertAlign w:val="subscript"/>
        </w:rPr>
      </w:pPr>
    </w:p>
    <w:p>
      <w:pPr>
        <w:ind w:left="120"/>
        <w:spacing w:after="0"/>
        <w:rPr>
          <w:rFonts w:ascii="Arial" w:cs="Arial" w:eastAsia="Arial" w:hAnsi="Arial"/>
          <w:sz w:val="49"/>
          <w:szCs w:val="49"/>
          <w:b w:val="1"/>
          <w:bCs w:val="1"/>
          <w:color w:val="FFFFFF"/>
          <w:vertAlign w:val="subscript"/>
        </w:rPr>
      </w:pPr>
      <w:r>
        <w:rPr>
          <w:rFonts w:ascii="Arial" w:cs="Arial" w:eastAsia="Arial" w:hAnsi="Arial"/>
          <w:sz w:val="49"/>
          <w:szCs w:val="49"/>
          <w:b w:val="1"/>
          <w:bCs w:val="1"/>
          <w:color w:val="FFFFFF"/>
          <w:vertAlign w:val="superscript"/>
        </w:rPr>
        <w:t>416</w:t>
      </w:r>
      <w:r>
        <w:rPr>
          <w:rFonts w:ascii="Arial" w:cs="Arial" w:eastAsia="Arial" w:hAnsi="Arial"/>
          <w:sz w:val="23"/>
          <w:szCs w:val="23"/>
          <w:b w:val="1"/>
          <w:bCs w:val="1"/>
          <w:color w:val="FFFFFF"/>
        </w:rPr>
        <w:t>370</w:t>
      </w:r>
    </w:p>
    <w:p>
      <w:pPr>
        <w:spacing w:after="0" w:line="172" w:lineRule="exact"/>
        <w:rPr>
          <w:sz w:val="20"/>
          <w:szCs w:val="20"/>
          <w:color w:val="auto"/>
        </w:rPr>
      </w:pPr>
    </w:p>
    <w:p>
      <w:pPr>
        <w:ind w:left="20"/>
        <w:spacing w:after="0"/>
        <w:tabs>
          <w:tab w:leader="none" w:pos="1400" w:val="left"/>
        </w:tabs>
        <w:rPr>
          <w:sz w:val="20"/>
          <w:szCs w:val="20"/>
          <w:color w:val="auto"/>
        </w:rPr>
      </w:pPr>
      <w:r>
        <w:rPr>
          <w:rFonts w:ascii="Arial" w:cs="Arial" w:eastAsia="Arial" w:hAnsi="Arial"/>
          <w:sz w:val="24"/>
          <w:szCs w:val="24"/>
          <w:color w:val="auto"/>
        </w:rPr>
        <w:t>2003</w:t>
      </w:r>
      <w:r>
        <w:rPr>
          <w:sz w:val="20"/>
          <w:szCs w:val="20"/>
          <w:color w:val="auto"/>
        </w:rPr>
        <w:tab/>
      </w:r>
      <w:r>
        <w:rPr>
          <w:rFonts w:ascii="Arial" w:cs="Arial" w:eastAsia="Arial" w:hAnsi="Arial"/>
          <w:sz w:val="24"/>
          <w:szCs w:val="24"/>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FFFFFF"/>
        </w:rPr>
        <w:t>39%</w:t>
      </w:r>
    </w:p>
    <w:p>
      <w:pPr>
        <w:spacing w:after="0" w:line="195" w:lineRule="exact"/>
        <w:rPr>
          <w:sz w:val="20"/>
          <w:szCs w:val="20"/>
          <w:color w:val="auto"/>
        </w:rPr>
      </w:pPr>
    </w:p>
    <w:p>
      <w:pPr>
        <w:ind w:left="1440"/>
        <w:spacing w:after="0"/>
        <w:rPr>
          <w:sz w:val="20"/>
          <w:szCs w:val="20"/>
          <w:color w:val="auto"/>
        </w:rPr>
      </w:pPr>
      <w:r>
        <w:rPr>
          <w:rFonts w:ascii="Arial" w:cs="Arial" w:eastAsia="Arial" w:hAnsi="Arial"/>
          <w:sz w:val="25"/>
          <w:szCs w:val="25"/>
          <w:b w:val="1"/>
          <w:bCs w:val="1"/>
          <w:color w:val="FFFFFF"/>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color w:val="auto"/>
        </w:rPr>
        <w:t>2003</w:t>
      </w:r>
      <w:r>
        <w:rPr>
          <w:sz w:val="20"/>
          <w:szCs w:val="20"/>
          <w:color w:val="auto"/>
        </w:rPr>
        <w:tab/>
      </w:r>
      <w:r>
        <w:rPr>
          <w:rFonts w:ascii="Arial" w:cs="Arial" w:eastAsia="Arial" w:hAnsi="Arial"/>
          <w:sz w:val="25"/>
          <w:szCs w:val="25"/>
          <w:color w:val="auto"/>
        </w:rPr>
        <w:t>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80"/>
        <w:spacing w:after="0"/>
        <w:rPr>
          <w:sz w:val="20"/>
          <w:szCs w:val="20"/>
          <w:color w:val="auto"/>
        </w:rPr>
      </w:pPr>
      <w:r>
        <w:rPr>
          <w:rFonts w:ascii="Arial" w:cs="Arial" w:eastAsia="Arial" w:hAnsi="Arial"/>
          <w:sz w:val="25"/>
          <w:szCs w:val="25"/>
          <w:b w:val="1"/>
          <w:bCs w:val="1"/>
          <w:color w:val="FFFFFF"/>
        </w:rPr>
        <w:t>1,048</w:t>
      </w:r>
    </w:p>
    <w:p>
      <w:pPr>
        <w:spacing w:after="0" w:line="159" w:lineRule="exact"/>
        <w:rPr>
          <w:sz w:val="20"/>
          <w:szCs w:val="20"/>
          <w:color w:val="auto"/>
        </w:rPr>
      </w:pPr>
    </w:p>
    <w:p>
      <w:pPr>
        <w:jc w:val="right"/>
        <w:ind w:right="660"/>
        <w:spacing w:after="0"/>
        <w:rPr>
          <w:sz w:val="20"/>
          <w:szCs w:val="20"/>
          <w:color w:val="auto"/>
        </w:rPr>
      </w:pPr>
      <w:r>
        <w:rPr>
          <w:rFonts w:ascii="Arial" w:cs="Arial" w:eastAsia="Arial" w:hAnsi="Arial"/>
          <w:sz w:val="19"/>
          <w:szCs w:val="19"/>
          <w:color w:val="auto"/>
        </w:rPr>
        <w:t>Total Debt</w:t>
      </w:r>
    </w:p>
    <w:p>
      <w:pPr>
        <w:ind w:left="60"/>
        <w:spacing w:after="0" w:line="181" w:lineRule="auto"/>
        <w:rPr>
          <w:sz w:val="20"/>
          <w:szCs w:val="20"/>
          <w:color w:val="auto"/>
        </w:rPr>
      </w:pPr>
      <w:r>
        <w:rPr>
          <w:rFonts w:ascii="Arial" w:cs="Arial" w:eastAsia="Arial" w:hAnsi="Arial"/>
          <w:sz w:val="21"/>
          <w:szCs w:val="21"/>
          <w:b w:val="1"/>
          <w:bCs w:val="1"/>
          <w:color w:val="FFFFFF"/>
        </w:rPr>
        <w:t>735</w:t>
      </w:r>
    </w:p>
    <w:p>
      <w:pPr>
        <w:ind w:left="2920"/>
        <w:spacing w:after="0"/>
        <w:rPr>
          <w:sz w:val="20"/>
          <w:szCs w:val="20"/>
          <w:color w:val="auto"/>
        </w:rPr>
      </w:pPr>
      <w:r>
        <w:rPr>
          <w:rFonts w:ascii="Arial" w:cs="Arial" w:eastAsia="Arial" w:hAnsi="Arial"/>
          <w:sz w:val="19"/>
          <w:szCs w:val="19"/>
          <w:color w:val="auto"/>
        </w:rPr>
        <w:t>Net Debt</w:t>
      </w:r>
    </w:p>
    <w:p>
      <w:pPr>
        <w:spacing w:after="0" w:line="204"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25"/>
          <w:szCs w:val="25"/>
          <w:b w:val="1"/>
          <w:bCs w:val="1"/>
          <w:color w:val="FFFFFF"/>
        </w:rPr>
        <w:t>280</w:t>
      </w:r>
      <w:r>
        <w:rPr>
          <w:sz w:val="20"/>
          <w:szCs w:val="20"/>
          <w:color w:val="auto"/>
        </w:rPr>
        <w:tab/>
      </w:r>
      <w:r>
        <w:rPr>
          <w:rFonts w:ascii="Arial" w:cs="Arial" w:eastAsia="Arial" w:hAnsi="Arial"/>
          <w:sz w:val="25"/>
          <w:szCs w:val="25"/>
          <w:b w:val="1"/>
          <w:bCs w:val="1"/>
          <w:color w:val="FFFFFF"/>
        </w:rPr>
        <w:t>280</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25"/>
          <w:szCs w:val="25"/>
          <w:color w:val="auto"/>
        </w:rPr>
        <w:t>2005</w:t>
      </w:r>
      <w:r>
        <w:rPr>
          <w:sz w:val="20"/>
          <w:szCs w:val="20"/>
          <w:color w:val="auto"/>
        </w:rPr>
        <w:tab/>
      </w:r>
      <w:r>
        <w:rPr>
          <w:rFonts w:ascii="Arial" w:cs="Arial" w:eastAsia="Arial" w:hAnsi="Arial"/>
          <w:sz w:val="25"/>
          <w:szCs w:val="25"/>
          <w:color w:val="auto"/>
        </w:rPr>
        <w:t>Q2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20"/>
        <w:spacing w:after="0"/>
        <w:rPr>
          <w:sz w:val="20"/>
          <w:szCs w:val="20"/>
          <w:color w:val="auto"/>
        </w:rPr>
      </w:pPr>
      <w:r>
        <w:rPr>
          <w:rFonts w:ascii="Arial" w:cs="Arial" w:eastAsia="Arial" w:hAnsi="Arial"/>
          <w:sz w:val="25"/>
          <w:szCs w:val="25"/>
          <w:b w:val="1"/>
          <w:bCs w:val="1"/>
          <w:color w:val="FFFFFF"/>
        </w:rPr>
        <w:t>32%</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FFFFFF"/>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25"/>
          <w:szCs w:val="25"/>
          <w:color w:val="auto"/>
        </w:rPr>
        <w:t>2005</w:t>
      </w:r>
      <w:r>
        <w:rPr>
          <w:sz w:val="20"/>
          <w:szCs w:val="20"/>
          <w:color w:val="auto"/>
        </w:rPr>
        <w:tab/>
      </w:r>
      <w:r>
        <w:rPr>
          <w:rFonts w:ascii="Arial" w:cs="Arial" w:eastAsia="Arial" w:hAnsi="Arial"/>
          <w:sz w:val="25"/>
          <w:szCs w:val="25"/>
          <w:color w:val="auto"/>
        </w:rPr>
        <w:t>Q2 2006</w:t>
      </w:r>
    </w:p>
    <w:p>
      <w:pPr>
        <w:sectPr>
          <w:pgSz w:w="11900" w:h="16838" w:orient="portrait"/>
          <w:cols w:equalWidth="0" w:num="3">
            <w:col w:w="2700" w:space="440"/>
            <w:col w:w="2020" w:space="720"/>
            <w:col w:w="4420"/>
          </w:cols>
          <w:pgMar w:left="780" w:top="423" w:right="8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2476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C8504F"/>
        </w:rPr>
        <w:t>Cash Flow Summary – First Half</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458"/>
        </w:trPr>
        <w:tc>
          <w:tcPr>
            <w:tcW w:w="5400" w:type="dxa"/>
            <w:vAlign w:val="bottom"/>
          </w:tcPr>
          <w:p>
            <w:pPr>
              <w:spacing w:after="0"/>
              <w:rPr>
                <w:sz w:val="20"/>
                <w:szCs w:val="20"/>
                <w:color w:val="auto"/>
              </w:rPr>
            </w:pPr>
            <w:r>
              <w:rPr>
                <w:rFonts w:ascii="Arial" w:cs="Arial" w:eastAsia="Arial" w:hAnsi="Arial"/>
                <w:sz w:val="28"/>
                <w:szCs w:val="28"/>
                <w:color w:val="C8504F"/>
              </w:rPr>
              <w:t>($ in millions)</w:t>
            </w:r>
          </w:p>
        </w:tc>
        <w:tc>
          <w:tcPr>
            <w:tcW w:w="1760" w:type="dxa"/>
            <w:vAlign w:val="bottom"/>
          </w:tcPr>
          <w:p>
            <w:pPr>
              <w:jc w:val="right"/>
              <w:ind w:right="431"/>
              <w:spacing w:after="0"/>
              <w:rPr>
                <w:sz w:val="20"/>
                <w:szCs w:val="20"/>
                <w:color w:val="auto"/>
              </w:rPr>
            </w:pPr>
            <w:r>
              <w:rPr>
                <w:rFonts w:ascii="Arial" w:cs="Arial" w:eastAsia="Arial" w:hAnsi="Arial"/>
                <w:sz w:val="32"/>
                <w:szCs w:val="32"/>
                <w:b w:val="1"/>
                <w:bCs w:val="1"/>
                <w:color w:val="C8504F"/>
              </w:rPr>
              <w:t>2006</w:t>
            </w:r>
          </w:p>
        </w:tc>
        <w:tc>
          <w:tcPr>
            <w:tcW w:w="1400" w:type="dxa"/>
            <w:vAlign w:val="bottom"/>
          </w:tcPr>
          <w:p>
            <w:pPr>
              <w:jc w:val="right"/>
              <w:ind w:right="11"/>
              <w:spacing w:after="0"/>
              <w:rPr>
                <w:sz w:val="20"/>
                <w:szCs w:val="20"/>
                <w:color w:val="auto"/>
              </w:rPr>
            </w:pPr>
            <w:r>
              <w:rPr>
                <w:rFonts w:ascii="Arial" w:cs="Arial" w:eastAsia="Arial" w:hAnsi="Arial"/>
                <w:sz w:val="32"/>
                <w:szCs w:val="32"/>
                <w:b w:val="1"/>
                <w:bCs w:val="1"/>
                <w:color w:val="C8504F"/>
              </w:rPr>
              <w:t>2005</w:t>
            </w:r>
          </w:p>
        </w:tc>
        <w:tc>
          <w:tcPr>
            <w:tcW w:w="0" w:type="dxa"/>
            <w:vAlign w:val="bottom"/>
          </w:tcPr>
          <w:p>
            <w:pPr>
              <w:spacing w:after="0"/>
              <w:rPr>
                <w:sz w:val="1"/>
                <w:szCs w:val="1"/>
                <w:color w:val="auto"/>
              </w:rPr>
            </w:pPr>
          </w:p>
        </w:tc>
      </w:tr>
      <w:tr>
        <w:trPr>
          <w:trHeight w:val="594"/>
        </w:trPr>
        <w:tc>
          <w:tcPr>
            <w:tcW w:w="5400" w:type="dxa"/>
            <w:vAlign w:val="bottom"/>
          </w:tcPr>
          <w:p>
            <w:pPr>
              <w:ind w:left="100"/>
              <w:spacing w:after="0"/>
              <w:rPr>
                <w:sz w:val="20"/>
                <w:szCs w:val="20"/>
                <w:color w:val="auto"/>
              </w:rPr>
            </w:pPr>
            <w:r>
              <w:rPr>
                <w:rFonts w:ascii="Arial" w:cs="Arial" w:eastAsia="Arial" w:hAnsi="Arial"/>
                <w:sz w:val="32"/>
                <w:szCs w:val="32"/>
                <w:b w:val="1"/>
                <w:bCs w:val="1"/>
                <w:color w:val="auto"/>
              </w:rPr>
              <w:t>Cash from Operations</w:t>
            </w:r>
          </w:p>
        </w:tc>
        <w:tc>
          <w:tcPr>
            <w:tcW w:w="1760" w:type="dxa"/>
            <w:vAlign w:val="bottom"/>
          </w:tcPr>
          <w:p>
            <w:pPr>
              <w:jc w:val="right"/>
              <w:ind w:right="451"/>
              <w:spacing w:after="0"/>
              <w:rPr>
                <w:sz w:val="20"/>
                <w:szCs w:val="20"/>
                <w:color w:val="auto"/>
              </w:rPr>
            </w:pPr>
            <w:r>
              <w:rPr>
                <w:rFonts w:ascii="Arial" w:cs="Arial" w:eastAsia="Arial" w:hAnsi="Arial"/>
                <w:sz w:val="34"/>
                <w:szCs w:val="34"/>
                <w:b w:val="1"/>
                <w:bCs w:val="1"/>
                <w:color w:val="auto"/>
              </w:rPr>
              <w:t>136</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99</w:t>
            </w:r>
          </w:p>
        </w:tc>
        <w:tc>
          <w:tcPr>
            <w:tcW w:w="0" w:type="dxa"/>
            <w:vAlign w:val="bottom"/>
          </w:tcPr>
          <w:p>
            <w:pPr>
              <w:spacing w:after="0"/>
              <w:rPr>
                <w:sz w:val="1"/>
                <w:szCs w:val="1"/>
                <w:color w:val="auto"/>
              </w:rPr>
            </w:pPr>
          </w:p>
        </w:tc>
      </w:tr>
      <w:tr>
        <w:trPr>
          <w:trHeight w:val="453"/>
        </w:trPr>
        <w:tc>
          <w:tcPr>
            <w:tcW w:w="5400" w:type="dxa"/>
            <w:vAlign w:val="bottom"/>
          </w:tcPr>
          <w:p>
            <w:pPr>
              <w:ind w:left="80"/>
              <w:spacing w:after="0"/>
              <w:rPr>
                <w:sz w:val="20"/>
                <w:szCs w:val="20"/>
                <w:color w:val="auto"/>
              </w:rPr>
            </w:pPr>
            <w:r>
              <w:rPr>
                <w:rFonts w:ascii="Arial" w:cs="Arial" w:eastAsia="Arial" w:hAnsi="Arial"/>
                <w:sz w:val="32"/>
                <w:szCs w:val="32"/>
                <w:b w:val="1"/>
                <w:bCs w:val="1"/>
                <w:color w:val="auto"/>
              </w:rPr>
              <w:t>Capital Expenditures</w:t>
            </w:r>
          </w:p>
        </w:tc>
        <w:tc>
          <w:tcPr>
            <w:tcW w:w="1760" w:type="dxa"/>
            <w:vAlign w:val="bottom"/>
          </w:tcPr>
          <w:p>
            <w:pPr>
              <w:jc w:val="right"/>
              <w:ind w:right="371"/>
              <w:spacing w:after="0"/>
              <w:rPr>
                <w:sz w:val="20"/>
                <w:szCs w:val="20"/>
                <w:color w:val="auto"/>
              </w:rPr>
            </w:pPr>
            <w:r>
              <w:rPr>
                <w:rFonts w:ascii="Arial" w:cs="Arial" w:eastAsia="Arial" w:hAnsi="Arial"/>
                <w:sz w:val="34"/>
                <w:szCs w:val="34"/>
                <w:b w:val="1"/>
                <w:bCs w:val="1"/>
                <w:color w:val="auto"/>
              </w:rPr>
              <w:t>(35)</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(36)</w:t>
            </w:r>
          </w:p>
        </w:tc>
        <w:tc>
          <w:tcPr>
            <w:tcW w:w="0" w:type="dxa"/>
            <w:vAlign w:val="bottom"/>
          </w:tcPr>
          <w:p>
            <w:pPr>
              <w:spacing w:after="0"/>
              <w:rPr>
                <w:sz w:val="1"/>
                <w:szCs w:val="1"/>
                <w:color w:val="auto"/>
              </w:rPr>
            </w:pPr>
          </w:p>
        </w:tc>
      </w:tr>
      <w:tr>
        <w:trPr>
          <w:trHeight w:val="453"/>
        </w:trPr>
        <w:tc>
          <w:tcPr>
            <w:tcW w:w="5400" w:type="dxa"/>
            <w:vAlign w:val="bottom"/>
          </w:tcPr>
          <w:p>
            <w:pPr>
              <w:ind w:left="440"/>
              <w:spacing w:after="0"/>
              <w:rPr>
                <w:sz w:val="20"/>
                <w:szCs w:val="20"/>
                <w:color w:val="auto"/>
              </w:rPr>
            </w:pPr>
            <w:r>
              <w:rPr>
                <w:rFonts w:ascii="Arial" w:cs="Arial" w:eastAsia="Arial" w:hAnsi="Arial"/>
                <w:sz w:val="32"/>
                <w:szCs w:val="32"/>
                <w:b w:val="1"/>
                <w:bCs w:val="1"/>
                <w:color w:val="auto"/>
              </w:rPr>
              <w:t>Free Cash Flow</w:t>
            </w:r>
          </w:p>
        </w:tc>
        <w:tc>
          <w:tcPr>
            <w:tcW w:w="1760" w:type="dxa"/>
            <w:vAlign w:val="bottom"/>
          </w:tcPr>
          <w:p>
            <w:pPr>
              <w:jc w:val="right"/>
              <w:ind w:right="491"/>
              <w:spacing w:after="0"/>
              <w:rPr>
                <w:sz w:val="20"/>
                <w:szCs w:val="20"/>
                <w:color w:val="auto"/>
              </w:rPr>
            </w:pPr>
            <w:r>
              <w:rPr>
                <w:rFonts w:ascii="Arial" w:cs="Arial" w:eastAsia="Arial" w:hAnsi="Arial"/>
                <w:sz w:val="34"/>
                <w:szCs w:val="34"/>
                <w:b w:val="1"/>
                <w:bCs w:val="1"/>
                <w:color w:val="auto"/>
              </w:rPr>
              <w:t>101</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63</w:t>
            </w:r>
          </w:p>
        </w:tc>
        <w:tc>
          <w:tcPr>
            <w:tcW w:w="0" w:type="dxa"/>
            <w:vAlign w:val="bottom"/>
          </w:tcPr>
          <w:p>
            <w:pPr>
              <w:spacing w:after="0"/>
              <w:rPr>
                <w:sz w:val="1"/>
                <w:szCs w:val="1"/>
                <w:color w:val="auto"/>
              </w:rPr>
            </w:pPr>
          </w:p>
        </w:tc>
      </w:tr>
      <w:tr>
        <w:trPr>
          <w:trHeight w:val="553"/>
        </w:trPr>
        <w:tc>
          <w:tcPr>
            <w:tcW w:w="5400" w:type="dxa"/>
            <w:vAlign w:val="bottom"/>
          </w:tcPr>
          <w:p>
            <w:pPr>
              <w:ind w:left="80"/>
              <w:spacing w:after="0"/>
              <w:rPr>
                <w:sz w:val="20"/>
                <w:szCs w:val="20"/>
                <w:color w:val="auto"/>
              </w:rPr>
            </w:pPr>
            <w:r>
              <w:rPr>
                <w:rFonts w:ascii="Arial" w:cs="Arial" w:eastAsia="Arial" w:hAnsi="Arial"/>
                <w:sz w:val="32"/>
                <w:szCs w:val="32"/>
                <w:b w:val="1"/>
                <w:bCs w:val="1"/>
                <w:color w:val="auto"/>
              </w:rPr>
              <w:t>Share Repurchases *</w:t>
            </w:r>
          </w:p>
        </w:tc>
        <w:tc>
          <w:tcPr>
            <w:tcW w:w="1760" w:type="dxa"/>
            <w:vAlign w:val="bottom"/>
          </w:tcPr>
          <w:p>
            <w:pPr>
              <w:jc w:val="right"/>
              <w:ind w:right="351"/>
              <w:spacing w:after="0"/>
              <w:rPr>
                <w:sz w:val="20"/>
                <w:szCs w:val="20"/>
                <w:color w:val="auto"/>
              </w:rPr>
            </w:pPr>
            <w:r>
              <w:rPr>
                <w:rFonts w:ascii="Arial" w:cs="Arial" w:eastAsia="Arial" w:hAnsi="Arial"/>
                <w:sz w:val="34"/>
                <w:szCs w:val="34"/>
                <w:b w:val="1"/>
                <w:bCs w:val="1"/>
                <w:color w:val="auto"/>
              </w:rPr>
              <w:t>(119)</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(204)</w:t>
            </w:r>
          </w:p>
        </w:tc>
        <w:tc>
          <w:tcPr>
            <w:tcW w:w="0" w:type="dxa"/>
            <w:vAlign w:val="bottom"/>
          </w:tcPr>
          <w:p>
            <w:pPr>
              <w:spacing w:after="0"/>
              <w:rPr>
                <w:sz w:val="1"/>
                <w:szCs w:val="1"/>
                <w:color w:val="auto"/>
              </w:rPr>
            </w:pPr>
          </w:p>
        </w:tc>
      </w:tr>
      <w:tr>
        <w:trPr>
          <w:trHeight w:val="394"/>
        </w:trPr>
        <w:tc>
          <w:tcPr>
            <w:tcW w:w="5400" w:type="dxa"/>
            <w:vAlign w:val="bottom"/>
          </w:tcPr>
          <w:p>
            <w:pPr>
              <w:ind w:left="80"/>
              <w:spacing w:after="0"/>
              <w:rPr>
                <w:sz w:val="20"/>
                <w:szCs w:val="20"/>
                <w:color w:val="auto"/>
              </w:rPr>
            </w:pPr>
            <w:r>
              <w:rPr>
                <w:rFonts w:ascii="Arial" w:cs="Arial" w:eastAsia="Arial" w:hAnsi="Arial"/>
                <w:sz w:val="32"/>
                <w:szCs w:val="32"/>
                <w:b w:val="1"/>
                <w:bCs w:val="1"/>
                <w:color w:val="auto"/>
              </w:rPr>
              <w:t>Proceeds from Stock Option</w:t>
            </w:r>
          </w:p>
        </w:tc>
        <w:tc>
          <w:tcPr>
            <w:tcW w:w="1760" w:type="dxa"/>
            <w:vAlign w:val="bottom"/>
            <w:vMerge w:val="restart"/>
          </w:tcPr>
          <w:p>
            <w:pPr>
              <w:jc w:val="right"/>
              <w:ind w:right="491"/>
              <w:spacing w:after="0"/>
              <w:rPr>
                <w:sz w:val="20"/>
                <w:szCs w:val="20"/>
                <w:color w:val="auto"/>
              </w:rPr>
            </w:pPr>
            <w:r>
              <w:rPr>
                <w:rFonts w:ascii="Arial" w:cs="Arial" w:eastAsia="Arial" w:hAnsi="Arial"/>
                <w:sz w:val="34"/>
                <w:szCs w:val="34"/>
                <w:b w:val="1"/>
                <w:bCs w:val="1"/>
                <w:color w:val="auto"/>
              </w:rPr>
              <w:t>42</w:t>
            </w:r>
          </w:p>
        </w:tc>
        <w:tc>
          <w:tcPr>
            <w:tcW w:w="1400" w:type="dxa"/>
            <w:vAlign w:val="bottom"/>
            <w:vMerge w:val="restart"/>
          </w:tcPr>
          <w:p>
            <w:pPr>
              <w:jc w:val="right"/>
              <w:spacing w:after="0"/>
              <w:rPr>
                <w:sz w:val="20"/>
                <w:szCs w:val="20"/>
                <w:color w:val="auto"/>
              </w:rPr>
            </w:pPr>
            <w:r>
              <w:rPr>
                <w:rFonts w:ascii="Arial" w:cs="Arial" w:eastAsia="Arial" w:hAnsi="Arial"/>
                <w:sz w:val="34"/>
                <w:szCs w:val="34"/>
                <w:b w:val="1"/>
                <w:bCs w:val="1"/>
                <w:color w:val="auto"/>
              </w:rPr>
              <w:t>8</w:t>
            </w:r>
          </w:p>
        </w:tc>
        <w:tc>
          <w:tcPr>
            <w:tcW w:w="0" w:type="dxa"/>
            <w:vAlign w:val="bottom"/>
          </w:tcPr>
          <w:p>
            <w:pPr>
              <w:spacing w:after="0"/>
              <w:rPr>
                <w:sz w:val="1"/>
                <w:szCs w:val="1"/>
                <w:color w:val="auto"/>
              </w:rPr>
            </w:pPr>
          </w:p>
        </w:tc>
      </w:tr>
      <w:tr>
        <w:trPr>
          <w:trHeight w:val="421"/>
        </w:trPr>
        <w:tc>
          <w:tcPr>
            <w:tcW w:w="5400" w:type="dxa"/>
            <w:vAlign w:val="bottom"/>
          </w:tcPr>
          <w:p>
            <w:pPr>
              <w:ind w:left="360"/>
              <w:spacing w:after="0"/>
              <w:rPr>
                <w:sz w:val="20"/>
                <w:szCs w:val="20"/>
                <w:color w:val="auto"/>
              </w:rPr>
            </w:pPr>
            <w:r>
              <w:rPr>
                <w:rFonts w:ascii="Arial" w:cs="Arial" w:eastAsia="Arial" w:hAnsi="Arial"/>
                <w:sz w:val="32"/>
                <w:szCs w:val="32"/>
                <w:b w:val="1"/>
                <w:bCs w:val="1"/>
                <w:color w:val="auto"/>
              </w:rPr>
              <w:t>and Purchase Plans</w:t>
            </w:r>
          </w:p>
        </w:tc>
        <w:tc>
          <w:tcPr>
            <w:tcW w:w="17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400" w:type="dxa"/>
            <w:vAlign w:val="bottom"/>
          </w:tcPr>
          <w:p>
            <w:pPr>
              <w:ind w:left="100"/>
              <w:spacing w:after="0"/>
              <w:rPr>
                <w:sz w:val="20"/>
                <w:szCs w:val="20"/>
                <w:color w:val="auto"/>
              </w:rPr>
            </w:pPr>
            <w:r>
              <w:rPr>
                <w:rFonts w:ascii="Arial" w:cs="Arial" w:eastAsia="Arial" w:hAnsi="Arial"/>
                <w:sz w:val="32"/>
                <w:szCs w:val="32"/>
                <w:b w:val="1"/>
                <w:bCs w:val="1"/>
                <w:color w:val="auto"/>
              </w:rPr>
              <w:t>Change in Debt</w:t>
            </w:r>
          </w:p>
        </w:tc>
        <w:tc>
          <w:tcPr>
            <w:tcW w:w="1760" w:type="dxa"/>
            <w:vAlign w:val="bottom"/>
          </w:tcPr>
          <w:p>
            <w:pPr>
              <w:jc w:val="right"/>
              <w:ind w:right="491"/>
              <w:spacing w:after="0"/>
              <w:rPr>
                <w:sz w:val="20"/>
                <w:szCs w:val="20"/>
                <w:color w:val="auto"/>
              </w:rPr>
            </w:pPr>
            <w:r>
              <w:rPr>
                <w:rFonts w:ascii="Arial" w:cs="Arial" w:eastAsia="Arial" w:hAnsi="Arial"/>
                <w:sz w:val="34"/>
                <w:szCs w:val="34"/>
                <w:b w:val="1"/>
                <w:bCs w:val="1"/>
                <w:color w:val="auto"/>
              </w:rPr>
              <w:t>251</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(32)</w:t>
            </w:r>
          </w:p>
        </w:tc>
        <w:tc>
          <w:tcPr>
            <w:tcW w:w="0" w:type="dxa"/>
            <w:vAlign w:val="bottom"/>
          </w:tcPr>
          <w:p>
            <w:pPr>
              <w:spacing w:after="0"/>
              <w:rPr>
                <w:sz w:val="1"/>
                <w:szCs w:val="1"/>
                <w:color w:val="auto"/>
              </w:rPr>
            </w:pPr>
          </w:p>
        </w:tc>
      </w:tr>
      <w:tr>
        <w:trPr>
          <w:trHeight w:val="506"/>
        </w:trPr>
        <w:tc>
          <w:tcPr>
            <w:tcW w:w="5400" w:type="dxa"/>
            <w:vAlign w:val="bottom"/>
          </w:tcPr>
          <w:p>
            <w:pPr>
              <w:ind w:left="100"/>
              <w:spacing w:after="0"/>
              <w:rPr>
                <w:sz w:val="20"/>
                <w:szCs w:val="20"/>
                <w:color w:val="auto"/>
              </w:rPr>
            </w:pPr>
            <w:r>
              <w:rPr>
                <w:rFonts w:ascii="Arial" w:cs="Arial" w:eastAsia="Arial" w:hAnsi="Arial"/>
                <w:sz w:val="32"/>
                <w:szCs w:val="32"/>
                <w:b w:val="1"/>
                <w:bCs w:val="1"/>
                <w:color w:val="auto"/>
              </w:rPr>
              <w:t>Proceeds from Sale of Business</w:t>
            </w:r>
          </w:p>
        </w:tc>
        <w:tc>
          <w:tcPr>
            <w:tcW w:w="1760" w:type="dxa"/>
            <w:vAlign w:val="bottom"/>
          </w:tcPr>
          <w:p>
            <w:pPr>
              <w:jc w:val="right"/>
              <w:ind w:right="451"/>
              <w:spacing w:after="0"/>
              <w:rPr>
                <w:sz w:val="20"/>
                <w:szCs w:val="20"/>
                <w:color w:val="auto"/>
              </w:rPr>
            </w:pPr>
            <w:r>
              <w:rPr>
                <w:rFonts w:ascii="Arial" w:cs="Arial" w:eastAsia="Arial" w:hAnsi="Arial"/>
                <w:sz w:val="34"/>
                <w:szCs w:val="34"/>
                <w:b w:val="1"/>
                <w:bCs w:val="1"/>
                <w:color w:val="auto"/>
              </w:rPr>
              <w:t>30</w:t>
            </w:r>
          </w:p>
        </w:tc>
        <w:tc>
          <w:tcPr>
            <w:tcW w:w="1400" w:type="dxa"/>
            <w:vAlign w:val="bottom"/>
          </w:tcPr>
          <w:p>
            <w:pPr>
              <w:jc w:val="right"/>
              <w:ind w:right="31"/>
              <w:spacing w:after="0"/>
              <w:rPr>
                <w:sz w:val="20"/>
                <w:szCs w:val="20"/>
                <w:color w:val="auto"/>
              </w:rPr>
            </w:pPr>
            <w:r>
              <w:rPr>
                <w:rFonts w:ascii="Arial" w:cs="Arial" w:eastAsia="Arial" w:hAnsi="Arial"/>
                <w:sz w:val="34"/>
                <w:szCs w:val="34"/>
                <w:color w:val="auto"/>
              </w:rPr>
              <w:t>-</w:t>
            </w:r>
          </w:p>
        </w:tc>
        <w:tc>
          <w:tcPr>
            <w:tcW w:w="0" w:type="dxa"/>
            <w:vAlign w:val="bottom"/>
          </w:tcPr>
          <w:p>
            <w:pPr>
              <w:spacing w:after="0"/>
              <w:rPr>
                <w:sz w:val="1"/>
                <w:szCs w:val="1"/>
                <w:color w:val="auto"/>
              </w:rPr>
            </w:pPr>
          </w:p>
        </w:tc>
      </w:tr>
      <w:tr>
        <w:trPr>
          <w:trHeight w:val="470"/>
        </w:trPr>
        <w:tc>
          <w:tcPr>
            <w:tcW w:w="5400" w:type="dxa"/>
            <w:vAlign w:val="bottom"/>
          </w:tcPr>
          <w:p>
            <w:pPr>
              <w:ind w:left="100"/>
              <w:spacing w:after="0"/>
              <w:rPr>
                <w:sz w:val="20"/>
                <w:szCs w:val="20"/>
                <w:color w:val="auto"/>
              </w:rPr>
            </w:pPr>
            <w:r>
              <w:rPr>
                <w:rFonts w:ascii="Arial" w:cs="Arial" w:eastAsia="Arial" w:hAnsi="Arial"/>
                <w:sz w:val="32"/>
                <w:szCs w:val="32"/>
                <w:b w:val="1"/>
                <w:bCs w:val="1"/>
                <w:color w:val="auto"/>
              </w:rPr>
              <w:t>Other</w:t>
            </w:r>
          </w:p>
        </w:tc>
        <w:tc>
          <w:tcPr>
            <w:tcW w:w="1760" w:type="dxa"/>
            <w:vAlign w:val="bottom"/>
          </w:tcPr>
          <w:p>
            <w:pPr>
              <w:jc w:val="right"/>
              <w:ind w:right="471"/>
              <w:spacing w:after="0"/>
              <w:rPr>
                <w:sz w:val="20"/>
                <w:szCs w:val="20"/>
                <w:color w:val="auto"/>
              </w:rPr>
            </w:pPr>
            <w:r>
              <w:rPr>
                <w:rFonts w:ascii="Arial" w:cs="Arial" w:eastAsia="Arial" w:hAnsi="Arial"/>
                <w:sz w:val="34"/>
                <w:szCs w:val="34"/>
                <w:b w:val="1"/>
                <w:bCs w:val="1"/>
                <w:color w:val="auto"/>
              </w:rPr>
              <w:t>8</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(4)</w:t>
            </w:r>
          </w:p>
        </w:tc>
        <w:tc>
          <w:tcPr>
            <w:tcW w:w="0" w:type="dxa"/>
            <w:vAlign w:val="bottom"/>
          </w:tcPr>
          <w:p>
            <w:pPr>
              <w:spacing w:after="0"/>
              <w:rPr>
                <w:sz w:val="1"/>
                <w:szCs w:val="1"/>
                <w:color w:val="auto"/>
              </w:rPr>
            </w:pPr>
          </w:p>
        </w:tc>
      </w:tr>
      <w:tr>
        <w:trPr>
          <w:trHeight w:val="533"/>
        </w:trPr>
        <w:tc>
          <w:tcPr>
            <w:tcW w:w="5400" w:type="dxa"/>
            <w:vAlign w:val="bottom"/>
          </w:tcPr>
          <w:p>
            <w:pPr>
              <w:ind w:left="440"/>
              <w:spacing w:after="0"/>
              <w:rPr>
                <w:sz w:val="20"/>
                <w:szCs w:val="20"/>
                <w:color w:val="auto"/>
              </w:rPr>
            </w:pPr>
            <w:r>
              <w:rPr>
                <w:rFonts w:ascii="Arial" w:cs="Arial" w:eastAsia="Arial" w:hAnsi="Arial"/>
                <w:sz w:val="32"/>
                <w:szCs w:val="32"/>
                <w:b w:val="1"/>
                <w:bCs w:val="1"/>
                <w:color w:val="auto"/>
              </w:rPr>
              <w:t>Change in Cash</w:t>
            </w:r>
          </w:p>
        </w:tc>
        <w:tc>
          <w:tcPr>
            <w:tcW w:w="1760" w:type="dxa"/>
            <w:vAlign w:val="bottom"/>
          </w:tcPr>
          <w:p>
            <w:pPr>
              <w:jc w:val="right"/>
              <w:ind w:right="491"/>
              <w:spacing w:after="0"/>
              <w:rPr>
                <w:sz w:val="20"/>
                <w:szCs w:val="20"/>
                <w:color w:val="auto"/>
              </w:rPr>
            </w:pPr>
            <w:r>
              <w:rPr>
                <w:rFonts w:ascii="Arial" w:cs="Arial" w:eastAsia="Arial" w:hAnsi="Arial"/>
                <w:sz w:val="34"/>
                <w:szCs w:val="34"/>
                <w:b w:val="1"/>
                <w:bCs w:val="1"/>
                <w:color w:val="auto"/>
              </w:rPr>
              <w:t>313</w:t>
            </w:r>
          </w:p>
        </w:tc>
        <w:tc>
          <w:tcPr>
            <w:tcW w:w="1400" w:type="dxa"/>
            <w:vAlign w:val="bottom"/>
          </w:tcPr>
          <w:p>
            <w:pPr>
              <w:jc w:val="right"/>
              <w:spacing w:after="0"/>
              <w:rPr>
                <w:sz w:val="20"/>
                <w:szCs w:val="20"/>
                <w:color w:val="auto"/>
              </w:rPr>
            </w:pPr>
            <w:r>
              <w:rPr>
                <w:rFonts w:ascii="Arial" w:cs="Arial" w:eastAsia="Arial" w:hAnsi="Arial"/>
                <w:sz w:val="34"/>
                <w:szCs w:val="34"/>
                <w:b w:val="1"/>
                <w:bCs w:val="1"/>
                <w:color w:val="auto"/>
              </w:rPr>
              <w:t>(169)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28"/>
          <w:szCs w:val="28"/>
          <w:color w:val="auto"/>
        </w:rPr>
        <w:t>* 1,970,300 shares in 2006 and 5,000,000 shares in 2005</w:t>
      </w:r>
    </w:p>
    <w:p>
      <w:pPr>
        <w:sectPr>
          <w:pgSz w:w="11900" w:h="16838" w:orient="portrait"/>
          <w:cols w:equalWidth="0" w:num="1">
            <w:col w:w="9860"/>
          </w:cols>
          <w:pgMar w:left="1220" w:top="423" w:right="8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47"/>
          <w:szCs w:val="47"/>
          <w:color w:val="D47C18"/>
        </w:rPr>
        <w:t>Third Quarter Outlook</w:t>
      </w:r>
    </w:p>
    <w:p>
      <w:pPr>
        <w:sectPr>
          <w:pgSz w:w="11900" w:h="16838" w:orient="portrait"/>
          <w:cols w:equalWidth="0" w:num="1">
            <w:col w:w="9860"/>
          </w:cols>
          <w:pgMar w:left="1220" w:top="423" w:right="81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3040" w:val="left"/>
        </w:tabs>
        <w:rPr>
          <w:sz w:val="20"/>
          <w:szCs w:val="20"/>
          <w:color w:val="auto"/>
        </w:rPr>
      </w:pPr>
      <w:r>
        <w:rPr>
          <w:rFonts w:ascii="Arial" w:cs="Arial" w:eastAsia="Arial" w:hAnsi="Arial"/>
          <w:sz w:val="34"/>
          <w:szCs w:val="34"/>
          <w:b w:val="1"/>
          <w:bCs w:val="1"/>
          <w:color w:val="D47C18"/>
        </w:rPr>
        <w:t>Revenue</w:t>
      </w:r>
      <w:r>
        <w:rPr>
          <w:sz w:val="20"/>
          <w:szCs w:val="20"/>
          <w:color w:val="auto"/>
        </w:rPr>
        <w:tab/>
      </w:r>
      <w:r>
        <w:rPr>
          <w:rFonts w:ascii="Arial" w:cs="Arial" w:eastAsia="Arial" w:hAnsi="Arial"/>
          <w:sz w:val="32"/>
          <w:szCs w:val="32"/>
          <w:b w:val="1"/>
          <w:bCs w:val="1"/>
          <w:color w:val="auto"/>
        </w:rPr>
        <w:t>U.S.</w:t>
      </w:r>
    </w:p>
    <w:p>
      <w:pPr>
        <w:spacing w:after="0" w:line="103"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France</w:t>
      </w:r>
    </w:p>
    <w:p>
      <w:pPr>
        <w:spacing w:after="0" w:line="55"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EMEA</w:t>
      </w:r>
    </w:p>
    <w:p>
      <w:pPr>
        <w:spacing w:after="0" w:line="67" w:lineRule="exact"/>
        <w:rPr>
          <w:sz w:val="20"/>
          <w:szCs w:val="20"/>
          <w:color w:val="auto"/>
        </w:rPr>
      </w:pPr>
    </w:p>
    <w:p>
      <w:pPr>
        <w:jc w:val="right"/>
        <w:ind w:right="120"/>
        <w:spacing w:after="0"/>
        <w:rPr>
          <w:sz w:val="20"/>
          <w:szCs w:val="20"/>
          <w:color w:val="auto"/>
        </w:rPr>
      </w:pPr>
      <w:r>
        <w:rPr>
          <w:rFonts w:ascii="Arial" w:cs="Arial" w:eastAsia="Arial" w:hAnsi="Arial"/>
          <w:sz w:val="32"/>
          <w:szCs w:val="32"/>
          <w:b w:val="1"/>
          <w:bCs w:val="1"/>
          <w:color w:val="auto"/>
        </w:rPr>
        <w:t>Jefferson Wells</w:t>
      </w:r>
    </w:p>
    <w:p>
      <w:pPr>
        <w:spacing w:after="0" w:line="55" w:lineRule="exact"/>
        <w:rPr>
          <w:sz w:val="20"/>
          <w:szCs w:val="20"/>
          <w:color w:val="auto"/>
        </w:rPr>
      </w:pPr>
    </w:p>
    <w:p>
      <w:pPr>
        <w:jc w:val="right"/>
        <w:ind w:right="160"/>
        <w:spacing w:after="0"/>
        <w:rPr>
          <w:sz w:val="20"/>
          <w:szCs w:val="20"/>
          <w:color w:val="auto"/>
        </w:rPr>
      </w:pPr>
      <w:r>
        <w:rPr>
          <w:rFonts w:ascii="Arial" w:cs="Arial" w:eastAsia="Arial" w:hAnsi="Arial"/>
          <w:sz w:val="32"/>
          <w:szCs w:val="32"/>
          <w:b w:val="1"/>
          <w:bCs w:val="1"/>
          <w:color w:val="auto"/>
        </w:rPr>
        <w:t>Right</w:t>
      </w:r>
    </w:p>
    <w:p>
      <w:pPr>
        <w:spacing w:after="0" w:line="79" w:lineRule="exact"/>
        <w:rPr>
          <w:sz w:val="20"/>
          <w:szCs w:val="20"/>
          <w:color w:val="auto"/>
        </w:rPr>
      </w:pPr>
    </w:p>
    <w:p>
      <w:pPr>
        <w:jc w:val="right"/>
        <w:ind w:right="140"/>
        <w:spacing w:after="0"/>
        <w:rPr>
          <w:sz w:val="20"/>
          <w:szCs w:val="20"/>
          <w:color w:val="auto"/>
        </w:rPr>
      </w:pPr>
      <w:r>
        <w:rPr>
          <w:rFonts w:ascii="Arial" w:cs="Arial" w:eastAsia="Arial" w:hAnsi="Arial"/>
          <w:sz w:val="32"/>
          <w:szCs w:val="32"/>
          <w:b w:val="1"/>
          <w:bCs w:val="1"/>
          <w:color w:val="auto"/>
        </w:rPr>
        <w:t>Other</w:t>
      </w:r>
    </w:p>
    <w:p>
      <w:pPr>
        <w:spacing w:after="0" w:line="185" w:lineRule="exact"/>
        <w:rPr>
          <w:sz w:val="20"/>
          <w:szCs w:val="20"/>
          <w:color w:val="auto"/>
        </w:rPr>
      </w:pPr>
    </w:p>
    <w:p>
      <w:pPr>
        <w:ind w:left="2900"/>
        <w:spacing w:after="0"/>
        <w:rPr>
          <w:sz w:val="20"/>
          <w:szCs w:val="20"/>
          <w:color w:val="auto"/>
        </w:rPr>
      </w:pPr>
      <w:r>
        <w:rPr>
          <w:rFonts w:ascii="Arial" w:cs="Arial" w:eastAsia="Arial" w:hAnsi="Arial"/>
          <w:sz w:val="32"/>
          <w:szCs w:val="32"/>
          <w:b w:val="1"/>
          <w:bCs w:val="1"/>
          <w:color w:val="auto"/>
        </w:rPr>
        <w:t>Total</w:t>
      </w:r>
    </w:p>
    <w:p>
      <w:pPr>
        <w:spacing w:after="0" w:line="150" w:lineRule="exact"/>
        <w:rPr>
          <w:sz w:val="20"/>
          <w:szCs w:val="20"/>
          <w:color w:val="auto"/>
        </w:rPr>
      </w:pPr>
    </w:p>
    <w:p>
      <w:pPr>
        <w:ind w:left="20" w:firstLine="35"/>
        <w:spacing w:after="0" w:line="357" w:lineRule="auto"/>
        <w:rPr>
          <w:sz w:val="20"/>
          <w:szCs w:val="20"/>
          <w:color w:val="auto"/>
        </w:rPr>
      </w:pPr>
      <w:r>
        <w:rPr>
          <w:rFonts w:ascii="Arial" w:cs="Arial" w:eastAsia="Arial" w:hAnsi="Arial"/>
          <w:sz w:val="34"/>
          <w:szCs w:val="34"/>
          <w:b w:val="1"/>
          <w:bCs w:val="1"/>
          <w:color w:val="D47C18"/>
        </w:rPr>
        <w:t>Gross Profit Margin Operating Profit Margin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34"/>
          <w:szCs w:val="34"/>
          <w:b w:val="1"/>
          <w:bCs w:val="1"/>
          <w:color w:val="D47C18"/>
        </w:rPr>
        <w:t>Tax Rate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34"/>
          <w:szCs w:val="34"/>
          <w:b w:val="1"/>
          <w:bCs w:val="1"/>
          <w:color w:val="D47C18"/>
        </w:rPr>
        <w:t>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1-3%</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11-13% (Up 8-10% CC)</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32"/>
          <w:szCs w:val="32"/>
          <w:color w:val="auto"/>
        </w:rPr>
        <w:t>Up 14-16% (Up 11-13% CC)</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32"/>
          <w:szCs w:val="32"/>
          <w:color w:val="auto"/>
        </w:rPr>
        <w:t>Down 6-8%</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32"/>
          <w:szCs w:val="32"/>
          <w:color w:val="auto"/>
        </w:rPr>
        <w:t>Down 1-3% (Down 3-5% CC)</w:t>
      </w:r>
    </w:p>
    <w:p>
      <w:pPr>
        <w:spacing w:after="0" w:line="91" w:lineRule="exact"/>
        <w:rPr>
          <w:sz w:val="20"/>
          <w:szCs w:val="20"/>
          <w:color w:val="auto"/>
        </w:rPr>
      </w:pPr>
    </w:p>
    <w:p>
      <w:pPr>
        <w:ind w:left="100"/>
        <w:spacing w:after="0"/>
        <w:rPr>
          <w:sz w:val="20"/>
          <w:szCs w:val="20"/>
          <w:color w:val="auto"/>
        </w:rPr>
      </w:pPr>
      <w:r>
        <w:rPr>
          <w:rFonts w:ascii="Arial" w:cs="Arial" w:eastAsia="Arial" w:hAnsi="Arial"/>
          <w:sz w:val="32"/>
          <w:szCs w:val="32"/>
          <w:color w:val="auto"/>
        </w:rPr>
        <w:t>Up 12-14% (Up 14-16% CC)</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32"/>
          <w:szCs w:val="32"/>
          <w:color w:val="auto"/>
        </w:rPr>
        <w:t>Up 10-12% (Up 8-10% CC)</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32"/>
          <w:szCs w:val="32"/>
          <w:color w:val="auto"/>
        </w:rPr>
        <w:t>18.2 - 18.4%</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32"/>
          <w:szCs w:val="32"/>
          <w:color w:val="auto"/>
        </w:rPr>
        <w:t>3.2 - 3.4%</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32"/>
          <w:szCs w:val="32"/>
          <w:color w:val="auto"/>
        </w:rPr>
        <w:t>36.5%</w:t>
      </w:r>
    </w:p>
    <w:p>
      <w:pPr>
        <w:spacing w:after="0" w:line="196" w:lineRule="exact"/>
        <w:rPr>
          <w:sz w:val="20"/>
          <w:szCs w:val="20"/>
          <w:color w:val="auto"/>
        </w:rPr>
      </w:pPr>
    </w:p>
    <w:p>
      <w:pPr>
        <w:spacing w:after="0"/>
        <w:rPr>
          <w:sz w:val="20"/>
          <w:szCs w:val="20"/>
          <w:color w:val="auto"/>
        </w:rPr>
      </w:pPr>
      <w:r>
        <w:rPr>
          <w:rFonts w:ascii="Arial" w:cs="Arial" w:eastAsia="Arial" w:hAnsi="Arial"/>
          <w:sz w:val="31"/>
          <w:szCs w:val="31"/>
          <w:color w:val="auto"/>
        </w:rPr>
        <w:t>$1.00 - $1.04(Pos. $.02 Currency)</w:t>
      </w:r>
    </w:p>
    <w:p>
      <w:pPr>
        <w:sectPr>
          <w:pgSz w:w="11900" w:h="16838" w:orient="portrait"/>
          <w:cols w:equalWidth="0" w:num="2">
            <w:col w:w="3820" w:space="440"/>
            <w:col w:w="5600"/>
          </w:cols>
          <w:pgMar w:left="1220" w:top="423" w:right="81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28"/>
          <w:szCs w:val="28"/>
          <w:b w:val="1"/>
          <w:bCs w:val="1"/>
          <w:color w:val="5F81AA"/>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24765"/>
                    </a:xfrm>
                    <a:prstGeom prst="rect">
                      <a:avLst/>
                    </a:prstGeom>
                    <a:noFill/>
                  </pic:spPr>
                </pic:pic>
              </a:graphicData>
            </a:graphic>
          </wp:anchor>
        </w:drawing>
        <w:t>2006 2</w:t>
      </w:r>
      <w:r>
        <w:rPr>
          <w:rFonts w:ascii="Arial" w:cs="Arial" w:eastAsia="Arial" w:hAnsi="Arial"/>
          <w:sz w:val="37"/>
          <w:szCs w:val="37"/>
          <w:b w:val="1"/>
          <w:bCs w:val="1"/>
          <w:color w:val="5F81AA"/>
          <w:vertAlign w:val="superscript"/>
        </w:rPr>
        <w:t>nd</w:t>
      </w:r>
      <w:r>
        <w:rPr>
          <w:rFonts w:ascii="Arial" w:cs="Arial" w:eastAsia="Arial" w:hAnsi="Arial"/>
          <w:sz w:val="28"/>
          <w:szCs w:val="28"/>
          <w:b w:val="1"/>
          <w:bCs w:val="1"/>
          <w:color w:val="5F81AA"/>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-4445</wp:posOffset>
            </wp:positionV>
            <wp:extent cx="4128770" cy="4315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color w:val="auto"/>
        </w:rPr>
        <w:t>July 19,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20"/>
        <w:spacing w:after="0"/>
        <w:rPr>
          <w:sz w:val="20"/>
          <w:szCs w:val="20"/>
          <w:color w:val="auto"/>
        </w:rPr>
      </w:pPr>
      <w:r>
        <w:rPr>
          <w:rFonts w:ascii="Arial" w:cs="Arial" w:eastAsia="Arial" w:hAnsi="Arial"/>
          <w:sz w:val="62"/>
          <w:szCs w:val="62"/>
          <w:color w:val="auto"/>
        </w:rPr>
        <w:t>Questions?</w:t>
      </w:r>
    </w:p>
    <w:p>
      <w:pPr>
        <w:jc w:val="right"/>
        <w:ind w:right="1519"/>
        <w:spacing w:after="0"/>
        <w:rPr>
          <w:sz w:val="20"/>
          <w:szCs w:val="20"/>
          <w:color w:val="auto"/>
        </w:rPr>
      </w:pPr>
      <w:r>
        <w:rPr>
          <w:rFonts w:ascii="Arial" w:cs="Arial" w:eastAsia="Arial" w:hAnsi="Arial"/>
          <w:sz w:val="94"/>
          <w:szCs w:val="94"/>
          <w:color w:val="auto"/>
        </w:rPr>
        <w:t>Answers</w:t>
      </w:r>
    </w:p>
    <w:p>
      <w:pPr>
        <w:sectPr>
          <w:pgSz w:w="11900" w:h="16838" w:orient="portrait"/>
          <w:cols w:equalWidth="0" w:num="1">
            <w:col w:w="10099"/>
          </w:cols>
          <w:pgMar w:left="360" w:top="333" w:right="1440" w:bottom="1440" w:gutter="0" w:footer="0" w:header="0"/>
        </w:sectPr>
      </w:pPr>
    </w:p>
    <w:bookmarkStart w:id="27" w:name="page28"/>
    <w:bookmarkEnd w:id="27"/>
    <w:p>
      <w:pPr>
        <w:spacing w:after="0"/>
        <w:rPr>
          <w:sz w:val="20"/>
          <w:szCs w:val="20"/>
          <w:color w:val="auto"/>
        </w:rPr>
      </w:pPr>
      <w:r>
        <w:rPr>
          <w:rFonts w:ascii="Arial" w:cs="Arial" w:eastAsia="Arial" w:hAnsi="Arial"/>
          <w:sz w:val="28"/>
          <w:szCs w:val="28"/>
          <w:b w:val="1"/>
          <w:bCs w:val="1"/>
          <w:color w:val="6698C2"/>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24765"/>
                    </a:xfrm>
                    <a:prstGeom prst="rect">
                      <a:avLst/>
                    </a:prstGeom>
                    <a:noFill/>
                  </pic:spPr>
                </pic:pic>
              </a:graphicData>
            </a:graphic>
          </wp:anchor>
        </w:drawing>
        <w:t>2006 2</w:t>
      </w:r>
      <w:r>
        <w:rPr>
          <w:rFonts w:ascii="Arial" w:cs="Arial" w:eastAsia="Arial" w:hAnsi="Arial"/>
          <w:sz w:val="37"/>
          <w:szCs w:val="37"/>
          <w:b w:val="1"/>
          <w:bCs w:val="1"/>
          <w:color w:val="6698C2"/>
          <w:vertAlign w:val="superscript"/>
        </w:rPr>
        <w:t>nd</w:t>
      </w:r>
      <w:r>
        <w:rPr>
          <w:rFonts w:ascii="Arial" w:cs="Arial" w:eastAsia="Arial" w:hAnsi="Arial"/>
          <w:sz w:val="28"/>
          <w:szCs w:val="28"/>
          <w:b w:val="1"/>
          <w:bCs w:val="1"/>
          <w:color w:val="6698C2"/>
        </w:rPr>
        <w:t xml:space="preserve">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-4445</wp:posOffset>
            </wp:positionV>
            <wp:extent cx="4128770" cy="431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28770" cy="431546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color w:val="auto"/>
        </w:rPr>
        <w:t>July 19,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1199"/>
        <w:spacing w:after="0"/>
        <w:rPr>
          <w:sz w:val="20"/>
          <w:szCs w:val="20"/>
          <w:color w:val="auto"/>
        </w:rPr>
      </w:pPr>
      <w:r>
        <w:rPr>
          <w:rFonts w:ascii="Arial" w:cs="Arial" w:eastAsia="Arial" w:hAnsi="Arial"/>
          <w:sz w:val="94"/>
          <w:szCs w:val="94"/>
          <w:color w:val="auto"/>
        </w:rPr>
        <w:t>Appendix</w:t>
      </w:r>
    </w:p>
    <w:p>
      <w:pPr>
        <w:sectPr>
          <w:pgSz w:w="11900" w:h="16838" w:orient="portrait"/>
          <w:cols w:equalWidth="0" w:num="1">
            <w:col w:w="10099"/>
          </w:cols>
          <w:pgMar w:left="360" w:top="333"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7EA190"/>
        </w:rPr>
        <w:t>France and EMEA Restatement - 2006</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1840" w:type="dxa"/>
            <w:vAlign w:val="bottom"/>
            <w:vMerge w:val="restart"/>
          </w:tcPr>
          <w:p>
            <w:pPr>
              <w:spacing w:after="0"/>
              <w:rPr>
                <w:sz w:val="20"/>
                <w:szCs w:val="20"/>
                <w:color w:val="auto"/>
              </w:rPr>
            </w:pPr>
            <w:r>
              <w:rPr>
                <w:rFonts w:ascii="Arial" w:cs="Arial" w:eastAsia="Arial" w:hAnsi="Arial"/>
                <w:sz w:val="28"/>
                <w:szCs w:val="28"/>
                <w:color w:val="7EA190"/>
              </w:rPr>
              <w:t>($ in millions)</w:t>
            </w:r>
          </w:p>
        </w:tc>
        <w:tc>
          <w:tcPr>
            <w:tcW w:w="1020" w:type="dxa"/>
            <w:vAlign w:val="bottom"/>
          </w:tcPr>
          <w:p>
            <w:pPr>
              <w:spacing w:after="0"/>
              <w:rPr>
                <w:sz w:val="24"/>
                <w:szCs w:val="24"/>
                <w:color w:val="auto"/>
              </w:rPr>
            </w:pPr>
          </w:p>
        </w:tc>
        <w:tc>
          <w:tcPr>
            <w:tcW w:w="1740" w:type="dxa"/>
            <w:vAlign w:val="bottom"/>
            <w:gridSpan w:val="2"/>
          </w:tcPr>
          <w:p>
            <w:pPr>
              <w:jc w:val="right"/>
              <w:ind w:right="34"/>
              <w:spacing w:after="0"/>
              <w:rPr>
                <w:sz w:val="20"/>
                <w:szCs w:val="20"/>
                <w:color w:val="auto"/>
              </w:rPr>
            </w:pPr>
            <w:r>
              <w:rPr>
                <w:rFonts w:ascii="Arial" w:cs="Arial" w:eastAsia="Arial" w:hAnsi="Arial"/>
                <w:sz w:val="22"/>
                <w:szCs w:val="22"/>
                <w:b w:val="1"/>
                <w:bCs w:val="1"/>
                <w:color w:val="7EA190"/>
              </w:rPr>
              <w:t>Q1 Restated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840" w:type="dxa"/>
            <w:vAlign w:val="bottom"/>
            <w:vMerge w:val="continue"/>
          </w:tcPr>
          <w:p>
            <w:pPr>
              <w:spacing w:after="0"/>
              <w:rPr>
                <w:sz w:val="24"/>
                <w:szCs w:val="24"/>
                <w:color w:val="auto"/>
              </w:rPr>
            </w:pPr>
          </w:p>
        </w:tc>
        <w:tc>
          <w:tcPr>
            <w:tcW w:w="1020" w:type="dxa"/>
            <w:vAlign w:val="bottom"/>
          </w:tcPr>
          <w:p>
            <w:pPr>
              <w:jc w:val="right"/>
              <w:ind w:right="154"/>
              <w:spacing w:after="0"/>
              <w:rPr>
                <w:sz w:val="20"/>
                <w:szCs w:val="20"/>
                <w:color w:val="auto"/>
              </w:rPr>
            </w:pPr>
            <w:r>
              <w:rPr>
                <w:rFonts w:ascii="Arial" w:cs="Arial" w:eastAsia="Arial" w:hAnsi="Arial"/>
                <w:sz w:val="22"/>
                <w:szCs w:val="22"/>
                <w:b w:val="1"/>
                <w:bCs w:val="1"/>
                <w:color w:val="7EA190"/>
              </w:rPr>
              <w:t>2006</w:t>
            </w:r>
          </w:p>
        </w:tc>
        <w:tc>
          <w:tcPr>
            <w:tcW w:w="980" w:type="dxa"/>
            <w:vAlign w:val="bottom"/>
          </w:tcPr>
          <w:p>
            <w:pPr>
              <w:jc w:val="right"/>
              <w:ind w:right="117"/>
              <w:spacing w:after="0"/>
              <w:rPr>
                <w:sz w:val="20"/>
                <w:szCs w:val="20"/>
                <w:color w:val="auto"/>
              </w:rPr>
            </w:pPr>
            <w:r>
              <w:rPr>
                <w:rFonts w:ascii="Arial" w:cs="Arial" w:eastAsia="Arial" w:hAnsi="Arial"/>
                <w:sz w:val="22"/>
                <w:szCs w:val="22"/>
                <w:b w:val="1"/>
                <w:bCs w:val="1"/>
                <w:color w:val="7EA190"/>
              </w:rPr>
              <w:t>2005</w:t>
            </w:r>
          </w:p>
        </w:tc>
        <w:tc>
          <w:tcPr>
            <w:tcW w:w="760" w:type="dxa"/>
            <w:vAlign w:val="bottom"/>
          </w:tcPr>
          <w:p>
            <w:pPr>
              <w:jc w:val="right"/>
              <w:ind w:right="94"/>
              <w:spacing w:after="0"/>
              <w:rPr>
                <w:sz w:val="20"/>
                <w:szCs w:val="20"/>
                <w:color w:val="auto"/>
              </w:rPr>
            </w:pPr>
            <w:r>
              <w:rPr>
                <w:rFonts w:ascii="Arial" w:cs="Arial" w:eastAsia="Arial" w:hAnsi="Arial"/>
                <w:sz w:val="22"/>
                <w:szCs w:val="22"/>
                <w:b w:val="1"/>
                <w:bCs w:val="1"/>
                <w:color w:val="7EA190"/>
              </w:rPr>
              <w:t>Var</w:t>
            </w:r>
          </w:p>
        </w:tc>
        <w:tc>
          <w:tcPr>
            <w:tcW w:w="800" w:type="dxa"/>
            <w:vAlign w:val="bottom"/>
          </w:tcPr>
          <w:p>
            <w:pPr>
              <w:jc w:val="right"/>
              <w:spacing w:after="0"/>
              <w:rPr>
                <w:sz w:val="20"/>
                <w:szCs w:val="20"/>
                <w:color w:val="auto"/>
              </w:rPr>
            </w:pPr>
            <w:r>
              <w:rPr>
                <w:rFonts w:ascii="Arial" w:cs="Arial" w:eastAsia="Arial" w:hAnsi="Arial"/>
                <w:sz w:val="22"/>
                <w:szCs w:val="22"/>
                <w:b w:val="1"/>
                <w:bCs w:val="1"/>
                <w:color w:val="7EA190"/>
              </w:rPr>
              <w:t>CC Var</w:t>
            </w:r>
          </w:p>
        </w:tc>
        <w:tc>
          <w:tcPr>
            <w:tcW w:w="0" w:type="dxa"/>
            <w:vAlign w:val="bottom"/>
          </w:tcPr>
          <w:p>
            <w:pPr>
              <w:spacing w:after="0"/>
              <w:rPr>
                <w:sz w:val="1"/>
                <w:szCs w:val="1"/>
                <w:color w:val="auto"/>
              </w:rPr>
            </w:pPr>
          </w:p>
        </w:tc>
      </w:tr>
      <w:tr>
        <w:trPr>
          <w:trHeight w:val="435"/>
        </w:trPr>
        <w:tc>
          <w:tcPr>
            <w:tcW w:w="1840" w:type="dxa"/>
            <w:vAlign w:val="bottom"/>
          </w:tcPr>
          <w:p>
            <w:pPr>
              <w:ind w:left="40"/>
              <w:spacing w:after="0"/>
              <w:rPr>
                <w:sz w:val="20"/>
                <w:szCs w:val="20"/>
                <w:color w:val="auto"/>
              </w:rPr>
            </w:pPr>
            <w:r>
              <w:rPr>
                <w:rFonts w:ascii="Arial" w:cs="Arial" w:eastAsia="Arial" w:hAnsi="Arial"/>
                <w:sz w:val="26"/>
                <w:szCs w:val="26"/>
                <w:b w:val="1"/>
                <w:bCs w:val="1"/>
                <w:color w:val="auto"/>
              </w:rPr>
              <w:t>Revenue:</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20" w:type="dxa"/>
            <w:vAlign w:val="bottom"/>
          </w:tcPr>
          <w:p>
            <w:pPr>
              <w:jc w:val="right"/>
              <w:ind w:right="54"/>
              <w:spacing w:after="0"/>
              <w:rPr>
                <w:sz w:val="20"/>
                <w:szCs w:val="20"/>
                <w:color w:val="auto"/>
              </w:rPr>
            </w:pPr>
            <w:r>
              <w:rPr>
                <w:rFonts w:ascii="Arial" w:cs="Arial" w:eastAsia="Arial" w:hAnsi="Arial"/>
                <w:sz w:val="26"/>
                <w:szCs w:val="26"/>
                <w:color w:val="auto"/>
              </w:rPr>
              <w:t>1,241</w:t>
            </w:r>
          </w:p>
        </w:tc>
        <w:tc>
          <w:tcPr>
            <w:tcW w:w="980" w:type="dxa"/>
            <w:vAlign w:val="bottom"/>
          </w:tcPr>
          <w:p>
            <w:pPr>
              <w:jc w:val="right"/>
              <w:ind w:right="37"/>
              <w:spacing w:after="0"/>
              <w:rPr>
                <w:sz w:val="20"/>
                <w:szCs w:val="20"/>
                <w:color w:val="auto"/>
              </w:rPr>
            </w:pPr>
            <w:r>
              <w:rPr>
                <w:rFonts w:ascii="Arial" w:cs="Arial" w:eastAsia="Arial" w:hAnsi="Arial"/>
                <w:sz w:val="26"/>
                <w:szCs w:val="26"/>
                <w:color w:val="auto"/>
              </w:rPr>
              <w:t>1,238</w:t>
            </w:r>
          </w:p>
        </w:tc>
        <w:tc>
          <w:tcPr>
            <w:tcW w:w="760" w:type="dxa"/>
            <w:vAlign w:val="bottom"/>
          </w:tcPr>
          <w:p>
            <w:pPr>
              <w:jc w:val="right"/>
              <w:spacing w:after="0"/>
              <w:rPr>
                <w:sz w:val="20"/>
                <w:szCs w:val="20"/>
                <w:color w:val="auto"/>
              </w:rPr>
            </w:pPr>
            <w:r>
              <w:rPr>
                <w:rFonts w:ascii="Arial" w:cs="Arial" w:eastAsia="Arial" w:hAnsi="Arial"/>
                <w:sz w:val="26"/>
                <w:szCs w:val="26"/>
                <w:color w:val="auto"/>
              </w:rPr>
              <w:t>0%</w:t>
            </w:r>
          </w:p>
        </w:tc>
        <w:tc>
          <w:tcPr>
            <w:tcW w:w="800" w:type="dxa"/>
            <w:vAlign w:val="bottom"/>
          </w:tcPr>
          <w:p>
            <w:pPr>
              <w:jc w:val="right"/>
              <w:ind w:right="34"/>
              <w:spacing w:after="0"/>
              <w:rPr>
                <w:sz w:val="20"/>
                <w:szCs w:val="20"/>
                <w:color w:val="auto"/>
              </w:rPr>
            </w:pPr>
            <w:r>
              <w:rPr>
                <w:rFonts w:ascii="Arial" w:cs="Arial" w:eastAsia="Arial" w:hAnsi="Arial"/>
                <w:sz w:val="26"/>
                <w:szCs w:val="26"/>
                <w:color w:val="auto"/>
              </w:rPr>
              <w:t>9%</w:t>
            </w: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20" w:type="dxa"/>
            <w:vAlign w:val="bottom"/>
          </w:tcPr>
          <w:p>
            <w:pPr>
              <w:jc w:val="right"/>
              <w:ind w:right="54"/>
              <w:spacing w:after="0"/>
              <w:rPr>
                <w:sz w:val="20"/>
                <w:szCs w:val="20"/>
                <w:color w:val="auto"/>
              </w:rPr>
            </w:pPr>
            <w:r>
              <w:rPr>
                <w:rFonts w:ascii="Arial" w:cs="Arial" w:eastAsia="Arial" w:hAnsi="Arial"/>
                <w:sz w:val="26"/>
                <w:szCs w:val="26"/>
                <w:color w:val="auto"/>
              </w:rPr>
              <w:t>1,433</w:t>
            </w:r>
          </w:p>
        </w:tc>
        <w:tc>
          <w:tcPr>
            <w:tcW w:w="980" w:type="dxa"/>
            <w:vAlign w:val="bottom"/>
          </w:tcPr>
          <w:p>
            <w:pPr>
              <w:jc w:val="right"/>
              <w:ind w:right="37"/>
              <w:spacing w:after="0"/>
              <w:rPr>
                <w:sz w:val="20"/>
                <w:szCs w:val="20"/>
                <w:color w:val="auto"/>
              </w:rPr>
            </w:pPr>
            <w:r>
              <w:rPr>
                <w:rFonts w:ascii="Arial" w:cs="Arial" w:eastAsia="Arial" w:hAnsi="Arial"/>
                <w:sz w:val="26"/>
                <w:szCs w:val="26"/>
                <w:color w:val="auto"/>
              </w:rPr>
              <w:t>1,343</w:t>
            </w:r>
          </w:p>
        </w:tc>
        <w:tc>
          <w:tcPr>
            <w:tcW w:w="760" w:type="dxa"/>
            <w:vAlign w:val="bottom"/>
          </w:tcPr>
          <w:p>
            <w:pPr>
              <w:jc w:val="right"/>
              <w:spacing w:after="0"/>
              <w:rPr>
                <w:sz w:val="20"/>
                <w:szCs w:val="20"/>
                <w:color w:val="auto"/>
              </w:rPr>
            </w:pPr>
            <w:r>
              <w:rPr>
                <w:rFonts w:ascii="Arial" w:cs="Arial" w:eastAsia="Arial" w:hAnsi="Arial"/>
                <w:sz w:val="26"/>
                <w:szCs w:val="26"/>
                <w:color w:val="auto"/>
              </w:rPr>
              <w:t>7%</w:t>
            </w:r>
          </w:p>
        </w:tc>
        <w:tc>
          <w:tcPr>
            <w:tcW w:w="800" w:type="dxa"/>
            <w:vAlign w:val="bottom"/>
          </w:tcPr>
          <w:p>
            <w:pPr>
              <w:jc w:val="right"/>
              <w:ind w:right="34"/>
              <w:spacing w:after="0"/>
              <w:rPr>
                <w:sz w:val="20"/>
                <w:szCs w:val="20"/>
                <w:color w:val="auto"/>
              </w:rPr>
            </w:pPr>
            <w:r>
              <w:rPr>
                <w:rFonts w:ascii="Arial" w:cs="Arial" w:eastAsia="Arial" w:hAnsi="Arial"/>
                <w:sz w:val="26"/>
                <w:szCs w:val="26"/>
                <w:color w:val="auto"/>
              </w:rPr>
              <w:t>16%</w:t>
            </w:r>
          </w:p>
        </w:tc>
        <w:tc>
          <w:tcPr>
            <w:tcW w:w="0" w:type="dxa"/>
            <w:vAlign w:val="bottom"/>
          </w:tcPr>
          <w:p>
            <w:pPr>
              <w:spacing w:after="0"/>
              <w:rPr>
                <w:sz w:val="1"/>
                <w:szCs w:val="1"/>
                <w:color w:val="auto"/>
              </w:rPr>
            </w:pPr>
          </w:p>
        </w:tc>
      </w:tr>
      <w:tr>
        <w:trPr>
          <w:trHeight w:val="494"/>
        </w:trPr>
        <w:tc>
          <w:tcPr>
            <w:tcW w:w="1840" w:type="dxa"/>
            <w:vAlign w:val="bottom"/>
          </w:tcPr>
          <w:p>
            <w:pPr>
              <w:ind w:left="40"/>
              <w:spacing w:after="0"/>
              <w:rPr>
                <w:sz w:val="20"/>
                <w:szCs w:val="20"/>
                <w:color w:val="auto"/>
              </w:rPr>
            </w:pPr>
            <w:r>
              <w:rPr>
                <w:rFonts w:ascii="Arial" w:cs="Arial" w:eastAsia="Arial" w:hAnsi="Arial"/>
                <w:sz w:val="26"/>
                <w:szCs w:val="26"/>
                <w:b w:val="1"/>
                <w:bCs w:val="1"/>
                <w:color w:val="auto"/>
              </w:rPr>
              <w:t>OUP:</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20" w:type="dxa"/>
            <w:vAlign w:val="bottom"/>
          </w:tcPr>
          <w:p>
            <w:pPr>
              <w:jc w:val="right"/>
              <w:ind w:right="54"/>
              <w:spacing w:after="0"/>
              <w:rPr>
                <w:sz w:val="20"/>
                <w:szCs w:val="20"/>
                <w:color w:val="auto"/>
              </w:rPr>
            </w:pPr>
            <w:r>
              <w:rPr>
                <w:rFonts w:ascii="Arial" w:cs="Arial" w:eastAsia="Arial" w:hAnsi="Arial"/>
                <w:sz w:val="26"/>
                <w:szCs w:val="26"/>
                <w:color w:val="auto"/>
              </w:rPr>
              <w:t>30</w:t>
            </w:r>
          </w:p>
        </w:tc>
        <w:tc>
          <w:tcPr>
            <w:tcW w:w="980" w:type="dxa"/>
            <w:vAlign w:val="bottom"/>
          </w:tcPr>
          <w:p>
            <w:pPr>
              <w:jc w:val="right"/>
              <w:ind w:right="17"/>
              <w:spacing w:after="0"/>
              <w:rPr>
                <w:sz w:val="20"/>
                <w:szCs w:val="20"/>
                <w:color w:val="auto"/>
              </w:rPr>
            </w:pPr>
            <w:r>
              <w:rPr>
                <w:rFonts w:ascii="Arial" w:cs="Arial" w:eastAsia="Arial" w:hAnsi="Arial"/>
                <w:sz w:val="26"/>
                <w:szCs w:val="26"/>
                <w:color w:val="auto"/>
              </w:rPr>
              <w:t>28</w:t>
            </w:r>
          </w:p>
        </w:tc>
        <w:tc>
          <w:tcPr>
            <w:tcW w:w="760" w:type="dxa"/>
            <w:vAlign w:val="bottom"/>
          </w:tcPr>
          <w:p>
            <w:pPr>
              <w:jc w:val="right"/>
              <w:spacing w:after="0"/>
              <w:rPr>
                <w:sz w:val="20"/>
                <w:szCs w:val="20"/>
                <w:color w:val="auto"/>
              </w:rPr>
            </w:pPr>
            <w:r>
              <w:rPr>
                <w:rFonts w:ascii="Arial" w:cs="Arial" w:eastAsia="Arial" w:hAnsi="Arial"/>
                <w:sz w:val="26"/>
                <w:szCs w:val="26"/>
                <w:color w:val="auto"/>
              </w:rPr>
              <w:t>7%</w:t>
            </w:r>
          </w:p>
        </w:tc>
        <w:tc>
          <w:tcPr>
            <w:tcW w:w="800" w:type="dxa"/>
            <w:vAlign w:val="bottom"/>
          </w:tcPr>
          <w:p>
            <w:pPr>
              <w:jc w:val="right"/>
              <w:ind w:right="34"/>
              <w:spacing w:after="0"/>
              <w:rPr>
                <w:sz w:val="20"/>
                <w:szCs w:val="20"/>
                <w:color w:val="auto"/>
              </w:rPr>
            </w:pPr>
            <w:r>
              <w:rPr>
                <w:rFonts w:ascii="Arial" w:cs="Arial" w:eastAsia="Arial" w:hAnsi="Arial"/>
                <w:sz w:val="26"/>
                <w:szCs w:val="26"/>
                <w:color w:val="auto"/>
              </w:rPr>
              <w:t>17%</w:t>
            </w:r>
          </w:p>
        </w:tc>
        <w:tc>
          <w:tcPr>
            <w:tcW w:w="0" w:type="dxa"/>
            <w:vAlign w:val="bottom"/>
          </w:tcPr>
          <w:p>
            <w:pPr>
              <w:spacing w:after="0"/>
              <w:rPr>
                <w:sz w:val="1"/>
                <w:szCs w:val="1"/>
                <w:color w:val="auto"/>
              </w:rPr>
            </w:pPr>
          </w:p>
        </w:tc>
      </w:tr>
      <w:tr>
        <w:trPr>
          <w:trHeight w:val="317"/>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20" w:type="dxa"/>
            <w:vAlign w:val="bottom"/>
          </w:tcPr>
          <w:p>
            <w:pPr>
              <w:jc w:val="right"/>
              <w:ind w:right="54"/>
              <w:spacing w:after="0"/>
              <w:rPr>
                <w:sz w:val="20"/>
                <w:szCs w:val="20"/>
                <w:color w:val="auto"/>
              </w:rPr>
            </w:pPr>
            <w:r>
              <w:rPr>
                <w:rFonts w:ascii="Arial" w:cs="Arial" w:eastAsia="Arial" w:hAnsi="Arial"/>
                <w:sz w:val="26"/>
                <w:szCs w:val="26"/>
                <w:color w:val="auto"/>
              </w:rPr>
              <w:t>22</w:t>
            </w:r>
          </w:p>
        </w:tc>
        <w:tc>
          <w:tcPr>
            <w:tcW w:w="980" w:type="dxa"/>
            <w:vAlign w:val="bottom"/>
          </w:tcPr>
          <w:p>
            <w:pPr>
              <w:jc w:val="right"/>
              <w:ind w:right="17"/>
              <w:spacing w:after="0"/>
              <w:rPr>
                <w:sz w:val="20"/>
                <w:szCs w:val="20"/>
                <w:color w:val="auto"/>
              </w:rPr>
            </w:pPr>
            <w:r>
              <w:rPr>
                <w:rFonts w:ascii="Arial" w:cs="Arial" w:eastAsia="Arial" w:hAnsi="Arial"/>
                <w:sz w:val="26"/>
                <w:szCs w:val="26"/>
                <w:color w:val="auto"/>
              </w:rPr>
              <w:t>14</w:t>
            </w:r>
          </w:p>
        </w:tc>
        <w:tc>
          <w:tcPr>
            <w:tcW w:w="760" w:type="dxa"/>
            <w:vAlign w:val="bottom"/>
          </w:tcPr>
          <w:p>
            <w:pPr>
              <w:jc w:val="right"/>
              <w:spacing w:after="0"/>
              <w:rPr>
                <w:sz w:val="20"/>
                <w:szCs w:val="20"/>
                <w:color w:val="auto"/>
              </w:rPr>
            </w:pPr>
            <w:r>
              <w:rPr>
                <w:rFonts w:ascii="Arial" w:cs="Arial" w:eastAsia="Arial" w:hAnsi="Arial"/>
                <w:sz w:val="26"/>
                <w:szCs w:val="26"/>
                <w:color w:val="auto"/>
              </w:rPr>
              <w:t>59%</w:t>
            </w:r>
          </w:p>
        </w:tc>
        <w:tc>
          <w:tcPr>
            <w:tcW w:w="800" w:type="dxa"/>
            <w:vAlign w:val="bottom"/>
          </w:tcPr>
          <w:p>
            <w:pPr>
              <w:jc w:val="right"/>
              <w:ind w:right="34"/>
              <w:spacing w:after="0"/>
              <w:rPr>
                <w:sz w:val="20"/>
                <w:szCs w:val="20"/>
                <w:color w:val="auto"/>
              </w:rPr>
            </w:pPr>
            <w:r>
              <w:rPr>
                <w:rFonts w:ascii="Arial" w:cs="Arial" w:eastAsia="Arial" w:hAnsi="Arial"/>
                <w:sz w:val="26"/>
                <w:szCs w:val="26"/>
                <w:color w:val="auto"/>
              </w:rPr>
              <w:t>74%</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20</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C8504F"/>
        </w:rPr>
        <w:t>France and EMEA Restatement - 2005</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1840" w:type="dxa"/>
            <w:vAlign w:val="bottom"/>
            <w:vMerge w:val="restart"/>
          </w:tcPr>
          <w:p>
            <w:pPr>
              <w:spacing w:after="0"/>
              <w:rPr>
                <w:sz w:val="20"/>
                <w:szCs w:val="20"/>
                <w:color w:val="auto"/>
              </w:rPr>
            </w:pPr>
            <w:r>
              <w:rPr>
                <w:rFonts w:ascii="Arial" w:cs="Arial" w:eastAsia="Arial" w:hAnsi="Arial"/>
                <w:sz w:val="28"/>
                <w:szCs w:val="28"/>
                <w:color w:val="C8504F"/>
              </w:rPr>
              <w:t>($ in millions)</w:t>
            </w:r>
          </w:p>
        </w:tc>
        <w:tc>
          <w:tcPr>
            <w:tcW w:w="1060" w:type="dxa"/>
            <w:vAlign w:val="bottom"/>
          </w:tcPr>
          <w:p>
            <w:pPr>
              <w:spacing w:after="0"/>
              <w:rPr>
                <w:sz w:val="24"/>
                <w:szCs w:val="24"/>
                <w:color w:val="auto"/>
              </w:rPr>
            </w:pPr>
          </w:p>
        </w:tc>
        <w:tc>
          <w:tcPr>
            <w:tcW w:w="1700" w:type="dxa"/>
            <w:vAlign w:val="bottom"/>
            <w:gridSpan w:val="2"/>
          </w:tcPr>
          <w:p>
            <w:pPr>
              <w:jc w:val="right"/>
              <w:ind w:right="34"/>
              <w:spacing w:after="0"/>
              <w:rPr>
                <w:sz w:val="20"/>
                <w:szCs w:val="20"/>
                <w:color w:val="auto"/>
              </w:rPr>
            </w:pPr>
            <w:r>
              <w:rPr>
                <w:rFonts w:ascii="Arial" w:cs="Arial" w:eastAsia="Arial" w:hAnsi="Arial"/>
                <w:sz w:val="22"/>
                <w:szCs w:val="22"/>
                <w:b w:val="1"/>
                <w:bCs w:val="1"/>
                <w:color w:val="C8504F"/>
              </w:rPr>
              <w:t>Q1 Restated</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gridSpan w:val="2"/>
          </w:tcPr>
          <w:p>
            <w:pPr>
              <w:jc w:val="right"/>
              <w:ind w:right="113"/>
              <w:spacing w:after="0"/>
              <w:rPr>
                <w:sz w:val="20"/>
                <w:szCs w:val="20"/>
                <w:color w:val="auto"/>
              </w:rPr>
            </w:pPr>
            <w:r>
              <w:rPr>
                <w:rFonts w:ascii="Arial" w:cs="Arial" w:eastAsia="Arial" w:hAnsi="Arial"/>
                <w:sz w:val="22"/>
                <w:szCs w:val="22"/>
                <w:b w:val="1"/>
                <w:bCs w:val="1"/>
                <w:color w:val="C8504F"/>
              </w:rPr>
              <w:t>Q2 Restated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840" w:type="dxa"/>
            <w:vAlign w:val="bottom"/>
            <w:vMerge w:val="continue"/>
          </w:tcPr>
          <w:p>
            <w:pPr>
              <w:spacing w:after="0"/>
              <w:rPr>
                <w:sz w:val="24"/>
                <w:szCs w:val="24"/>
                <w:color w:val="auto"/>
              </w:rPr>
            </w:pPr>
          </w:p>
        </w:tc>
        <w:tc>
          <w:tcPr>
            <w:tcW w:w="1060" w:type="dxa"/>
            <w:vAlign w:val="bottom"/>
          </w:tcPr>
          <w:p>
            <w:pPr>
              <w:jc w:val="right"/>
              <w:ind w:right="194"/>
              <w:spacing w:after="0"/>
              <w:rPr>
                <w:sz w:val="20"/>
                <w:szCs w:val="20"/>
                <w:color w:val="auto"/>
              </w:rPr>
            </w:pPr>
            <w:r>
              <w:rPr>
                <w:rFonts w:ascii="Arial" w:cs="Arial" w:eastAsia="Arial" w:hAnsi="Arial"/>
                <w:sz w:val="22"/>
                <w:szCs w:val="22"/>
                <w:b w:val="1"/>
                <w:bCs w:val="1"/>
                <w:color w:val="C8504F"/>
              </w:rPr>
              <w:t>2005</w:t>
            </w:r>
          </w:p>
        </w:tc>
        <w:tc>
          <w:tcPr>
            <w:tcW w:w="980" w:type="dxa"/>
            <w:vAlign w:val="bottom"/>
          </w:tcPr>
          <w:p>
            <w:pPr>
              <w:jc w:val="right"/>
              <w:ind w:right="157"/>
              <w:spacing w:after="0"/>
              <w:rPr>
                <w:sz w:val="20"/>
                <w:szCs w:val="20"/>
                <w:color w:val="auto"/>
              </w:rPr>
            </w:pPr>
            <w:r>
              <w:rPr>
                <w:rFonts w:ascii="Arial" w:cs="Arial" w:eastAsia="Arial" w:hAnsi="Arial"/>
                <w:sz w:val="22"/>
                <w:szCs w:val="22"/>
                <w:b w:val="1"/>
                <w:bCs w:val="1"/>
                <w:color w:val="C8504F"/>
              </w:rPr>
              <w:t>2004</w:t>
            </w:r>
          </w:p>
        </w:tc>
        <w:tc>
          <w:tcPr>
            <w:tcW w:w="720" w:type="dxa"/>
            <w:vAlign w:val="bottom"/>
          </w:tcPr>
          <w:p>
            <w:pPr>
              <w:jc w:val="right"/>
              <w:ind w:right="94"/>
              <w:spacing w:after="0"/>
              <w:rPr>
                <w:sz w:val="20"/>
                <w:szCs w:val="20"/>
                <w:color w:val="auto"/>
              </w:rPr>
            </w:pPr>
            <w:r>
              <w:rPr>
                <w:rFonts w:ascii="Arial" w:cs="Arial" w:eastAsia="Arial" w:hAnsi="Arial"/>
                <w:sz w:val="22"/>
                <w:szCs w:val="22"/>
                <w:b w:val="1"/>
                <w:bCs w:val="1"/>
                <w:color w:val="C8504F"/>
              </w:rPr>
              <w:t>Var</w:t>
            </w:r>
          </w:p>
        </w:tc>
        <w:tc>
          <w:tcPr>
            <w:tcW w:w="1060" w:type="dxa"/>
            <w:vAlign w:val="bottom"/>
          </w:tcPr>
          <w:p>
            <w:pPr>
              <w:jc w:val="right"/>
              <w:ind w:right="134"/>
              <w:spacing w:after="0"/>
              <w:rPr>
                <w:sz w:val="20"/>
                <w:szCs w:val="20"/>
                <w:color w:val="auto"/>
              </w:rPr>
            </w:pPr>
            <w:r>
              <w:rPr>
                <w:rFonts w:ascii="Arial" w:cs="Arial" w:eastAsia="Arial" w:hAnsi="Arial"/>
                <w:sz w:val="22"/>
                <w:szCs w:val="22"/>
                <w:b w:val="1"/>
                <w:bCs w:val="1"/>
                <w:color w:val="C8504F"/>
              </w:rPr>
              <w:t>CC Var</w:t>
            </w:r>
          </w:p>
        </w:tc>
        <w:tc>
          <w:tcPr>
            <w:tcW w:w="1060" w:type="dxa"/>
            <w:vAlign w:val="bottom"/>
          </w:tcPr>
          <w:p>
            <w:pPr>
              <w:jc w:val="right"/>
              <w:ind w:right="153"/>
              <w:spacing w:after="0"/>
              <w:rPr>
                <w:sz w:val="20"/>
                <w:szCs w:val="20"/>
                <w:color w:val="auto"/>
              </w:rPr>
            </w:pPr>
            <w:r>
              <w:rPr>
                <w:rFonts w:ascii="Arial" w:cs="Arial" w:eastAsia="Arial" w:hAnsi="Arial"/>
                <w:sz w:val="22"/>
                <w:szCs w:val="22"/>
                <w:b w:val="1"/>
                <w:bCs w:val="1"/>
                <w:color w:val="C8504F"/>
              </w:rPr>
              <w:t>2005</w:t>
            </w:r>
          </w:p>
        </w:tc>
        <w:tc>
          <w:tcPr>
            <w:tcW w:w="1060" w:type="dxa"/>
            <w:vAlign w:val="bottom"/>
          </w:tcPr>
          <w:p>
            <w:pPr>
              <w:jc w:val="right"/>
              <w:ind w:right="135"/>
              <w:spacing w:after="0"/>
              <w:rPr>
                <w:sz w:val="20"/>
                <w:szCs w:val="20"/>
                <w:color w:val="auto"/>
              </w:rPr>
            </w:pPr>
            <w:r>
              <w:rPr>
                <w:rFonts w:ascii="Arial" w:cs="Arial" w:eastAsia="Arial" w:hAnsi="Arial"/>
                <w:sz w:val="22"/>
                <w:szCs w:val="22"/>
                <w:b w:val="1"/>
                <w:bCs w:val="1"/>
                <w:color w:val="C8504F"/>
              </w:rPr>
              <w:t>2004</w:t>
            </w:r>
          </w:p>
        </w:tc>
        <w:tc>
          <w:tcPr>
            <w:tcW w:w="700" w:type="dxa"/>
            <w:vAlign w:val="bottom"/>
          </w:tcPr>
          <w:p>
            <w:pPr>
              <w:jc w:val="right"/>
              <w:ind w:right="53"/>
              <w:spacing w:after="0"/>
              <w:rPr>
                <w:sz w:val="20"/>
                <w:szCs w:val="20"/>
                <w:color w:val="auto"/>
              </w:rPr>
            </w:pPr>
            <w:r>
              <w:rPr>
                <w:rFonts w:ascii="Arial" w:cs="Arial" w:eastAsia="Arial" w:hAnsi="Arial"/>
                <w:sz w:val="22"/>
                <w:szCs w:val="22"/>
                <w:b w:val="1"/>
                <w:bCs w:val="1"/>
                <w:color w:val="C8504F"/>
              </w:rPr>
              <w:t>Var</w:t>
            </w:r>
          </w:p>
        </w:tc>
        <w:tc>
          <w:tcPr>
            <w:tcW w:w="780" w:type="dxa"/>
            <w:vAlign w:val="bottom"/>
          </w:tcPr>
          <w:p>
            <w:pPr>
              <w:jc w:val="right"/>
              <w:spacing w:after="0"/>
              <w:rPr>
                <w:sz w:val="20"/>
                <w:szCs w:val="20"/>
                <w:color w:val="auto"/>
              </w:rPr>
            </w:pPr>
            <w:r>
              <w:rPr>
                <w:rFonts w:ascii="Arial" w:cs="Arial" w:eastAsia="Arial" w:hAnsi="Arial"/>
                <w:sz w:val="22"/>
                <w:szCs w:val="22"/>
                <w:b w:val="1"/>
                <w:bCs w:val="1"/>
                <w:color w:val="C8504F"/>
              </w:rPr>
              <w:t>CC Var</w:t>
            </w:r>
          </w:p>
        </w:tc>
        <w:tc>
          <w:tcPr>
            <w:tcW w:w="0" w:type="dxa"/>
            <w:vAlign w:val="bottom"/>
          </w:tcPr>
          <w:p>
            <w:pPr>
              <w:spacing w:after="0"/>
              <w:rPr>
                <w:sz w:val="1"/>
                <w:szCs w:val="1"/>
                <w:color w:val="auto"/>
              </w:rPr>
            </w:pPr>
          </w:p>
        </w:tc>
      </w:tr>
      <w:tr>
        <w:trPr>
          <w:trHeight w:val="459"/>
        </w:trPr>
        <w:tc>
          <w:tcPr>
            <w:tcW w:w="1840" w:type="dxa"/>
            <w:vAlign w:val="bottom"/>
          </w:tcPr>
          <w:p>
            <w:pPr>
              <w:ind w:left="40"/>
              <w:spacing w:after="0"/>
              <w:rPr>
                <w:sz w:val="20"/>
                <w:szCs w:val="20"/>
                <w:color w:val="auto"/>
              </w:rPr>
            </w:pPr>
            <w:r>
              <w:rPr>
                <w:rFonts w:ascii="Arial" w:cs="Arial" w:eastAsia="Arial" w:hAnsi="Arial"/>
                <w:sz w:val="26"/>
                <w:szCs w:val="26"/>
                <w:b w:val="1"/>
                <w:bCs w:val="1"/>
                <w:color w:val="auto"/>
              </w:rPr>
              <w:t>Revenue:</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60" w:type="dxa"/>
            <w:vAlign w:val="bottom"/>
          </w:tcPr>
          <w:p>
            <w:pPr>
              <w:jc w:val="right"/>
              <w:ind w:right="94"/>
              <w:spacing w:after="0"/>
              <w:rPr>
                <w:sz w:val="20"/>
                <w:szCs w:val="20"/>
                <w:color w:val="auto"/>
              </w:rPr>
            </w:pPr>
            <w:r>
              <w:rPr>
                <w:rFonts w:ascii="Arial" w:cs="Arial" w:eastAsia="Arial" w:hAnsi="Arial"/>
                <w:sz w:val="26"/>
                <w:szCs w:val="26"/>
                <w:color w:val="auto"/>
              </w:rPr>
              <w:t>1,238</w:t>
            </w:r>
          </w:p>
        </w:tc>
        <w:tc>
          <w:tcPr>
            <w:tcW w:w="980" w:type="dxa"/>
            <w:vAlign w:val="bottom"/>
          </w:tcPr>
          <w:p>
            <w:pPr>
              <w:jc w:val="right"/>
              <w:spacing w:after="0"/>
              <w:rPr>
                <w:sz w:val="20"/>
                <w:szCs w:val="20"/>
                <w:color w:val="auto"/>
              </w:rPr>
            </w:pPr>
            <w:r>
              <w:rPr>
                <w:rFonts w:ascii="Arial" w:cs="Arial" w:eastAsia="Arial" w:hAnsi="Arial"/>
                <w:sz w:val="26"/>
                <w:szCs w:val="26"/>
                <w:color w:val="auto"/>
              </w:rPr>
              <w:t>1,131</w:t>
            </w:r>
          </w:p>
        </w:tc>
        <w:tc>
          <w:tcPr>
            <w:tcW w:w="720" w:type="dxa"/>
            <w:vAlign w:val="bottom"/>
          </w:tcPr>
          <w:p>
            <w:pPr>
              <w:jc w:val="right"/>
              <w:spacing w:after="0"/>
              <w:rPr>
                <w:sz w:val="20"/>
                <w:szCs w:val="20"/>
                <w:color w:val="auto"/>
              </w:rPr>
            </w:pPr>
            <w:r>
              <w:rPr>
                <w:rFonts w:ascii="Arial" w:cs="Arial" w:eastAsia="Arial" w:hAnsi="Arial"/>
                <w:sz w:val="26"/>
                <w:szCs w:val="26"/>
                <w:color w:val="auto"/>
              </w:rPr>
              <w:t>9%</w:t>
            </w:r>
          </w:p>
        </w:tc>
        <w:tc>
          <w:tcPr>
            <w:tcW w:w="1060" w:type="dxa"/>
            <w:vAlign w:val="bottom"/>
          </w:tcPr>
          <w:p>
            <w:pPr>
              <w:jc w:val="right"/>
              <w:ind w:right="234"/>
              <w:spacing w:after="0"/>
              <w:rPr>
                <w:sz w:val="20"/>
                <w:szCs w:val="20"/>
                <w:color w:val="auto"/>
              </w:rPr>
            </w:pPr>
            <w:r>
              <w:rPr>
                <w:rFonts w:ascii="Arial" w:cs="Arial" w:eastAsia="Arial" w:hAnsi="Arial"/>
                <w:sz w:val="26"/>
                <w:szCs w:val="26"/>
                <w:color w:val="auto"/>
              </w:rPr>
              <w:t>4%</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1,397</w:t>
            </w:r>
          </w:p>
        </w:tc>
        <w:tc>
          <w:tcPr>
            <w:tcW w:w="1060" w:type="dxa"/>
            <w:vAlign w:val="bottom"/>
          </w:tcPr>
          <w:p>
            <w:pPr>
              <w:jc w:val="right"/>
              <w:spacing w:after="0"/>
              <w:rPr>
                <w:sz w:val="20"/>
                <w:szCs w:val="20"/>
                <w:color w:val="auto"/>
              </w:rPr>
            </w:pPr>
            <w:r>
              <w:rPr>
                <w:rFonts w:ascii="Arial" w:cs="Arial" w:eastAsia="Arial" w:hAnsi="Arial"/>
                <w:sz w:val="26"/>
                <w:szCs w:val="26"/>
                <w:color w:val="auto"/>
              </w:rPr>
              <w:t>1,273</w:t>
            </w:r>
          </w:p>
        </w:tc>
        <w:tc>
          <w:tcPr>
            <w:tcW w:w="700" w:type="dxa"/>
            <w:vAlign w:val="bottom"/>
          </w:tcPr>
          <w:p>
            <w:pPr>
              <w:jc w:val="right"/>
              <w:spacing w:after="0"/>
              <w:rPr>
                <w:sz w:val="20"/>
                <w:szCs w:val="20"/>
                <w:color w:val="auto"/>
              </w:rPr>
            </w:pPr>
            <w:r>
              <w:rPr>
                <w:rFonts w:ascii="Arial" w:cs="Arial" w:eastAsia="Arial" w:hAnsi="Arial"/>
                <w:sz w:val="26"/>
                <w:szCs w:val="26"/>
                <w:color w:val="auto"/>
              </w:rPr>
              <w:t>10%</w:t>
            </w:r>
          </w:p>
        </w:tc>
        <w:tc>
          <w:tcPr>
            <w:tcW w:w="780" w:type="dxa"/>
            <w:vAlign w:val="bottom"/>
          </w:tcPr>
          <w:p>
            <w:pPr>
              <w:jc w:val="right"/>
              <w:spacing w:after="0"/>
              <w:rPr>
                <w:sz w:val="20"/>
                <w:szCs w:val="20"/>
                <w:color w:val="auto"/>
              </w:rPr>
            </w:pPr>
            <w:r>
              <w:rPr>
                <w:rFonts w:ascii="Arial" w:cs="Arial" w:eastAsia="Arial" w:hAnsi="Arial"/>
                <w:sz w:val="26"/>
                <w:szCs w:val="26"/>
                <w:color w:val="auto"/>
              </w:rPr>
              <w:t>5%</w:t>
            </w:r>
          </w:p>
        </w:tc>
        <w:tc>
          <w:tcPr>
            <w:tcW w:w="0" w:type="dxa"/>
            <w:vAlign w:val="bottom"/>
          </w:tcPr>
          <w:p>
            <w:pPr>
              <w:spacing w:after="0"/>
              <w:rPr>
                <w:sz w:val="1"/>
                <w:szCs w:val="1"/>
                <w:color w:val="auto"/>
              </w:rPr>
            </w:pPr>
          </w:p>
        </w:tc>
      </w:tr>
      <w:tr>
        <w:trPr>
          <w:trHeight w:val="317"/>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60" w:type="dxa"/>
            <w:vAlign w:val="bottom"/>
          </w:tcPr>
          <w:p>
            <w:pPr>
              <w:jc w:val="right"/>
              <w:ind w:right="94"/>
              <w:spacing w:after="0"/>
              <w:rPr>
                <w:sz w:val="20"/>
                <w:szCs w:val="20"/>
                <w:color w:val="auto"/>
              </w:rPr>
            </w:pPr>
            <w:r>
              <w:rPr>
                <w:rFonts w:ascii="Arial" w:cs="Arial" w:eastAsia="Arial" w:hAnsi="Arial"/>
                <w:sz w:val="26"/>
                <w:szCs w:val="26"/>
                <w:color w:val="auto"/>
              </w:rPr>
              <w:t>1,343</w:t>
            </w:r>
          </w:p>
        </w:tc>
        <w:tc>
          <w:tcPr>
            <w:tcW w:w="980" w:type="dxa"/>
            <w:vAlign w:val="bottom"/>
          </w:tcPr>
          <w:p>
            <w:pPr>
              <w:jc w:val="right"/>
              <w:spacing w:after="0"/>
              <w:rPr>
                <w:sz w:val="20"/>
                <w:szCs w:val="20"/>
                <w:color w:val="auto"/>
              </w:rPr>
            </w:pPr>
            <w:r>
              <w:rPr>
                <w:rFonts w:ascii="Arial" w:cs="Arial" w:eastAsia="Arial" w:hAnsi="Arial"/>
                <w:sz w:val="26"/>
                <w:szCs w:val="26"/>
                <w:color w:val="auto"/>
              </w:rPr>
              <w:t>1,146</w:t>
            </w:r>
          </w:p>
        </w:tc>
        <w:tc>
          <w:tcPr>
            <w:tcW w:w="720" w:type="dxa"/>
            <w:vAlign w:val="bottom"/>
          </w:tcPr>
          <w:p>
            <w:pPr>
              <w:jc w:val="right"/>
              <w:spacing w:after="0"/>
              <w:rPr>
                <w:sz w:val="20"/>
                <w:szCs w:val="20"/>
                <w:color w:val="auto"/>
              </w:rPr>
            </w:pPr>
            <w:r>
              <w:rPr>
                <w:rFonts w:ascii="Arial" w:cs="Arial" w:eastAsia="Arial" w:hAnsi="Arial"/>
                <w:sz w:val="26"/>
                <w:szCs w:val="26"/>
                <w:color w:val="auto"/>
              </w:rPr>
              <w:t>17%</w:t>
            </w:r>
          </w:p>
        </w:tc>
        <w:tc>
          <w:tcPr>
            <w:tcW w:w="1060" w:type="dxa"/>
            <w:vAlign w:val="bottom"/>
          </w:tcPr>
          <w:p>
            <w:pPr>
              <w:jc w:val="right"/>
              <w:ind w:right="234"/>
              <w:spacing w:after="0"/>
              <w:rPr>
                <w:sz w:val="20"/>
                <w:szCs w:val="20"/>
                <w:color w:val="auto"/>
              </w:rPr>
            </w:pPr>
            <w:r>
              <w:rPr>
                <w:rFonts w:ascii="Arial" w:cs="Arial" w:eastAsia="Arial" w:hAnsi="Arial"/>
                <w:sz w:val="26"/>
                <w:szCs w:val="26"/>
                <w:color w:val="auto"/>
              </w:rPr>
              <w:t>12%</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1,430</w:t>
            </w:r>
          </w:p>
        </w:tc>
        <w:tc>
          <w:tcPr>
            <w:tcW w:w="1060" w:type="dxa"/>
            <w:vAlign w:val="bottom"/>
          </w:tcPr>
          <w:p>
            <w:pPr>
              <w:jc w:val="right"/>
              <w:spacing w:after="0"/>
              <w:rPr>
                <w:sz w:val="20"/>
                <w:szCs w:val="20"/>
                <w:color w:val="auto"/>
              </w:rPr>
            </w:pPr>
            <w:r>
              <w:rPr>
                <w:rFonts w:ascii="Arial" w:cs="Arial" w:eastAsia="Arial" w:hAnsi="Arial"/>
                <w:sz w:val="26"/>
                <w:szCs w:val="26"/>
                <w:color w:val="auto"/>
              </w:rPr>
              <w:t>1,208</w:t>
            </w:r>
          </w:p>
        </w:tc>
        <w:tc>
          <w:tcPr>
            <w:tcW w:w="700" w:type="dxa"/>
            <w:vAlign w:val="bottom"/>
          </w:tcPr>
          <w:p>
            <w:pPr>
              <w:jc w:val="right"/>
              <w:spacing w:after="0"/>
              <w:rPr>
                <w:sz w:val="20"/>
                <w:szCs w:val="20"/>
                <w:color w:val="auto"/>
              </w:rPr>
            </w:pPr>
            <w:r>
              <w:rPr>
                <w:rFonts w:ascii="Arial" w:cs="Arial" w:eastAsia="Arial" w:hAnsi="Arial"/>
                <w:sz w:val="26"/>
                <w:szCs w:val="26"/>
                <w:color w:val="auto"/>
              </w:rPr>
              <w:t>18%</w:t>
            </w:r>
          </w:p>
        </w:tc>
        <w:tc>
          <w:tcPr>
            <w:tcW w:w="780" w:type="dxa"/>
            <w:vAlign w:val="bottom"/>
          </w:tcPr>
          <w:p>
            <w:pPr>
              <w:jc w:val="right"/>
              <w:spacing w:after="0"/>
              <w:rPr>
                <w:sz w:val="20"/>
                <w:szCs w:val="20"/>
                <w:color w:val="auto"/>
              </w:rPr>
            </w:pPr>
            <w:r>
              <w:rPr>
                <w:rFonts w:ascii="Arial" w:cs="Arial" w:eastAsia="Arial" w:hAnsi="Arial"/>
                <w:sz w:val="26"/>
                <w:szCs w:val="26"/>
                <w:color w:val="auto"/>
              </w:rPr>
              <w:t>14%</w:t>
            </w:r>
          </w:p>
        </w:tc>
        <w:tc>
          <w:tcPr>
            <w:tcW w:w="0" w:type="dxa"/>
            <w:vAlign w:val="bottom"/>
          </w:tcPr>
          <w:p>
            <w:pPr>
              <w:spacing w:after="0"/>
              <w:rPr>
                <w:sz w:val="1"/>
                <w:szCs w:val="1"/>
                <w:color w:val="auto"/>
              </w:rPr>
            </w:pPr>
          </w:p>
        </w:tc>
      </w:tr>
      <w:tr>
        <w:trPr>
          <w:trHeight w:val="482"/>
        </w:trPr>
        <w:tc>
          <w:tcPr>
            <w:tcW w:w="1840" w:type="dxa"/>
            <w:vAlign w:val="bottom"/>
          </w:tcPr>
          <w:p>
            <w:pPr>
              <w:ind w:left="40"/>
              <w:spacing w:after="0"/>
              <w:rPr>
                <w:sz w:val="20"/>
                <w:szCs w:val="20"/>
                <w:color w:val="auto"/>
              </w:rPr>
            </w:pPr>
            <w:r>
              <w:rPr>
                <w:rFonts w:ascii="Arial" w:cs="Arial" w:eastAsia="Arial" w:hAnsi="Arial"/>
                <w:sz w:val="26"/>
                <w:szCs w:val="26"/>
                <w:b w:val="1"/>
                <w:bCs w:val="1"/>
                <w:color w:val="auto"/>
              </w:rPr>
              <w:t>OUP:</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60" w:type="dxa"/>
            <w:vAlign w:val="bottom"/>
          </w:tcPr>
          <w:p>
            <w:pPr>
              <w:jc w:val="right"/>
              <w:ind w:right="94"/>
              <w:spacing w:after="0"/>
              <w:rPr>
                <w:sz w:val="20"/>
                <w:szCs w:val="20"/>
                <w:color w:val="auto"/>
              </w:rPr>
            </w:pPr>
            <w:r>
              <w:rPr>
                <w:rFonts w:ascii="Arial" w:cs="Arial" w:eastAsia="Arial" w:hAnsi="Arial"/>
                <w:sz w:val="26"/>
                <w:szCs w:val="26"/>
                <w:color w:val="auto"/>
              </w:rPr>
              <w:t>28</w:t>
            </w:r>
          </w:p>
        </w:tc>
        <w:tc>
          <w:tcPr>
            <w:tcW w:w="980" w:type="dxa"/>
            <w:vAlign w:val="bottom"/>
          </w:tcPr>
          <w:p>
            <w:pPr>
              <w:jc w:val="right"/>
              <w:spacing w:after="0"/>
              <w:rPr>
                <w:sz w:val="20"/>
                <w:szCs w:val="20"/>
                <w:color w:val="auto"/>
              </w:rPr>
            </w:pPr>
            <w:r>
              <w:rPr>
                <w:rFonts w:ascii="Arial" w:cs="Arial" w:eastAsia="Arial" w:hAnsi="Arial"/>
                <w:sz w:val="26"/>
                <w:szCs w:val="26"/>
                <w:color w:val="auto"/>
              </w:rPr>
              <w:t>29</w:t>
            </w:r>
          </w:p>
        </w:tc>
        <w:tc>
          <w:tcPr>
            <w:tcW w:w="720" w:type="dxa"/>
            <w:vAlign w:val="bottom"/>
          </w:tcPr>
          <w:p>
            <w:pPr>
              <w:jc w:val="right"/>
              <w:spacing w:after="0"/>
              <w:rPr>
                <w:sz w:val="20"/>
                <w:szCs w:val="20"/>
                <w:color w:val="auto"/>
              </w:rPr>
            </w:pPr>
            <w:r>
              <w:rPr>
                <w:rFonts w:ascii="Arial" w:cs="Arial" w:eastAsia="Arial" w:hAnsi="Arial"/>
                <w:sz w:val="26"/>
                <w:szCs w:val="26"/>
                <w:color w:val="auto"/>
              </w:rPr>
              <w:t>-2%</w:t>
            </w:r>
          </w:p>
        </w:tc>
        <w:tc>
          <w:tcPr>
            <w:tcW w:w="1060" w:type="dxa"/>
            <w:vAlign w:val="bottom"/>
          </w:tcPr>
          <w:p>
            <w:pPr>
              <w:jc w:val="right"/>
              <w:ind w:right="234"/>
              <w:spacing w:after="0"/>
              <w:rPr>
                <w:sz w:val="20"/>
                <w:szCs w:val="20"/>
                <w:color w:val="auto"/>
              </w:rPr>
            </w:pPr>
            <w:r>
              <w:rPr>
                <w:rFonts w:ascii="Arial" w:cs="Arial" w:eastAsia="Arial" w:hAnsi="Arial"/>
                <w:sz w:val="26"/>
                <w:szCs w:val="26"/>
                <w:color w:val="auto"/>
              </w:rPr>
              <w:t>-7%</w:t>
            </w:r>
          </w:p>
        </w:tc>
        <w:tc>
          <w:tcPr>
            <w:tcW w:w="1060" w:type="dxa"/>
            <w:vAlign w:val="bottom"/>
          </w:tcPr>
          <w:p>
            <w:pPr>
              <w:jc w:val="right"/>
              <w:ind w:right="13"/>
              <w:spacing w:after="0"/>
              <w:rPr>
                <w:sz w:val="20"/>
                <w:szCs w:val="20"/>
                <w:color w:val="auto"/>
              </w:rPr>
            </w:pPr>
            <w:r>
              <w:rPr>
                <w:rFonts w:ascii="Arial" w:cs="Arial" w:eastAsia="Arial" w:hAnsi="Arial"/>
                <w:sz w:val="26"/>
                <w:szCs w:val="26"/>
                <w:color w:val="auto"/>
              </w:rPr>
              <w:t>42</w:t>
            </w:r>
          </w:p>
        </w:tc>
        <w:tc>
          <w:tcPr>
            <w:tcW w:w="1060" w:type="dxa"/>
            <w:vAlign w:val="bottom"/>
          </w:tcPr>
          <w:p>
            <w:pPr>
              <w:jc w:val="right"/>
              <w:spacing w:after="0"/>
              <w:rPr>
                <w:sz w:val="20"/>
                <w:szCs w:val="20"/>
                <w:color w:val="auto"/>
              </w:rPr>
            </w:pPr>
            <w:r>
              <w:rPr>
                <w:rFonts w:ascii="Arial" w:cs="Arial" w:eastAsia="Arial" w:hAnsi="Arial"/>
                <w:sz w:val="26"/>
                <w:szCs w:val="26"/>
                <w:color w:val="auto"/>
              </w:rPr>
              <w:t>39</w:t>
            </w:r>
          </w:p>
        </w:tc>
        <w:tc>
          <w:tcPr>
            <w:tcW w:w="700" w:type="dxa"/>
            <w:vAlign w:val="bottom"/>
          </w:tcPr>
          <w:p>
            <w:pPr>
              <w:jc w:val="right"/>
              <w:spacing w:after="0"/>
              <w:rPr>
                <w:sz w:val="20"/>
                <w:szCs w:val="20"/>
                <w:color w:val="auto"/>
              </w:rPr>
            </w:pPr>
            <w:r>
              <w:rPr>
                <w:rFonts w:ascii="Arial" w:cs="Arial" w:eastAsia="Arial" w:hAnsi="Arial"/>
                <w:sz w:val="26"/>
                <w:szCs w:val="26"/>
                <w:color w:val="auto"/>
              </w:rPr>
              <w:t>7%</w:t>
            </w:r>
          </w:p>
        </w:tc>
        <w:tc>
          <w:tcPr>
            <w:tcW w:w="780" w:type="dxa"/>
            <w:vAlign w:val="bottom"/>
          </w:tcPr>
          <w:p>
            <w:pPr>
              <w:jc w:val="right"/>
              <w:spacing w:after="0"/>
              <w:rPr>
                <w:sz w:val="20"/>
                <w:szCs w:val="20"/>
                <w:color w:val="auto"/>
              </w:rPr>
            </w:pPr>
            <w:r>
              <w:rPr>
                <w:rFonts w:ascii="Arial" w:cs="Arial" w:eastAsia="Arial" w:hAnsi="Arial"/>
                <w:sz w:val="26"/>
                <w:szCs w:val="26"/>
                <w:color w:val="auto"/>
              </w:rPr>
              <w:t>3%</w:t>
            </w:r>
          </w:p>
        </w:tc>
        <w:tc>
          <w:tcPr>
            <w:tcW w:w="0" w:type="dxa"/>
            <w:vAlign w:val="bottom"/>
          </w:tcPr>
          <w:p>
            <w:pPr>
              <w:spacing w:after="0"/>
              <w:rPr>
                <w:sz w:val="1"/>
                <w:szCs w:val="1"/>
                <w:color w:val="auto"/>
              </w:rPr>
            </w:pPr>
          </w:p>
        </w:tc>
      </w:tr>
      <w:tr>
        <w:trPr>
          <w:trHeight w:val="317"/>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60" w:type="dxa"/>
            <w:vAlign w:val="bottom"/>
          </w:tcPr>
          <w:p>
            <w:pPr>
              <w:jc w:val="right"/>
              <w:ind w:right="94"/>
              <w:spacing w:after="0"/>
              <w:rPr>
                <w:sz w:val="20"/>
                <w:szCs w:val="20"/>
                <w:color w:val="auto"/>
              </w:rPr>
            </w:pPr>
            <w:r>
              <w:rPr>
                <w:rFonts w:ascii="Arial" w:cs="Arial" w:eastAsia="Arial" w:hAnsi="Arial"/>
                <w:sz w:val="26"/>
                <w:szCs w:val="26"/>
                <w:color w:val="auto"/>
              </w:rPr>
              <w:t>14</w:t>
            </w:r>
          </w:p>
        </w:tc>
        <w:tc>
          <w:tcPr>
            <w:tcW w:w="980" w:type="dxa"/>
            <w:vAlign w:val="bottom"/>
          </w:tcPr>
          <w:p>
            <w:pPr>
              <w:jc w:val="right"/>
              <w:spacing w:after="0"/>
              <w:rPr>
                <w:sz w:val="20"/>
                <w:szCs w:val="20"/>
                <w:color w:val="auto"/>
              </w:rPr>
            </w:pPr>
            <w:r>
              <w:rPr>
                <w:rFonts w:ascii="Arial" w:cs="Arial" w:eastAsia="Arial" w:hAnsi="Arial"/>
                <w:sz w:val="26"/>
                <w:szCs w:val="26"/>
                <w:color w:val="auto"/>
              </w:rPr>
              <w:t>14</w:t>
            </w:r>
          </w:p>
        </w:tc>
        <w:tc>
          <w:tcPr>
            <w:tcW w:w="720" w:type="dxa"/>
            <w:vAlign w:val="bottom"/>
          </w:tcPr>
          <w:p>
            <w:pPr>
              <w:jc w:val="right"/>
              <w:spacing w:after="0"/>
              <w:rPr>
                <w:sz w:val="20"/>
                <w:szCs w:val="20"/>
                <w:color w:val="auto"/>
              </w:rPr>
            </w:pPr>
            <w:r>
              <w:rPr>
                <w:rFonts w:ascii="Arial" w:cs="Arial" w:eastAsia="Arial" w:hAnsi="Arial"/>
                <w:sz w:val="26"/>
                <w:szCs w:val="26"/>
                <w:color w:val="auto"/>
              </w:rPr>
              <w:t>4%</w:t>
            </w:r>
          </w:p>
        </w:tc>
        <w:tc>
          <w:tcPr>
            <w:tcW w:w="1060" w:type="dxa"/>
            <w:vAlign w:val="bottom"/>
          </w:tcPr>
          <w:p>
            <w:pPr>
              <w:jc w:val="right"/>
              <w:ind w:right="234"/>
              <w:spacing w:after="0"/>
              <w:rPr>
                <w:sz w:val="20"/>
                <w:szCs w:val="20"/>
                <w:color w:val="auto"/>
              </w:rPr>
            </w:pPr>
            <w:r>
              <w:rPr>
                <w:rFonts w:ascii="Arial" w:cs="Arial" w:eastAsia="Arial" w:hAnsi="Arial"/>
                <w:sz w:val="26"/>
                <w:szCs w:val="26"/>
                <w:color w:val="auto"/>
              </w:rPr>
              <w:t>-1%</w:t>
            </w:r>
          </w:p>
        </w:tc>
        <w:tc>
          <w:tcPr>
            <w:tcW w:w="1060" w:type="dxa"/>
            <w:vAlign w:val="bottom"/>
          </w:tcPr>
          <w:p>
            <w:pPr>
              <w:jc w:val="right"/>
              <w:ind w:right="13"/>
              <w:spacing w:after="0"/>
              <w:rPr>
                <w:sz w:val="20"/>
                <w:szCs w:val="20"/>
                <w:color w:val="auto"/>
              </w:rPr>
            </w:pPr>
            <w:r>
              <w:rPr>
                <w:rFonts w:ascii="Arial" w:cs="Arial" w:eastAsia="Arial" w:hAnsi="Arial"/>
                <w:sz w:val="26"/>
                <w:szCs w:val="26"/>
                <w:color w:val="auto"/>
              </w:rPr>
              <w:t>38</w:t>
            </w:r>
          </w:p>
        </w:tc>
        <w:tc>
          <w:tcPr>
            <w:tcW w:w="1060" w:type="dxa"/>
            <w:vAlign w:val="bottom"/>
          </w:tcPr>
          <w:p>
            <w:pPr>
              <w:jc w:val="right"/>
              <w:spacing w:after="0"/>
              <w:rPr>
                <w:sz w:val="20"/>
                <w:szCs w:val="20"/>
                <w:color w:val="auto"/>
              </w:rPr>
            </w:pPr>
            <w:r>
              <w:rPr>
                <w:rFonts w:ascii="Arial" w:cs="Arial" w:eastAsia="Arial" w:hAnsi="Arial"/>
                <w:sz w:val="26"/>
                <w:szCs w:val="26"/>
                <w:color w:val="auto"/>
              </w:rPr>
              <w:t>26</w:t>
            </w:r>
          </w:p>
        </w:tc>
        <w:tc>
          <w:tcPr>
            <w:tcW w:w="700" w:type="dxa"/>
            <w:vAlign w:val="bottom"/>
          </w:tcPr>
          <w:p>
            <w:pPr>
              <w:jc w:val="right"/>
              <w:spacing w:after="0"/>
              <w:rPr>
                <w:sz w:val="20"/>
                <w:szCs w:val="20"/>
                <w:color w:val="auto"/>
              </w:rPr>
            </w:pPr>
            <w:r>
              <w:rPr>
                <w:rFonts w:ascii="Arial" w:cs="Arial" w:eastAsia="Arial" w:hAnsi="Arial"/>
                <w:sz w:val="26"/>
                <w:szCs w:val="26"/>
                <w:color w:val="auto"/>
              </w:rPr>
              <w:t>45%</w:t>
            </w:r>
          </w:p>
        </w:tc>
        <w:tc>
          <w:tcPr>
            <w:tcW w:w="780" w:type="dxa"/>
            <w:vAlign w:val="bottom"/>
          </w:tcPr>
          <w:p>
            <w:pPr>
              <w:jc w:val="right"/>
              <w:spacing w:after="0"/>
              <w:rPr>
                <w:sz w:val="20"/>
                <w:szCs w:val="20"/>
                <w:color w:val="auto"/>
              </w:rPr>
            </w:pPr>
            <w:r>
              <w:rPr>
                <w:rFonts w:ascii="Arial" w:cs="Arial" w:eastAsia="Arial" w:hAnsi="Arial"/>
                <w:sz w:val="26"/>
                <w:szCs w:val="26"/>
                <w:color w:val="auto"/>
              </w:rPr>
              <w:t>40%</w:t>
            </w:r>
          </w:p>
        </w:tc>
        <w:tc>
          <w:tcPr>
            <w:tcW w:w="0" w:type="dxa"/>
            <w:vAlign w:val="bottom"/>
          </w:tcPr>
          <w:p>
            <w:pPr>
              <w:spacing w:after="0"/>
              <w:rPr>
                <w:sz w:val="1"/>
                <w:szCs w:val="1"/>
                <w:color w:val="auto"/>
              </w:rPr>
            </w:pPr>
          </w:p>
        </w:tc>
      </w:tr>
      <w:tr>
        <w:trPr>
          <w:trHeight w:val="352"/>
        </w:trPr>
        <w:tc>
          <w:tcPr>
            <w:tcW w:w="1840" w:type="dxa"/>
            <w:vAlign w:val="bottom"/>
            <w:vMerge w:val="restart"/>
          </w:tcPr>
          <w:p>
            <w:pPr>
              <w:ind w:left="40"/>
              <w:spacing w:after="0"/>
              <w:rPr>
                <w:sz w:val="20"/>
                <w:szCs w:val="20"/>
                <w:color w:val="auto"/>
              </w:rPr>
            </w:pPr>
            <w:r>
              <w:rPr>
                <w:rFonts w:ascii="Arial" w:cs="Arial" w:eastAsia="Arial" w:hAnsi="Arial"/>
                <w:sz w:val="26"/>
                <w:szCs w:val="26"/>
                <w:b w:val="1"/>
                <w:bCs w:val="1"/>
                <w:color w:val="auto"/>
              </w:rPr>
              <w:t>Revenue:</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60" w:type="dxa"/>
            <w:vAlign w:val="bottom"/>
            <w:gridSpan w:val="2"/>
          </w:tcPr>
          <w:p>
            <w:pPr>
              <w:jc w:val="right"/>
              <w:ind w:right="33"/>
              <w:spacing w:after="0"/>
              <w:rPr>
                <w:sz w:val="20"/>
                <w:szCs w:val="20"/>
                <w:color w:val="auto"/>
              </w:rPr>
            </w:pPr>
            <w:r>
              <w:rPr>
                <w:rFonts w:ascii="Arial" w:cs="Arial" w:eastAsia="Arial" w:hAnsi="Arial"/>
                <w:sz w:val="22"/>
                <w:szCs w:val="22"/>
                <w:b w:val="1"/>
                <w:bCs w:val="1"/>
                <w:color w:val="C8504F"/>
              </w:rPr>
              <w:t>YTD Restated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2,635</w:t>
            </w:r>
          </w:p>
        </w:tc>
        <w:tc>
          <w:tcPr>
            <w:tcW w:w="1060" w:type="dxa"/>
            <w:vAlign w:val="bottom"/>
          </w:tcPr>
          <w:p>
            <w:pPr>
              <w:jc w:val="right"/>
              <w:spacing w:after="0"/>
              <w:rPr>
                <w:sz w:val="20"/>
                <w:szCs w:val="20"/>
                <w:color w:val="auto"/>
              </w:rPr>
            </w:pPr>
            <w:r>
              <w:rPr>
                <w:rFonts w:ascii="Arial" w:cs="Arial" w:eastAsia="Arial" w:hAnsi="Arial"/>
                <w:sz w:val="26"/>
                <w:szCs w:val="26"/>
                <w:color w:val="auto"/>
              </w:rPr>
              <w:t>2,404</w:t>
            </w:r>
          </w:p>
        </w:tc>
        <w:tc>
          <w:tcPr>
            <w:tcW w:w="700" w:type="dxa"/>
            <w:vAlign w:val="bottom"/>
          </w:tcPr>
          <w:p>
            <w:pPr>
              <w:jc w:val="right"/>
              <w:spacing w:after="0"/>
              <w:rPr>
                <w:sz w:val="20"/>
                <w:szCs w:val="20"/>
                <w:color w:val="auto"/>
              </w:rPr>
            </w:pPr>
            <w:r>
              <w:rPr>
                <w:rFonts w:ascii="Arial" w:cs="Arial" w:eastAsia="Arial" w:hAnsi="Arial"/>
                <w:sz w:val="26"/>
                <w:szCs w:val="26"/>
                <w:color w:val="auto"/>
              </w:rPr>
              <w:t>10%</w:t>
            </w:r>
          </w:p>
        </w:tc>
        <w:tc>
          <w:tcPr>
            <w:tcW w:w="780" w:type="dxa"/>
            <w:vAlign w:val="bottom"/>
          </w:tcPr>
          <w:p>
            <w:pPr>
              <w:jc w:val="right"/>
              <w:spacing w:after="0"/>
              <w:rPr>
                <w:sz w:val="20"/>
                <w:szCs w:val="20"/>
                <w:color w:val="auto"/>
              </w:rPr>
            </w:pPr>
            <w:r>
              <w:rPr>
                <w:rFonts w:ascii="Arial" w:cs="Arial" w:eastAsia="Arial" w:hAnsi="Arial"/>
                <w:sz w:val="26"/>
                <w:szCs w:val="26"/>
                <w:color w:val="auto"/>
              </w:rPr>
              <w:t>5%</w:t>
            </w: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2,773</w:t>
            </w:r>
          </w:p>
        </w:tc>
        <w:tc>
          <w:tcPr>
            <w:tcW w:w="1060" w:type="dxa"/>
            <w:vAlign w:val="bottom"/>
          </w:tcPr>
          <w:p>
            <w:pPr>
              <w:jc w:val="right"/>
              <w:spacing w:after="0"/>
              <w:rPr>
                <w:sz w:val="20"/>
                <w:szCs w:val="20"/>
                <w:color w:val="auto"/>
              </w:rPr>
            </w:pPr>
            <w:r>
              <w:rPr>
                <w:rFonts w:ascii="Arial" w:cs="Arial" w:eastAsia="Arial" w:hAnsi="Arial"/>
                <w:sz w:val="26"/>
                <w:szCs w:val="26"/>
                <w:color w:val="auto"/>
              </w:rPr>
              <w:t>2,354</w:t>
            </w:r>
          </w:p>
        </w:tc>
        <w:tc>
          <w:tcPr>
            <w:tcW w:w="700" w:type="dxa"/>
            <w:vAlign w:val="bottom"/>
          </w:tcPr>
          <w:p>
            <w:pPr>
              <w:jc w:val="right"/>
              <w:spacing w:after="0"/>
              <w:rPr>
                <w:sz w:val="20"/>
                <w:szCs w:val="20"/>
                <w:color w:val="auto"/>
              </w:rPr>
            </w:pPr>
            <w:r>
              <w:rPr>
                <w:rFonts w:ascii="Arial" w:cs="Arial" w:eastAsia="Arial" w:hAnsi="Arial"/>
                <w:sz w:val="26"/>
                <w:szCs w:val="26"/>
                <w:color w:val="auto"/>
              </w:rPr>
              <w:t>18%</w:t>
            </w:r>
          </w:p>
        </w:tc>
        <w:tc>
          <w:tcPr>
            <w:tcW w:w="780" w:type="dxa"/>
            <w:vAlign w:val="bottom"/>
          </w:tcPr>
          <w:p>
            <w:pPr>
              <w:jc w:val="right"/>
              <w:spacing w:after="0"/>
              <w:rPr>
                <w:sz w:val="20"/>
                <w:szCs w:val="20"/>
                <w:color w:val="auto"/>
              </w:rPr>
            </w:pPr>
            <w:r>
              <w:rPr>
                <w:rFonts w:ascii="Arial" w:cs="Arial" w:eastAsia="Arial" w:hAnsi="Arial"/>
                <w:sz w:val="26"/>
                <w:szCs w:val="26"/>
                <w:color w:val="auto"/>
              </w:rPr>
              <w:t>13%</w:t>
            </w:r>
          </w:p>
        </w:tc>
        <w:tc>
          <w:tcPr>
            <w:tcW w:w="0" w:type="dxa"/>
            <w:vAlign w:val="bottom"/>
          </w:tcPr>
          <w:p>
            <w:pPr>
              <w:spacing w:after="0"/>
              <w:rPr>
                <w:sz w:val="1"/>
                <w:szCs w:val="1"/>
                <w:color w:val="auto"/>
              </w:rPr>
            </w:pPr>
          </w:p>
        </w:tc>
      </w:tr>
      <w:tr>
        <w:trPr>
          <w:trHeight w:val="482"/>
        </w:trPr>
        <w:tc>
          <w:tcPr>
            <w:tcW w:w="1840" w:type="dxa"/>
            <w:vAlign w:val="bottom"/>
          </w:tcPr>
          <w:p>
            <w:pPr>
              <w:ind w:left="40"/>
              <w:spacing w:after="0"/>
              <w:rPr>
                <w:sz w:val="20"/>
                <w:szCs w:val="20"/>
                <w:color w:val="auto"/>
              </w:rPr>
            </w:pPr>
            <w:r>
              <w:rPr>
                <w:rFonts w:ascii="Arial" w:cs="Arial" w:eastAsia="Arial" w:hAnsi="Arial"/>
                <w:sz w:val="26"/>
                <w:szCs w:val="26"/>
                <w:b w:val="1"/>
                <w:bCs w:val="1"/>
                <w:color w:val="auto"/>
              </w:rPr>
              <w:t>OUP:</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40"/>
              <w:spacing w:after="0"/>
              <w:rPr>
                <w:sz w:val="20"/>
                <w:szCs w:val="20"/>
                <w:color w:val="auto"/>
              </w:rPr>
            </w:pPr>
            <w:r>
              <w:rPr>
                <w:rFonts w:ascii="Arial" w:cs="Arial" w:eastAsia="Arial" w:hAnsi="Arial"/>
                <w:sz w:val="26"/>
                <w:szCs w:val="26"/>
                <w:color w:val="auto"/>
              </w:rPr>
              <w:t>France</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26"/>
                <w:szCs w:val="26"/>
                <w:color w:val="auto"/>
              </w:rPr>
              <w:t>70</w:t>
            </w:r>
          </w:p>
        </w:tc>
        <w:tc>
          <w:tcPr>
            <w:tcW w:w="1060" w:type="dxa"/>
            <w:vAlign w:val="bottom"/>
          </w:tcPr>
          <w:p>
            <w:pPr>
              <w:jc w:val="right"/>
              <w:spacing w:after="0"/>
              <w:rPr>
                <w:sz w:val="20"/>
                <w:szCs w:val="20"/>
                <w:color w:val="auto"/>
              </w:rPr>
            </w:pPr>
            <w:r>
              <w:rPr>
                <w:rFonts w:ascii="Arial" w:cs="Arial" w:eastAsia="Arial" w:hAnsi="Arial"/>
                <w:sz w:val="26"/>
                <w:szCs w:val="26"/>
                <w:color w:val="auto"/>
              </w:rPr>
              <w:t>68</w:t>
            </w:r>
          </w:p>
        </w:tc>
        <w:tc>
          <w:tcPr>
            <w:tcW w:w="700" w:type="dxa"/>
            <w:vAlign w:val="bottom"/>
          </w:tcPr>
          <w:p>
            <w:pPr>
              <w:jc w:val="right"/>
              <w:spacing w:after="0"/>
              <w:rPr>
                <w:sz w:val="20"/>
                <w:szCs w:val="20"/>
                <w:color w:val="auto"/>
              </w:rPr>
            </w:pPr>
            <w:r>
              <w:rPr>
                <w:rFonts w:ascii="Arial" w:cs="Arial" w:eastAsia="Arial" w:hAnsi="Arial"/>
                <w:sz w:val="26"/>
                <w:szCs w:val="26"/>
                <w:color w:val="auto"/>
              </w:rPr>
              <w:t>3%</w:t>
            </w:r>
          </w:p>
        </w:tc>
        <w:tc>
          <w:tcPr>
            <w:tcW w:w="780" w:type="dxa"/>
            <w:vAlign w:val="bottom"/>
          </w:tcPr>
          <w:p>
            <w:pPr>
              <w:jc w:val="right"/>
              <w:spacing w:after="0"/>
              <w:rPr>
                <w:sz w:val="20"/>
                <w:szCs w:val="20"/>
                <w:color w:val="auto"/>
              </w:rPr>
            </w:pPr>
            <w:r>
              <w:rPr>
                <w:rFonts w:ascii="Arial" w:cs="Arial" w:eastAsia="Arial" w:hAnsi="Arial"/>
                <w:sz w:val="26"/>
                <w:szCs w:val="26"/>
                <w:color w:val="auto"/>
              </w:rPr>
              <w:t>-1%</w:t>
            </w:r>
          </w:p>
        </w:tc>
        <w:tc>
          <w:tcPr>
            <w:tcW w:w="0" w:type="dxa"/>
            <w:vAlign w:val="bottom"/>
          </w:tcPr>
          <w:p>
            <w:pPr>
              <w:spacing w:after="0"/>
              <w:rPr>
                <w:sz w:val="1"/>
                <w:szCs w:val="1"/>
                <w:color w:val="auto"/>
              </w:rPr>
            </w:pPr>
          </w:p>
        </w:tc>
      </w:tr>
      <w:tr>
        <w:trPr>
          <w:trHeight w:val="317"/>
        </w:trPr>
        <w:tc>
          <w:tcPr>
            <w:tcW w:w="1840" w:type="dxa"/>
            <w:vAlign w:val="bottom"/>
          </w:tcPr>
          <w:p>
            <w:pPr>
              <w:ind w:left="40"/>
              <w:spacing w:after="0"/>
              <w:rPr>
                <w:sz w:val="20"/>
                <w:szCs w:val="20"/>
                <w:color w:val="auto"/>
              </w:rPr>
            </w:pPr>
            <w:r>
              <w:rPr>
                <w:rFonts w:ascii="Arial" w:cs="Arial" w:eastAsia="Arial" w:hAnsi="Arial"/>
                <w:sz w:val="26"/>
                <w:szCs w:val="26"/>
                <w:color w:val="auto"/>
              </w:rPr>
              <w:t>EMEA</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26"/>
                <w:szCs w:val="26"/>
                <w:color w:val="auto"/>
              </w:rPr>
              <w:t>52</w:t>
            </w:r>
          </w:p>
        </w:tc>
        <w:tc>
          <w:tcPr>
            <w:tcW w:w="1060" w:type="dxa"/>
            <w:vAlign w:val="bottom"/>
          </w:tcPr>
          <w:p>
            <w:pPr>
              <w:jc w:val="right"/>
              <w:spacing w:after="0"/>
              <w:rPr>
                <w:sz w:val="20"/>
                <w:szCs w:val="20"/>
                <w:color w:val="auto"/>
              </w:rPr>
            </w:pPr>
            <w:r>
              <w:rPr>
                <w:rFonts w:ascii="Arial" w:cs="Arial" w:eastAsia="Arial" w:hAnsi="Arial"/>
                <w:sz w:val="26"/>
                <w:szCs w:val="26"/>
                <w:color w:val="auto"/>
              </w:rPr>
              <w:t>40</w:t>
            </w:r>
          </w:p>
        </w:tc>
        <w:tc>
          <w:tcPr>
            <w:tcW w:w="700" w:type="dxa"/>
            <w:vAlign w:val="bottom"/>
          </w:tcPr>
          <w:p>
            <w:pPr>
              <w:jc w:val="right"/>
              <w:spacing w:after="0"/>
              <w:rPr>
                <w:sz w:val="20"/>
                <w:szCs w:val="20"/>
                <w:color w:val="auto"/>
              </w:rPr>
            </w:pPr>
            <w:r>
              <w:rPr>
                <w:rFonts w:ascii="Arial" w:cs="Arial" w:eastAsia="Arial" w:hAnsi="Arial"/>
                <w:sz w:val="26"/>
                <w:szCs w:val="26"/>
                <w:color w:val="auto"/>
              </w:rPr>
              <w:t>31%</w:t>
            </w:r>
          </w:p>
        </w:tc>
        <w:tc>
          <w:tcPr>
            <w:tcW w:w="780" w:type="dxa"/>
            <w:vAlign w:val="bottom"/>
          </w:tcPr>
          <w:p>
            <w:pPr>
              <w:jc w:val="right"/>
              <w:spacing w:after="0"/>
              <w:rPr>
                <w:sz w:val="20"/>
                <w:szCs w:val="20"/>
                <w:color w:val="auto"/>
              </w:rPr>
            </w:pPr>
            <w:r>
              <w:rPr>
                <w:rFonts w:ascii="Arial" w:cs="Arial" w:eastAsia="Arial" w:hAnsi="Arial"/>
                <w:sz w:val="26"/>
                <w:szCs w:val="26"/>
                <w:color w:val="auto"/>
              </w:rPr>
              <w:t>26%</w:t>
            </w:r>
          </w:p>
        </w:tc>
        <w:tc>
          <w:tcPr>
            <w:tcW w:w="0" w:type="dxa"/>
            <w:vAlign w:val="bottom"/>
          </w:tcPr>
          <w:p>
            <w:pPr>
              <w:spacing w:after="0"/>
              <w:rPr>
                <w:sz w:val="1"/>
                <w:szCs w:val="1"/>
                <w:color w:val="auto"/>
              </w:rPr>
            </w:pPr>
          </w:p>
        </w:tc>
      </w:tr>
    </w:tbl>
    <w:p>
      <w:pPr>
        <w:sectPr>
          <w:pgSz w:w="11900" w:h="16838" w:orient="portrait"/>
          <w:cols w:equalWidth="0" w:num="1">
            <w:col w:w="9860"/>
          </w:cols>
          <w:pgMar w:left="1220" w:top="423" w:right="81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146050</wp:posOffset>
            </wp:positionH>
            <wp:positionV relativeFrom="page">
              <wp:posOffset>88900</wp:posOffset>
            </wp:positionV>
            <wp:extent cx="7284720" cy="5278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52781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94"/>
        </w:trPr>
        <w:tc>
          <w:tcPr>
            <w:tcW w:w="6780" w:type="dxa"/>
            <w:vAlign w:val="bottom"/>
          </w:tcPr>
          <w:p>
            <w:pPr>
              <w:spacing w:after="0"/>
              <w:rPr>
                <w:sz w:val="20"/>
                <w:szCs w:val="20"/>
                <w:color w:val="auto"/>
              </w:rPr>
            </w:pPr>
            <w:r>
              <w:rPr>
                <w:rFonts w:ascii="Arial" w:cs="Arial" w:eastAsia="Arial" w:hAnsi="Arial"/>
                <w:sz w:val="22"/>
                <w:szCs w:val="22"/>
                <w:color w:val="FFFFFF"/>
              </w:rPr>
              <w:t>Manpower Inc. 2006 2</w:t>
            </w:r>
            <w:r>
              <w:rPr>
                <w:rFonts w:ascii="Arial" w:cs="Arial" w:eastAsia="Arial" w:hAnsi="Arial"/>
                <w:sz w:val="28"/>
                <w:szCs w:val="28"/>
                <w:color w:val="FFFFFF"/>
                <w:vertAlign w:val="superscript"/>
              </w:rPr>
              <w:t>nd</w:t>
            </w:r>
            <w:r>
              <w:rPr>
                <w:rFonts w:ascii="Arial" w:cs="Arial" w:eastAsia="Arial" w:hAnsi="Arial"/>
                <w:sz w:val="22"/>
                <w:szCs w:val="22"/>
                <w:color w:val="FFFFFF"/>
              </w:rPr>
              <w:t xml:space="preserve"> Quarter Results</w:t>
            </w:r>
          </w:p>
        </w:tc>
        <w:tc>
          <w:tcPr>
            <w:tcW w:w="3080" w:type="dxa"/>
            <w:vAlign w:val="bottom"/>
          </w:tcPr>
          <w:p>
            <w:pPr>
              <w:jc w:val="right"/>
              <w:spacing w:after="0"/>
              <w:rPr>
                <w:sz w:val="20"/>
                <w:szCs w:val="20"/>
                <w:color w:val="auto"/>
              </w:rPr>
            </w:pPr>
            <w:r>
              <w:rPr>
                <w:rFonts w:ascii="Arial" w:cs="Arial" w:eastAsia="Arial" w:hAnsi="Arial"/>
                <w:sz w:val="22"/>
                <w:szCs w:val="22"/>
                <w:color w:val="FFFFFF"/>
              </w:rPr>
              <w:t>21</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47"/>
          <w:szCs w:val="47"/>
          <w:color w:val="D47C18"/>
        </w:rPr>
        <w:t>France and EMEA Restatement - 2005</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1840" w:type="dxa"/>
            <w:vAlign w:val="bottom"/>
            <w:vMerge w:val="restart"/>
          </w:tcPr>
          <w:p>
            <w:pPr>
              <w:spacing w:after="0"/>
              <w:rPr>
                <w:sz w:val="20"/>
                <w:szCs w:val="20"/>
                <w:color w:val="auto"/>
              </w:rPr>
            </w:pPr>
            <w:r>
              <w:rPr>
                <w:rFonts w:ascii="Arial" w:cs="Arial" w:eastAsia="Arial" w:hAnsi="Arial"/>
                <w:sz w:val="28"/>
                <w:szCs w:val="28"/>
                <w:color w:val="D47C18"/>
              </w:rPr>
              <w:t>($ in millions)</w:t>
            </w:r>
          </w:p>
        </w:tc>
        <w:tc>
          <w:tcPr>
            <w:tcW w:w="1000" w:type="dxa"/>
            <w:vAlign w:val="bottom"/>
          </w:tcPr>
          <w:p>
            <w:pPr>
              <w:spacing w:after="0"/>
              <w:rPr>
                <w:sz w:val="24"/>
                <w:szCs w:val="24"/>
                <w:color w:val="auto"/>
              </w:rPr>
            </w:pPr>
          </w:p>
        </w:tc>
        <w:tc>
          <w:tcPr>
            <w:tcW w:w="1740" w:type="dxa"/>
            <w:vAlign w:val="bottom"/>
            <w:gridSpan w:val="2"/>
          </w:tcPr>
          <w:p>
            <w:pPr>
              <w:jc w:val="right"/>
              <w:ind w:right="13"/>
              <w:spacing w:after="0"/>
              <w:rPr>
                <w:sz w:val="20"/>
                <w:szCs w:val="20"/>
                <w:color w:val="auto"/>
              </w:rPr>
            </w:pPr>
            <w:r>
              <w:rPr>
                <w:rFonts w:ascii="Arial" w:cs="Arial" w:eastAsia="Arial" w:hAnsi="Arial"/>
                <w:sz w:val="22"/>
                <w:szCs w:val="22"/>
                <w:b w:val="1"/>
                <w:bCs w:val="1"/>
                <w:color w:val="D47C18"/>
              </w:rPr>
              <w:t>Q3 Restated</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gridSpan w:val="2"/>
          </w:tcPr>
          <w:p>
            <w:pPr>
              <w:jc w:val="right"/>
              <w:ind w:right="133"/>
              <w:spacing w:after="0"/>
              <w:rPr>
                <w:sz w:val="20"/>
                <w:szCs w:val="20"/>
                <w:color w:val="auto"/>
              </w:rPr>
            </w:pPr>
            <w:r>
              <w:rPr>
                <w:rFonts w:ascii="Arial" w:cs="Arial" w:eastAsia="Arial" w:hAnsi="Arial"/>
                <w:sz w:val="22"/>
                <w:szCs w:val="22"/>
                <w:b w:val="1"/>
                <w:bCs w:val="1"/>
                <w:color w:val="D47C18"/>
              </w:rPr>
              <w:t>Q4 Restated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840" w:type="dxa"/>
            <w:vAlign w:val="bottom"/>
            <w:vMerge w:val="continue"/>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22"/>
                <w:szCs w:val="22"/>
                <w:b w:val="1"/>
                <w:bCs w:val="1"/>
                <w:color w:val="D47C18"/>
              </w:rPr>
              <w:t>2005</w:t>
            </w:r>
          </w:p>
        </w:tc>
        <w:tc>
          <w:tcPr>
            <w:tcW w:w="1020" w:type="dxa"/>
            <w:vAlign w:val="bottom"/>
          </w:tcPr>
          <w:p>
            <w:pPr>
              <w:jc w:val="right"/>
              <w:ind w:right="135"/>
              <w:spacing w:after="0"/>
              <w:rPr>
                <w:sz w:val="20"/>
                <w:szCs w:val="20"/>
                <w:color w:val="auto"/>
              </w:rPr>
            </w:pPr>
            <w:r>
              <w:rPr>
                <w:rFonts w:ascii="Arial" w:cs="Arial" w:eastAsia="Arial" w:hAnsi="Arial"/>
                <w:sz w:val="22"/>
                <w:szCs w:val="22"/>
                <w:b w:val="1"/>
                <w:bCs w:val="1"/>
                <w:color w:val="D47C18"/>
              </w:rPr>
              <w:t>2004</w:t>
            </w:r>
          </w:p>
        </w:tc>
        <w:tc>
          <w:tcPr>
            <w:tcW w:w="720" w:type="dxa"/>
            <w:vAlign w:val="bottom"/>
          </w:tcPr>
          <w:p>
            <w:pPr>
              <w:jc w:val="right"/>
              <w:ind w:right="73"/>
              <w:spacing w:after="0"/>
              <w:rPr>
                <w:sz w:val="20"/>
                <w:szCs w:val="20"/>
                <w:color w:val="auto"/>
              </w:rPr>
            </w:pPr>
            <w:r>
              <w:rPr>
                <w:rFonts w:ascii="Arial" w:cs="Arial" w:eastAsia="Arial" w:hAnsi="Arial"/>
                <w:sz w:val="22"/>
                <w:szCs w:val="22"/>
                <w:b w:val="1"/>
                <w:bCs w:val="1"/>
                <w:color w:val="D47C18"/>
              </w:rPr>
              <w:t>Var</w:t>
            </w:r>
          </w:p>
        </w:tc>
        <w:tc>
          <w:tcPr>
            <w:tcW w:w="1060" w:type="dxa"/>
            <w:vAlign w:val="bottom"/>
          </w:tcPr>
          <w:p>
            <w:pPr>
              <w:jc w:val="right"/>
              <w:ind w:right="113"/>
              <w:spacing w:after="0"/>
              <w:rPr>
                <w:sz w:val="20"/>
                <w:szCs w:val="20"/>
                <w:color w:val="auto"/>
              </w:rPr>
            </w:pPr>
            <w:r>
              <w:rPr>
                <w:rFonts w:ascii="Arial" w:cs="Arial" w:eastAsia="Arial" w:hAnsi="Arial"/>
                <w:sz w:val="22"/>
                <w:szCs w:val="22"/>
                <w:b w:val="1"/>
                <w:bCs w:val="1"/>
                <w:color w:val="D47C18"/>
              </w:rPr>
              <w:t>CC Var</w:t>
            </w:r>
          </w:p>
        </w:tc>
        <w:tc>
          <w:tcPr>
            <w:tcW w:w="1060" w:type="dxa"/>
            <w:vAlign w:val="bottom"/>
          </w:tcPr>
          <w:p>
            <w:pPr>
              <w:jc w:val="right"/>
              <w:ind w:right="133"/>
              <w:spacing w:after="0"/>
              <w:rPr>
                <w:sz w:val="20"/>
                <w:szCs w:val="20"/>
                <w:color w:val="auto"/>
              </w:rPr>
            </w:pPr>
            <w:r>
              <w:rPr>
                <w:rFonts w:ascii="Arial" w:cs="Arial" w:eastAsia="Arial" w:hAnsi="Arial"/>
                <w:sz w:val="22"/>
                <w:szCs w:val="22"/>
                <w:b w:val="1"/>
                <w:bCs w:val="1"/>
                <w:color w:val="D47C18"/>
              </w:rPr>
              <w:t>2005</w:t>
            </w:r>
          </w:p>
        </w:tc>
        <w:tc>
          <w:tcPr>
            <w:tcW w:w="1040" w:type="dxa"/>
            <w:vAlign w:val="bottom"/>
          </w:tcPr>
          <w:p>
            <w:pPr>
              <w:jc w:val="right"/>
              <w:ind w:right="95"/>
              <w:spacing w:after="0"/>
              <w:rPr>
                <w:sz w:val="20"/>
                <w:szCs w:val="20"/>
                <w:color w:val="auto"/>
              </w:rPr>
            </w:pPr>
            <w:r>
              <w:rPr>
                <w:rFonts w:ascii="Arial" w:cs="Arial" w:eastAsia="Arial" w:hAnsi="Arial"/>
                <w:sz w:val="22"/>
                <w:szCs w:val="22"/>
                <w:b w:val="1"/>
                <w:bCs w:val="1"/>
                <w:color w:val="D47C18"/>
              </w:rPr>
              <w:t>2004</w:t>
            </w:r>
          </w:p>
        </w:tc>
        <w:tc>
          <w:tcPr>
            <w:tcW w:w="760" w:type="dxa"/>
            <w:vAlign w:val="bottom"/>
          </w:tcPr>
          <w:p>
            <w:pPr>
              <w:jc w:val="right"/>
              <w:ind w:right="73"/>
              <w:spacing w:after="0"/>
              <w:rPr>
                <w:sz w:val="20"/>
                <w:szCs w:val="20"/>
                <w:color w:val="auto"/>
              </w:rPr>
            </w:pPr>
            <w:r>
              <w:rPr>
                <w:rFonts w:ascii="Arial" w:cs="Arial" w:eastAsia="Arial" w:hAnsi="Arial"/>
                <w:sz w:val="22"/>
                <w:szCs w:val="22"/>
                <w:b w:val="1"/>
                <w:bCs w:val="1"/>
                <w:color w:val="D47C18"/>
              </w:rPr>
              <w:t>Var</w:t>
            </w:r>
          </w:p>
        </w:tc>
        <w:tc>
          <w:tcPr>
            <w:tcW w:w="760" w:type="dxa"/>
            <w:vAlign w:val="bottom"/>
          </w:tcPr>
          <w:p>
            <w:pPr>
              <w:jc w:val="right"/>
              <w:spacing w:after="0"/>
              <w:rPr>
                <w:sz w:val="20"/>
                <w:szCs w:val="20"/>
                <w:color w:val="auto"/>
              </w:rPr>
            </w:pPr>
            <w:r>
              <w:rPr>
                <w:rFonts w:ascii="Arial" w:cs="Arial" w:eastAsia="Arial" w:hAnsi="Arial"/>
                <w:sz w:val="22"/>
                <w:szCs w:val="22"/>
                <w:b w:val="1"/>
                <w:bCs w:val="1"/>
                <w:color w:val="D47C18"/>
              </w:rPr>
              <w:t>CC Var</w:t>
            </w:r>
          </w:p>
        </w:tc>
        <w:tc>
          <w:tcPr>
            <w:tcW w:w="0" w:type="dxa"/>
            <w:vAlign w:val="bottom"/>
          </w:tcPr>
          <w:p>
            <w:pPr>
              <w:spacing w:after="0"/>
              <w:rPr>
                <w:sz w:val="1"/>
                <w:szCs w:val="1"/>
                <w:color w:val="auto"/>
              </w:rPr>
            </w:pPr>
          </w:p>
        </w:tc>
      </w:tr>
      <w:tr>
        <w:trPr>
          <w:trHeight w:val="459"/>
        </w:trPr>
        <w:tc>
          <w:tcPr>
            <w:tcW w:w="1840" w:type="dxa"/>
            <w:vAlign w:val="bottom"/>
          </w:tcPr>
          <w:p>
            <w:pPr>
              <w:ind w:left="20"/>
              <w:spacing w:after="0"/>
              <w:rPr>
                <w:sz w:val="20"/>
                <w:szCs w:val="20"/>
                <w:color w:val="auto"/>
              </w:rPr>
            </w:pPr>
            <w:r>
              <w:rPr>
                <w:rFonts w:ascii="Arial" w:cs="Arial" w:eastAsia="Arial" w:hAnsi="Arial"/>
                <w:sz w:val="26"/>
                <w:szCs w:val="26"/>
                <w:b w:val="1"/>
                <w:bCs w:val="1"/>
                <w:color w:val="auto"/>
              </w:rPr>
              <w:t>Revenue:</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20"/>
              <w:spacing w:after="0"/>
              <w:rPr>
                <w:sz w:val="20"/>
                <w:szCs w:val="20"/>
                <w:color w:val="auto"/>
              </w:rPr>
            </w:pPr>
            <w:r>
              <w:rPr>
                <w:rFonts w:ascii="Arial" w:cs="Arial" w:eastAsia="Arial" w:hAnsi="Arial"/>
                <w:sz w:val="26"/>
                <w:szCs w:val="26"/>
                <w:color w:val="auto"/>
              </w:rPr>
              <w:t>France</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1,479</w:t>
            </w:r>
          </w:p>
        </w:tc>
        <w:tc>
          <w:tcPr>
            <w:tcW w:w="1020" w:type="dxa"/>
            <w:vAlign w:val="bottom"/>
          </w:tcPr>
          <w:p>
            <w:pPr>
              <w:jc w:val="right"/>
              <w:spacing w:after="0"/>
              <w:rPr>
                <w:sz w:val="20"/>
                <w:szCs w:val="20"/>
                <w:color w:val="auto"/>
              </w:rPr>
            </w:pPr>
            <w:r>
              <w:rPr>
                <w:rFonts w:ascii="Arial" w:cs="Arial" w:eastAsia="Arial" w:hAnsi="Arial"/>
                <w:sz w:val="26"/>
                <w:szCs w:val="26"/>
                <w:color w:val="auto"/>
              </w:rPr>
              <w:t>1,395</w:t>
            </w:r>
          </w:p>
        </w:tc>
        <w:tc>
          <w:tcPr>
            <w:tcW w:w="720" w:type="dxa"/>
            <w:vAlign w:val="bottom"/>
          </w:tcPr>
          <w:p>
            <w:pPr>
              <w:jc w:val="right"/>
              <w:spacing w:after="0"/>
              <w:rPr>
                <w:sz w:val="20"/>
                <w:szCs w:val="20"/>
                <w:color w:val="auto"/>
              </w:rPr>
            </w:pPr>
            <w:r>
              <w:rPr>
                <w:rFonts w:ascii="Arial" w:cs="Arial" w:eastAsia="Arial" w:hAnsi="Arial"/>
                <w:sz w:val="26"/>
                <w:szCs w:val="26"/>
                <w:color w:val="auto"/>
              </w:rPr>
              <w:t>6%</w:t>
            </w:r>
          </w:p>
        </w:tc>
        <w:tc>
          <w:tcPr>
            <w:tcW w:w="1060" w:type="dxa"/>
            <w:vAlign w:val="bottom"/>
          </w:tcPr>
          <w:p>
            <w:pPr>
              <w:jc w:val="right"/>
              <w:ind w:right="233"/>
              <w:spacing w:after="0"/>
              <w:rPr>
                <w:sz w:val="20"/>
                <w:szCs w:val="20"/>
                <w:color w:val="auto"/>
              </w:rPr>
            </w:pPr>
            <w:r>
              <w:rPr>
                <w:rFonts w:ascii="Arial" w:cs="Arial" w:eastAsia="Arial" w:hAnsi="Arial"/>
                <w:sz w:val="26"/>
                <w:szCs w:val="26"/>
                <w:color w:val="auto"/>
              </w:rPr>
              <w:t>6%</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1,362</w:t>
            </w:r>
          </w:p>
        </w:tc>
        <w:tc>
          <w:tcPr>
            <w:tcW w:w="1040" w:type="dxa"/>
            <w:vAlign w:val="bottom"/>
          </w:tcPr>
          <w:p>
            <w:pPr>
              <w:jc w:val="right"/>
              <w:spacing w:after="0"/>
              <w:rPr>
                <w:sz w:val="20"/>
                <w:szCs w:val="20"/>
                <w:color w:val="auto"/>
              </w:rPr>
            </w:pPr>
            <w:r>
              <w:rPr>
                <w:rFonts w:ascii="Arial" w:cs="Arial" w:eastAsia="Arial" w:hAnsi="Arial"/>
                <w:sz w:val="26"/>
                <w:szCs w:val="26"/>
                <w:color w:val="auto"/>
              </w:rPr>
              <w:t>1,401</w:t>
            </w:r>
          </w:p>
        </w:tc>
        <w:tc>
          <w:tcPr>
            <w:tcW w:w="760" w:type="dxa"/>
            <w:vAlign w:val="bottom"/>
          </w:tcPr>
          <w:p>
            <w:pPr>
              <w:jc w:val="right"/>
              <w:spacing w:after="0"/>
              <w:rPr>
                <w:sz w:val="20"/>
                <w:szCs w:val="20"/>
                <w:color w:val="auto"/>
              </w:rPr>
            </w:pPr>
            <w:r>
              <w:rPr>
                <w:rFonts w:ascii="Arial" w:cs="Arial" w:eastAsia="Arial" w:hAnsi="Arial"/>
                <w:sz w:val="26"/>
                <w:szCs w:val="26"/>
                <w:color w:val="auto"/>
              </w:rPr>
              <w:t>-3%</w:t>
            </w:r>
          </w:p>
        </w:tc>
        <w:tc>
          <w:tcPr>
            <w:tcW w:w="760" w:type="dxa"/>
            <w:vAlign w:val="bottom"/>
          </w:tcPr>
          <w:p>
            <w:pPr>
              <w:jc w:val="right"/>
              <w:spacing w:after="0"/>
              <w:rPr>
                <w:sz w:val="20"/>
                <w:szCs w:val="20"/>
                <w:color w:val="auto"/>
              </w:rPr>
            </w:pPr>
            <w:r>
              <w:rPr>
                <w:rFonts w:ascii="Arial" w:cs="Arial" w:eastAsia="Arial" w:hAnsi="Arial"/>
                <w:sz w:val="26"/>
                <w:szCs w:val="26"/>
                <w:color w:val="auto"/>
              </w:rPr>
              <w:t>6%</w:t>
            </w:r>
          </w:p>
        </w:tc>
        <w:tc>
          <w:tcPr>
            <w:tcW w:w="0" w:type="dxa"/>
            <w:vAlign w:val="bottom"/>
          </w:tcPr>
          <w:p>
            <w:pPr>
              <w:spacing w:after="0"/>
              <w:rPr>
                <w:sz w:val="1"/>
                <w:szCs w:val="1"/>
                <w:color w:val="auto"/>
              </w:rPr>
            </w:pPr>
          </w:p>
        </w:tc>
      </w:tr>
      <w:tr>
        <w:trPr>
          <w:trHeight w:val="317"/>
        </w:trPr>
        <w:tc>
          <w:tcPr>
            <w:tcW w:w="1840" w:type="dxa"/>
            <w:vAlign w:val="bottom"/>
          </w:tcPr>
          <w:p>
            <w:pPr>
              <w:ind w:left="20"/>
              <w:spacing w:after="0"/>
              <w:rPr>
                <w:sz w:val="20"/>
                <w:szCs w:val="20"/>
                <w:color w:val="auto"/>
              </w:rPr>
            </w:pPr>
            <w:r>
              <w:rPr>
                <w:rFonts w:ascii="Arial" w:cs="Arial" w:eastAsia="Arial" w:hAnsi="Arial"/>
                <w:sz w:val="26"/>
                <w:szCs w:val="26"/>
                <w:color w:val="auto"/>
              </w:rPr>
              <w:t>EMEA</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1,401</w:t>
            </w:r>
          </w:p>
        </w:tc>
        <w:tc>
          <w:tcPr>
            <w:tcW w:w="1020" w:type="dxa"/>
            <w:vAlign w:val="bottom"/>
          </w:tcPr>
          <w:p>
            <w:pPr>
              <w:jc w:val="right"/>
              <w:spacing w:after="0"/>
              <w:rPr>
                <w:sz w:val="20"/>
                <w:szCs w:val="20"/>
                <w:color w:val="auto"/>
              </w:rPr>
            </w:pPr>
            <w:r>
              <w:rPr>
                <w:rFonts w:ascii="Arial" w:cs="Arial" w:eastAsia="Arial" w:hAnsi="Arial"/>
                <w:sz w:val="26"/>
                <w:szCs w:val="26"/>
                <w:color w:val="auto"/>
              </w:rPr>
              <w:t>1,312</w:t>
            </w:r>
          </w:p>
        </w:tc>
        <w:tc>
          <w:tcPr>
            <w:tcW w:w="720" w:type="dxa"/>
            <w:vAlign w:val="bottom"/>
          </w:tcPr>
          <w:p>
            <w:pPr>
              <w:jc w:val="right"/>
              <w:spacing w:after="0"/>
              <w:rPr>
                <w:sz w:val="20"/>
                <w:szCs w:val="20"/>
                <w:color w:val="auto"/>
              </w:rPr>
            </w:pPr>
            <w:r>
              <w:rPr>
                <w:rFonts w:ascii="Arial" w:cs="Arial" w:eastAsia="Arial" w:hAnsi="Arial"/>
                <w:sz w:val="26"/>
                <w:szCs w:val="26"/>
                <w:color w:val="auto"/>
              </w:rPr>
              <w:t>7%</w:t>
            </w:r>
          </w:p>
        </w:tc>
        <w:tc>
          <w:tcPr>
            <w:tcW w:w="1060" w:type="dxa"/>
            <w:vAlign w:val="bottom"/>
          </w:tcPr>
          <w:p>
            <w:pPr>
              <w:jc w:val="right"/>
              <w:ind w:right="233"/>
              <w:spacing w:after="0"/>
              <w:rPr>
                <w:sz w:val="20"/>
                <w:szCs w:val="20"/>
                <w:color w:val="auto"/>
              </w:rPr>
            </w:pPr>
            <w:r>
              <w:rPr>
                <w:rFonts w:ascii="Arial" w:cs="Arial" w:eastAsia="Arial" w:hAnsi="Arial"/>
                <w:sz w:val="26"/>
                <w:szCs w:val="26"/>
                <w:color w:val="auto"/>
              </w:rPr>
              <w:t>7%</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1,487</w:t>
            </w:r>
          </w:p>
        </w:tc>
        <w:tc>
          <w:tcPr>
            <w:tcW w:w="1040" w:type="dxa"/>
            <w:vAlign w:val="bottom"/>
          </w:tcPr>
          <w:p>
            <w:pPr>
              <w:jc w:val="right"/>
              <w:spacing w:after="0"/>
              <w:rPr>
                <w:sz w:val="20"/>
                <w:szCs w:val="20"/>
                <w:color w:val="auto"/>
              </w:rPr>
            </w:pPr>
            <w:r>
              <w:rPr>
                <w:rFonts w:ascii="Arial" w:cs="Arial" w:eastAsia="Arial" w:hAnsi="Arial"/>
                <w:sz w:val="26"/>
                <w:szCs w:val="26"/>
                <w:color w:val="auto"/>
              </w:rPr>
              <w:t>1,445</w:t>
            </w:r>
          </w:p>
        </w:tc>
        <w:tc>
          <w:tcPr>
            <w:tcW w:w="760" w:type="dxa"/>
            <w:vAlign w:val="bottom"/>
          </w:tcPr>
          <w:p>
            <w:pPr>
              <w:jc w:val="right"/>
              <w:spacing w:after="0"/>
              <w:rPr>
                <w:sz w:val="20"/>
                <w:szCs w:val="20"/>
                <w:color w:val="auto"/>
              </w:rPr>
            </w:pPr>
            <w:r>
              <w:rPr>
                <w:rFonts w:ascii="Arial" w:cs="Arial" w:eastAsia="Arial" w:hAnsi="Arial"/>
                <w:sz w:val="26"/>
                <w:szCs w:val="26"/>
                <w:color w:val="auto"/>
              </w:rPr>
              <w:t>3%</w:t>
            </w:r>
          </w:p>
        </w:tc>
        <w:tc>
          <w:tcPr>
            <w:tcW w:w="760" w:type="dxa"/>
            <w:vAlign w:val="bottom"/>
          </w:tcPr>
          <w:p>
            <w:pPr>
              <w:jc w:val="right"/>
              <w:spacing w:after="0"/>
              <w:rPr>
                <w:sz w:val="20"/>
                <w:szCs w:val="20"/>
                <w:color w:val="auto"/>
              </w:rPr>
            </w:pPr>
            <w:r>
              <w:rPr>
                <w:rFonts w:ascii="Arial" w:cs="Arial" w:eastAsia="Arial" w:hAnsi="Arial"/>
                <w:sz w:val="26"/>
                <w:szCs w:val="26"/>
                <w:color w:val="auto"/>
              </w:rPr>
              <w:t>12%</w:t>
            </w:r>
          </w:p>
        </w:tc>
        <w:tc>
          <w:tcPr>
            <w:tcW w:w="0" w:type="dxa"/>
            <w:vAlign w:val="bottom"/>
          </w:tcPr>
          <w:p>
            <w:pPr>
              <w:spacing w:after="0"/>
              <w:rPr>
                <w:sz w:val="1"/>
                <w:szCs w:val="1"/>
                <w:color w:val="auto"/>
              </w:rPr>
            </w:pPr>
          </w:p>
        </w:tc>
      </w:tr>
      <w:tr>
        <w:trPr>
          <w:trHeight w:val="482"/>
        </w:trPr>
        <w:tc>
          <w:tcPr>
            <w:tcW w:w="1840" w:type="dxa"/>
            <w:vAlign w:val="bottom"/>
          </w:tcPr>
          <w:p>
            <w:pPr>
              <w:ind w:left="20"/>
              <w:spacing w:after="0"/>
              <w:rPr>
                <w:sz w:val="20"/>
                <w:szCs w:val="20"/>
                <w:color w:val="auto"/>
              </w:rPr>
            </w:pPr>
            <w:r>
              <w:rPr>
                <w:rFonts w:ascii="Arial" w:cs="Arial" w:eastAsia="Arial" w:hAnsi="Arial"/>
                <w:sz w:val="26"/>
                <w:szCs w:val="26"/>
                <w:b w:val="1"/>
                <w:bCs w:val="1"/>
                <w:color w:val="auto"/>
              </w:rPr>
              <w:t>OUP:</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20"/>
              <w:spacing w:after="0"/>
              <w:rPr>
                <w:sz w:val="20"/>
                <w:szCs w:val="20"/>
                <w:color w:val="auto"/>
              </w:rPr>
            </w:pPr>
            <w:r>
              <w:rPr>
                <w:rFonts w:ascii="Arial" w:cs="Arial" w:eastAsia="Arial" w:hAnsi="Arial"/>
                <w:sz w:val="26"/>
                <w:szCs w:val="26"/>
                <w:color w:val="auto"/>
              </w:rPr>
              <w:t>France</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51</w:t>
            </w:r>
          </w:p>
        </w:tc>
        <w:tc>
          <w:tcPr>
            <w:tcW w:w="1020" w:type="dxa"/>
            <w:vAlign w:val="bottom"/>
          </w:tcPr>
          <w:p>
            <w:pPr>
              <w:jc w:val="right"/>
              <w:ind w:right="15"/>
              <w:spacing w:after="0"/>
              <w:rPr>
                <w:sz w:val="20"/>
                <w:szCs w:val="20"/>
                <w:color w:val="auto"/>
              </w:rPr>
            </w:pPr>
            <w:r>
              <w:rPr>
                <w:rFonts w:ascii="Arial" w:cs="Arial" w:eastAsia="Arial" w:hAnsi="Arial"/>
                <w:sz w:val="26"/>
                <w:szCs w:val="26"/>
                <w:color w:val="auto"/>
              </w:rPr>
              <w:t>56</w:t>
            </w:r>
          </w:p>
        </w:tc>
        <w:tc>
          <w:tcPr>
            <w:tcW w:w="720" w:type="dxa"/>
            <w:vAlign w:val="bottom"/>
          </w:tcPr>
          <w:p>
            <w:pPr>
              <w:jc w:val="right"/>
              <w:spacing w:after="0"/>
              <w:rPr>
                <w:sz w:val="20"/>
                <w:szCs w:val="20"/>
                <w:color w:val="auto"/>
              </w:rPr>
            </w:pPr>
            <w:r>
              <w:rPr>
                <w:rFonts w:ascii="Arial" w:cs="Arial" w:eastAsia="Arial" w:hAnsi="Arial"/>
                <w:sz w:val="26"/>
                <w:szCs w:val="26"/>
                <w:color w:val="auto"/>
              </w:rPr>
              <w:t>-9%</w:t>
            </w:r>
          </w:p>
        </w:tc>
        <w:tc>
          <w:tcPr>
            <w:tcW w:w="1060" w:type="dxa"/>
            <w:vAlign w:val="bottom"/>
          </w:tcPr>
          <w:p>
            <w:pPr>
              <w:jc w:val="right"/>
              <w:ind w:right="253"/>
              <w:spacing w:after="0"/>
              <w:rPr>
                <w:sz w:val="20"/>
                <w:szCs w:val="20"/>
                <w:color w:val="auto"/>
              </w:rPr>
            </w:pPr>
            <w:r>
              <w:rPr>
                <w:rFonts w:ascii="Arial" w:cs="Arial" w:eastAsia="Arial" w:hAnsi="Arial"/>
                <w:sz w:val="26"/>
                <w:szCs w:val="26"/>
                <w:color w:val="auto"/>
              </w:rPr>
              <w:t>-8%</w:t>
            </w:r>
          </w:p>
        </w:tc>
        <w:tc>
          <w:tcPr>
            <w:tcW w:w="1060" w:type="dxa"/>
            <w:vAlign w:val="bottom"/>
          </w:tcPr>
          <w:p>
            <w:pPr>
              <w:jc w:val="right"/>
              <w:ind w:right="53"/>
              <w:spacing w:after="0"/>
              <w:rPr>
                <w:sz w:val="20"/>
                <w:szCs w:val="20"/>
                <w:color w:val="auto"/>
              </w:rPr>
            </w:pPr>
            <w:r>
              <w:rPr>
                <w:rFonts w:ascii="Arial" w:cs="Arial" w:eastAsia="Arial" w:hAnsi="Arial"/>
                <w:sz w:val="26"/>
                <w:szCs w:val="26"/>
                <w:color w:val="auto"/>
              </w:rPr>
              <w:t>48</w:t>
            </w:r>
          </w:p>
        </w:tc>
        <w:tc>
          <w:tcPr>
            <w:tcW w:w="1040" w:type="dxa"/>
            <w:vAlign w:val="bottom"/>
          </w:tcPr>
          <w:p>
            <w:pPr>
              <w:jc w:val="right"/>
              <w:ind w:right="15"/>
              <w:spacing w:after="0"/>
              <w:rPr>
                <w:sz w:val="20"/>
                <w:szCs w:val="20"/>
                <w:color w:val="auto"/>
              </w:rPr>
            </w:pPr>
            <w:r>
              <w:rPr>
                <w:rFonts w:ascii="Arial" w:cs="Arial" w:eastAsia="Arial" w:hAnsi="Arial"/>
                <w:sz w:val="26"/>
                <w:szCs w:val="26"/>
                <w:color w:val="auto"/>
              </w:rPr>
              <w:t>55</w:t>
            </w:r>
          </w:p>
        </w:tc>
        <w:tc>
          <w:tcPr>
            <w:tcW w:w="760" w:type="dxa"/>
            <w:vAlign w:val="bottom"/>
          </w:tcPr>
          <w:p>
            <w:pPr>
              <w:jc w:val="right"/>
              <w:spacing w:after="0"/>
              <w:rPr>
                <w:sz w:val="20"/>
                <w:szCs w:val="20"/>
                <w:color w:val="auto"/>
              </w:rPr>
            </w:pPr>
            <w:r>
              <w:rPr>
                <w:rFonts w:ascii="Arial" w:cs="Arial" w:eastAsia="Arial" w:hAnsi="Arial"/>
                <w:sz w:val="26"/>
                <w:szCs w:val="26"/>
                <w:color w:val="auto"/>
              </w:rPr>
              <w:t>-14%</w:t>
            </w:r>
          </w:p>
        </w:tc>
        <w:tc>
          <w:tcPr>
            <w:tcW w:w="760" w:type="dxa"/>
            <w:vAlign w:val="bottom"/>
          </w:tcPr>
          <w:p>
            <w:pPr>
              <w:jc w:val="right"/>
              <w:spacing w:after="0"/>
              <w:rPr>
                <w:sz w:val="20"/>
                <w:szCs w:val="20"/>
                <w:color w:val="auto"/>
              </w:rPr>
            </w:pPr>
            <w:r>
              <w:rPr>
                <w:rFonts w:ascii="Arial" w:cs="Arial" w:eastAsia="Arial" w:hAnsi="Arial"/>
                <w:sz w:val="26"/>
                <w:szCs w:val="26"/>
                <w:color w:val="auto"/>
              </w:rPr>
              <w:t>-6%</w:t>
            </w:r>
          </w:p>
        </w:tc>
        <w:tc>
          <w:tcPr>
            <w:tcW w:w="0" w:type="dxa"/>
            <w:vAlign w:val="bottom"/>
          </w:tcPr>
          <w:p>
            <w:pPr>
              <w:spacing w:after="0"/>
              <w:rPr>
                <w:sz w:val="1"/>
                <w:szCs w:val="1"/>
                <w:color w:val="auto"/>
              </w:rPr>
            </w:pPr>
          </w:p>
        </w:tc>
      </w:tr>
      <w:tr>
        <w:trPr>
          <w:trHeight w:val="317"/>
        </w:trPr>
        <w:tc>
          <w:tcPr>
            <w:tcW w:w="1840" w:type="dxa"/>
            <w:vAlign w:val="bottom"/>
          </w:tcPr>
          <w:p>
            <w:pPr>
              <w:ind w:left="20"/>
              <w:spacing w:after="0"/>
              <w:rPr>
                <w:sz w:val="20"/>
                <w:szCs w:val="20"/>
                <w:color w:val="auto"/>
              </w:rPr>
            </w:pPr>
            <w:r>
              <w:rPr>
                <w:rFonts w:ascii="Arial" w:cs="Arial" w:eastAsia="Arial" w:hAnsi="Arial"/>
                <w:sz w:val="26"/>
                <w:szCs w:val="26"/>
                <w:color w:val="auto"/>
              </w:rPr>
              <w:t>EMEA</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46</w:t>
            </w:r>
          </w:p>
        </w:tc>
        <w:tc>
          <w:tcPr>
            <w:tcW w:w="1020" w:type="dxa"/>
            <w:vAlign w:val="bottom"/>
          </w:tcPr>
          <w:p>
            <w:pPr>
              <w:jc w:val="right"/>
              <w:ind w:right="15"/>
              <w:spacing w:after="0"/>
              <w:rPr>
                <w:sz w:val="20"/>
                <w:szCs w:val="20"/>
                <w:color w:val="auto"/>
              </w:rPr>
            </w:pPr>
            <w:r>
              <w:rPr>
                <w:rFonts w:ascii="Arial" w:cs="Arial" w:eastAsia="Arial" w:hAnsi="Arial"/>
                <w:sz w:val="26"/>
                <w:szCs w:val="26"/>
                <w:color w:val="auto"/>
              </w:rPr>
              <w:t>34</w:t>
            </w:r>
          </w:p>
        </w:tc>
        <w:tc>
          <w:tcPr>
            <w:tcW w:w="720" w:type="dxa"/>
            <w:vAlign w:val="bottom"/>
          </w:tcPr>
          <w:p>
            <w:pPr>
              <w:jc w:val="right"/>
              <w:spacing w:after="0"/>
              <w:rPr>
                <w:sz w:val="20"/>
                <w:szCs w:val="20"/>
                <w:color w:val="auto"/>
              </w:rPr>
            </w:pPr>
            <w:r>
              <w:rPr>
                <w:rFonts w:ascii="Arial" w:cs="Arial" w:eastAsia="Arial" w:hAnsi="Arial"/>
                <w:sz w:val="26"/>
                <w:szCs w:val="26"/>
                <w:color w:val="auto"/>
              </w:rPr>
              <w:t>35%</w:t>
            </w:r>
          </w:p>
        </w:tc>
        <w:tc>
          <w:tcPr>
            <w:tcW w:w="1060" w:type="dxa"/>
            <w:vAlign w:val="bottom"/>
          </w:tcPr>
          <w:p>
            <w:pPr>
              <w:jc w:val="right"/>
              <w:ind w:right="253"/>
              <w:spacing w:after="0"/>
              <w:rPr>
                <w:sz w:val="20"/>
                <w:szCs w:val="20"/>
                <w:color w:val="auto"/>
              </w:rPr>
            </w:pPr>
            <w:r>
              <w:rPr>
                <w:rFonts w:ascii="Arial" w:cs="Arial" w:eastAsia="Arial" w:hAnsi="Arial"/>
                <w:sz w:val="26"/>
                <w:szCs w:val="26"/>
                <w:color w:val="auto"/>
              </w:rPr>
              <w:t>36%</w:t>
            </w:r>
          </w:p>
        </w:tc>
        <w:tc>
          <w:tcPr>
            <w:tcW w:w="1060" w:type="dxa"/>
            <w:vAlign w:val="bottom"/>
          </w:tcPr>
          <w:p>
            <w:pPr>
              <w:jc w:val="right"/>
              <w:ind w:right="53"/>
              <w:spacing w:after="0"/>
              <w:rPr>
                <w:sz w:val="20"/>
                <w:szCs w:val="20"/>
                <w:color w:val="auto"/>
              </w:rPr>
            </w:pPr>
            <w:r>
              <w:rPr>
                <w:rFonts w:ascii="Arial" w:cs="Arial" w:eastAsia="Arial" w:hAnsi="Arial"/>
                <w:sz w:val="26"/>
                <w:szCs w:val="26"/>
                <w:color w:val="auto"/>
              </w:rPr>
              <w:t>54</w:t>
            </w:r>
          </w:p>
        </w:tc>
        <w:tc>
          <w:tcPr>
            <w:tcW w:w="1040" w:type="dxa"/>
            <w:vAlign w:val="bottom"/>
          </w:tcPr>
          <w:p>
            <w:pPr>
              <w:jc w:val="right"/>
              <w:ind w:right="15"/>
              <w:spacing w:after="0"/>
              <w:rPr>
                <w:sz w:val="20"/>
                <w:szCs w:val="20"/>
                <w:color w:val="auto"/>
              </w:rPr>
            </w:pPr>
            <w:r>
              <w:rPr>
                <w:rFonts w:ascii="Arial" w:cs="Arial" w:eastAsia="Arial" w:hAnsi="Arial"/>
                <w:sz w:val="26"/>
                <w:szCs w:val="26"/>
                <w:color w:val="auto"/>
              </w:rPr>
              <w:t>41</w:t>
            </w:r>
          </w:p>
        </w:tc>
        <w:tc>
          <w:tcPr>
            <w:tcW w:w="760" w:type="dxa"/>
            <w:vAlign w:val="bottom"/>
          </w:tcPr>
          <w:p>
            <w:pPr>
              <w:jc w:val="right"/>
              <w:spacing w:after="0"/>
              <w:rPr>
                <w:sz w:val="20"/>
                <w:szCs w:val="20"/>
                <w:color w:val="auto"/>
              </w:rPr>
            </w:pPr>
            <w:r>
              <w:rPr>
                <w:rFonts w:ascii="Arial" w:cs="Arial" w:eastAsia="Arial" w:hAnsi="Arial"/>
                <w:sz w:val="26"/>
                <w:szCs w:val="26"/>
                <w:color w:val="auto"/>
              </w:rPr>
              <w:t>30%</w:t>
            </w:r>
          </w:p>
        </w:tc>
        <w:tc>
          <w:tcPr>
            <w:tcW w:w="760" w:type="dxa"/>
            <w:vAlign w:val="bottom"/>
          </w:tcPr>
          <w:p>
            <w:pPr>
              <w:jc w:val="right"/>
              <w:spacing w:after="0"/>
              <w:rPr>
                <w:sz w:val="20"/>
                <w:szCs w:val="20"/>
                <w:color w:val="auto"/>
              </w:rPr>
            </w:pPr>
            <w:r>
              <w:rPr>
                <w:rFonts w:ascii="Arial" w:cs="Arial" w:eastAsia="Arial" w:hAnsi="Arial"/>
                <w:sz w:val="26"/>
                <w:szCs w:val="26"/>
                <w:color w:val="auto"/>
              </w:rPr>
              <w:t>42%</w:t>
            </w:r>
          </w:p>
        </w:tc>
        <w:tc>
          <w:tcPr>
            <w:tcW w:w="0" w:type="dxa"/>
            <w:vAlign w:val="bottom"/>
          </w:tcPr>
          <w:p>
            <w:pPr>
              <w:spacing w:after="0"/>
              <w:rPr>
                <w:sz w:val="1"/>
                <w:szCs w:val="1"/>
                <w:color w:val="auto"/>
              </w:rPr>
            </w:pPr>
          </w:p>
        </w:tc>
      </w:tr>
      <w:tr>
        <w:trPr>
          <w:trHeight w:val="352"/>
        </w:trPr>
        <w:tc>
          <w:tcPr>
            <w:tcW w:w="1840" w:type="dxa"/>
            <w:vAlign w:val="bottom"/>
            <w:vMerge w:val="restart"/>
          </w:tcPr>
          <w:p>
            <w:pPr>
              <w:ind w:left="20"/>
              <w:spacing w:after="0"/>
              <w:rPr>
                <w:sz w:val="20"/>
                <w:szCs w:val="20"/>
                <w:color w:val="auto"/>
              </w:rPr>
            </w:pPr>
            <w:r>
              <w:rPr>
                <w:rFonts w:ascii="Arial" w:cs="Arial" w:eastAsia="Arial" w:hAnsi="Arial"/>
                <w:sz w:val="26"/>
                <w:szCs w:val="26"/>
                <w:b w:val="1"/>
                <w:bCs w:val="1"/>
                <w:color w:val="auto"/>
              </w:rPr>
              <w:t>Revenue:</w:t>
            </w:r>
          </w:p>
        </w:tc>
        <w:tc>
          <w:tcPr>
            <w:tcW w:w="100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22"/>
                <w:szCs w:val="22"/>
                <w:b w:val="1"/>
                <w:bCs w:val="1"/>
                <w:color w:val="D47C18"/>
              </w:rPr>
              <w:t>YTD Restated</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0" w:type="dxa"/>
            <w:vAlign w:val="bottom"/>
            <w:gridSpan w:val="2"/>
          </w:tcPr>
          <w:p>
            <w:pPr>
              <w:jc w:val="right"/>
              <w:ind w:right="53"/>
              <w:spacing w:after="0"/>
              <w:rPr>
                <w:sz w:val="20"/>
                <w:szCs w:val="20"/>
                <w:color w:val="auto"/>
              </w:rPr>
            </w:pPr>
            <w:r>
              <w:rPr>
                <w:rFonts w:ascii="Arial" w:cs="Arial" w:eastAsia="Arial" w:hAnsi="Arial"/>
                <w:sz w:val="22"/>
                <w:szCs w:val="22"/>
                <w:b w:val="1"/>
                <w:bCs w:val="1"/>
                <w:color w:val="D47C18"/>
              </w:rPr>
              <w:t>YTD Restated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20"/>
              <w:spacing w:after="0"/>
              <w:rPr>
                <w:sz w:val="20"/>
                <w:szCs w:val="20"/>
                <w:color w:val="auto"/>
              </w:rPr>
            </w:pPr>
            <w:r>
              <w:rPr>
                <w:rFonts w:ascii="Arial" w:cs="Arial" w:eastAsia="Arial" w:hAnsi="Arial"/>
                <w:sz w:val="26"/>
                <w:szCs w:val="26"/>
                <w:color w:val="auto"/>
              </w:rPr>
              <w:t>France</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4,114</w:t>
            </w:r>
          </w:p>
        </w:tc>
        <w:tc>
          <w:tcPr>
            <w:tcW w:w="1020" w:type="dxa"/>
            <w:vAlign w:val="bottom"/>
          </w:tcPr>
          <w:p>
            <w:pPr>
              <w:jc w:val="right"/>
              <w:spacing w:after="0"/>
              <w:rPr>
                <w:sz w:val="20"/>
                <w:szCs w:val="20"/>
                <w:color w:val="auto"/>
              </w:rPr>
            </w:pPr>
            <w:r>
              <w:rPr>
                <w:rFonts w:ascii="Arial" w:cs="Arial" w:eastAsia="Arial" w:hAnsi="Arial"/>
                <w:sz w:val="26"/>
                <w:szCs w:val="26"/>
                <w:color w:val="auto"/>
              </w:rPr>
              <w:t>3,799</w:t>
            </w:r>
          </w:p>
        </w:tc>
        <w:tc>
          <w:tcPr>
            <w:tcW w:w="720" w:type="dxa"/>
            <w:vAlign w:val="bottom"/>
          </w:tcPr>
          <w:p>
            <w:pPr>
              <w:jc w:val="right"/>
              <w:spacing w:after="0"/>
              <w:rPr>
                <w:sz w:val="20"/>
                <w:szCs w:val="20"/>
                <w:color w:val="auto"/>
              </w:rPr>
            </w:pPr>
            <w:r>
              <w:rPr>
                <w:rFonts w:ascii="Arial" w:cs="Arial" w:eastAsia="Arial" w:hAnsi="Arial"/>
                <w:sz w:val="26"/>
                <w:szCs w:val="26"/>
                <w:color w:val="auto"/>
              </w:rPr>
              <w:t>8%</w:t>
            </w:r>
          </w:p>
        </w:tc>
        <w:tc>
          <w:tcPr>
            <w:tcW w:w="1060" w:type="dxa"/>
            <w:vAlign w:val="bottom"/>
          </w:tcPr>
          <w:p>
            <w:pPr>
              <w:jc w:val="right"/>
              <w:ind w:right="233"/>
              <w:spacing w:after="0"/>
              <w:rPr>
                <w:sz w:val="20"/>
                <w:szCs w:val="20"/>
                <w:color w:val="auto"/>
              </w:rPr>
            </w:pPr>
            <w:r>
              <w:rPr>
                <w:rFonts w:ascii="Arial" w:cs="Arial" w:eastAsia="Arial" w:hAnsi="Arial"/>
                <w:sz w:val="26"/>
                <w:szCs w:val="26"/>
                <w:color w:val="auto"/>
              </w:rPr>
              <w:t>5%</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5,476</w:t>
            </w:r>
          </w:p>
        </w:tc>
        <w:tc>
          <w:tcPr>
            <w:tcW w:w="1040" w:type="dxa"/>
            <w:vAlign w:val="bottom"/>
          </w:tcPr>
          <w:p>
            <w:pPr>
              <w:jc w:val="right"/>
              <w:spacing w:after="0"/>
              <w:rPr>
                <w:sz w:val="20"/>
                <w:szCs w:val="20"/>
                <w:color w:val="auto"/>
              </w:rPr>
            </w:pPr>
            <w:r>
              <w:rPr>
                <w:rFonts w:ascii="Arial" w:cs="Arial" w:eastAsia="Arial" w:hAnsi="Arial"/>
                <w:sz w:val="26"/>
                <w:szCs w:val="26"/>
                <w:color w:val="auto"/>
              </w:rPr>
              <w:t>5,200</w:t>
            </w:r>
          </w:p>
        </w:tc>
        <w:tc>
          <w:tcPr>
            <w:tcW w:w="760" w:type="dxa"/>
            <w:vAlign w:val="bottom"/>
          </w:tcPr>
          <w:p>
            <w:pPr>
              <w:jc w:val="right"/>
              <w:spacing w:after="0"/>
              <w:rPr>
                <w:sz w:val="20"/>
                <w:szCs w:val="20"/>
                <w:color w:val="auto"/>
              </w:rPr>
            </w:pPr>
            <w:r>
              <w:rPr>
                <w:rFonts w:ascii="Arial" w:cs="Arial" w:eastAsia="Arial" w:hAnsi="Arial"/>
                <w:sz w:val="26"/>
                <w:szCs w:val="26"/>
                <w:color w:val="auto"/>
              </w:rPr>
              <w:t>5%</w:t>
            </w:r>
          </w:p>
        </w:tc>
        <w:tc>
          <w:tcPr>
            <w:tcW w:w="760" w:type="dxa"/>
            <w:vAlign w:val="bottom"/>
          </w:tcPr>
          <w:p>
            <w:pPr>
              <w:jc w:val="right"/>
              <w:spacing w:after="0"/>
              <w:rPr>
                <w:sz w:val="20"/>
                <w:szCs w:val="20"/>
                <w:color w:val="auto"/>
              </w:rPr>
            </w:pPr>
            <w:r>
              <w:rPr>
                <w:rFonts w:ascii="Arial" w:cs="Arial" w:eastAsia="Arial" w:hAnsi="Arial"/>
                <w:sz w:val="26"/>
                <w:szCs w:val="26"/>
                <w:color w:val="auto"/>
              </w:rPr>
              <w:t>6%</w:t>
            </w:r>
          </w:p>
        </w:tc>
        <w:tc>
          <w:tcPr>
            <w:tcW w:w="0" w:type="dxa"/>
            <w:vAlign w:val="bottom"/>
          </w:tcPr>
          <w:p>
            <w:pPr>
              <w:spacing w:after="0"/>
              <w:rPr>
                <w:sz w:val="1"/>
                <w:szCs w:val="1"/>
                <w:color w:val="auto"/>
              </w:rPr>
            </w:pPr>
          </w:p>
        </w:tc>
      </w:tr>
      <w:tr>
        <w:trPr>
          <w:trHeight w:val="317"/>
        </w:trPr>
        <w:tc>
          <w:tcPr>
            <w:tcW w:w="1840" w:type="dxa"/>
            <w:vAlign w:val="bottom"/>
          </w:tcPr>
          <w:p>
            <w:pPr>
              <w:ind w:left="20"/>
              <w:spacing w:after="0"/>
              <w:rPr>
                <w:sz w:val="20"/>
                <w:szCs w:val="20"/>
                <w:color w:val="auto"/>
              </w:rPr>
            </w:pPr>
            <w:r>
              <w:rPr>
                <w:rFonts w:ascii="Arial" w:cs="Arial" w:eastAsia="Arial" w:hAnsi="Arial"/>
                <w:sz w:val="26"/>
                <w:szCs w:val="26"/>
                <w:color w:val="auto"/>
              </w:rPr>
              <w:t>EMEA</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4,174</w:t>
            </w:r>
          </w:p>
        </w:tc>
        <w:tc>
          <w:tcPr>
            <w:tcW w:w="1020" w:type="dxa"/>
            <w:vAlign w:val="bottom"/>
          </w:tcPr>
          <w:p>
            <w:pPr>
              <w:jc w:val="right"/>
              <w:spacing w:after="0"/>
              <w:rPr>
                <w:sz w:val="20"/>
                <w:szCs w:val="20"/>
                <w:color w:val="auto"/>
              </w:rPr>
            </w:pPr>
            <w:r>
              <w:rPr>
                <w:rFonts w:ascii="Arial" w:cs="Arial" w:eastAsia="Arial" w:hAnsi="Arial"/>
                <w:sz w:val="26"/>
                <w:szCs w:val="26"/>
                <w:color w:val="auto"/>
              </w:rPr>
              <w:t>3,666</w:t>
            </w:r>
          </w:p>
        </w:tc>
        <w:tc>
          <w:tcPr>
            <w:tcW w:w="720" w:type="dxa"/>
            <w:vAlign w:val="bottom"/>
          </w:tcPr>
          <w:p>
            <w:pPr>
              <w:jc w:val="right"/>
              <w:spacing w:after="0"/>
              <w:rPr>
                <w:sz w:val="20"/>
                <w:szCs w:val="20"/>
                <w:color w:val="auto"/>
              </w:rPr>
            </w:pPr>
            <w:r>
              <w:rPr>
                <w:rFonts w:ascii="Arial" w:cs="Arial" w:eastAsia="Arial" w:hAnsi="Arial"/>
                <w:sz w:val="26"/>
                <w:szCs w:val="26"/>
                <w:color w:val="auto"/>
              </w:rPr>
              <w:t>14%</w:t>
            </w:r>
          </w:p>
        </w:tc>
        <w:tc>
          <w:tcPr>
            <w:tcW w:w="1060" w:type="dxa"/>
            <w:vAlign w:val="bottom"/>
          </w:tcPr>
          <w:p>
            <w:pPr>
              <w:jc w:val="right"/>
              <w:ind w:right="253"/>
              <w:spacing w:after="0"/>
              <w:rPr>
                <w:sz w:val="20"/>
                <w:szCs w:val="20"/>
                <w:color w:val="auto"/>
              </w:rPr>
            </w:pPr>
            <w:r>
              <w:rPr>
                <w:rFonts w:ascii="Arial" w:cs="Arial" w:eastAsia="Arial" w:hAnsi="Arial"/>
                <w:sz w:val="26"/>
                <w:szCs w:val="26"/>
                <w:color w:val="auto"/>
              </w:rPr>
              <w:t>11%</w:t>
            </w:r>
          </w:p>
        </w:tc>
        <w:tc>
          <w:tcPr>
            <w:tcW w:w="1060" w:type="dxa"/>
            <w:vAlign w:val="bottom"/>
          </w:tcPr>
          <w:p>
            <w:pPr>
              <w:jc w:val="right"/>
              <w:ind w:right="33"/>
              <w:spacing w:after="0"/>
              <w:rPr>
                <w:sz w:val="20"/>
                <w:szCs w:val="20"/>
                <w:color w:val="auto"/>
              </w:rPr>
            </w:pPr>
            <w:r>
              <w:rPr>
                <w:rFonts w:ascii="Arial" w:cs="Arial" w:eastAsia="Arial" w:hAnsi="Arial"/>
                <w:sz w:val="26"/>
                <w:szCs w:val="26"/>
                <w:color w:val="auto"/>
              </w:rPr>
              <w:t>5,661</w:t>
            </w:r>
          </w:p>
        </w:tc>
        <w:tc>
          <w:tcPr>
            <w:tcW w:w="1040" w:type="dxa"/>
            <w:vAlign w:val="bottom"/>
          </w:tcPr>
          <w:p>
            <w:pPr>
              <w:jc w:val="right"/>
              <w:spacing w:after="0"/>
              <w:rPr>
                <w:sz w:val="20"/>
                <w:szCs w:val="20"/>
                <w:color w:val="auto"/>
              </w:rPr>
            </w:pPr>
            <w:r>
              <w:rPr>
                <w:rFonts w:ascii="Arial" w:cs="Arial" w:eastAsia="Arial" w:hAnsi="Arial"/>
                <w:sz w:val="26"/>
                <w:szCs w:val="26"/>
                <w:color w:val="auto"/>
              </w:rPr>
              <w:t>5,111</w:t>
            </w:r>
          </w:p>
        </w:tc>
        <w:tc>
          <w:tcPr>
            <w:tcW w:w="760" w:type="dxa"/>
            <w:vAlign w:val="bottom"/>
          </w:tcPr>
          <w:p>
            <w:pPr>
              <w:jc w:val="right"/>
              <w:spacing w:after="0"/>
              <w:rPr>
                <w:sz w:val="20"/>
                <w:szCs w:val="20"/>
                <w:color w:val="auto"/>
              </w:rPr>
            </w:pPr>
            <w:r>
              <w:rPr>
                <w:rFonts w:ascii="Arial" w:cs="Arial" w:eastAsia="Arial" w:hAnsi="Arial"/>
                <w:sz w:val="26"/>
                <w:szCs w:val="26"/>
                <w:color w:val="auto"/>
              </w:rPr>
              <w:t>11%</w:t>
            </w:r>
          </w:p>
        </w:tc>
        <w:tc>
          <w:tcPr>
            <w:tcW w:w="760" w:type="dxa"/>
            <w:vAlign w:val="bottom"/>
          </w:tcPr>
          <w:p>
            <w:pPr>
              <w:jc w:val="right"/>
              <w:spacing w:after="0"/>
              <w:rPr>
                <w:sz w:val="20"/>
                <w:szCs w:val="20"/>
                <w:color w:val="auto"/>
              </w:rPr>
            </w:pPr>
            <w:r>
              <w:rPr>
                <w:rFonts w:ascii="Arial" w:cs="Arial" w:eastAsia="Arial" w:hAnsi="Arial"/>
                <w:sz w:val="26"/>
                <w:szCs w:val="26"/>
                <w:color w:val="auto"/>
              </w:rPr>
              <w:t>11%</w:t>
            </w:r>
          </w:p>
        </w:tc>
        <w:tc>
          <w:tcPr>
            <w:tcW w:w="0" w:type="dxa"/>
            <w:vAlign w:val="bottom"/>
          </w:tcPr>
          <w:p>
            <w:pPr>
              <w:spacing w:after="0"/>
              <w:rPr>
                <w:sz w:val="1"/>
                <w:szCs w:val="1"/>
                <w:color w:val="auto"/>
              </w:rPr>
            </w:pPr>
          </w:p>
        </w:tc>
      </w:tr>
      <w:tr>
        <w:trPr>
          <w:trHeight w:val="482"/>
        </w:trPr>
        <w:tc>
          <w:tcPr>
            <w:tcW w:w="1840" w:type="dxa"/>
            <w:vAlign w:val="bottom"/>
          </w:tcPr>
          <w:p>
            <w:pPr>
              <w:ind w:left="20"/>
              <w:spacing w:after="0"/>
              <w:rPr>
                <w:sz w:val="20"/>
                <w:szCs w:val="20"/>
                <w:color w:val="auto"/>
              </w:rPr>
            </w:pPr>
            <w:r>
              <w:rPr>
                <w:rFonts w:ascii="Arial" w:cs="Arial" w:eastAsia="Arial" w:hAnsi="Arial"/>
                <w:sz w:val="26"/>
                <w:szCs w:val="26"/>
                <w:b w:val="1"/>
                <w:bCs w:val="1"/>
                <w:color w:val="auto"/>
              </w:rPr>
              <w:t>OUP:</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1840" w:type="dxa"/>
            <w:vAlign w:val="bottom"/>
          </w:tcPr>
          <w:p>
            <w:pPr>
              <w:ind w:left="20"/>
              <w:spacing w:after="0"/>
              <w:rPr>
                <w:sz w:val="20"/>
                <w:szCs w:val="20"/>
                <w:color w:val="auto"/>
              </w:rPr>
            </w:pPr>
            <w:r>
              <w:rPr>
                <w:rFonts w:ascii="Arial" w:cs="Arial" w:eastAsia="Arial" w:hAnsi="Arial"/>
                <w:sz w:val="26"/>
                <w:szCs w:val="26"/>
                <w:color w:val="auto"/>
              </w:rPr>
              <w:t>France</w:t>
            </w:r>
          </w:p>
        </w:tc>
        <w:tc>
          <w:tcPr>
            <w:tcW w:w="1000" w:type="dxa"/>
            <w:vAlign w:val="bottom"/>
          </w:tcPr>
          <w:p>
            <w:pPr>
              <w:jc w:val="right"/>
              <w:ind w:right="73"/>
              <w:spacing w:after="0"/>
              <w:rPr>
                <w:sz w:val="20"/>
                <w:szCs w:val="20"/>
                <w:color w:val="auto"/>
              </w:rPr>
            </w:pPr>
            <w:r>
              <w:rPr>
                <w:rFonts w:ascii="Arial" w:cs="Arial" w:eastAsia="Arial" w:hAnsi="Arial"/>
                <w:sz w:val="26"/>
                <w:szCs w:val="26"/>
                <w:color w:val="auto"/>
              </w:rPr>
              <w:t>121</w:t>
            </w:r>
          </w:p>
        </w:tc>
        <w:tc>
          <w:tcPr>
            <w:tcW w:w="1020" w:type="dxa"/>
            <w:vAlign w:val="bottom"/>
          </w:tcPr>
          <w:p>
            <w:pPr>
              <w:jc w:val="right"/>
              <w:spacing w:after="0"/>
              <w:rPr>
                <w:sz w:val="20"/>
                <w:szCs w:val="20"/>
                <w:color w:val="auto"/>
              </w:rPr>
            </w:pPr>
            <w:r>
              <w:rPr>
                <w:rFonts w:ascii="Arial" w:cs="Arial" w:eastAsia="Arial" w:hAnsi="Arial"/>
                <w:sz w:val="26"/>
                <w:szCs w:val="26"/>
                <w:color w:val="auto"/>
              </w:rPr>
              <w:t>124</w:t>
            </w:r>
          </w:p>
        </w:tc>
        <w:tc>
          <w:tcPr>
            <w:tcW w:w="720" w:type="dxa"/>
            <w:vAlign w:val="bottom"/>
          </w:tcPr>
          <w:p>
            <w:pPr>
              <w:jc w:val="right"/>
              <w:spacing w:after="0"/>
              <w:rPr>
                <w:sz w:val="20"/>
                <w:szCs w:val="20"/>
                <w:color w:val="auto"/>
              </w:rPr>
            </w:pPr>
            <w:r>
              <w:rPr>
                <w:rFonts w:ascii="Arial" w:cs="Arial" w:eastAsia="Arial" w:hAnsi="Arial"/>
                <w:sz w:val="26"/>
                <w:szCs w:val="26"/>
                <w:color w:val="auto"/>
              </w:rPr>
              <w:t>-2%</w:t>
            </w:r>
          </w:p>
        </w:tc>
        <w:tc>
          <w:tcPr>
            <w:tcW w:w="1060" w:type="dxa"/>
            <w:vAlign w:val="bottom"/>
          </w:tcPr>
          <w:p>
            <w:pPr>
              <w:jc w:val="right"/>
              <w:ind w:right="253"/>
              <w:spacing w:after="0"/>
              <w:rPr>
                <w:sz w:val="20"/>
                <w:szCs w:val="20"/>
                <w:color w:val="auto"/>
              </w:rPr>
            </w:pPr>
            <w:r>
              <w:rPr>
                <w:rFonts w:ascii="Arial" w:cs="Arial" w:eastAsia="Arial" w:hAnsi="Arial"/>
                <w:sz w:val="26"/>
                <w:szCs w:val="26"/>
                <w:color w:val="auto"/>
              </w:rPr>
              <w:t>-5%</w:t>
            </w:r>
          </w:p>
        </w:tc>
        <w:tc>
          <w:tcPr>
            <w:tcW w:w="1060" w:type="dxa"/>
            <w:vAlign w:val="bottom"/>
          </w:tcPr>
          <w:p>
            <w:pPr>
              <w:jc w:val="right"/>
              <w:ind w:right="53"/>
              <w:spacing w:after="0"/>
              <w:rPr>
                <w:sz w:val="20"/>
                <w:szCs w:val="20"/>
                <w:color w:val="auto"/>
              </w:rPr>
            </w:pPr>
            <w:r>
              <w:rPr>
                <w:rFonts w:ascii="Arial" w:cs="Arial" w:eastAsia="Arial" w:hAnsi="Arial"/>
                <w:sz w:val="26"/>
                <w:szCs w:val="26"/>
                <w:color w:val="auto"/>
              </w:rPr>
              <w:t>169</w:t>
            </w:r>
          </w:p>
        </w:tc>
        <w:tc>
          <w:tcPr>
            <w:tcW w:w="1040" w:type="dxa"/>
            <w:vAlign w:val="bottom"/>
          </w:tcPr>
          <w:p>
            <w:pPr>
              <w:jc w:val="right"/>
              <w:spacing w:after="0"/>
              <w:rPr>
                <w:sz w:val="20"/>
                <w:szCs w:val="20"/>
                <w:color w:val="auto"/>
              </w:rPr>
            </w:pPr>
            <w:r>
              <w:rPr>
                <w:rFonts w:ascii="Arial" w:cs="Arial" w:eastAsia="Arial" w:hAnsi="Arial"/>
                <w:sz w:val="26"/>
                <w:szCs w:val="26"/>
                <w:color w:val="auto"/>
              </w:rPr>
              <w:t>179</w:t>
            </w:r>
          </w:p>
        </w:tc>
        <w:tc>
          <w:tcPr>
            <w:tcW w:w="760" w:type="dxa"/>
            <w:vAlign w:val="bottom"/>
          </w:tcPr>
          <w:p>
            <w:pPr>
              <w:jc w:val="right"/>
              <w:spacing w:after="0"/>
              <w:rPr>
                <w:sz w:val="20"/>
                <w:szCs w:val="20"/>
                <w:color w:val="auto"/>
              </w:rPr>
            </w:pPr>
            <w:r>
              <w:rPr>
                <w:rFonts w:ascii="Arial" w:cs="Arial" w:eastAsia="Arial" w:hAnsi="Arial"/>
                <w:sz w:val="26"/>
                <w:szCs w:val="26"/>
                <w:color w:val="auto"/>
              </w:rPr>
              <w:t>-6%</w:t>
            </w:r>
          </w:p>
        </w:tc>
        <w:tc>
          <w:tcPr>
            <w:tcW w:w="760" w:type="dxa"/>
            <w:vAlign w:val="bottom"/>
          </w:tcPr>
          <w:p>
            <w:pPr>
              <w:jc w:val="right"/>
              <w:spacing w:after="0"/>
              <w:rPr>
                <w:sz w:val="20"/>
                <w:szCs w:val="20"/>
                <w:color w:val="auto"/>
              </w:rPr>
            </w:pPr>
            <w:r>
              <w:rPr>
                <w:rFonts w:ascii="Arial" w:cs="Arial" w:eastAsia="Arial" w:hAnsi="Arial"/>
                <w:sz w:val="26"/>
                <w:szCs w:val="26"/>
                <w:color w:val="auto"/>
              </w:rPr>
              <w:t>-5%</w:t>
            </w:r>
          </w:p>
        </w:tc>
        <w:tc>
          <w:tcPr>
            <w:tcW w:w="0" w:type="dxa"/>
            <w:vAlign w:val="bottom"/>
          </w:tcPr>
          <w:p>
            <w:pPr>
              <w:spacing w:after="0"/>
              <w:rPr>
                <w:sz w:val="1"/>
                <w:szCs w:val="1"/>
                <w:color w:val="auto"/>
              </w:rPr>
            </w:pPr>
          </w:p>
        </w:tc>
      </w:tr>
      <w:tr>
        <w:trPr>
          <w:trHeight w:val="317"/>
        </w:trPr>
        <w:tc>
          <w:tcPr>
            <w:tcW w:w="1840" w:type="dxa"/>
            <w:vAlign w:val="bottom"/>
          </w:tcPr>
          <w:p>
            <w:pPr>
              <w:ind w:left="20"/>
              <w:spacing w:after="0"/>
              <w:rPr>
                <w:sz w:val="20"/>
                <w:szCs w:val="20"/>
                <w:color w:val="auto"/>
              </w:rPr>
            </w:pPr>
            <w:r>
              <w:rPr>
                <w:rFonts w:ascii="Arial" w:cs="Arial" w:eastAsia="Arial" w:hAnsi="Arial"/>
                <w:sz w:val="26"/>
                <w:szCs w:val="26"/>
                <w:color w:val="auto"/>
              </w:rPr>
              <w:t>EMEA</w:t>
            </w:r>
          </w:p>
        </w:tc>
        <w:tc>
          <w:tcPr>
            <w:tcW w:w="1000" w:type="dxa"/>
            <w:vAlign w:val="bottom"/>
          </w:tcPr>
          <w:p>
            <w:pPr>
              <w:jc w:val="right"/>
              <w:ind w:right="53"/>
              <w:spacing w:after="0"/>
              <w:rPr>
                <w:sz w:val="20"/>
                <w:szCs w:val="20"/>
                <w:color w:val="auto"/>
              </w:rPr>
            </w:pPr>
            <w:r>
              <w:rPr>
                <w:rFonts w:ascii="Arial" w:cs="Arial" w:eastAsia="Arial" w:hAnsi="Arial"/>
                <w:sz w:val="26"/>
                <w:szCs w:val="26"/>
                <w:color w:val="auto"/>
              </w:rPr>
              <w:t>98</w:t>
            </w:r>
          </w:p>
        </w:tc>
        <w:tc>
          <w:tcPr>
            <w:tcW w:w="1020" w:type="dxa"/>
            <w:vAlign w:val="bottom"/>
          </w:tcPr>
          <w:p>
            <w:pPr>
              <w:jc w:val="right"/>
              <w:ind w:right="15"/>
              <w:spacing w:after="0"/>
              <w:rPr>
                <w:sz w:val="20"/>
                <w:szCs w:val="20"/>
                <w:color w:val="auto"/>
              </w:rPr>
            </w:pPr>
            <w:r>
              <w:rPr>
                <w:rFonts w:ascii="Arial" w:cs="Arial" w:eastAsia="Arial" w:hAnsi="Arial"/>
                <w:sz w:val="26"/>
                <w:szCs w:val="26"/>
                <w:color w:val="auto"/>
              </w:rPr>
              <w:t>74</w:t>
            </w:r>
          </w:p>
        </w:tc>
        <w:tc>
          <w:tcPr>
            <w:tcW w:w="720" w:type="dxa"/>
            <w:vAlign w:val="bottom"/>
          </w:tcPr>
          <w:p>
            <w:pPr>
              <w:jc w:val="right"/>
              <w:spacing w:after="0"/>
              <w:rPr>
                <w:sz w:val="20"/>
                <w:szCs w:val="20"/>
                <w:color w:val="auto"/>
              </w:rPr>
            </w:pPr>
            <w:r>
              <w:rPr>
                <w:rFonts w:ascii="Arial" w:cs="Arial" w:eastAsia="Arial" w:hAnsi="Arial"/>
                <w:sz w:val="26"/>
                <w:szCs w:val="26"/>
                <w:color w:val="auto"/>
              </w:rPr>
              <w:t>33%</w:t>
            </w:r>
          </w:p>
        </w:tc>
        <w:tc>
          <w:tcPr>
            <w:tcW w:w="1060" w:type="dxa"/>
            <w:vAlign w:val="bottom"/>
          </w:tcPr>
          <w:p>
            <w:pPr>
              <w:jc w:val="right"/>
              <w:ind w:right="253"/>
              <w:spacing w:after="0"/>
              <w:rPr>
                <w:sz w:val="20"/>
                <w:szCs w:val="20"/>
                <w:color w:val="auto"/>
              </w:rPr>
            </w:pPr>
            <w:r>
              <w:rPr>
                <w:rFonts w:ascii="Arial" w:cs="Arial" w:eastAsia="Arial" w:hAnsi="Arial"/>
                <w:sz w:val="26"/>
                <w:szCs w:val="26"/>
                <w:color w:val="auto"/>
              </w:rPr>
              <w:t>30%</w:t>
            </w:r>
          </w:p>
        </w:tc>
        <w:tc>
          <w:tcPr>
            <w:tcW w:w="1060" w:type="dxa"/>
            <w:vAlign w:val="bottom"/>
          </w:tcPr>
          <w:p>
            <w:pPr>
              <w:jc w:val="right"/>
              <w:ind w:right="53"/>
              <w:spacing w:after="0"/>
              <w:rPr>
                <w:sz w:val="20"/>
                <w:szCs w:val="20"/>
                <w:color w:val="auto"/>
              </w:rPr>
            </w:pPr>
            <w:r>
              <w:rPr>
                <w:rFonts w:ascii="Arial" w:cs="Arial" w:eastAsia="Arial" w:hAnsi="Arial"/>
                <w:sz w:val="26"/>
                <w:szCs w:val="26"/>
                <w:color w:val="auto"/>
              </w:rPr>
              <w:t>152</w:t>
            </w:r>
          </w:p>
        </w:tc>
        <w:tc>
          <w:tcPr>
            <w:tcW w:w="1040" w:type="dxa"/>
            <w:vAlign w:val="bottom"/>
          </w:tcPr>
          <w:p>
            <w:pPr>
              <w:jc w:val="right"/>
              <w:spacing w:after="0"/>
              <w:rPr>
                <w:sz w:val="20"/>
                <w:szCs w:val="20"/>
                <w:color w:val="auto"/>
              </w:rPr>
            </w:pPr>
            <w:r>
              <w:rPr>
                <w:rFonts w:ascii="Arial" w:cs="Arial" w:eastAsia="Arial" w:hAnsi="Arial"/>
                <w:sz w:val="26"/>
                <w:szCs w:val="26"/>
                <w:color w:val="auto"/>
              </w:rPr>
              <w:t>115</w:t>
            </w:r>
          </w:p>
        </w:tc>
        <w:tc>
          <w:tcPr>
            <w:tcW w:w="760" w:type="dxa"/>
            <w:vAlign w:val="bottom"/>
          </w:tcPr>
          <w:p>
            <w:pPr>
              <w:jc w:val="right"/>
              <w:spacing w:after="0"/>
              <w:rPr>
                <w:sz w:val="20"/>
                <w:szCs w:val="20"/>
                <w:color w:val="auto"/>
              </w:rPr>
            </w:pPr>
            <w:r>
              <w:rPr>
                <w:rFonts w:ascii="Arial" w:cs="Arial" w:eastAsia="Arial" w:hAnsi="Arial"/>
                <w:sz w:val="26"/>
                <w:szCs w:val="26"/>
                <w:color w:val="auto"/>
              </w:rPr>
              <w:t>32%</w:t>
            </w:r>
          </w:p>
        </w:tc>
        <w:tc>
          <w:tcPr>
            <w:tcW w:w="760" w:type="dxa"/>
            <w:vAlign w:val="bottom"/>
          </w:tcPr>
          <w:p>
            <w:pPr>
              <w:jc w:val="right"/>
              <w:spacing w:after="0"/>
              <w:rPr>
                <w:sz w:val="20"/>
                <w:szCs w:val="20"/>
                <w:color w:val="auto"/>
              </w:rPr>
            </w:pPr>
            <w:r>
              <w:rPr>
                <w:rFonts w:ascii="Arial" w:cs="Arial" w:eastAsia="Arial" w:hAnsi="Arial"/>
                <w:sz w:val="26"/>
                <w:szCs w:val="26"/>
                <w:color w:val="auto"/>
              </w:rPr>
              <w:t>35%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60"/>
      </w:cols>
      <w:pgMar w:left="1220" w:top="423"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upperLetter"/>
      <w:start w:val="29"/>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84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2019-12-20T17:49:56Z</dcterms:created>
  <dcterms:modified xsi:type="dcterms:W3CDTF">2019-12-20T17:49:56Z</dcterms:modified>
</cp:coreProperties>
</file>