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23, 2002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 No. 333-87554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4"/>
          <w:szCs w:val="14"/>
          <w:color w:val="auto"/>
        </w:rPr>
        <w: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221615</wp:posOffset>
            </wp:positionV>
            <wp:extent cx="11188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225425</wp:posOffset>
            </wp:positionV>
            <wp:extent cx="11703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0305" cy="342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MANPOWER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380" w:lineRule="exact"/>
        <w:rPr>
          <w:sz w:val="24"/>
          <w:szCs w:val="24"/>
          <w:color w:val="auto"/>
        </w:rPr>
      </w:pPr>
    </w:p>
    <w:tbl>
      <w:tblPr>
        <w:tblLayout w:type="fixed"/>
        <w:tblInd w:w="2020" w:type="dxa"/>
        <w:tblCellMar>
          <w:top w:w="0" w:type="dxa"/>
          <w:left w:w="0" w:type="dxa"/>
          <w:bottom w:w="0" w:type="dxa"/>
          <w:right w:w="0" w:type="dxa"/>
        </w:tblCellMar>
      </w:tblPr>
      <w:tr>
        <w:trPr>
          <w:trHeight w:val="228"/>
        </w:trPr>
        <w:tc>
          <w:tcPr>
            <w:tcW w:w="2120" w:type="dxa"/>
            <w:vAlign w:val="bottom"/>
          </w:tcPr>
          <w:p>
            <w:pPr>
              <w:jc w:val="center"/>
              <w:ind w:right="406"/>
              <w:spacing w:after="0"/>
              <w:rPr>
                <w:sz w:val="20"/>
                <w:szCs w:val="20"/>
                <w:color w:val="auto"/>
              </w:rPr>
            </w:pPr>
            <w:r>
              <w:rPr>
                <w:rFonts w:ascii="Arial" w:cs="Arial" w:eastAsia="Arial" w:hAnsi="Arial"/>
                <w:sz w:val="18"/>
                <w:szCs w:val="18"/>
                <w:b w:val="1"/>
                <w:bCs w:val="1"/>
                <w:color w:val="auto"/>
                <w:w w:val="84"/>
              </w:rPr>
              <w:t>Wisconsin</w:t>
            </w:r>
          </w:p>
        </w:tc>
        <w:tc>
          <w:tcPr>
            <w:tcW w:w="3300" w:type="dxa"/>
            <w:vAlign w:val="bottom"/>
          </w:tcPr>
          <w:p>
            <w:pPr>
              <w:jc w:val="center"/>
              <w:ind w:right="79"/>
              <w:spacing w:after="0"/>
              <w:rPr>
                <w:sz w:val="20"/>
                <w:szCs w:val="20"/>
                <w:color w:val="auto"/>
              </w:rPr>
            </w:pPr>
            <w:r>
              <w:rPr>
                <w:rFonts w:ascii="Arial" w:cs="Arial" w:eastAsia="Arial" w:hAnsi="Arial"/>
                <w:sz w:val="18"/>
                <w:szCs w:val="18"/>
                <w:b w:val="1"/>
                <w:bCs w:val="1"/>
                <w:color w:val="auto"/>
                <w:w w:val="84"/>
              </w:rPr>
              <w:t>7363</w:t>
            </w:r>
          </w:p>
        </w:tc>
        <w:tc>
          <w:tcPr>
            <w:tcW w:w="1640" w:type="dxa"/>
            <w:vAlign w:val="bottom"/>
          </w:tcPr>
          <w:p>
            <w:pPr>
              <w:jc w:val="center"/>
              <w:ind w:left="566"/>
              <w:spacing w:after="0"/>
              <w:rPr>
                <w:sz w:val="20"/>
                <w:szCs w:val="20"/>
                <w:color w:val="auto"/>
              </w:rPr>
            </w:pPr>
            <w:r>
              <w:rPr>
                <w:rFonts w:ascii="Arial" w:cs="Arial" w:eastAsia="Arial" w:hAnsi="Arial"/>
                <w:sz w:val="18"/>
                <w:szCs w:val="18"/>
                <w:b w:val="1"/>
                <w:bCs w:val="1"/>
                <w:color w:val="auto"/>
                <w:w w:val="87"/>
              </w:rPr>
              <w:t>39-1672779</w:t>
            </w:r>
          </w:p>
        </w:tc>
      </w:tr>
      <w:tr>
        <w:trPr>
          <w:trHeight w:val="191"/>
        </w:trPr>
        <w:tc>
          <w:tcPr>
            <w:tcW w:w="2120" w:type="dxa"/>
            <w:vAlign w:val="bottom"/>
          </w:tcPr>
          <w:p>
            <w:pPr>
              <w:jc w:val="center"/>
              <w:ind w:right="406"/>
              <w:spacing w:after="0"/>
              <w:rPr>
                <w:sz w:val="20"/>
                <w:szCs w:val="20"/>
                <w:color w:val="auto"/>
              </w:rPr>
            </w:pPr>
            <w:r>
              <w:rPr>
                <w:rFonts w:ascii="Arial" w:cs="Arial" w:eastAsia="Arial" w:hAnsi="Arial"/>
                <w:sz w:val="14"/>
                <w:szCs w:val="14"/>
                <w:color w:val="auto"/>
                <w:w w:val="89"/>
              </w:rPr>
              <w:t>(State or other jurisdiction of</w:t>
            </w:r>
          </w:p>
        </w:tc>
        <w:tc>
          <w:tcPr>
            <w:tcW w:w="3300" w:type="dxa"/>
            <w:vAlign w:val="bottom"/>
          </w:tcPr>
          <w:p>
            <w:pPr>
              <w:jc w:val="center"/>
              <w:ind w:right="79"/>
              <w:spacing w:after="0"/>
              <w:rPr>
                <w:sz w:val="20"/>
                <w:szCs w:val="20"/>
                <w:color w:val="auto"/>
              </w:rPr>
            </w:pPr>
            <w:r>
              <w:rPr>
                <w:rFonts w:ascii="Arial" w:cs="Arial" w:eastAsia="Arial" w:hAnsi="Arial"/>
                <w:sz w:val="14"/>
                <w:szCs w:val="14"/>
                <w:color w:val="auto"/>
                <w:w w:val="88"/>
              </w:rPr>
              <w:t>(Primary Standard Industrial</w:t>
            </w:r>
          </w:p>
        </w:tc>
        <w:tc>
          <w:tcPr>
            <w:tcW w:w="1640" w:type="dxa"/>
            <w:vAlign w:val="bottom"/>
          </w:tcPr>
          <w:p>
            <w:pPr>
              <w:jc w:val="center"/>
              <w:ind w:left="566"/>
              <w:spacing w:after="0"/>
              <w:rPr>
                <w:sz w:val="20"/>
                <w:szCs w:val="20"/>
                <w:color w:val="auto"/>
              </w:rPr>
            </w:pPr>
            <w:r>
              <w:rPr>
                <w:rFonts w:ascii="Arial" w:cs="Arial" w:eastAsia="Arial" w:hAnsi="Arial"/>
                <w:sz w:val="14"/>
                <w:szCs w:val="14"/>
                <w:color w:val="auto"/>
                <w:w w:val="89"/>
              </w:rPr>
              <w:t>(I.R.S. Employer</w:t>
            </w:r>
          </w:p>
        </w:tc>
      </w:tr>
      <w:tr>
        <w:trPr>
          <w:trHeight w:val="176"/>
        </w:trPr>
        <w:tc>
          <w:tcPr>
            <w:tcW w:w="2120" w:type="dxa"/>
            <w:vAlign w:val="bottom"/>
          </w:tcPr>
          <w:p>
            <w:pPr>
              <w:jc w:val="center"/>
              <w:ind w:right="406"/>
              <w:spacing w:after="0"/>
              <w:rPr>
                <w:sz w:val="20"/>
                <w:szCs w:val="20"/>
                <w:color w:val="auto"/>
              </w:rPr>
            </w:pPr>
            <w:r>
              <w:rPr>
                <w:rFonts w:ascii="Arial" w:cs="Arial" w:eastAsia="Arial" w:hAnsi="Arial"/>
                <w:sz w:val="14"/>
                <w:szCs w:val="14"/>
                <w:color w:val="auto"/>
                <w:w w:val="90"/>
              </w:rPr>
              <w:t>incorporation or organization)</w:t>
            </w:r>
          </w:p>
        </w:tc>
        <w:tc>
          <w:tcPr>
            <w:tcW w:w="3300" w:type="dxa"/>
            <w:vAlign w:val="bottom"/>
          </w:tcPr>
          <w:p>
            <w:pPr>
              <w:jc w:val="center"/>
              <w:ind w:right="79"/>
              <w:spacing w:after="0"/>
              <w:rPr>
                <w:sz w:val="20"/>
                <w:szCs w:val="20"/>
                <w:color w:val="auto"/>
              </w:rPr>
            </w:pPr>
            <w:r>
              <w:rPr>
                <w:rFonts w:ascii="Arial" w:cs="Arial" w:eastAsia="Arial" w:hAnsi="Arial"/>
                <w:sz w:val="14"/>
                <w:szCs w:val="14"/>
                <w:color w:val="auto"/>
                <w:w w:val="88"/>
              </w:rPr>
              <w:t>Classification Code Number)</w:t>
            </w:r>
          </w:p>
        </w:tc>
        <w:tc>
          <w:tcPr>
            <w:tcW w:w="1640" w:type="dxa"/>
            <w:vAlign w:val="bottom"/>
          </w:tcPr>
          <w:p>
            <w:pPr>
              <w:jc w:val="center"/>
              <w:ind w:left="566"/>
              <w:spacing w:after="0"/>
              <w:rPr>
                <w:sz w:val="20"/>
                <w:szCs w:val="20"/>
                <w:color w:val="auto"/>
              </w:rPr>
            </w:pPr>
            <w:r>
              <w:rPr>
                <w:rFonts w:ascii="Arial" w:cs="Arial" w:eastAsia="Arial" w:hAnsi="Arial"/>
                <w:sz w:val="14"/>
                <w:szCs w:val="14"/>
                <w:color w:val="auto"/>
                <w:w w:val="91"/>
              </w:rPr>
              <w:t>Identification No.)</w:t>
            </w:r>
          </w:p>
        </w:tc>
      </w:tr>
      <w:tr>
        <w:trPr>
          <w:trHeight w:val="418"/>
        </w:trPr>
        <w:tc>
          <w:tcPr>
            <w:tcW w:w="2120" w:type="dxa"/>
            <w:vAlign w:val="bottom"/>
          </w:tcPr>
          <w:p>
            <w:pPr>
              <w:spacing w:after="0"/>
              <w:rPr>
                <w:sz w:val="24"/>
                <w:szCs w:val="24"/>
                <w:color w:val="auto"/>
              </w:rPr>
            </w:pPr>
          </w:p>
        </w:tc>
        <w:tc>
          <w:tcPr>
            <w:tcW w:w="3300" w:type="dxa"/>
            <w:vAlign w:val="bottom"/>
          </w:tcPr>
          <w:p>
            <w:pPr>
              <w:jc w:val="center"/>
              <w:ind w:right="79"/>
              <w:spacing w:after="0"/>
              <w:rPr>
                <w:sz w:val="20"/>
                <w:szCs w:val="20"/>
                <w:color w:val="auto"/>
              </w:rPr>
            </w:pPr>
            <w:r>
              <w:rPr>
                <w:rFonts w:ascii="Arial" w:cs="Arial" w:eastAsia="Arial" w:hAnsi="Arial"/>
                <w:sz w:val="18"/>
                <w:szCs w:val="18"/>
                <w:b w:val="1"/>
                <w:bCs w:val="1"/>
                <w:color w:val="auto"/>
                <w:w w:val="89"/>
              </w:rPr>
              <w:t>5301 North Ironwood Road</w:t>
            </w:r>
          </w:p>
        </w:tc>
        <w:tc>
          <w:tcPr>
            <w:tcW w:w="164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3300" w:type="dxa"/>
            <w:vAlign w:val="bottom"/>
          </w:tcPr>
          <w:p>
            <w:pPr>
              <w:jc w:val="center"/>
              <w:ind w:right="59"/>
              <w:spacing w:after="0"/>
              <w:rPr>
                <w:sz w:val="20"/>
                <w:szCs w:val="20"/>
                <w:color w:val="auto"/>
              </w:rPr>
            </w:pPr>
            <w:r>
              <w:rPr>
                <w:rFonts w:ascii="Arial" w:cs="Arial" w:eastAsia="Arial" w:hAnsi="Arial"/>
                <w:sz w:val="18"/>
                <w:szCs w:val="18"/>
                <w:b w:val="1"/>
                <w:bCs w:val="1"/>
                <w:color w:val="auto"/>
                <w:w w:val="88"/>
              </w:rPr>
              <w:t>Milwaukee, Wisconsin 53217</w:t>
            </w:r>
          </w:p>
        </w:tc>
        <w:tc>
          <w:tcPr>
            <w:tcW w:w="1640" w:type="dxa"/>
            <w:vAlign w:val="bottom"/>
          </w:tcPr>
          <w:p>
            <w:pPr>
              <w:spacing w:after="0"/>
              <w:rPr>
                <w:sz w:val="18"/>
                <w:szCs w:val="18"/>
                <w:color w:val="auto"/>
              </w:rPr>
            </w:pPr>
          </w:p>
        </w:tc>
      </w:tr>
      <w:tr>
        <w:trPr>
          <w:trHeight w:val="228"/>
        </w:trPr>
        <w:tc>
          <w:tcPr>
            <w:tcW w:w="2120" w:type="dxa"/>
            <w:vAlign w:val="bottom"/>
          </w:tcPr>
          <w:p>
            <w:pPr>
              <w:spacing w:after="0"/>
              <w:rPr>
                <w:sz w:val="19"/>
                <w:szCs w:val="19"/>
                <w:color w:val="auto"/>
              </w:rPr>
            </w:pPr>
          </w:p>
        </w:tc>
        <w:tc>
          <w:tcPr>
            <w:tcW w:w="3300" w:type="dxa"/>
            <w:vAlign w:val="bottom"/>
          </w:tcPr>
          <w:p>
            <w:pPr>
              <w:jc w:val="center"/>
              <w:ind w:right="79"/>
              <w:spacing w:after="0"/>
              <w:rPr>
                <w:sz w:val="20"/>
                <w:szCs w:val="20"/>
                <w:color w:val="auto"/>
              </w:rPr>
            </w:pPr>
            <w:r>
              <w:rPr>
                <w:rFonts w:ascii="Arial" w:cs="Arial" w:eastAsia="Arial" w:hAnsi="Arial"/>
                <w:sz w:val="18"/>
                <w:szCs w:val="18"/>
                <w:b w:val="1"/>
                <w:bCs w:val="1"/>
                <w:color w:val="auto"/>
                <w:w w:val="89"/>
              </w:rPr>
              <w:t>(414) 961-1000</w:t>
            </w:r>
          </w:p>
        </w:tc>
        <w:tc>
          <w:tcPr>
            <w:tcW w:w="1640" w:type="dxa"/>
            <w:vAlign w:val="bottom"/>
          </w:tcPr>
          <w:p>
            <w:pPr>
              <w:spacing w:after="0"/>
              <w:rPr>
                <w:sz w:val="19"/>
                <w:szCs w:val="19"/>
                <w:color w:val="auto"/>
              </w:rPr>
            </w:pPr>
          </w:p>
        </w:tc>
      </w:tr>
    </w:tbl>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87" w:lineRule="exact"/>
        <w:rPr>
          <w:sz w:val="24"/>
          <w:szCs w:val="24"/>
          <w:color w:val="auto"/>
        </w:rPr>
      </w:pPr>
    </w:p>
    <w:tbl>
      <w:tblPr>
        <w:tblLayout w:type="fixed"/>
        <w:tblInd w:w="1660" w:type="dxa"/>
        <w:tblCellMar>
          <w:top w:w="0" w:type="dxa"/>
          <w:left w:w="0" w:type="dxa"/>
          <w:bottom w:w="0" w:type="dxa"/>
          <w:right w:w="0" w:type="dxa"/>
        </w:tblCellMar>
      </w:tblPr>
      <w:tr>
        <w:trPr>
          <w:trHeight w:val="222"/>
        </w:trPr>
        <w:tc>
          <w:tcPr>
            <w:tcW w:w="4100" w:type="dxa"/>
            <w:vAlign w:val="bottom"/>
          </w:tcPr>
          <w:p>
            <w:pPr>
              <w:jc w:val="center"/>
              <w:ind w:right="298"/>
              <w:spacing w:after="0"/>
              <w:rPr>
                <w:sz w:val="20"/>
                <w:szCs w:val="20"/>
                <w:color w:val="auto"/>
              </w:rPr>
            </w:pPr>
            <w:r>
              <w:rPr>
                <w:rFonts w:ascii="Arial" w:cs="Arial" w:eastAsia="Arial" w:hAnsi="Arial"/>
                <w:sz w:val="18"/>
                <w:szCs w:val="18"/>
                <w:color w:val="auto"/>
                <w:w w:val="88"/>
              </w:rPr>
              <w:t>Michael J. Van Handel</w:t>
            </w:r>
          </w:p>
        </w:tc>
        <w:tc>
          <w:tcPr>
            <w:tcW w:w="3240" w:type="dxa"/>
            <w:vAlign w:val="bottom"/>
          </w:tcPr>
          <w:p>
            <w:pPr>
              <w:jc w:val="center"/>
              <w:ind w:left="812"/>
              <w:spacing w:after="0"/>
              <w:rPr>
                <w:sz w:val="20"/>
                <w:szCs w:val="20"/>
                <w:color w:val="auto"/>
              </w:rPr>
            </w:pPr>
            <w:r>
              <w:rPr>
                <w:rFonts w:ascii="Arial" w:cs="Arial" w:eastAsia="Arial" w:hAnsi="Arial"/>
                <w:sz w:val="18"/>
                <w:szCs w:val="18"/>
                <w:color w:val="auto"/>
                <w:w w:val="90"/>
              </w:rPr>
              <w:t>Copies of all communications to:</w:t>
            </w:r>
          </w:p>
        </w:tc>
      </w:tr>
      <w:tr>
        <w:trPr>
          <w:trHeight w:val="243"/>
        </w:trPr>
        <w:tc>
          <w:tcPr>
            <w:tcW w:w="4100" w:type="dxa"/>
            <w:vAlign w:val="bottom"/>
          </w:tcPr>
          <w:p>
            <w:pPr>
              <w:jc w:val="center"/>
              <w:ind w:right="298"/>
              <w:spacing w:after="0"/>
              <w:rPr>
                <w:sz w:val="20"/>
                <w:szCs w:val="20"/>
                <w:color w:val="auto"/>
              </w:rPr>
            </w:pPr>
            <w:r>
              <w:rPr>
                <w:rFonts w:ascii="Arial" w:cs="Arial" w:eastAsia="Arial" w:hAnsi="Arial"/>
                <w:sz w:val="18"/>
                <w:szCs w:val="18"/>
                <w:color w:val="auto"/>
                <w:w w:val="91"/>
              </w:rPr>
              <w:t>Manpower Inc.</w:t>
            </w:r>
          </w:p>
        </w:tc>
        <w:tc>
          <w:tcPr>
            <w:tcW w:w="3240" w:type="dxa"/>
            <w:vAlign w:val="bottom"/>
          </w:tcPr>
          <w:p>
            <w:pPr>
              <w:jc w:val="center"/>
              <w:ind w:left="812"/>
              <w:spacing w:after="0"/>
              <w:rPr>
                <w:sz w:val="20"/>
                <w:szCs w:val="20"/>
                <w:color w:val="auto"/>
              </w:rPr>
            </w:pPr>
            <w:r>
              <w:rPr>
                <w:rFonts w:ascii="Arial" w:cs="Arial" w:eastAsia="Arial" w:hAnsi="Arial"/>
                <w:sz w:val="18"/>
                <w:szCs w:val="18"/>
                <w:color w:val="auto"/>
                <w:w w:val="88"/>
              </w:rPr>
              <w:t>Kenneth C. Hunt</w:t>
            </w:r>
          </w:p>
        </w:tc>
      </w:tr>
      <w:tr>
        <w:trPr>
          <w:trHeight w:val="243"/>
        </w:trPr>
        <w:tc>
          <w:tcPr>
            <w:tcW w:w="4100" w:type="dxa"/>
            <w:vAlign w:val="bottom"/>
          </w:tcPr>
          <w:p>
            <w:pPr>
              <w:jc w:val="center"/>
              <w:ind w:right="298"/>
              <w:spacing w:after="0"/>
              <w:rPr>
                <w:sz w:val="20"/>
                <w:szCs w:val="20"/>
                <w:color w:val="auto"/>
              </w:rPr>
            </w:pPr>
            <w:r>
              <w:rPr>
                <w:rFonts w:ascii="Arial" w:cs="Arial" w:eastAsia="Arial" w:hAnsi="Arial"/>
                <w:sz w:val="18"/>
                <w:szCs w:val="18"/>
                <w:color w:val="auto"/>
                <w:w w:val="90"/>
              </w:rPr>
              <w:t>5301 North Ironwood Road</w:t>
            </w:r>
          </w:p>
        </w:tc>
        <w:tc>
          <w:tcPr>
            <w:tcW w:w="3240" w:type="dxa"/>
            <w:vAlign w:val="bottom"/>
          </w:tcPr>
          <w:p>
            <w:pPr>
              <w:jc w:val="center"/>
              <w:ind w:left="812"/>
              <w:spacing w:after="0"/>
              <w:rPr>
                <w:sz w:val="20"/>
                <w:szCs w:val="20"/>
                <w:color w:val="auto"/>
              </w:rPr>
            </w:pPr>
            <w:r>
              <w:rPr>
                <w:rFonts w:ascii="Arial" w:cs="Arial" w:eastAsia="Arial" w:hAnsi="Arial"/>
                <w:sz w:val="18"/>
                <w:szCs w:val="18"/>
                <w:color w:val="auto"/>
                <w:w w:val="91"/>
              </w:rPr>
              <w:t>Godfrey &amp; Kahn, S.C.</w:t>
            </w:r>
          </w:p>
        </w:tc>
      </w:tr>
      <w:tr>
        <w:trPr>
          <w:trHeight w:val="243"/>
        </w:trPr>
        <w:tc>
          <w:tcPr>
            <w:tcW w:w="4100" w:type="dxa"/>
            <w:vAlign w:val="bottom"/>
          </w:tcPr>
          <w:p>
            <w:pPr>
              <w:jc w:val="center"/>
              <w:ind w:right="298"/>
              <w:spacing w:after="0"/>
              <w:rPr>
                <w:sz w:val="20"/>
                <w:szCs w:val="20"/>
                <w:color w:val="auto"/>
              </w:rPr>
            </w:pPr>
            <w:r>
              <w:rPr>
                <w:rFonts w:ascii="Arial" w:cs="Arial" w:eastAsia="Arial" w:hAnsi="Arial"/>
                <w:sz w:val="18"/>
                <w:szCs w:val="18"/>
                <w:color w:val="auto"/>
                <w:w w:val="92"/>
              </w:rPr>
              <w:t>Milwaukee, WI 53217</w:t>
            </w:r>
          </w:p>
        </w:tc>
        <w:tc>
          <w:tcPr>
            <w:tcW w:w="3240" w:type="dxa"/>
            <w:vAlign w:val="bottom"/>
          </w:tcPr>
          <w:p>
            <w:pPr>
              <w:jc w:val="center"/>
              <w:ind w:left="812"/>
              <w:spacing w:after="0"/>
              <w:rPr>
                <w:sz w:val="20"/>
                <w:szCs w:val="20"/>
                <w:color w:val="auto"/>
              </w:rPr>
            </w:pPr>
            <w:r>
              <w:rPr>
                <w:rFonts w:ascii="Arial" w:cs="Arial" w:eastAsia="Arial" w:hAnsi="Arial"/>
                <w:sz w:val="18"/>
                <w:szCs w:val="18"/>
                <w:color w:val="auto"/>
                <w:w w:val="87"/>
              </w:rPr>
              <w:t>780 North Water Street</w:t>
            </w:r>
          </w:p>
        </w:tc>
      </w:tr>
      <w:tr>
        <w:trPr>
          <w:trHeight w:val="243"/>
        </w:trPr>
        <w:tc>
          <w:tcPr>
            <w:tcW w:w="4100" w:type="dxa"/>
            <w:vAlign w:val="bottom"/>
          </w:tcPr>
          <w:p>
            <w:pPr>
              <w:jc w:val="center"/>
              <w:ind w:right="298"/>
              <w:spacing w:after="0"/>
              <w:rPr>
                <w:sz w:val="20"/>
                <w:szCs w:val="20"/>
                <w:color w:val="auto"/>
              </w:rPr>
            </w:pPr>
            <w:r>
              <w:rPr>
                <w:rFonts w:ascii="Arial" w:cs="Arial" w:eastAsia="Arial" w:hAnsi="Arial"/>
                <w:sz w:val="18"/>
                <w:szCs w:val="18"/>
                <w:color w:val="auto"/>
                <w:w w:val="87"/>
              </w:rPr>
              <w:t>(414) 961-1000</w:t>
            </w:r>
          </w:p>
        </w:tc>
        <w:tc>
          <w:tcPr>
            <w:tcW w:w="3240" w:type="dxa"/>
            <w:vAlign w:val="bottom"/>
          </w:tcPr>
          <w:p>
            <w:pPr>
              <w:jc w:val="center"/>
              <w:ind w:left="812"/>
              <w:spacing w:after="0"/>
              <w:rPr>
                <w:sz w:val="20"/>
                <w:szCs w:val="20"/>
                <w:color w:val="auto"/>
              </w:rPr>
            </w:pPr>
            <w:r>
              <w:rPr>
                <w:rFonts w:ascii="Arial" w:cs="Arial" w:eastAsia="Arial" w:hAnsi="Arial"/>
                <w:sz w:val="18"/>
                <w:szCs w:val="18"/>
                <w:color w:val="auto"/>
                <w:w w:val="91"/>
              </w:rPr>
              <w:t>Milwaukee, WI 53202</w:t>
            </w:r>
          </w:p>
        </w:tc>
      </w:tr>
      <w:tr>
        <w:trPr>
          <w:trHeight w:val="167"/>
        </w:trPr>
        <w:tc>
          <w:tcPr>
            <w:tcW w:w="4100" w:type="dxa"/>
            <w:vAlign w:val="bottom"/>
          </w:tcPr>
          <w:p>
            <w:pPr>
              <w:jc w:val="center"/>
              <w:ind w:right="818"/>
              <w:spacing w:after="0"/>
              <w:rPr>
                <w:sz w:val="20"/>
                <w:szCs w:val="20"/>
                <w:color w:val="auto"/>
              </w:rPr>
            </w:pPr>
            <w:r>
              <w:rPr>
                <w:rFonts w:ascii="Arial" w:cs="Arial" w:eastAsia="Arial" w:hAnsi="Arial"/>
                <w:sz w:val="14"/>
                <w:szCs w:val="14"/>
                <w:color w:val="auto"/>
                <w:w w:val="86"/>
              </w:rPr>
              <w:t>(Name, address, including zip code, and telephone number,</w:t>
            </w:r>
          </w:p>
        </w:tc>
        <w:tc>
          <w:tcPr>
            <w:tcW w:w="3240" w:type="dxa"/>
            <w:vAlign w:val="bottom"/>
          </w:tcPr>
          <w:p>
            <w:pPr>
              <w:spacing w:after="0"/>
              <w:rPr>
                <w:sz w:val="14"/>
                <w:szCs w:val="14"/>
                <w:color w:val="auto"/>
              </w:rPr>
            </w:pPr>
          </w:p>
        </w:tc>
      </w:tr>
      <w:tr>
        <w:trPr>
          <w:trHeight w:val="172"/>
        </w:trPr>
        <w:tc>
          <w:tcPr>
            <w:tcW w:w="4100" w:type="dxa"/>
            <w:vAlign w:val="bottom"/>
          </w:tcPr>
          <w:p>
            <w:pPr>
              <w:jc w:val="center"/>
              <w:ind w:right="798"/>
              <w:spacing w:after="0"/>
              <w:rPr>
                <w:sz w:val="20"/>
                <w:szCs w:val="20"/>
                <w:color w:val="auto"/>
              </w:rPr>
            </w:pPr>
            <w:r>
              <w:rPr>
                <w:rFonts w:ascii="Arial" w:cs="Arial" w:eastAsia="Arial" w:hAnsi="Arial"/>
                <w:sz w:val="14"/>
                <w:szCs w:val="14"/>
                <w:color w:val="auto"/>
                <w:w w:val="87"/>
              </w:rPr>
              <w:t>including area code, of agent for service)</w:t>
            </w:r>
          </w:p>
        </w:tc>
        <w:tc>
          <w:tcPr>
            <w:tcW w:w="32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193675</wp:posOffset>
            </wp:positionV>
            <wp:extent cx="190817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8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of the securities to the public: </w:t>
      </w:r>
      <w:r>
        <w:rPr>
          <w:rFonts w:ascii="Arial" w:cs="Arial" w:eastAsia="Arial" w:hAnsi="Arial"/>
          <w:sz w:val="15"/>
          <w:szCs w:val="15"/>
          <w:color w:val="auto"/>
        </w:rPr>
        <w:t>From time to time after this Registration Statement is declared effective.</w:t>
      </w:r>
    </w:p>
    <w:p>
      <w:pPr>
        <w:spacing w:after="0" w:line="225" w:lineRule="exact"/>
        <w:rPr>
          <w:sz w:val="24"/>
          <w:szCs w:val="24"/>
          <w:color w:val="auto"/>
        </w:rPr>
      </w:pPr>
    </w:p>
    <w:p>
      <w:pPr>
        <w:jc w:val="both"/>
        <w:ind w:firstLine="361"/>
        <w:spacing w:after="0" w:line="229"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8"/>
          <w:szCs w:val="18"/>
          <w:color w:val="auto"/>
        </w:rPr>
        <w:t>☐</w:t>
      </w:r>
    </w:p>
    <w:p>
      <w:pPr>
        <w:spacing w:after="0" w:line="151" w:lineRule="exact"/>
        <w:rPr>
          <w:sz w:val="24"/>
          <w:szCs w:val="24"/>
          <w:color w:val="auto"/>
        </w:rPr>
      </w:pPr>
    </w:p>
    <w:p>
      <w:pPr>
        <w:jc w:val="both"/>
        <w:ind w:firstLine="437"/>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51" w:lineRule="exact"/>
        <w:rPr>
          <w:sz w:val="24"/>
          <w:szCs w:val="24"/>
          <w:color w:val="auto"/>
        </w:rPr>
      </w:pPr>
    </w:p>
    <w:p>
      <w:pPr>
        <w:jc w:val="both"/>
        <w:ind w:firstLine="503"/>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88265</wp:posOffset>
            </wp:positionV>
            <wp:extent cx="26454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5410" cy="34290"/>
                    </a:xfrm>
                    <a:prstGeom prst="rect">
                      <a:avLst/>
                    </a:prstGeom>
                    <a:noFill/>
                  </pic:spPr>
                </pic:pic>
              </a:graphicData>
            </a:graphic>
          </wp:anchor>
        </w:drawing>
      </w:r>
    </w:p>
    <w:p>
      <w:pPr>
        <w:spacing w:after="0" w:line="314" w:lineRule="exact"/>
        <w:rPr>
          <w:sz w:val="24"/>
          <w:szCs w:val="24"/>
          <w:color w:val="auto"/>
        </w:rPr>
      </w:pPr>
    </w:p>
    <w:p>
      <w:pPr>
        <w:jc w:val="both"/>
        <w:ind w:firstLine="365"/>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SUBJECT TO COMPLETION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Dated May 23, 2002</w:t>
      </w:r>
    </w:p>
    <w:p>
      <w:pPr>
        <w:spacing w:after="0" w:line="200"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1,500,000 Shares</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Manpower Inc.</w:t>
      </w:r>
    </w:p>
    <w:p>
      <w:pPr>
        <w:sectPr>
          <w:pgSz w:w="11900" w:h="16838" w:orient="portrait"/>
          <w:cols w:equalWidth="0" w:num="1">
            <w:col w:w="11420"/>
          </w:cols>
          <w:pgMar w:left="240" w:top="239" w:right="239" w:bottom="223" w:gutter="0" w:footer="0" w:header="0"/>
        </w:sect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Common Stock</w:t>
      </w:r>
    </w:p>
    <w:p>
      <w:pPr>
        <w:sectPr>
          <w:pgSz w:w="11900" w:h="16838" w:orient="portrait"/>
          <w:cols w:equalWidth="0" w:num="1">
            <w:col w:w="11420"/>
          </w:cols>
          <w:pgMar w:left="240" w:top="239" w:right="239" w:bottom="223" w:gutter="0" w:footer="0" w:header="0"/>
          <w:type w:val="continuous"/>
        </w:sectPr>
      </w:pPr>
    </w:p>
    <w:bookmarkStart w:id="1" w:name="page2"/>
    <w:bookmarkEnd w:id="1"/>
    <w:p>
      <w:pPr>
        <w:jc w:val="both"/>
        <w:ind w:firstLine="365"/>
        <w:spacing w:after="0" w:line="252" w:lineRule="auto"/>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his prospectus relates to 1,500,000 shares of common stock which may be offered and issued by us from time to time in connection with our acquisition of</w:t>
      </w:r>
      <w:r>
        <w:rPr>
          <w:rFonts w:ascii="Arial" w:cs="Arial" w:eastAsia="Arial" w:hAnsi="Arial"/>
          <w:sz w:val="22"/>
          <w:szCs w:val="22"/>
          <w:color w:val="auto"/>
        </w:rPr>
        <w:t xml:space="preserve"> </w:t>
      </w:r>
      <w:r>
        <w:rPr>
          <w:rFonts w:ascii="Arial" w:cs="Arial" w:eastAsia="Arial" w:hAnsi="Arial"/>
          <w:sz w:val="17"/>
          <w:szCs w:val="17"/>
          <w:color w:val="auto"/>
        </w:rPr>
        <w:t>businesses or assets of our franchisees, or other businesses or assets. We may structure these acquisitions in a variety of ways, including acquiring stock, other equity interests or assets of the acquired business or merging the acquired business with us or one of our subsidiaries. We expect that the terms of acquisitions will be determined by direct negotiations with the owners or controlling persons of the businesses or assets to be acquired, and that the shares of common stock issued will be valued at prices reasonably related to current market prices at the time that an acquisition is agreed upon, at or about the time of delivery of shares, or at such other time or over such period as may be agreed upon.</w:t>
      </w:r>
    </w:p>
    <w:p>
      <w:pPr>
        <w:spacing w:after="0" w:line="20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This prospectus, as amended or supplemented, has also been prepared for use by persons who receive shares issued in acquisitions and who wish to offer and sell such shares, on terms then obtainable, in transactions in which they may be deemed underwriters within the meaning of the Securities Act of 1933, as amended, which we refer to as the "Securities Act." See "Resales of Shares."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pay all of the expenses of this offering. We do not expect to pay any underwriting discounts or commissions in connection with issuing these shares.</w:t>
      </w:r>
    </w:p>
    <w:p>
      <w:pPr>
        <w:spacing w:after="0" w:line="208"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We may permit individuals or entities that have received or will receive shares of our common stock in connection with the acquisitions described above to use this prospectus to cover resales of those shares. If this happens, we will not receive any proceeds from the resale of such shares.</w:t>
      </w:r>
    </w:p>
    <w:p>
      <w:pPr>
        <w:spacing w:after="0" w:line="99" w:lineRule="exact"/>
        <w:rPr>
          <w:sz w:val="20"/>
          <w:szCs w:val="20"/>
          <w:color w:val="auto"/>
        </w:rPr>
      </w:pPr>
    </w:p>
    <w:p>
      <w:pPr>
        <w:jc w:val="both"/>
        <w:ind w:right="20" w:firstLine="431"/>
        <w:spacing w:after="0" w:line="268" w:lineRule="auto"/>
        <w:rPr>
          <w:sz w:val="20"/>
          <w:szCs w:val="20"/>
          <w:color w:val="auto"/>
        </w:rPr>
      </w:pPr>
      <w:r>
        <w:rPr>
          <w:rFonts w:ascii="Arial" w:cs="Arial" w:eastAsia="Arial" w:hAnsi="Arial"/>
          <w:sz w:val="18"/>
          <w:szCs w:val="18"/>
          <w:color w:val="auto"/>
        </w:rPr>
        <w:t>Our common stock is traded on the New York Stock Exchange, Inc., or the NYSE, under the symbol "MAN." Application will be made to list the shares offered hereby on the NYSE. On May 22, 2002, the closing price of our common stock on the NYSE was $41.12 per share.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You should consider the information set forth in "Risk Factors" beginning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789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110490</wp:posOffset>
            </wp:positionV>
            <wp:extent cx="154749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7495" cy="34290"/>
                    </a:xfrm>
                    <a:prstGeom prst="rect">
                      <a:avLst/>
                    </a:prstGeom>
                    <a:noFill/>
                  </pic:spPr>
                </pic:pic>
              </a:graphicData>
            </a:graphic>
          </wp:anchor>
        </w:drawing>
      </w:r>
    </w:p>
    <w:p>
      <w:pPr>
        <w:spacing w:after="0" w:line="355" w:lineRule="exact"/>
        <w:rPr>
          <w:sz w:val="20"/>
          <w:szCs w:val="20"/>
          <w:color w:val="auto"/>
        </w:rPr>
      </w:pPr>
    </w:p>
    <w:p>
      <w:pPr>
        <w:jc w:val="both"/>
        <w:ind w:firstLine="362"/>
        <w:spacing w:after="0" w:line="306" w:lineRule="auto"/>
        <w:rPr>
          <w:sz w:val="20"/>
          <w:szCs w:val="20"/>
          <w:color w:val="auto"/>
        </w:rPr>
      </w:pPr>
      <w:r>
        <w:rPr>
          <w:rFonts w:ascii="Arial" w:cs="Arial" w:eastAsia="Arial" w:hAnsi="Arial"/>
          <w:sz w:val="16"/>
          <w:szCs w:val="16"/>
          <w:color w:val="auto"/>
        </w:rPr>
        <w:t>This prospectus incorporates by reference important business and financial information about us that is not included in or delivered with this prospectus. See "Where You Can Find Additional Information" on page 12 for a list of documents we have incorporated by reference into this prospectus. These documents are available to you without charge over the Internet at our web site at www.investor.manpower.com, or upon written or oral request made to:</w:t>
      </w:r>
    </w:p>
    <w:p>
      <w:pPr>
        <w:spacing w:after="0" w:line="12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Milwaukee, Wisconsin 53201</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 Michael J. Van Handel, Corporate Secretary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Telephone: (414) 961-1000</w:t>
      </w:r>
    </w:p>
    <w:p>
      <w:pPr>
        <w:spacing w:after="0" w:line="172" w:lineRule="exact"/>
        <w:rPr>
          <w:sz w:val="20"/>
          <w:szCs w:val="20"/>
          <w:color w:val="auto"/>
        </w:rPr>
      </w:pPr>
    </w:p>
    <w:p>
      <w:pPr>
        <w:jc w:val="both"/>
        <w:ind w:firstLine="365"/>
        <w:spacing w:after="0" w:line="275" w:lineRule="auto"/>
        <w:rPr>
          <w:sz w:val="20"/>
          <w:szCs w:val="20"/>
          <w:color w:val="auto"/>
        </w:rPr>
      </w:pPr>
      <w:r>
        <w:rPr>
          <w:rFonts w:ascii="Arial" w:cs="Arial" w:eastAsia="Arial" w:hAnsi="Arial"/>
          <w:sz w:val="18"/>
          <w:szCs w:val="18"/>
          <w:b w:val="1"/>
          <w:bCs w:val="1"/>
          <w:color w:val="auto"/>
        </w:rPr>
        <w:t>To ensure timely delivery of the documents, your request should be made at least 5 days prior to the date on which you must make your investment decision.</w:t>
      </w:r>
    </w:p>
    <w:p>
      <w:pPr>
        <w:spacing w:after="0" w:line="13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 date of this prospectus is May ____, 2002.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980" w:firstLine="351"/>
        <w:spacing w:after="0" w:line="251" w:lineRule="auto"/>
        <w:rPr>
          <w:sz w:val="20"/>
          <w:szCs w:val="20"/>
          <w:color w:val="auto"/>
        </w:rPr>
      </w:pPr>
      <w:r>
        <w:rPr>
          <w:rFonts w:ascii="Arial" w:cs="Arial" w:eastAsia="Arial" w:hAnsi="Arial"/>
          <w:sz w:val="22"/>
          <w:szCs w:val="22"/>
          <w:i w:val="1"/>
          <w:iCs w:val="1"/>
          <w:color w:val="auto"/>
        </w:rPr>
        <w:t>When used in this prospectus, the terms "Manpower," "we," "our," "us" or "the Company" refer to Manpower Inc. or Manpower Inc. and its consolidated subsidiaries, as appropriate in the context.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ind w:firstLine="500"/>
        <w:spacing w:after="0"/>
        <w:rPr>
          <w:sz w:val="20"/>
          <w:szCs w:val="20"/>
          <w:color w:val="auto"/>
        </w:rPr>
      </w:pPr>
      <w:r>
        <w:rPr>
          <w:rFonts w:ascii="Arial" w:cs="Arial" w:eastAsia="Arial" w:hAnsi="Arial"/>
          <w:sz w:val="22"/>
          <w:szCs w:val="22"/>
          <w:i w:val="1"/>
          <w:iCs w:val="1"/>
          <w:color w:val="auto"/>
        </w:rPr>
        <w:t>An investment in the shares of common stock involves risks. You should consider carefully the information set forth in this section and all other information provided to you or incorporated by reference in this prospectus before deciding whether to invest in the common stock.</w:t>
      </w:r>
    </w:p>
    <w:p>
      <w:pPr>
        <w:spacing w:after="0" w:line="180"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22"/>
          <w:szCs w:val="22"/>
          <w:b w:val="1"/>
          <w:bCs w:val="1"/>
          <w:color w:val="auto"/>
        </w:rPr>
        <w:t>Any significant economic downturn could result in our customers using fewer temporary employees, which would materially adversely affect our business.</w:t>
      </w:r>
    </w:p>
    <w:p>
      <w:pPr>
        <w:spacing w:after="0" w:line="16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9"/>
          <w:szCs w:val="19"/>
          <w:color w:val="auto"/>
        </w:rPr>
        <w:t>Because demand for temporary personnel services is sensitive to changes in the level of economic activity, our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resulting in lower profit levels. For example, during 2001, our customers across the United States reduced their overall workforce to reflect the slowing demand for their products and services, which in turn significantly reduced our revenues in the United States segment. This revenue decline resulted in expense de-leveraging which significantly impacted the segment profits. We believe that continued economic slowing will continue to challenge revenue and profit growt h during 2002. We expect earnings in constant currency for 2002 to decline from 2001. Any significant economic downturn, particularly in France and the United States, where we collectively derived 55% of our 2001 revenue, would have a material adverse effect on our business, financial condition, results of operations and liquidity.</w:t>
      </w:r>
    </w:p>
    <w:p>
      <w:pPr>
        <w:spacing w:after="0" w:line="156" w:lineRule="exact"/>
        <w:rPr>
          <w:sz w:val="20"/>
          <w:szCs w:val="20"/>
          <w:color w:val="auto"/>
        </w:rPr>
      </w:pPr>
    </w:p>
    <w:p>
      <w:pPr>
        <w:jc w:val="both"/>
        <w:ind w:right="20" w:firstLine="527"/>
        <w:spacing w:after="0" w:line="256" w:lineRule="auto"/>
        <w:rPr>
          <w:sz w:val="20"/>
          <w:szCs w:val="20"/>
          <w:color w:val="auto"/>
        </w:rPr>
      </w:pPr>
      <w:r>
        <w:rPr>
          <w:rFonts w:ascii="Arial" w:cs="Arial" w:eastAsia="Arial" w:hAnsi="Arial"/>
          <w:sz w:val="22"/>
          <w:szCs w:val="22"/>
          <w:b w:val="1"/>
          <w:bCs w:val="1"/>
          <w:color w:val="auto"/>
        </w:rPr>
        <w:t>The worldwide staffing services industry is highly competitive with limited barriers to entry, which could limit our ability to maintain or increase our market share or profitability.</w:t>
      </w:r>
    </w:p>
    <w:p>
      <w:pPr>
        <w:sectPr>
          <w:pgSz w:w="11900" w:h="16838" w:orient="portrait"/>
          <w:cols w:equalWidth="0" w:num="1">
            <w:col w:w="11420"/>
          </w:cols>
          <w:pgMar w:left="240" w:top="118" w:right="239" w:bottom="77" w:gutter="0" w:footer="0" w:header="0"/>
        </w:sectPr>
      </w:pPr>
    </w:p>
    <w:bookmarkStart w:id="2" w:name="page3"/>
    <w:bookmarkEnd w:id="2"/>
    <w:p>
      <w:pPr>
        <w:spacing w:after="0" w:line="68"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9"/>
          <w:szCs w:val="19"/>
          <w:color w:val="auto"/>
        </w:rPr>
        <w:t>The worldwide staffing services market is highly competitive with limited barriers to entry, and in recent years has been undergoing significant consolidation. We compete in markets throughout North America, South America, Europe, Australia and Asia with full-service and specialized temporary service agencies. Several of our competitors, including Adecco S.A., Vedior N.V., Randstad Holding N.V. and Kelly Services, Inc.,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profitability.</w:t>
      </w:r>
    </w:p>
    <w:p>
      <w:pPr>
        <w:spacing w:after="0" w:line="145" w:lineRule="exact"/>
        <w:rPr>
          <w:sz w:val="20"/>
          <w:szCs w:val="20"/>
          <w:color w:val="auto"/>
        </w:rPr>
      </w:pPr>
    </w:p>
    <w:p>
      <w:pPr>
        <w:jc w:val="both"/>
        <w:ind w:right="20" w:firstLine="662"/>
        <w:spacing w:after="0" w:line="256" w:lineRule="auto"/>
        <w:rPr>
          <w:sz w:val="20"/>
          <w:szCs w:val="20"/>
          <w:color w:val="auto"/>
        </w:rPr>
      </w:pPr>
      <w:r>
        <w:rPr>
          <w:rFonts w:ascii="Arial" w:cs="Arial" w:eastAsia="Arial" w:hAnsi="Arial"/>
          <w:sz w:val="22"/>
          <w:szCs w:val="22"/>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9" w:lineRule="exact"/>
        <w:rPr>
          <w:sz w:val="20"/>
          <w:szCs w:val="20"/>
          <w:color w:val="auto"/>
        </w:rPr>
      </w:pPr>
    </w:p>
    <w:p>
      <w:pPr>
        <w:jc w:val="both"/>
        <w:ind w:firstLine="378"/>
        <w:spacing w:after="0" w:line="235" w:lineRule="auto"/>
        <w:rPr>
          <w:sz w:val="20"/>
          <w:szCs w:val="20"/>
          <w:color w:val="auto"/>
        </w:rPr>
      </w:pPr>
      <w:r>
        <w:rPr>
          <w:rFonts w:ascii="Arial" w:cs="Arial" w:eastAsia="Arial" w:hAnsi="Arial"/>
          <w:sz w:val="22"/>
          <w:szCs w:val="22"/>
          <w:color w:val="auto"/>
        </w:rPr>
        <w:t>In many jurisdictions in which we operate, such as France, Germany and Japan, the temporary employment industry is heavily regulated. For example, governmental regulations in Germany restrict the length of contracts of 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we operate may:</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create additional regulations that prohibit or restrict the types of employment services that we currently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-91440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impose new or additional benefit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require us to obtain additional licensing to provide staffing services;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increase taxes, such as sales or value-added taxes, payable by the providers of staffing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future regulations that make it more difficult or expensive for us to continue to provide our staffing services may have a material adverse effect on our financial condition, results of operations and liquidity.</w:t>
      </w:r>
    </w:p>
    <w:p>
      <w:pPr>
        <w:spacing w:after="0" w:line="167"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22"/>
          <w:szCs w:val="22"/>
          <w:b w:val="1"/>
          <w:bCs w:val="1"/>
          <w:color w:val="auto"/>
        </w:rPr>
        <w:t>We are a defendant in a variety of litigation and other actions, which may have a material adverse effect on our business, financial condition and results of operations.</w:t>
      </w:r>
    </w:p>
    <w:p>
      <w:pPr>
        <w:spacing w:after="0" w:line="169"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9"/>
          <w:szCs w:val="19"/>
          <w:color w:val="auto"/>
        </w:rPr>
        <w:t>We and our subsidiaries are regularly involved in a variety of litigation arising out of our business. Occasionally, this litigation can be serious. We cannot assure you that our insurance will cover all claims that may be asserted against us. Should the ultimate judgements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Our acquisition strategy may have a material adverse effect on our business.</w:t>
      </w:r>
    </w:p>
    <w:p>
      <w:pPr>
        <w:spacing w:after="0" w:line="212"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22"/>
          <w:szCs w:val="22"/>
          <w:color w:val="auto"/>
        </w:rPr>
        <w:t>We acquired Elan Group Limited in 2000 for a total purchase price of $146.2 million and we acquired Jefferson Wells International, Inc. in 2001 for a purchase price of $174.0 million. In addition, we acquired and invested in other companies during 2001 for a total cost of $95.8 million. We may make acquisitions in the future. Our acquisition strategy involves significant risks, including:</w:t>
      </w:r>
    </w:p>
    <w:p>
      <w:pPr>
        <w:spacing w:after="0" w:line="185" w:lineRule="exact"/>
        <w:rPr>
          <w:sz w:val="20"/>
          <w:szCs w:val="20"/>
          <w:color w:val="auto"/>
        </w:rPr>
      </w:pPr>
    </w:p>
    <w:p>
      <w:pPr>
        <w:ind w:left="1080" w:right="1480"/>
        <w:spacing w:after="0" w:line="435" w:lineRule="auto"/>
        <w:rPr>
          <w:sz w:val="20"/>
          <w:szCs w:val="20"/>
          <w:color w:val="auto"/>
        </w:rPr>
      </w:pPr>
      <w:r>
        <w:rPr>
          <w:rFonts w:ascii="Arial" w:cs="Arial" w:eastAsia="Arial" w:hAnsi="Arial"/>
          <w:sz w:val="22"/>
          <w:szCs w:val="22"/>
          <w:color w:val="auto"/>
        </w:rPr>
        <w:t>difficulties in the assimilation of the operations, services and corporate culture of acquired companies; over-valuation by us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-520700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-229235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80"/>
        <w:spacing w:after="0" w:line="251" w:lineRule="auto"/>
        <w:rPr>
          <w:sz w:val="20"/>
          <w:szCs w:val="20"/>
          <w:color w:val="auto"/>
        </w:rPr>
      </w:pPr>
      <w:r>
        <w:rPr>
          <w:rFonts w:ascii="Arial" w:cs="Arial" w:eastAsia="Arial" w:hAnsi="Arial"/>
          <w:sz w:val="22"/>
          <w:szCs w:val="22"/>
          <w:color w:val="auto"/>
        </w:rPr>
        <w:t>insufficient indemnification from the selling parties for legal liabilities incurred by the acquired companies prior to the acquisitions;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diversion of management's attention from other business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addition, future acquisitions would likely result in the incurrence of additional debt or dilution, contingent liabilities, an increase in interest expense and amortization expenses related to separately identified intangible assets. In addition, possible impairment losses on goodwill and restructuring charges could occur. Any of these items could have a material adverse effect on our financial condition, results of operations and liquidity. For all of these reasons, any future acquisitions or failure to effectively integrate acquired companies could materially adversely affect our business.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Our success depends upon our ability to attract, train and retain qualified personnel.</w:t>
      </w:r>
    </w:p>
    <w:p>
      <w:pPr>
        <w:spacing w:after="0" w:line="212" w:lineRule="exact"/>
        <w:rPr>
          <w:sz w:val="20"/>
          <w:szCs w:val="20"/>
          <w:color w:val="auto"/>
        </w:rPr>
      </w:pPr>
    </w:p>
    <w:p>
      <w:pPr>
        <w:jc w:val="both"/>
        <w:ind w:firstLine="365"/>
        <w:spacing w:after="0" w:line="274" w:lineRule="auto"/>
        <w:rPr>
          <w:sz w:val="20"/>
          <w:szCs w:val="20"/>
          <w:color w:val="auto"/>
        </w:rPr>
      </w:pPr>
      <w:r>
        <w:rPr>
          <w:rFonts w:ascii="Arial" w:cs="Arial" w:eastAsia="Arial" w:hAnsi="Arial"/>
          <w:sz w:val="19"/>
          <w:szCs w:val="19"/>
          <w:color w:val="auto"/>
        </w:rPr>
        <w:t>We depend on our ability to attract and retain qualified temporary personnel who possess the skills and experience necessary to meet the staffing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 significant expenditures and may not result in the trainees developing effective or adequate skills. We may not be able to develop training programs to respond to our customers' changing needs or retain employees who we have trained. The failure to recruit, train and retain qualified temporary employees could materially adversely affect our business.</w:t>
      </w:r>
    </w:p>
    <w:p>
      <w:pPr>
        <w:sectPr>
          <w:pgSz w:w="11900" w:h="16906" w:orient="portrait"/>
          <w:cols w:equalWidth="0" w:num="1">
            <w:col w:w="11420"/>
          </w:cols>
          <w:pgMar w:left="240" w:top="118" w:right="239" w:bottom="0" w:gutter="0" w:footer="0" w:header="0"/>
        </w:sectPr>
      </w:pPr>
    </w:p>
    <w:bookmarkStart w:id="3" w:name="page4"/>
    <w:bookmarkEnd w:id="3"/>
    <w:p>
      <w:pPr>
        <w:jc w:val="both"/>
        <w:ind w:firstLine="635"/>
        <w:spacing w:after="0" w:line="257" w:lineRule="auto"/>
        <w:rPr>
          <w:sz w:val="20"/>
          <w:szCs w:val="20"/>
          <w:color w:val="auto"/>
        </w:rPr>
      </w:pPr>
      <w:r>
        <w:rPr>
          <w:rFonts w:ascii="Arial" w:cs="Arial" w:eastAsia="Arial" w:hAnsi="Arial"/>
          <w:sz w:val="22"/>
          <w:szCs w:val="22"/>
          <w:b w:val="1"/>
          <w:bCs w:val="1"/>
          <w:color w:val="auto"/>
        </w:rPr>
        <w:t>We may be exposed to employment-related claims and costs that could materially adversely affect our business, financial condition and results of operations.</w:t>
      </w:r>
    </w:p>
    <w:p>
      <w:pPr>
        <w:spacing w:after="0" w:line="167" w:lineRule="exact"/>
        <w:rPr>
          <w:sz w:val="20"/>
          <w:szCs w:val="20"/>
          <w:color w:val="auto"/>
        </w:rPr>
      </w:pPr>
    </w:p>
    <w:p>
      <w:pPr>
        <w:jc w:val="both"/>
        <w:ind w:firstLine="473"/>
        <w:spacing w:after="0" w:line="251" w:lineRule="auto"/>
        <w:rPr>
          <w:sz w:val="20"/>
          <w:szCs w:val="20"/>
          <w:color w:val="auto"/>
        </w:rPr>
      </w:pPr>
      <w:r>
        <w:rPr>
          <w:rFonts w:ascii="Arial" w:cs="Arial" w:eastAsia="Arial" w:hAnsi="Arial"/>
          <w:sz w:val="22"/>
          <w:szCs w:val="22"/>
          <w:color w:val="auto"/>
        </w:rPr>
        <w:t>We are in the business of employing people and placing them in the workplaces of other businesses. Risks relating to these activities include:</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claims of misconduct or negligence on the part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right="220"/>
        <w:spacing w:after="0" w:line="251" w:lineRule="auto"/>
        <w:rPr>
          <w:sz w:val="20"/>
          <w:szCs w:val="20"/>
          <w:color w:val="auto"/>
        </w:rPr>
      </w:pPr>
      <w:r>
        <w:rPr>
          <w:rFonts w:ascii="Arial" w:cs="Arial" w:eastAsia="Arial" w:hAnsi="Arial"/>
          <w:sz w:val="22"/>
          <w:szCs w:val="22"/>
          <w:color w:val="auto"/>
        </w:rPr>
        <w:t>claims by our employees of discrimination or harassment directed at them, including claims relating to actions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claims related to the employment of illegal aliens or unlicensed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payment of workers' compensation claims and other similar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violations of wage and hour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retroactive entitlement to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errors and omissions of our temporary employees, particularly in the case of professionals, such as accountants;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-76835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1080" w:right="20"/>
        <w:spacing w:after="0" w:line="251" w:lineRule="auto"/>
        <w:rPr>
          <w:sz w:val="20"/>
          <w:szCs w:val="20"/>
          <w:color w:val="auto"/>
        </w:rPr>
      </w:pPr>
      <w:r>
        <w:rPr>
          <w:rFonts w:ascii="Arial" w:cs="Arial" w:eastAsia="Arial" w:hAnsi="Arial"/>
          <w:sz w:val="22"/>
          <w:szCs w:val="22"/>
          <w:color w:val="auto"/>
        </w:rPr>
        <w:t>claims by our customers relating to our employees' misuse of client proprietary information, misappropriation of funds, other criminal activity or torts or other similar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In some instances, we have agreed to indemnify our customers against some or all of these types of liabilities. We cannot assure you that we will not experience these problems in the future or that our insurance will be sufficient in amount or scope to cover any of these types of liabilities.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If we lose our key personnel, then our business may suffer.</w:t>
      </w:r>
    </w:p>
    <w:p>
      <w:pPr>
        <w:spacing w:after="0" w:line="212" w:lineRule="exact"/>
        <w:rPr>
          <w:sz w:val="20"/>
          <w:szCs w:val="20"/>
          <w:color w:val="auto"/>
        </w:rPr>
      </w:pPr>
    </w:p>
    <w:p>
      <w:pPr>
        <w:jc w:val="both"/>
        <w:ind w:firstLine="581"/>
        <w:spacing w:after="0" w:line="274" w:lineRule="auto"/>
        <w:rPr>
          <w:sz w:val="20"/>
          <w:szCs w:val="20"/>
          <w:color w:val="auto"/>
        </w:rPr>
      </w:pPr>
      <w:r>
        <w:rPr>
          <w:rFonts w:ascii="Arial" w:cs="Arial" w:eastAsia="Arial" w:hAnsi="Arial"/>
          <w:sz w:val="19"/>
          <w:szCs w:val="19"/>
          <w:color w:val="auto"/>
        </w:rPr>
        <w:t>Our operations are dependent on the continued efforts of our officers and executive management, particularly Jeffrey A. Joerres, our Chairman, President and Chief Executive Officer and Michael J. Van Handel, our Senior Vice President - Chief Financial Officer and Secretary.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our business. Moreover, the loss of our key managers and field personnel may jeopardize existing customer relationships with businesses that continue to use our staffing services based upon past relationships with t hese local managers and field personnel. The loss of such key personnel could materially adversely affect our operations, including our ability to establish and maintain customer relationships.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Foreign currency fluctuations may have a material adverse effect on our operating results.</w:t>
      </w:r>
    </w:p>
    <w:p>
      <w:pPr>
        <w:spacing w:after="0" w:line="21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9"/>
          <w:szCs w:val="19"/>
          <w:color w:val="auto"/>
        </w:rPr>
        <w:t>We conduct our operations in approximately 61 countries and the results of our local operations are reported in the applicable foreign currencies and then translated into U.S. dollars at the applicable foreign currency exchange rates for inclusion in our consolidated financial statements. During 2001, approximately 80% of our revenues and 90% of our operating profits were generated outside of the United States, the majority of which were generated in Europe. Furthermore, approximately $513.6 million of our outstanding indebtedness as of December 31, 2001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risk could have a material adverse effect on our b usiness, financial condition, cash flow and results of operations in the future.</w:t>
      </w:r>
    </w:p>
    <w:p>
      <w:pPr>
        <w:spacing w:after="0" w:line="152"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2"/>
          <w:szCs w:val="22"/>
          <w:b w:val="1"/>
          <w:bCs w:val="1"/>
          <w:color w:val="auto"/>
        </w:rPr>
        <w:t>As of December 31, 2001, we had approximately $824.6 million of total debt and as of March 31, 2002 we had approximately $827.0 million of total debt. This level of debt could adversely affect our operating flexibility and put us at a competitive disadvantage.</w:t>
      </w:r>
    </w:p>
    <w:p>
      <w:pPr>
        <w:spacing w:after="0" w:line="183"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22"/>
          <w:szCs w:val="22"/>
          <w:color w:val="auto"/>
        </w:rPr>
        <w:t>Our level of debt and the limitations imposed on us by our credit agreements could have important consequences for investors, including the following:</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will have to use a portion of our cash flow from operations for debt service rather than for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-91440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1080" w:right="760"/>
        <w:spacing w:after="0" w:line="251" w:lineRule="auto"/>
        <w:rPr>
          <w:sz w:val="20"/>
          <w:szCs w:val="20"/>
          <w:color w:val="auto"/>
        </w:rPr>
      </w:pPr>
      <w:r>
        <w:rPr>
          <w:rFonts w:ascii="Arial" w:cs="Arial" w:eastAsia="Arial" w:hAnsi="Arial"/>
          <w:sz w:val="22"/>
          <w:szCs w:val="22"/>
          <w:color w:val="auto"/>
        </w:rPr>
        <w:t>we may not be able to obtain additional debt financing for future working capital, capital expenditures or other corporate purposes or may have to pay more for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right="180"/>
        <w:spacing w:after="0" w:line="251" w:lineRule="auto"/>
        <w:rPr>
          <w:sz w:val="20"/>
          <w:szCs w:val="20"/>
          <w:color w:val="auto"/>
        </w:rPr>
      </w:pPr>
      <w:r>
        <w:rPr>
          <w:rFonts w:ascii="Arial" w:cs="Arial" w:eastAsia="Arial" w:hAnsi="Arial"/>
          <w:sz w:val="22"/>
          <w:szCs w:val="22"/>
          <w:color w:val="auto"/>
        </w:rPr>
        <w:t>some or all of the debt under our current or future revolving credit facilities may be at a variable interest rate, making us more vulnerable to increases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right="180"/>
        <w:spacing w:after="0" w:line="251" w:lineRule="auto"/>
        <w:rPr>
          <w:sz w:val="20"/>
          <w:szCs w:val="20"/>
          <w:color w:val="auto"/>
        </w:rPr>
      </w:pPr>
      <w:r>
        <w:rPr>
          <w:rFonts w:ascii="Arial" w:cs="Arial" w:eastAsia="Arial" w:hAnsi="Arial"/>
          <w:sz w:val="22"/>
          <w:szCs w:val="22"/>
          <w:color w:val="auto"/>
        </w:rPr>
        <w:t>we could be less able to take advantage of significant business opportunities, such as acquisition opportunities, and to react to changes in market or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bookmarkStart w:id="4" w:name="page5"/>
    <w:bookmarkEnd w:id="4"/>
    <w:p>
      <w:pPr>
        <w:spacing w:after="0" w:line="31" w:lineRule="exact"/>
        <w:rPr>
          <w:sz w:val="20"/>
          <w:szCs w:val="20"/>
          <w:color w:val="auto"/>
        </w:rPr>
      </w:pPr>
    </w:p>
    <w:p>
      <w:pPr>
        <w:ind w:left="1080" w:right="2940"/>
        <w:spacing w:after="0" w:line="504" w:lineRule="auto"/>
        <w:rPr>
          <w:sz w:val="20"/>
          <w:szCs w:val="20"/>
          <w:color w:val="auto"/>
        </w:rPr>
      </w:pPr>
      <w:r>
        <w:rPr>
          <w:rFonts w:ascii="Arial" w:cs="Arial" w:eastAsia="Arial" w:hAnsi="Arial"/>
          <w:sz w:val="19"/>
          <w:szCs w:val="19"/>
          <w:color w:val="auto"/>
        </w:rPr>
        <w:t>we will be more vulnerable to general adverse economic and industry conditions; and we may be disadvantaged compared to competitors with less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-520700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-229235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firstLine="405"/>
        <w:spacing w:after="0" w:line="251" w:lineRule="auto"/>
        <w:rPr>
          <w:sz w:val="20"/>
          <w:szCs w:val="20"/>
          <w:color w:val="auto"/>
        </w:rPr>
      </w:pPr>
      <w:r>
        <w:rPr>
          <w:rFonts w:ascii="Arial" w:cs="Arial" w:eastAsia="Arial" w:hAnsi="Arial"/>
          <w:sz w:val="22"/>
          <w:szCs w:val="22"/>
          <w:color w:val="auto"/>
        </w:rPr>
        <w:t>The terms of our revolving credit facilities permit additional borrowings, subject to certain conditions. If new debt is added to our current debt levels, the related risks we now face could intensify.</w:t>
      </w:r>
    </w:p>
    <w:p>
      <w:pPr>
        <w:spacing w:after="0" w:line="173"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9"/>
          <w:szCs w:val="19"/>
          <w:color w:val="auto"/>
        </w:rPr>
        <w:t>We expect to obtain the money to pay our expenses, to repay borrowings under our credit facilities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 es, may restrict us from adopting any of these alternatives.</w:t>
      </w:r>
    </w:p>
    <w:p>
      <w:pPr>
        <w:spacing w:after="0" w:line="152" w:lineRule="exact"/>
        <w:rPr>
          <w:sz w:val="20"/>
          <w:szCs w:val="20"/>
          <w:color w:val="auto"/>
        </w:rPr>
      </w:pPr>
    </w:p>
    <w:p>
      <w:pPr>
        <w:jc w:val="both"/>
        <w:ind w:right="20" w:firstLine="621"/>
        <w:spacing w:after="0" w:line="256" w:lineRule="auto"/>
        <w:rPr>
          <w:sz w:val="20"/>
          <w:szCs w:val="20"/>
          <w:color w:val="auto"/>
        </w:rPr>
      </w:pPr>
      <w:r>
        <w:rPr>
          <w:rFonts w:ascii="Arial" w:cs="Arial" w:eastAsia="Arial" w:hAnsi="Arial"/>
          <w:sz w:val="22"/>
          <w:szCs w:val="22"/>
          <w:b w:val="1"/>
          <w:bCs w:val="1"/>
          <w:color w:val="auto"/>
        </w:rPr>
        <w:t>Our failure to comply with restrictive covenants under our revolving credit facilities or a failure to maintain an "investment grade" rating on our debt could trigger prepayment obligations.</w:t>
      </w:r>
    </w:p>
    <w:p>
      <w:pPr>
        <w:spacing w:after="0" w:line="16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Our failure to comply with the restrictive covenants under our revolving credit facilities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85" w:lineRule="exact"/>
        <w:rPr>
          <w:sz w:val="20"/>
          <w:szCs w:val="20"/>
          <w:color w:val="auto"/>
        </w:rPr>
      </w:pPr>
    </w:p>
    <w:p>
      <w:pPr>
        <w:jc w:val="both"/>
        <w:ind w:firstLine="446"/>
        <w:spacing w:after="0" w:line="236" w:lineRule="auto"/>
        <w:rPr>
          <w:sz w:val="20"/>
          <w:szCs w:val="20"/>
          <w:color w:val="auto"/>
        </w:rPr>
      </w:pPr>
      <w:r>
        <w:rPr>
          <w:rFonts w:ascii="Arial" w:cs="Arial" w:eastAsia="Arial" w:hAnsi="Arial"/>
          <w:sz w:val="22"/>
          <w:szCs w:val="22"/>
          <w:color w:val="auto"/>
        </w:rPr>
        <w:t>Certain of our financing agreements require us to maintain "investment grade" credit ratings. We currently have such ratings from Standard and Poors and Moody's Investors Service. If our ratings were significantly lowered, our accounts receivables securitization facility would need to be re-negotiated or would no longer be available. In addition, a significant lowering of our credit ratings could result in a portion or all of our zero-coupon convertible debentures being converted into shares of our common stock.</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The holders of our zero-coupon convertible debentures could require us to purchase the debentures.</w:t>
      </w:r>
    </w:p>
    <w:p>
      <w:pPr>
        <w:spacing w:after="0" w:line="212" w:lineRule="exact"/>
        <w:rPr>
          <w:sz w:val="20"/>
          <w:szCs w:val="20"/>
          <w:color w:val="auto"/>
        </w:rPr>
      </w:pPr>
    </w:p>
    <w:p>
      <w:pPr>
        <w:jc w:val="both"/>
        <w:ind w:firstLine="473"/>
        <w:spacing w:after="0" w:line="234" w:lineRule="auto"/>
        <w:rPr>
          <w:sz w:val="20"/>
          <w:szCs w:val="20"/>
          <w:color w:val="auto"/>
        </w:rPr>
      </w:pPr>
      <w:r>
        <w:rPr>
          <w:rFonts w:ascii="Arial" w:cs="Arial" w:eastAsia="Arial" w:hAnsi="Arial"/>
          <w:sz w:val="22"/>
          <w:szCs w:val="22"/>
          <w:color w:val="auto"/>
        </w:rPr>
        <w:t>The terms of the zero-coupon convertible debentures give holders of the debentures the option to require us to purchase the debentures at the issue price plus accreted original issue discount. Such holders can exercise this option on the first, third, fifth, tenth, and fifteenth anniversary dates. The first such option date is August 17, 2002. If the option were exercised, we would be required to purchase all or a portion of the debentures through the issuance of common stock, with available cash, or by financing the purchase using other available facilities. Our intent is to settle any potential 'put' in cash. In the event of a significant change in the economic environment, we may choose to settle the 'put' with common stock, which may have a dilutive effect on existing shareholders.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Our ability to service our debt is dependent on the performance of our subsidiaries.</w:t>
      </w:r>
    </w:p>
    <w:p>
      <w:pPr>
        <w:spacing w:after="0" w:line="212"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22"/>
          <w:szCs w:val="22"/>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The price of our common stock may fluctuate significantly, which may result in losses for investors.</w:t>
      </w:r>
    </w:p>
    <w:p>
      <w:pPr>
        <w:spacing w:after="0" w:line="21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21"/>
          <w:szCs w:val="21"/>
          <w:color w:val="auto"/>
        </w:rPr>
        <w:t>The market price for our common stock has been and may continue to be volatile. For example, during the fiscal year ended December 31, 2001, the prices of our common stock as reported on the New York Stock Exchange ranged from a high of $37.56 to a low of $24.35. Our stock price can fluctuate as a result of a variety of factors, including factors listed in these "Risk Factors" and others, many of which are beyond our control. These factors include:</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actual or anticipated variations in our quarterly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announcement of new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announcements relating to strategic relationships 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changes in financial estimates or other statements by securities analysts;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changes in 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firstLine="365"/>
        <w:spacing w:after="0" w:line="251" w:lineRule="auto"/>
        <w:rPr>
          <w:sz w:val="20"/>
          <w:szCs w:val="20"/>
          <w:color w:val="auto"/>
        </w:rPr>
      </w:pPr>
      <w:r>
        <w:rPr>
          <w:rFonts w:ascii="Arial" w:cs="Arial" w:eastAsia="Arial" w:hAnsi="Arial"/>
          <w:sz w:val="22"/>
          <w:szCs w:val="22"/>
          <w:color w:val="auto"/>
        </w:rPr>
        <w:t>Because of this volatility, we may fail to meet the expectations of our shareholders or of securities analysts, and our stock price could decline as a result.</w:t>
      </w:r>
    </w:p>
    <w:p>
      <w:pPr>
        <w:spacing w:after="0" w:line="167"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22"/>
          <w:szCs w:val="22"/>
          <w:b w:val="1"/>
          <w:bCs w:val="1"/>
          <w:color w:val="auto"/>
        </w:rPr>
        <w:t>Provisions of Wisconsin law and our articles of incorporation and bylaws contain provisions that could make the takeover of us more difficult.</w:t>
      </w:r>
    </w:p>
    <w:p>
      <w:pPr>
        <w:sectPr>
          <w:pgSz w:w="11900" w:h="16869" w:orient="portrait"/>
          <w:cols w:equalWidth="0" w:num="1">
            <w:col w:w="11420"/>
          </w:cols>
          <w:pgMar w:left="240" w:top="118" w:right="239" w:bottom="0" w:gutter="0" w:footer="0" w:header="0"/>
        </w:sectPr>
      </w:pPr>
    </w:p>
    <w:bookmarkStart w:id="5" w:name="page6"/>
    <w:bookmarkEnd w:id="5"/>
    <w:p>
      <w:pPr>
        <w:spacing w:after="0" w:line="95" w:lineRule="exact"/>
        <w:rPr>
          <w:sz w:val="20"/>
          <w:szCs w:val="20"/>
          <w:color w:val="auto"/>
        </w:rPr>
      </w:pPr>
    </w:p>
    <w:p>
      <w:pPr>
        <w:jc w:val="both"/>
        <w:ind w:firstLine="621"/>
        <w:spacing w:after="0" w:line="241" w:lineRule="auto"/>
        <w:rPr>
          <w:sz w:val="20"/>
          <w:szCs w:val="20"/>
          <w:color w:val="auto"/>
        </w:rPr>
      </w:pPr>
      <w:r>
        <w:rPr>
          <w:rFonts w:ascii="Arial" w:cs="Arial" w:eastAsia="Arial" w:hAnsi="Arial"/>
          <w:sz w:val="22"/>
          <w:szCs w:val="22"/>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providing for a classified board of directors with staggered,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permitting removal of directors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providing that vacancies on the board of directors will be filled by the remaining directors then in office;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-91440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requiring advance notice for shareholder proposals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firstLine="378"/>
        <w:spacing w:after="0" w:line="235" w:lineRule="auto"/>
        <w:rPr>
          <w:sz w:val="20"/>
          <w:szCs w:val="20"/>
          <w:color w:val="auto"/>
        </w:rPr>
      </w:pPr>
      <w:r>
        <w:rPr>
          <w:rFonts w:ascii="Arial" w:cs="Arial" w:eastAsia="Arial" w:hAnsi="Arial"/>
          <w:sz w:val="22"/>
          <w:szCs w:val="22"/>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represent a premium over the available market price of our common stock, may be withdrawn or otherwise fail to be realized. The provisions described above could cause our stock price to decline.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12" w:lineRule="exact"/>
        <w:rPr>
          <w:sz w:val="20"/>
          <w:szCs w:val="20"/>
          <w:color w:val="auto"/>
        </w:rPr>
      </w:pPr>
    </w:p>
    <w:p>
      <w:pPr>
        <w:jc w:val="both"/>
        <w:ind w:right="20" w:firstLine="527"/>
        <w:spacing w:after="0" w:line="328" w:lineRule="auto"/>
        <w:rPr>
          <w:sz w:val="20"/>
          <w:szCs w:val="20"/>
          <w:color w:val="auto"/>
        </w:rPr>
      </w:pPr>
      <w:r>
        <w:rPr>
          <w:rFonts w:ascii="Arial" w:cs="Arial" w:eastAsia="Arial" w:hAnsi="Arial"/>
          <w:sz w:val="19"/>
          <w:szCs w:val="19"/>
          <w:color w:val="auto"/>
        </w:rPr>
        <w:t>We are a global staffing leader delivering high-value staffing and workforce management solutions worldwide. Through a systemwide network of nearly 3,900 offices in 61 countries, we provide a wide range of human resource services, including:</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professional, specialized, office and industrial staffing;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temporary and permanent employee testing, selection, training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internal audit, accounting, technology and tax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organizational-performance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firstLine="446"/>
        <w:spacing w:after="0" w:line="258" w:lineRule="auto"/>
        <w:rPr>
          <w:sz w:val="20"/>
          <w:szCs w:val="20"/>
          <w:color w:val="auto"/>
        </w:rPr>
      </w:pPr>
      <w:r>
        <w:rPr>
          <w:rFonts w:ascii="Arial" w:cs="Arial" w:eastAsia="Arial" w:hAnsi="Arial"/>
          <w:sz w:val="21"/>
          <w:szCs w:val="21"/>
          <w:color w:val="auto"/>
        </w:rPr>
        <w:t>The staffing industry is large and fragmented, comprised of thousands of firms employing millions of people and generating billions in annual revenues. It is also a highly competitive industry, reflecting several trends in the global marketplace, notably increasing demand for skilled people and consolidation among customers and in the industry itself.</w:t>
      </w:r>
    </w:p>
    <w:p>
      <w:pPr>
        <w:spacing w:after="0" w:line="167" w:lineRule="exact"/>
        <w:rPr>
          <w:sz w:val="20"/>
          <w:szCs w:val="20"/>
          <w:color w:val="auto"/>
        </w:rPr>
      </w:pPr>
    </w:p>
    <w:p>
      <w:pPr>
        <w:jc w:val="both"/>
        <w:ind w:firstLine="378"/>
        <w:spacing w:after="0" w:line="238" w:lineRule="auto"/>
        <w:rPr>
          <w:sz w:val="20"/>
          <w:szCs w:val="20"/>
          <w:color w:val="auto"/>
        </w:rPr>
      </w:pPr>
      <w:r>
        <w:rPr>
          <w:rFonts w:ascii="Arial" w:cs="Arial" w:eastAsia="Arial" w:hAnsi="Arial"/>
          <w:sz w:val="22"/>
          <w:szCs w:val="22"/>
          <w:color w:val="auto"/>
        </w:rPr>
        <w:t>We attempt to manage these trends by leveraging established strengths, including one of the staffing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Our principal offices are located at 5301 North Ironwood Road, Milwaukee, Wisconsin 53217, and our telephone number is</w:t>
      </w:r>
    </w:p>
    <w:p>
      <w:pPr>
        <w:spacing w:after="0" w:line="43" w:lineRule="exact"/>
        <w:rPr>
          <w:sz w:val="20"/>
          <w:szCs w:val="20"/>
          <w:color w:val="auto"/>
        </w:rPr>
      </w:pPr>
    </w:p>
    <w:p>
      <w:pPr>
        <w:ind w:firstLine="8"/>
        <w:spacing w:after="0" w:line="237" w:lineRule="auto"/>
        <w:tabs>
          <w:tab w:leader="none" w:pos="522" w:val="left"/>
        </w:tabs>
        <w:numPr>
          <w:ilvl w:val="0"/>
          <w:numId w:val="1"/>
        </w:numPr>
        <w:rPr>
          <w:rFonts w:ascii="Arial" w:cs="Arial" w:eastAsia="Arial" w:hAnsi="Arial"/>
          <w:sz w:val="22"/>
          <w:szCs w:val="22"/>
          <w:color w:val="auto"/>
        </w:rPr>
      </w:pPr>
      <w:r>
        <w:rPr>
          <w:rFonts w:ascii="Arial" w:cs="Arial" w:eastAsia="Arial" w:hAnsi="Arial"/>
          <w:sz w:val="22"/>
          <w:szCs w:val="22"/>
          <w:color w:val="auto"/>
        </w:rPr>
        <w:t>961-1000. Our general web site address is www.manpower.com. Information contained on any of our web sites is not deemed to be a part of this prospectus, unless specifically incorporated by reference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RESALES OF SHARES</w:t>
      </w:r>
    </w:p>
    <w:p>
      <w:pPr>
        <w:spacing w:after="0" w:line="212" w:lineRule="exact"/>
        <w:rPr>
          <w:sz w:val="20"/>
          <w:szCs w:val="20"/>
          <w:color w:val="auto"/>
        </w:rPr>
      </w:pPr>
    </w:p>
    <w:p>
      <w:pPr>
        <w:jc w:val="both"/>
        <w:ind w:firstLine="378"/>
        <w:spacing w:after="0" w:line="235" w:lineRule="auto"/>
        <w:rPr>
          <w:sz w:val="20"/>
          <w:szCs w:val="20"/>
          <w:color w:val="auto"/>
        </w:rPr>
      </w:pPr>
      <w:r>
        <w:rPr>
          <w:rFonts w:ascii="Arial" w:cs="Arial" w:eastAsia="Arial" w:hAnsi="Arial"/>
          <w:sz w:val="22"/>
          <w:szCs w:val="22"/>
          <w:color w:val="auto"/>
        </w:rPr>
        <w:t>This prospectus, as amended or supplemented, has also been prepared for use by persons who receive shares of common stock in acquisitions and who wish to offer and sell such shares, on terms then available, in transactions in which they may be deemed underwriters within the meaning of the Securities Act. We refer to such persons as "selling shareholders." Resales by a selling shareholder under this prospectus, as amended or supplemented, is permitted only with prior written authorization from us. Resales may also be made pursuant to Rule 145(d) under the Securities Act, or pursuant to an exemption from the registration provisions of such Act.</w:t>
      </w:r>
    </w:p>
    <w:p>
      <w:pPr>
        <w:spacing w:after="0" w:line="188" w:lineRule="exact"/>
        <w:rPr>
          <w:sz w:val="20"/>
          <w:szCs w:val="20"/>
          <w:color w:val="auto"/>
        </w:rPr>
      </w:pPr>
    </w:p>
    <w:p>
      <w:pPr>
        <w:jc w:val="both"/>
        <w:ind w:firstLine="378"/>
        <w:spacing w:after="0" w:line="249" w:lineRule="auto"/>
        <w:rPr>
          <w:sz w:val="20"/>
          <w:szCs w:val="20"/>
          <w:color w:val="auto"/>
        </w:rPr>
      </w:pPr>
      <w:r>
        <w:rPr>
          <w:rFonts w:ascii="Arial" w:cs="Arial" w:eastAsia="Arial" w:hAnsi="Arial"/>
          <w:sz w:val="21"/>
          <w:szCs w:val="21"/>
          <w:color w:val="auto"/>
        </w:rPr>
        <w:t>We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 We will pay printing, certain legal, filing and other similar expenses of this offering. Selling shareholders will bear all other expenses of this offering, including any brokerage fees, underwriting discounts or commissions and their own legal expenses.</w:t>
      </w:r>
    </w:p>
    <w:p>
      <w:pPr>
        <w:spacing w:after="0" w:line="179" w:lineRule="exact"/>
        <w:rPr>
          <w:sz w:val="20"/>
          <w:szCs w:val="20"/>
          <w:color w:val="auto"/>
        </w:rPr>
      </w:pPr>
    </w:p>
    <w:p>
      <w:pPr>
        <w:jc w:val="both"/>
        <w:ind w:firstLine="554"/>
        <w:spacing w:after="0" w:line="234" w:lineRule="auto"/>
        <w:rPr>
          <w:sz w:val="20"/>
          <w:szCs w:val="20"/>
          <w:color w:val="auto"/>
        </w:rPr>
      </w:pPr>
      <w:r>
        <w:rPr>
          <w:rFonts w:ascii="Arial" w:cs="Arial" w:eastAsia="Arial" w:hAnsi="Arial"/>
          <w:sz w:val="22"/>
          <w:szCs w:val="22"/>
          <w:color w:val="auto"/>
        </w:rPr>
        <w:t>There presently are no arrangements or understandings, formal or informal, pertaining to the distribution of the shares as described herein. Upon our being notified by a selling shareholder that any material arrangement has been entered into with a broker-dealer for the sale of shares through a block trade, special offering, exchange distribution or secondary distribution, a supplemented prospectus will be filed, pursuant to Rule 424(b) under the Securities Act, setting forth (i) the name of each selling shareholder and of the participating broker-dealer(s), if any, (ii) the number of shares involved, (iii) the commissions paid or discounts or concessions allowed to such broker-dealer(s), where applicable, and (iv) other material terms of such resale, as appropriate.</w:t>
      </w:r>
    </w:p>
    <w:p>
      <w:pPr>
        <w:spacing w:after="0" w:line="191" w:lineRule="exact"/>
        <w:rPr>
          <w:sz w:val="20"/>
          <w:szCs w:val="20"/>
          <w:color w:val="auto"/>
        </w:rPr>
      </w:pPr>
    </w:p>
    <w:p>
      <w:pPr>
        <w:jc w:val="both"/>
        <w:ind w:firstLine="365"/>
        <w:spacing w:after="0" w:line="328" w:lineRule="auto"/>
        <w:rPr>
          <w:sz w:val="20"/>
          <w:szCs w:val="20"/>
          <w:color w:val="auto"/>
        </w:rPr>
      </w:pPr>
      <w:r>
        <w:rPr>
          <w:rFonts w:ascii="Arial" w:cs="Arial" w:eastAsia="Arial" w:hAnsi="Arial"/>
          <w:sz w:val="19"/>
          <w:szCs w:val="19"/>
          <w:color w:val="auto"/>
        </w:rPr>
        <w:t>Selling shareholders may sell the shares being offered hereby from time to time in transactions (which may involve crosses and block transactions) on the NYSE or such other securities exchange on which our common stock may be listed, in the over-the</w:t>
      </w:r>
    </w:p>
    <w:p>
      <w:pPr>
        <w:sectPr>
          <w:pgSz w:w="11900" w:h="16933" w:orient="portrait"/>
          <w:cols w:equalWidth="0" w:num="1">
            <w:col w:w="11420"/>
          </w:cols>
          <w:pgMar w:left="240" w:top="118" w:right="239" w:bottom="0" w:gutter="0" w:footer="0" w:header="0"/>
        </w:sectPr>
      </w:pPr>
    </w:p>
    <w:bookmarkStart w:id="6" w:name="page7"/>
    <w:bookmarkEnd w:id="6"/>
    <w:p>
      <w:pPr>
        <w:jc w:val="both"/>
        <w:spacing w:after="0" w:line="275" w:lineRule="auto"/>
        <w:rPr>
          <w:sz w:val="20"/>
          <w:szCs w:val="20"/>
          <w:color w:val="auto"/>
        </w:rPr>
      </w:pPr>
      <w:r>
        <w:rPr>
          <w:rFonts w:ascii="Arial" w:cs="Arial" w:eastAsia="Arial" w:hAnsi="Arial"/>
          <w:sz w:val="19"/>
          <w:szCs w:val="19"/>
          <w:color w:val="auto"/>
        </w:rPr>
        <w:t>counter market, in special offerings, in transactions directly with investors, or otherwise, at market prices prevailing at the time of sale, at fixed prices or at negotiated prices. Selling shareholders may sell some or all of the shares in transactions involving broker-dealers, who may act solely as agent and/or may acquire shares as principal. Broker-dealers participating in such transactions as agent may receive commissions from selling shareholders (and, if they act as agent for the purchaser of such shares, from such purchaser) and may effect resales through other broker-dealers, in which case discounts or commissions may be allowed or reallowed. Participating broker-d ealers may agree with selling shareholders to sell a specified number of shares at a stipulated price per share and, to the extent such broker-dealer is unable to do so acting as agent for selling shareholders, to purchase as principal any unsold shares at the price required to fulfill the broker-dealer's commitment to selling shareholders.</w:t>
      </w:r>
    </w:p>
    <w:p>
      <w:pPr>
        <w:spacing w:after="0" w:line="159" w:lineRule="exact"/>
        <w:rPr>
          <w:sz w:val="20"/>
          <w:szCs w:val="20"/>
          <w:color w:val="auto"/>
        </w:rPr>
      </w:pPr>
    </w:p>
    <w:p>
      <w:pPr>
        <w:jc w:val="both"/>
        <w:ind w:firstLine="365"/>
        <w:spacing w:after="0" w:line="258" w:lineRule="auto"/>
        <w:rPr>
          <w:sz w:val="20"/>
          <w:szCs w:val="20"/>
          <w:color w:val="auto"/>
        </w:rPr>
      </w:pPr>
      <w:r>
        <w:rPr>
          <w:rFonts w:ascii="Arial" w:cs="Arial" w:eastAsia="Arial" w:hAnsi="Arial"/>
          <w:sz w:val="21"/>
          <w:szCs w:val="21"/>
          <w:color w:val="auto"/>
        </w:rPr>
        <w:t>We may agree to indemnify a selling shareholder against certain liabilities, including liabilities arising under the Securities Act. We and/or a selling shareholder may indemnify any broker-dealer that participates in transactions involving sales of shares of common stock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SELECTED CONSOLIDATED FINANCIAL DATA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b w:val="1"/>
                <w:bCs w:val="1"/>
                <w:color w:val="auto"/>
                <w:w w:val="87"/>
              </w:rPr>
              <w:t>As of and for the year ended December 31</w:t>
            </w:r>
          </w:p>
        </w:tc>
        <w:tc>
          <w:tcPr>
            <w:tcW w:w="320" w:type="dxa"/>
            <w:vAlign w:val="bottom"/>
          </w:tcPr>
          <w:p>
            <w:pPr>
              <w:spacing w:after="0"/>
              <w:rPr>
                <w:sz w:val="17"/>
                <w:szCs w:val="17"/>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2001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2000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1999</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w:t>
            </w:r>
          </w:p>
        </w:tc>
      </w:tr>
      <w:tr>
        <w:trPr>
          <w:trHeight w:val="532"/>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Operations Data</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Revenues from services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$10,483.8</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$10,842.8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$9,770.1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$8,814.3</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7,258.5</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1,956.5</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1,946.7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1,503.0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1,310.2</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Write-down of capitalized software</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(92.1)</w:t>
            </w: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Operating profit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237.6</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311.0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255.4</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Net earnings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124.5</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171.2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163.9</w:t>
            </w:r>
          </w:p>
        </w:tc>
      </w:tr>
      <w:tr>
        <w:trPr>
          <w:trHeight w:val="810"/>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Per Share Data</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Net earnings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   1.64</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   2.26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.94</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Net earnings - diluted</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1.62</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Dividends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810"/>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Balance Sheet Data</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$3,238.6</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$3,041.6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$2,718.7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$2,391.7</w:t>
            </w: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2,047.0</w:t>
            </w:r>
          </w:p>
        </w:tc>
      </w:tr>
      <w:tr>
        <w:trPr>
          <w:trHeight w:val="540"/>
        </w:trPr>
        <w:tc>
          <w:tcPr>
            <w:tcW w:w="3480" w:type="dxa"/>
            <w:vAlign w:val="bottom"/>
            <w:gridSpan w:val="2"/>
          </w:tcPr>
          <w:p>
            <w:pPr>
              <w:ind w:left="380"/>
              <w:spacing w:after="0"/>
              <w:rPr>
                <w:sz w:val="20"/>
                <w:szCs w:val="20"/>
                <w:color w:val="auto"/>
              </w:rPr>
            </w:pPr>
            <w:r>
              <w:rPr>
                <w:rFonts w:ascii="Arial" w:cs="Arial" w:eastAsia="Arial" w:hAnsi="Arial"/>
                <w:sz w:val="18"/>
                <w:szCs w:val="18"/>
                <w:color w:val="auto"/>
              </w:rPr>
              <w:t>Long-term debt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811.1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491.6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189.8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 which are incorporated by reference herein, should be read in conjunction with the above summary.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212" w:lineRule="exact"/>
        <w:rPr>
          <w:sz w:val="20"/>
          <w:szCs w:val="20"/>
          <w:color w:val="auto"/>
        </w:rPr>
      </w:pPr>
    </w:p>
    <w:p>
      <w:pPr>
        <w:jc w:val="both"/>
        <w:ind w:firstLine="459"/>
        <w:spacing w:after="0" w:line="251" w:lineRule="auto"/>
        <w:rPr>
          <w:sz w:val="20"/>
          <w:szCs w:val="20"/>
          <w:color w:val="auto"/>
        </w:rPr>
      </w:pPr>
      <w:r>
        <w:rPr>
          <w:rFonts w:ascii="Arial" w:cs="Arial" w:eastAsia="Arial" w:hAnsi="Arial"/>
          <w:sz w:val="22"/>
          <w:szCs w:val="22"/>
          <w:color w:val="auto"/>
        </w:rPr>
        <w:t>Certain legal matters in connection with the shares of common stock offered hereby have been passed upon for us by Godfrey &amp; Kahn, S.C., Milwaukee, Wisconsin.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ind w:firstLine="428"/>
        <w:spacing w:after="0" w:line="238" w:lineRule="auto"/>
        <w:rPr>
          <w:sz w:val="20"/>
          <w:szCs w:val="20"/>
          <w:color w:val="auto"/>
        </w:rPr>
      </w:pPr>
      <w:r>
        <w:rPr>
          <w:rFonts w:ascii="Arial" w:cs="Arial" w:eastAsia="Arial" w:hAnsi="Arial"/>
          <w:sz w:val="22"/>
          <w:szCs w:val="22"/>
          <w:color w:val="auto"/>
        </w:rPr>
        <w:t>The audited consolidated financial statements and schedule of Manpower as of December 31, 2001 and for the three years then ended, incorporated by reference in this prospectus, have been audited by Arthur Andersen LLP, independent public accountants, as indicated in their report with respect thereto, and are incorporated herein in reliance upon the authority of said firm as experts in accounting and auditing in giving said report.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ADDITIONAL INFORMATION</w:t>
      </w:r>
    </w:p>
    <w:p>
      <w:pPr>
        <w:sectPr>
          <w:pgSz w:w="11900" w:h="16838" w:orient="portrait"/>
          <w:cols w:equalWidth="0" w:num="1">
            <w:col w:w="11420"/>
          </w:cols>
          <w:pgMar w:left="240" w:top="118" w:right="239" w:bottom="0" w:gutter="0" w:footer="0" w:header="0"/>
        </w:sectPr>
      </w:pPr>
    </w:p>
    <w:bookmarkStart w:id="7" w:name="page8"/>
    <w:bookmarkEnd w:id="7"/>
    <w:p>
      <w:pPr>
        <w:jc w:val="both"/>
        <w:ind w:firstLine="667"/>
        <w:spacing w:after="0" w:line="248" w:lineRule="auto"/>
        <w:rPr>
          <w:sz w:val="20"/>
          <w:szCs w:val="20"/>
          <w:color w:val="auto"/>
        </w:rPr>
      </w:pPr>
      <w:r>
        <w:rPr>
          <w:rFonts w:ascii="Arial" w:cs="Arial" w:eastAsia="Arial" w:hAnsi="Arial"/>
          <w:sz w:val="21"/>
          <w:szCs w:val="21"/>
          <w:color w:val="auto"/>
        </w:rPr>
        <w:t>We file annual, quarterly and special reports, proxy statements and other information with the Securities and Exchange Commission. We have filed with the SEC a Registration Statement under the Securities Act with respect to the common stock offered hereby. This prospectus does not contain all of the information set forth in the Registration Statement and exhibits thereto, or amendments thereto, to which reference is hereby made. Our SEC filings are available over the Internet at the SEC's web site at http://www.sec.gov. or at our web site at http://www.investor.manpower.com. You may also read and copy any document we file with the SEC at its public reference facilities:</w:t>
      </w:r>
    </w:p>
    <w:p>
      <w:pPr>
        <w:spacing w:after="0" w:line="192"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2800" w:type="dxa"/>
            <w:vAlign w:val="bottom"/>
          </w:tcPr>
          <w:p>
            <w:pPr>
              <w:spacing w:after="0"/>
              <w:rPr>
                <w:sz w:val="20"/>
                <w:szCs w:val="20"/>
                <w:color w:val="auto"/>
              </w:rPr>
            </w:pPr>
            <w:r>
              <w:rPr>
                <w:rFonts w:ascii="Arial" w:cs="Arial" w:eastAsia="Arial" w:hAnsi="Arial"/>
                <w:sz w:val="22"/>
                <w:szCs w:val="22"/>
                <w:color w:val="auto"/>
                <w:w w:val="93"/>
              </w:rPr>
              <w:t>Public Reference Room Office</w:t>
            </w:r>
          </w:p>
        </w:tc>
        <w:tc>
          <w:tcPr>
            <w:tcW w:w="2880" w:type="dxa"/>
            <w:vAlign w:val="bottom"/>
          </w:tcPr>
          <w:p>
            <w:pPr>
              <w:ind w:left="140"/>
              <w:spacing w:after="0"/>
              <w:rPr>
                <w:sz w:val="20"/>
                <w:szCs w:val="20"/>
                <w:color w:val="auto"/>
              </w:rPr>
            </w:pPr>
            <w:r>
              <w:rPr>
                <w:rFonts w:ascii="Arial" w:cs="Arial" w:eastAsia="Arial" w:hAnsi="Arial"/>
                <w:sz w:val="22"/>
                <w:szCs w:val="22"/>
                <w:color w:val="auto"/>
              </w:rPr>
              <w:t>New York Regional Office</w:t>
            </w:r>
          </w:p>
        </w:tc>
        <w:tc>
          <w:tcPr>
            <w:tcW w:w="2800" w:type="dxa"/>
            <w:vAlign w:val="bottom"/>
          </w:tcPr>
          <w:p>
            <w:pPr>
              <w:ind w:left="280"/>
              <w:spacing w:after="0"/>
              <w:rPr>
                <w:sz w:val="20"/>
                <w:szCs w:val="20"/>
                <w:color w:val="auto"/>
              </w:rPr>
            </w:pPr>
            <w:r>
              <w:rPr>
                <w:rFonts w:ascii="Arial" w:cs="Arial" w:eastAsia="Arial" w:hAnsi="Arial"/>
                <w:sz w:val="22"/>
                <w:szCs w:val="22"/>
                <w:color w:val="auto"/>
              </w:rPr>
              <w:t>Chicago Regional Office</w:t>
            </w:r>
          </w:p>
        </w:tc>
      </w:tr>
      <w:tr>
        <w:trPr>
          <w:trHeight w:val="270"/>
        </w:trPr>
        <w:tc>
          <w:tcPr>
            <w:tcW w:w="2800" w:type="dxa"/>
            <w:vAlign w:val="bottom"/>
          </w:tcPr>
          <w:p>
            <w:pPr>
              <w:spacing w:after="0"/>
              <w:rPr>
                <w:sz w:val="20"/>
                <w:szCs w:val="20"/>
                <w:color w:val="auto"/>
              </w:rPr>
            </w:pPr>
            <w:r>
              <w:rPr>
                <w:rFonts w:ascii="Arial" w:cs="Arial" w:eastAsia="Arial" w:hAnsi="Arial"/>
                <w:sz w:val="22"/>
                <w:szCs w:val="22"/>
                <w:color w:val="auto"/>
              </w:rPr>
              <w:t>450 Fifth Street, N.W.</w:t>
            </w:r>
          </w:p>
        </w:tc>
        <w:tc>
          <w:tcPr>
            <w:tcW w:w="2880" w:type="dxa"/>
            <w:vAlign w:val="bottom"/>
          </w:tcPr>
          <w:p>
            <w:pPr>
              <w:ind w:left="140"/>
              <w:spacing w:after="0"/>
              <w:rPr>
                <w:sz w:val="20"/>
                <w:szCs w:val="20"/>
                <w:color w:val="auto"/>
              </w:rPr>
            </w:pPr>
            <w:r>
              <w:rPr>
                <w:rFonts w:ascii="Arial" w:cs="Arial" w:eastAsia="Arial" w:hAnsi="Arial"/>
                <w:sz w:val="22"/>
                <w:szCs w:val="22"/>
                <w:color w:val="auto"/>
              </w:rPr>
              <w:t>233 Broadway</w:t>
            </w:r>
          </w:p>
        </w:tc>
        <w:tc>
          <w:tcPr>
            <w:tcW w:w="2800" w:type="dxa"/>
            <w:vAlign w:val="bottom"/>
          </w:tcPr>
          <w:p>
            <w:pPr>
              <w:ind w:left="280"/>
              <w:spacing w:after="0"/>
              <w:rPr>
                <w:sz w:val="20"/>
                <w:szCs w:val="20"/>
                <w:color w:val="auto"/>
              </w:rPr>
            </w:pPr>
            <w:r>
              <w:rPr>
                <w:rFonts w:ascii="Arial" w:cs="Arial" w:eastAsia="Arial" w:hAnsi="Arial"/>
                <w:sz w:val="22"/>
                <w:szCs w:val="22"/>
                <w:color w:val="auto"/>
              </w:rPr>
              <w:t>Citicorp Center</w:t>
            </w:r>
          </w:p>
        </w:tc>
      </w:tr>
      <w:tr>
        <w:trPr>
          <w:trHeight w:val="270"/>
        </w:trPr>
        <w:tc>
          <w:tcPr>
            <w:tcW w:w="2800" w:type="dxa"/>
            <w:vAlign w:val="bottom"/>
          </w:tcPr>
          <w:p>
            <w:pPr>
              <w:spacing w:after="0"/>
              <w:rPr>
                <w:sz w:val="20"/>
                <w:szCs w:val="20"/>
                <w:color w:val="auto"/>
              </w:rPr>
            </w:pPr>
            <w:r>
              <w:rPr>
                <w:rFonts w:ascii="Arial" w:cs="Arial" w:eastAsia="Arial" w:hAnsi="Arial"/>
                <w:sz w:val="22"/>
                <w:szCs w:val="22"/>
                <w:color w:val="auto"/>
              </w:rPr>
              <w:t>Room 1024</w:t>
            </w:r>
          </w:p>
        </w:tc>
        <w:tc>
          <w:tcPr>
            <w:tcW w:w="2880" w:type="dxa"/>
            <w:vAlign w:val="bottom"/>
          </w:tcPr>
          <w:p>
            <w:pPr>
              <w:ind w:left="140"/>
              <w:spacing w:after="0"/>
              <w:rPr>
                <w:sz w:val="20"/>
                <w:szCs w:val="20"/>
                <w:color w:val="auto"/>
              </w:rPr>
            </w:pPr>
            <w:r>
              <w:rPr>
                <w:rFonts w:ascii="Arial" w:cs="Arial" w:eastAsia="Arial" w:hAnsi="Arial"/>
                <w:sz w:val="22"/>
                <w:szCs w:val="22"/>
                <w:color w:val="auto"/>
              </w:rPr>
              <w:t>New York, New York 10279</w:t>
            </w:r>
          </w:p>
        </w:tc>
        <w:tc>
          <w:tcPr>
            <w:tcW w:w="2800" w:type="dxa"/>
            <w:vAlign w:val="bottom"/>
          </w:tcPr>
          <w:p>
            <w:pPr>
              <w:ind w:left="280"/>
              <w:spacing w:after="0"/>
              <w:rPr>
                <w:sz w:val="20"/>
                <w:szCs w:val="20"/>
                <w:color w:val="auto"/>
              </w:rPr>
            </w:pPr>
            <w:r>
              <w:rPr>
                <w:rFonts w:ascii="Arial" w:cs="Arial" w:eastAsia="Arial" w:hAnsi="Arial"/>
                <w:sz w:val="22"/>
                <w:szCs w:val="22"/>
                <w:color w:val="auto"/>
              </w:rPr>
              <w:t>500 West Madison Street</w:t>
            </w:r>
          </w:p>
        </w:tc>
      </w:tr>
      <w:tr>
        <w:trPr>
          <w:trHeight w:val="270"/>
        </w:trPr>
        <w:tc>
          <w:tcPr>
            <w:tcW w:w="2800" w:type="dxa"/>
            <w:vAlign w:val="bottom"/>
          </w:tcPr>
          <w:p>
            <w:pPr>
              <w:spacing w:after="0"/>
              <w:rPr>
                <w:sz w:val="20"/>
                <w:szCs w:val="20"/>
                <w:color w:val="auto"/>
              </w:rPr>
            </w:pPr>
            <w:r>
              <w:rPr>
                <w:rFonts w:ascii="Arial" w:cs="Arial" w:eastAsia="Arial" w:hAnsi="Arial"/>
                <w:sz w:val="22"/>
                <w:szCs w:val="22"/>
                <w:color w:val="auto"/>
              </w:rPr>
              <w:t>Washington, D.C. 20549</w:t>
            </w:r>
          </w:p>
        </w:tc>
        <w:tc>
          <w:tcPr>
            <w:tcW w:w="2880" w:type="dxa"/>
            <w:vAlign w:val="bottom"/>
          </w:tcPr>
          <w:p>
            <w:pPr>
              <w:spacing w:after="0"/>
              <w:rPr>
                <w:sz w:val="23"/>
                <w:szCs w:val="23"/>
                <w:color w:val="auto"/>
              </w:rPr>
            </w:pPr>
          </w:p>
        </w:tc>
        <w:tc>
          <w:tcPr>
            <w:tcW w:w="2800" w:type="dxa"/>
            <w:vAlign w:val="bottom"/>
          </w:tcPr>
          <w:p>
            <w:pPr>
              <w:ind w:left="280"/>
              <w:spacing w:after="0"/>
              <w:rPr>
                <w:sz w:val="20"/>
                <w:szCs w:val="20"/>
                <w:color w:val="auto"/>
              </w:rPr>
            </w:pPr>
            <w:r>
              <w:rPr>
                <w:rFonts w:ascii="Arial" w:cs="Arial" w:eastAsia="Arial" w:hAnsi="Arial"/>
                <w:sz w:val="22"/>
                <w:szCs w:val="22"/>
                <w:color w:val="auto"/>
              </w:rPr>
              <w:t>Suite 1400</w:t>
            </w:r>
          </w:p>
        </w:tc>
      </w:tr>
      <w:tr>
        <w:trPr>
          <w:trHeight w:val="275"/>
        </w:trPr>
        <w:tc>
          <w:tcPr>
            <w:tcW w:w="28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800" w:type="dxa"/>
            <w:vAlign w:val="bottom"/>
          </w:tcPr>
          <w:p>
            <w:pPr>
              <w:ind w:left="280"/>
              <w:spacing w:after="0"/>
              <w:rPr>
                <w:sz w:val="20"/>
                <w:szCs w:val="20"/>
                <w:color w:val="auto"/>
              </w:rPr>
            </w:pPr>
            <w:r>
              <w:rPr>
                <w:rFonts w:ascii="Arial" w:cs="Arial" w:eastAsia="Arial" w:hAnsi="Arial"/>
                <w:sz w:val="22"/>
                <w:szCs w:val="22"/>
                <w:color w:val="auto"/>
                <w:w w:val="90"/>
              </w:rPr>
              <w:t>Chicago, Illinois 60661-2511</w:t>
            </w:r>
          </w:p>
        </w:tc>
      </w:tr>
    </w:tbl>
    <w:p>
      <w:pPr>
        <w:spacing w:after="0" w:line="198" w:lineRule="exact"/>
        <w:rPr>
          <w:sz w:val="20"/>
          <w:szCs w:val="20"/>
          <w:color w:val="auto"/>
        </w:rPr>
      </w:pPr>
    </w:p>
    <w:p>
      <w:pPr>
        <w:jc w:val="both"/>
        <w:ind w:firstLine="457"/>
        <w:spacing w:after="0" w:line="238" w:lineRule="auto"/>
        <w:rPr>
          <w:sz w:val="20"/>
          <w:szCs w:val="20"/>
          <w:color w:val="auto"/>
        </w:rPr>
      </w:pPr>
      <w:r>
        <w:rPr>
          <w:rFonts w:ascii="Arial" w:cs="Arial" w:eastAsia="Arial" w:hAnsi="Arial"/>
          <w:sz w:val="22"/>
          <w:szCs w:val="22"/>
          <w:color w:val="auto"/>
        </w:rPr>
        <w:t>You may also obtain copies of the documents at prescribed rates by writing to the Public Reference Section of the SEC at 450 Fifth Street, N.W., Room 1024, Washington, D.C. 20549. Please call 1-800-732-0330 for further information on the operations of the public reference facilities. Our SEC filings are also available at the offices of the New York Stock Exchange, 20 Broad Street, New York, New York 10005.</w:t>
      </w:r>
    </w:p>
    <w:p>
      <w:pPr>
        <w:spacing w:after="0" w:line="179"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INCORPORATION OF INFORMATION BY REFERENCE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have elected to incorporate by reference information filed with the SEC, which means that:</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incorporated documents are considered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we may disclose important information to you by referring you to those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right="240"/>
        <w:spacing w:after="0" w:line="251" w:lineRule="auto"/>
        <w:rPr>
          <w:sz w:val="20"/>
          <w:szCs w:val="20"/>
          <w:color w:val="auto"/>
        </w:rPr>
      </w:pPr>
      <w:r>
        <w:rPr>
          <w:rFonts w:ascii="Arial" w:cs="Arial" w:eastAsia="Arial" w:hAnsi="Arial"/>
          <w:sz w:val="22"/>
          <w:szCs w:val="22"/>
          <w:color w:val="auto"/>
        </w:rPr>
        <w:t>information that we file with the SEC will automatically update and supersede the information in this prospectus and any information that was previously incorporated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firstLine="528"/>
        <w:spacing w:after="0" w:line="251" w:lineRule="auto"/>
        <w:rPr>
          <w:sz w:val="20"/>
          <w:szCs w:val="20"/>
          <w:color w:val="auto"/>
        </w:rPr>
      </w:pPr>
      <w:r>
        <w:rPr>
          <w:rFonts w:ascii="Arial" w:cs="Arial" w:eastAsia="Arial" w:hAnsi="Arial"/>
          <w:sz w:val="22"/>
          <w:szCs w:val="22"/>
          <w:color w:val="auto"/>
        </w:rPr>
        <w:t>We incorporate by reference the documents listed below that were filed with the SEC under the Securities Exchange Act of 1934, as amended: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annual report on Form 10-K for the fiscal 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quarterly report on Form 10-Q for the quarter ended March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current reports on Form 8-K dated January 7, 2002, February 25, 2002 and April 10, 2002;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right="60"/>
        <w:spacing w:after="0"/>
        <w:rPr>
          <w:sz w:val="20"/>
          <w:szCs w:val="20"/>
          <w:color w:val="auto"/>
        </w:rPr>
      </w:pPr>
      <w:r>
        <w:rPr>
          <w:rFonts w:ascii="Arial" w:cs="Arial" w:eastAsia="Arial" w:hAnsi="Arial"/>
          <w:sz w:val="22"/>
          <w:szCs w:val="22"/>
          <w:color w:val="auto"/>
        </w:rPr>
        <w:t>the description of our common stock contained in our Registration Statement on Form 8-A filed with the SEC on January 22, 1991 pursuant to Section 12 of the Exchange Act, including any amendment or report filed for the purpose of updating such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-420370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firstLine="592"/>
        <w:spacing w:after="0" w:line="328" w:lineRule="auto"/>
        <w:rPr>
          <w:sz w:val="20"/>
          <w:szCs w:val="20"/>
          <w:color w:val="auto"/>
        </w:rPr>
      </w:pPr>
      <w:r>
        <w:rPr>
          <w:rFonts w:ascii="Arial" w:cs="Arial" w:eastAsia="Arial" w:hAnsi="Arial"/>
          <w:sz w:val="19"/>
          <w:szCs w:val="19"/>
          <w:color w:val="auto"/>
        </w:rPr>
        <w:t>We also incorporate by reference any future filings we make with the SEC under Section 13(a), 13(c), 14 or 15(d) of the Exchange Act until the date the offering, or reoffering in the case of resales by selling shareholders, of shares is terminated.</w:t>
      </w:r>
    </w:p>
    <w:p>
      <w:pPr>
        <w:spacing w:after="0" w:line="105" w:lineRule="exact"/>
        <w:rPr>
          <w:sz w:val="20"/>
          <w:szCs w:val="20"/>
          <w:color w:val="auto"/>
        </w:rPr>
      </w:pPr>
    </w:p>
    <w:p>
      <w:pPr>
        <w:jc w:val="both"/>
        <w:ind w:firstLine="940"/>
        <w:spacing w:after="0" w:line="282" w:lineRule="auto"/>
        <w:rPr>
          <w:sz w:val="20"/>
          <w:szCs w:val="20"/>
          <w:color w:val="auto"/>
        </w:rPr>
      </w:pPr>
      <w:r>
        <w:rPr>
          <w:rFonts w:ascii="Arial" w:cs="Arial" w:eastAsia="Arial" w:hAnsi="Arial"/>
          <w:sz w:val="19"/>
          <w:szCs w:val="19"/>
          <w:color w:val="auto"/>
        </w:rPr>
        <w:t>You may obtain any of the filings incorporated by reference in this prospectus through us at our web site at www.investor.manpower.com or at the address listed below or from the SEC through its web site or at the addresses listed above. Documents incorporated by reference are available from us without charge, excluding any exhibits to those documents that are not specifically incorporated by reference in such documents. You may request a copy of the documents incorporated by reference in this prospectus by requesting them in writing or by telephone from us at the following address:</w:t>
      </w:r>
    </w:p>
    <w:p>
      <w:pPr>
        <w:spacing w:after="0" w:line="142"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Manpower Inc.</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P.O. Box 2053</w:t>
      </w:r>
    </w:p>
    <w:p>
      <w:pPr>
        <w:ind w:left="2160"/>
        <w:spacing w:after="0" w:line="230" w:lineRule="auto"/>
        <w:rPr>
          <w:sz w:val="20"/>
          <w:szCs w:val="20"/>
          <w:color w:val="auto"/>
        </w:rPr>
      </w:pPr>
      <w:r>
        <w:rPr>
          <w:rFonts w:ascii="Arial" w:cs="Arial" w:eastAsia="Arial" w:hAnsi="Arial"/>
          <w:sz w:val="22"/>
          <w:szCs w:val="22"/>
          <w:b w:val="1"/>
          <w:bCs w:val="1"/>
          <w:color w:val="auto"/>
        </w:rPr>
        <w:t>5301 North Ironwood Road</w:t>
      </w:r>
    </w:p>
    <w:p>
      <w:pPr>
        <w:ind w:left="2160"/>
        <w:spacing w:after="0" w:line="231" w:lineRule="auto"/>
        <w:rPr>
          <w:sz w:val="20"/>
          <w:szCs w:val="20"/>
          <w:color w:val="auto"/>
        </w:rPr>
      </w:pPr>
      <w:r>
        <w:rPr>
          <w:rFonts w:ascii="Arial" w:cs="Arial" w:eastAsia="Arial" w:hAnsi="Arial"/>
          <w:sz w:val="22"/>
          <w:szCs w:val="22"/>
          <w:b w:val="1"/>
          <w:bCs w:val="1"/>
          <w:color w:val="auto"/>
        </w:rPr>
        <w:t>Milwaukee, Wisconsin 53201</w:t>
      </w:r>
    </w:p>
    <w:p>
      <w:pPr>
        <w:ind w:left="2160"/>
        <w:spacing w:after="0" w:line="230" w:lineRule="auto"/>
        <w:rPr>
          <w:sz w:val="20"/>
          <w:szCs w:val="20"/>
          <w:color w:val="auto"/>
        </w:rPr>
      </w:pPr>
      <w:r>
        <w:rPr>
          <w:rFonts w:ascii="Arial" w:cs="Arial" w:eastAsia="Arial" w:hAnsi="Arial"/>
          <w:sz w:val="22"/>
          <w:szCs w:val="22"/>
          <w:b w:val="1"/>
          <w:bCs w:val="1"/>
          <w:color w:val="auto"/>
        </w:rPr>
        <w:t>Attn: Michael J. Van Handel, Corporate Secretary</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Telephone: (414) 961-1000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DISCLOSURE REGARDING FORWARD-LOOKING STATEMENTS</w:t>
      </w:r>
    </w:p>
    <w:p>
      <w:pPr>
        <w:spacing w:after="0" w:line="212" w:lineRule="exact"/>
        <w:rPr>
          <w:sz w:val="20"/>
          <w:szCs w:val="20"/>
          <w:color w:val="auto"/>
        </w:rPr>
      </w:pPr>
    </w:p>
    <w:p>
      <w:pPr>
        <w:jc w:val="both"/>
        <w:ind w:firstLine="479"/>
        <w:spacing w:after="0" w:line="234" w:lineRule="auto"/>
        <w:rPr>
          <w:sz w:val="20"/>
          <w:szCs w:val="20"/>
          <w:color w:val="auto"/>
        </w:rPr>
      </w:pPr>
      <w:r>
        <w:rPr>
          <w:rFonts w:ascii="Arial" w:cs="Arial" w:eastAsia="Arial" w:hAnsi="Arial"/>
          <w:sz w:val="22"/>
          <w:szCs w:val="22"/>
          <w:color w:val="auto"/>
        </w:rPr>
        <w:t>Statements made in this prospectus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prospectus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ectPr>
          <w:pgSz w:w="11900" w:h="16838" w:orient="portrait"/>
          <w:cols w:equalWidth="0" w:num="1">
            <w:col w:w="11420"/>
          </w:cols>
          <w:pgMar w:left="240" w:top="118" w:right="239" w:bottom="0" w:gutter="0" w:footer="0" w:header="0"/>
        </w:sectPr>
      </w:pPr>
    </w:p>
    <w:bookmarkStart w:id="8" w:name="page9"/>
    <w:bookmarkEnd w:id="8"/>
    <w:p>
      <w:pPr>
        <w:jc w:val="both"/>
        <w:ind w:firstLine="612"/>
        <w:spacing w:after="0" w:line="251" w:lineRule="auto"/>
        <w:rPr>
          <w:sz w:val="20"/>
          <w:szCs w:val="20"/>
          <w:color w:val="auto"/>
        </w:rPr>
      </w:pPr>
      <w:r>
        <w:rPr>
          <w:rFonts w:ascii="Arial" w:cs="Arial" w:eastAsia="Arial" w:hAnsi="Arial"/>
          <w:sz w:val="22"/>
          <w:szCs w:val="22"/>
          <w:color w:val="auto"/>
        </w:rPr>
        <w:t>The following are some of the factors that could cause actual results to differ materially from estimates contained in our forward-looking statements:</w:t>
      </w:r>
    </w:p>
    <w:p>
      <w:pPr>
        <w:spacing w:after="0" w:line="174" w:lineRule="exact"/>
        <w:rPr>
          <w:sz w:val="20"/>
          <w:szCs w:val="20"/>
          <w:color w:val="auto"/>
        </w:rPr>
      </w:pPr>
    </w:p>
    <w:p>
      <w:pPr>
        <w:ind w:left="1080" w:right="420"/>
        <w:spacing w:after="0" w:line="251" w:lineRule="auto"/>
        <w:rPr>
          <w:sz w:val="20"/>
          <w:szCs w:val="20"/>
          <w:color w:val="auto"/>
        </w:rPr>
      </w:pPr>
      <w:r>
        <w:rPr>
          <w:rFonts w:ascii="Arial" w:cs="Arial" w:eastAsia="Arial" w:hAnsi="Arial"/>
          <w:sz w:val="22"/>
          <w:szCs w:val="22"/>
          <w:color w:val="auto"/>
        </w:rPr>
        <w:t>material changes in the demand from larger customers, including customers with which we have national or multi-national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availability of temporary workers or workers with the skills required by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increases in the wages paid to temporary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competitive market pressures, including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ability to successfully expand into new markets or offer new service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ability to successfully invest in and implement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unanticipated technological changes, including obsolescence or impairment of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changes in customer attitudes toward the use of staffing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government, tax or regulatory policies adverse to the employment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general economic conditions in domestic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interest rate and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difficulties related to acquisitions, including integrating the acquired companies and achieving the expected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-76835</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factors discussed in this prospectus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other factors that may be disclosed from time to time in our SEC filings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40" w:right="300"/>
        <w:spacing w:after="0" w:line="269" w:lineRule="auto"/>
        <w:rPr>
          <w:sz w:val="20"/>
          <w:szCs w:val="20"/>
          <w:color w:val="auto"/>
        </w:rPr>
      </w:pPr>
      <w:r>
        <w:rPr>
          <w:rFonts w:ascii="Arial" w:cs="Arial" w:eastAsia="Arial" w:hAnsi="Arial"/>
          <w:sz w:val="19"/>
          <w:szCs w:val="19"/>
          <w:color w:val="auto"/>
        </w:rPr>
        <w:t>We have not authorized any person to give you any information or to make on our behalf any representations, other than those contained in this prospectus, in connection with the offer made hereby, and, if given or made, you must not rely upon such other information or representations as having been authorized by Manpower. This prospectus does not constitute an offer to sell, or a solicitation of an offer to buy, any security other than the securities offered hereby, or an offer to sell or solicitation of any offer to buy such securities in any jurisdiction in which such offer or solicitation is not qualified or to any person to whom such offer or solicitation would be unlawful. Neither the delivery of this prospectus nor any sale made hereunder shall under any circumstances create any implication that there has been no change in the affairs of Manpower since the date hereof or that the information contained or incorporated by reference herein is correct as of any date subsequent to the d ate hereof.</w:t>
      </w:r>
    </w:p>
    <w:p>
      <w:pPr>
        <w:spacing w:after="0" w:line="200" w:lineRule="exact"/>
        <w:rPr>
          <w:sz w:val="20"/>
          <w:szCs w:val="20"/>
          <w:color w:val="auto"/>
        </w:rPr>
      </w:pPr>
    </w:p>
    <w:p>
      <w:pPr>
        <w:spacing w:after="0" w:line="272" w:lineRule="exact"/>
        <w:rPr>
          <w:sz w:val="20"/>
          <w:szCs w:val="20"/>
          <w:color w:val="auto"/>
        </w:rPr>
      </w:pPr>
    </w:p>
    <w:tbl>
      <w:tblPr>
        <w:tblLayout w:type="fixed"/>
        <w:tblInd w:w="16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2800" w:type="dxa"/>
            <w:vAlign w:val="bottom"/>
            <w:gridSpan w:val="3"/>
          </w:tcPr>
          <w:p>
            <w:pPr>
              <w:jc w:val="right"/>
              <w:ind w:right="1152"/>
              <w:spacing w:after="0"/>
              <w:rPr>
                <w:sz w:val="20"/>
                <w:szCs w:val="20"/>
                <w:color w:val="auto"/>
              </w:rPr>
            </w:pPr>
            <w:r>
              <w:rPr>
                <w:rFonts w:ascii="Arial" w:cs="Arial" w:eastAsia="Arial" w:hAnsi="Arial"/>
                <w:sz w:val="22"/>
                <w:szCs w:val="22"/>
                <w:color w:val="auto"/>
                <w:w w:val="87"/>
              </w:rPr>
              <w:t>Table of Contents</w:t>
            </w:r>
          </w:p>
        </w:tc>
      </w:tr>
      <w:tr>
        <w:trPr>
          <w:trHeight w:val="250"/>
        </w:trPr>
        <w:tc>
          <w:tcPr>
            <w:tcW w:w="126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7"/>
              </w:rPr>
              <w:t>Page</w:t>
            </w:r>
          </w:p>
        </w:tc>
      </w:tr>
      <w:tr>
        <w:trPr>
          <w:trHeight w:val="262"/>
        </w:trPr>
        <w:tc>
          <w:tcPr>
            <w:tcW w:w="1260" w:type="dxa"/>
            <w:vAlign w:val="bottom"/>
          </w:tcPr>
          <w:p>
            <w:pPr>
              <w:spacing w:after="0"/>
              <w:rPr>
                <w:sz w:val="20"/>
                <w:szCs w:val="20"/>
                <w:color w:val="auto"/>
              </w:rPr>
            </w:pPr>
            <w:r>
              <w:rPr>
                <w:rFonts w:ascii="Arial" w:cs="Arial" w:eastAsia="Arial" w:hAnsi="Arial"/>
                <w:sz w:val="18"/>
                <w:szCs w:val="18"/>
                <w:color w:val="auto"/>
                <w:w w:val="93"/>
              </w:rPr>
              <w:t>RISK FACTORS</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513"/>
        </w:trPr>
        <w:tc>
          <w:tcPr>
            <w:tcW w:w="1260" w:type="dxa"/>
            <w:vAlign w:val="bottom"/>
          </w:tcPr>
          <w:p>
            <w:pPr>
              <w:spacing w:after="0"/>
              <w:rPr>
                <w:sz w:val="20"/>
                <w:szCs w:val="20"/>
                <w:color w:val="auto"/>
              </w:rPr>
            </w:pPr>
            <w:r>
              <w:rPr>
                <w:rFonts w:ascii="Arial" w:cs="Arial" w:eastAsia="Arial" w:hAnsi="Arial"/>
                <w:sz w:val="18"/>
                <w:szCs w:val="18"/>
                <w:color w:val="auto"/>
                <w:w w:val="93"/>
              </w:rPr>
              <w:t>THE COMPANY</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640"/>
        <w:spacing w:after="0"/>
        <w:rPr>
          <w:sz w:val="20"/>
          <w:szCs w:val="20"/>
          <w:color w:val="auto"/>
        </w:rPr>
      </w:pPr>
      <w:r>
        <w:rPr>
          <w:rFonts w:ascii="Arial" w:cs="Arial" w:eastAsia="Arial" w:hAnsi="Arial"/>
          <w:sz w:val="22"/>
          <w:szCs w:val="22"/>
          <w:color w:val="auto"/>
        </w:rPr>
        <w:t>1,500,000 Shares</w:t>
      </w:r>
    </w:p>
    <w:p>
      <w:pPr>
        <w:spacing w:after="0" w:line="226" w:lineRule="exact"/>
        <w:rPr>
          <w:sz w:val="20"/>
          <w:szCs w:val="20"/>
          <w:color w:val="auto"/>
        </w:rPr>
      </w:pPr>
    </w:p>
    <w:p>
      <w:pPr>
        <w:jc w:val="center"/>
        <w:ind w:right="2640"/>
        <w:spacing w:after="0"/>
        <w:rPr>
          <w:sz w:val="20"/>
          <w:szCs w:val="20"/>
          <w:color w:val="auto"/>
        </w:rPr>
      </w:pPr>
      <w:r>
        <w:rPr>
          <w:rFonts w:ascii="Arial" w:cs="Arial" w:eastAsia="Arial" w:hAnsi="Arial"/>
          <w:sz w:val="24"/>
          <w:szCs w:val="24"/>
          <w:b w:val="1"/>
          <w:bCs w:val="1"/>
          <w:color w:val="auto"/>
        </w:rPr>
        <w:t>MANPOWER INC.</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May ____, 2002</w:t>
      </w:r>
    </w:p>
    <w:p>
      <w:pPr>
        <w:spacing w:after="0" w:line="601" w:lineRule="exact"/>
        <w:rPr>
          <w:sz w:val="20"/>
          <w:szCs w:val="20"/>
          <w:color w:val="auto"/>
        </w:rPr>
      </w:pPr>
    </w:p>
    <w:p>
      <w:pPr>
        <w:sectPr>
          <w:pgSz w:w="11900" w:h="16838" w:orient="portrait"/>
          <w:cols w:equalWidth="0" w:num="2">
            <w:col w:w="6000" w:space="720"/>
            <w:col w:w="4700"/>
          </w:cols>
          <w:pgMar w:left="240" w:top="118" w:right="239" w:bottom="0" w:gutter="0" w:footer="0" w:header="0"/>
          <w:type w:val="continuous"/>
        </w:sectPr>
      </w:pPr>
    </w:p>
    <w:p>
      <w:pPr>
        <w:spacing w:after="0" w:line="91" w:lineRule="exact"/>
        <w:rPr>
          <w:sz w:val="20"/>
          <w:szCs w:val="20"/>
          <w:color w:val="auto"/>
        </w:rPr>
      </w:pPr>
    </w:p>
    <w:tbl>
      <w:tblPr>
        <w:tblLayout w:type="fixed"/>
        <w:tblInd w:w="164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RESALES OF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18"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SELECTED CONSOLIDATED FINANCIAL</w:t>
            </w:r>
          </w:p>
        </w:tc>
        <w:tc>
          <w:tcPr>
            <w:tcW w:w="480" w:type="dxa"/>
            <w:vAlign w:val="bottom"/>
          </w:tcPr>
          <w:p>
            <w:pPr>
              <w:spacing w:after="0"/>
              <w:rPr>
                <w:sz w:val="18"/>
                <w:szCs w:val="18"/>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DATA</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13"/>
        </w:trPr>
        <w:tc>
          <w:tcPr>
            <w:tcW w:w="3580" w:type="dxa"/>
            <w:vAlign w:val="bottom"/>
          </w:tcPr>
          <w:p>
            <w:pPr>
              <w:spacing w:after="0"/>
              <w:rPr>
                <w:sz w:val="20"/>
                <w:szCs w:val="20"/>
                <w:color w:val="auto"/>
              </w:rPr>
            </w:pPr>
            <w:r>
              <w:rPr>
                <w:rFonts w:ascii="Arial" w:cs="Arial" w:eastAsia="Arial" w:hAnsi="Arial"/>
                <w:sz w:val="18"/>
                <w:szCs w:val="18"/>
                <w:color w:val="auto"/>
              </w:rPr>
              <w:t>LEGAL MATTERS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13"/>
        </w:trPr>
        <w:tc>
          <w:tcPr>
            <w:tcW w:w="3580" w:type="dxa"/>
            <w:vAlign w:val="bottom"/>
          </w:tcPr>
          <w:p>
            <w:pPr>
              <w:spacing w:after="0"/>
              <w:rPr>
                <w:sz w:val="20"/>
                <w:szCs w:val="20"/>
                <w:color w:val="auto"/>
              </w:rPr>
            </w:pPr>
            <w:r>
              <w:rPr>
                <w:rFonts w:ascii="Arial" w:cs="Arial" w:eastAsia="Arial" w:hAnsi="Arial"/>
                <w:sz w:val="18"/>
                <w:szCs w:val="18"/>
                <w:color w:val="auto"/>
              </w:rPr>
              <w:t>EXPERTS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07"/>
        </w:trPr>
        <w:tc>
          <w:tcPr>
            <w:tcW w:w="3580" w:type="dxa"/>
            <w:vAlign w:val="bottom"/>
          </w:tcPr>
          <w:p>
            <w:pPr>
              <w:spacing w:after="0"/>
              <w:rPr>
                <w:sz w:val="20"/>
                <w:szCs w:val="20"/>
                <w:color w:val="auto"/>
              </w:rPr>
            </w:pPr>
            <w:r>
              <w:rPr>
                <w:rFonts w:ascii="Arial" w:cs="Arial" w:eastAsia="Arial" w:hAnsi="Arial"/>
                <w:sz w:val="18"/>
                <w:szCs w:val="18"/>
                <w:color w:val="auto"/>
              </w:rPr>
              <w:t>WHERE YOU CAN FIND ADDITIONAL</w:t>
            </w:r>
          </w:p>
        </w:tc>
        <w:tc>
          <w:tcPr>
            <w:tcW w:w="480" w:type="dxa"/>
            <w:vAlign w:val="bottom"/>
          </w:tcPr>
          <w:p>
            <w:pPr>
              <w:spacing w:after="0"/>
              <w:rPr>
                <w:sz w:val="24"/>
                <w:szCs w:val="24"/>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07"/>
        </w:trPr>
        <w:tc>
          <w:tcPr>
            <w:tcW w:w="3580" w:type="dxa"/>
            <w:vAlign w:val="bottom"/>
          </w:tcPr>
          <w:p>
            <w:pPr>
              <w:spacing w:after="0"/>
              <w:rPr>
                <w:sz w:val="20"/>
                <w:szCs w:val="20"/>
                <w:color w:val="auto"/>
              </w:rPr>
            </w:pPr>
            <w:r>
              <w:rPr>
                <w:rFonts w:ascii="Arial" w:cs="Arial" w:eastAsia="Arial" w:hAnsi="Arial"/>
                <w:sz w:val="18"/>
                <w:szCs w:val="18"/>
                <w:color w:val="auto"/>
              </w:rPr>
              <w:t>INCORPORATION OF INFORMATION BY</w:t>
            </w:r>
          </w:p>
        </w:tc>
        <w:tc>
          <w:tcPr>
            <w:tcW w:w="480" w:type="dxa"/>
            <w:vAlign w:val="bottom"/>
          </w:tcPr>
          <w:p>
            <w:pPr>
              <w:spacing w:after="0"/>
              <w:rPr>
                <w:sz w:val="24"/>
                <w:szCs w:val="24"/>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REFERENCE</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07"/>
        </w:trPr>
        <w:tc>
          <w:tcPr>
            <w:tcW w:w="3580" w:type="dxa"/>
            <w:vAlign w:val="bottom"/>
          </w:tcPr>
          <w:p>
            <w:pPr>
              <w:spacing w:after="0"/>
              <w:rPr>
                <w:sz w:val="20"/>
                <w:szCs w:val="20"/>
                <w:color w:val="auto"/>
              </w:rPr>
            </w:pPr>
            <w:r>
              <w:rPr>
                <w:rFonts w:ascii="Arial" w:cs="Arial" w:eastAsia="Arial" w:hAnsi="Arial"/>
                <w:sz w:val="18"/>
                <w:szCs w:val="18"/>
                <w:color w:val="auto"/>
              </w:rPr>
              <w:t>DISCLOSURE REGARDING FORWARD-</w:t>
            </w:r>
          </w:p>
        </w:tc>
        <w:tc>
          <w:tcPr>
            <w:tcW w:w="480" w:type="dxa"/>
            <w:vAlign w:val="bottom"/>
          </w:tcPr>
          <w:p>
            <w:pPr>
              <w:spacing w:after="0"/>
              <w:rPr>
                <w:sz w:val="24"/>
                <w:szCs w:val="24"/>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LOOKING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900" w:firstLine="2896"/>
        <w:spacing w:after="0" w:line="438" w:lineRule="auto"/>
        <w:rPr>
          <w:sz w:val="20"/>
          <w:szCs w:val="20"/>
          <w:color w:val="auto"/>
        </w:rPr>
      </w:pPr>
      <w:r>
        <w:rPr>
          <w:rFonts w:ascii="Arial" w:cs="Arial" w:eastAsia="Arial" w:hAnsi="Arial"/>
          <w:sz w:val="22"/>
          <w:szCs w:val="22"/>
          <w:b w:val="1"/>
          <w:bCs w:val="1"/>
          <w:color w:val="auto"/>
        </w:rPr>
        <w:t>INFORMATION NOT REQUIRED IN THE PROSPECTUS Item 20. Indemnification of Directors and Officers.</w:t>
      </w:r>
    </w:p>
    <w:p>
      <w:pPr>
        <w:spacing w:after="0" w:line="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9"/>
          <w:szCs w:val="19"/>
          <w:color w:val="auto"/>
        </w:rPr>
        <w:t>Section 180.0851 of the Wisconsin Business Corporation Law (the "WBCL") requires Manpower Inc. (the "Company") to indemnify a director or officer, to the extent such person is successful on the merits or otherwise in the defense of a proceeding, for all reasonable expenses incurred in the proceeding, if such person was a party to such proceeding because he or she was a director or officer of the Company. In all other cases, Section 180.0851 of the WBCL requires the Company to indemnify a director or officer against liability incurred by such person in a proceeding to which such person was a party because he or she was a director or officer of the Company, unless liability was incurred because he or she breached or failed to perform a duty owed to the Company and such breach or failure to perform constitutes: (i) a willful failure to deal fairly with the Company or its shareholders in connection with a matter in which the director or officer has a material conflict of interest; (ii) a violation of criminal law, unless the director or officer had reasonable cause to believe his or her conduct was unlawful; (iii) a transaction from which the director or officer derived an improper personal profit; or (iv) willful misconduct.</w:t>
      </w:r>
    </w:p>
    <w:p>
      <w:pPr>
        <w:spacing w:after="0" w:line="16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Section 180.0858 of the WBCL provides that, subject to certain limitations, the mandatory indemnification provisions do not preclude any additional right to indemnification or allowance of expenses that a director or officer may have under the articles of incorporation or by-laws of the Company, a written agreement between the director or officer and the Company, or a resolution of the Board of Directors or the shareholders.</w:t>
      </w:r>
    </w:p>
    <w:p>
      <w:pPr>
        <w:spacing w:after="0" w:line="185"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21"/>
          <w:szCs w:val="21"/>
          <w:color w:val="auto"/>
        </w:rPr>
        <w:t>Unless otherwise provided in the Company's articles of incorporation or by-laws, or by written agreement between the director or officer and the Company, an officer or director seeking indemnification is entitled to indemnification if approved in any of the following manners as specified in Section 180.0855 of the WBCL: (i) by majority vote of a disinterested quorum of the board of directors or committee consisting of disinterested directors; (ii) by independent legal counsel chosen by a majority vote of a disinterested quorum of the board of directors or a committee consisting of disinterested directors; (iii) by a panel of three arbitrators (one of which is chosen by disinterested directors as described above); (iv) by the vote of the shareholders; (v) by a court; or (vi) by any other method permitted in Section 180.0858 of the WBCL.</w:t>
      </w:r>
    </w:p>
    <w:p>
      <w:pPr>
        <w:spacing w:after="0" w:line="178"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21"/>
          <w:szCs w:val="21"/>
          <w:color w:val="auto"/>
        </w:rPr>
        <w:t>Reasonable expenses incurred by a director or officer who is a party to a proceeding may be reimbursed by the Company, pursuant to Section 180.0853 of the WBCL, at such time as the director or officer furnishes to the Company written affirmation of his or her good faith that he or she has not breached or failed to perform his or her duties and written confirmation to repay any amounts advanced if it is determined that indemnification by the Company is not required.</w:t>
      </w:r>
    </w:p>
    <w:p>
      <w:pPr>
        <w:spacing w:after="0" w:line="174" w:lineRule="exact"/>
        <w:rPr>
          <w:sz w:val="20"/>
          <w:szCs w:val="20"/>
          <w:color w:val="auto"/>
        </w:rPr>
      </w:pPr>
    </w:p>
    <w:p>
      <w:pPr>
        <w:jc w:val="both"/>
        <w:ind w:firstLine="776"/>
        <w:spacing w:after="0" w:line="238" w:lineRule="auto"/>
        <w:rPr>
          <w:sz w:val="20"/>
          <w:szCs w:val="20"/>
          <w:color w:val="auto"/>
        </w:rPr>
      </w:pPr>
      <w:r>
        <w:rPr>
          <w:rFonts w:ascii="Arial" w:cs="Arial" w:eastAsia="Arial" w:hAnsi="Arial"/>
          <w:sz w:val="22"/>
          <w:szCs w:val="22"/>
          <w:color w:val="auto"/>
        </w:rPr>
        <w:t>Section 180.0859 of the WBCL provides that it is the public policy of the State of Wisconsin to require or permit indemnification, allowance of expenses or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85" w:lineRule="exact"/>
        <w:rPr>
          <w:sz w:val="20"/>
          <w:szCs w:val="20"/>
          <w:color w:val="auto"/>
        </w:rPr>
      </w:pPr>
    </w:p>
    <w:p>
      <w:pPr>
        <w:jc w:val="both"/>
        <w:ind w:firstLine="463"/>
        <w:spacing w:after="0" w:line="238" w:lineRule="auto"/>
        <w:rPr>
          <w:sz w:val="20"/>
          <w:szCs w:val="20"/>
          <w:color w:val="auto"/>
        </w:rPr>
      </w:pPr>
      <w:r>
        <w:rPr>
          <w:rFonts w:ascii="Arial" w:cs="Arial" w:eastAsia="Arial" w:hAnsi="Arial"/>
          <w:sz w:val="22"/>
          <w:szCs w:val="22"/>
          <w:color w:val="auto"/>
        </w:rPr>
        <w:t>Section 180.0857 of the WBCL permits the Company to purchase insurance on behalf of a director or officer of the Company against liability incurred by such person in his or her capacity as a director or officer or arising from his or her status as a director or officer regardless of whether the Company is required or authorized to indemnify or allow expenses to such person against the same liability under Sections 180.0851 to 180.0858 of the WBCL.</w:t>
      </w:r>
    </w:p>
    <w:p>
      <w:pPr>
        <w:spacing w:after="0" w:line="185" w:lineRule="exact"/>
        <w:rPr>
          <w:sz w:val="20"/>
          <w:szCs w:val="20"/>
          <w:color w:val="auto"/>
        </w:rPr>
      </w:pPr>
    </w:p>
    <w:p>
      <w:pPr>
        <w:jc w:val="both"/>
        <w:ind w:firstLine="563"/>
        <w:spacing w:after="0"/>
        <w:rPr>
          <w:sz w:val="20"/>
          <w:szCs w:val="20"/>
          <w:color w:val="auto"/>
        </w:rPr>
      </w:pPr>
      <w:r>
        <w:rPr>
          <w:rFonts w:ascii="Arial" w:cs="Arial" w:eastAsia="Arial" w:hAnsi="Arial"/>
          <w:sz w:val="22"/>
          <w:szCs w:val="22"/>
          <w:color w:val="auto"/>
        </w:rPr>
        <w:t>Under Section 180.0828 of the WBCL, a director of the Company is not personally liable for breach of any duty resulting solely from his or her status as a director, unless it shall be proved that the director's conduct constituted conduct described in the first paragraph of this item.</w:t>
      </w:r>
    </w:p>
    <w:p>
      <w:pPr>
        <w:sectPr>
          <w:pgSz w:w="11900" w:h="16838" w:orient="portrait"/>
          <w:cols w:equalWidth="0" w:num="1">
            <w:col w:w="11420"/>
          </w:cols>
          <w:pgMar w:left="240" w:top="401" w:right="239" w:bottom="0" w:gutter="0" w:footer="0" w:header="0"/>
        </w:sectPr>
      </w:pPr>
    </w:p>
    <w:bookmarkStart w:id="10" w:name="page11"/>
    <w:bookmarkEnd w:id="10"/>
    <w:p>
      <w:pPr>
        <w:spacing w:after="0" w:line="14" w:lineRule="exact"/>
        <w:rPr>
          <w:sz w:val="20"/>
          <w:szCs w:val="20"/>
          <w:color w:val="auto"/>
        </w:rPr>
      </w:pPr>
    </w:p>
    <w:p>
      <w:pPr>
        <w:jc w:val="both"/>
        <w:ind w:firstLine="429"/>
        <w:spacing w:after="0" w:line="287" w:lineRule="auto"/>
        <w:rPr>
          <w:sz w:val="20"/>
          <w:szCs w:val="20"/>
          <w:color w:val="auto"/>
        </w:rPr>
      </w:pPr>
      <w:r>
        <w:rPr>
          <w:rFonts w:ascii="Arial" w:cs="Arial" w:eastAsia="Arial" w:hAnsi="Arial"/>
          <w:sz w:val="19"/>
          <w:szCs w:val="19"/>
          <w:color w:val="auto"/>
        </w:rPr>
        <w:t>As permitted by Section 180.0858, the Company has adopted indemnification provisions in its by-laws which closely track the statutory indemnification provisions with certain exceptions. In particular, Article VII of the Company's by-laws, among other items, provides that (i) an individual shall be indemnified unless it is proven by a final judicial adjudication that indemnification is prohibited and (ii) payment or reimbursement of expenses, subject to certain limitations, will be mandatory rather than permissive.</w:t>
      </w:r>
    </w:p>
    <w:p>
      <w:pPr>
        <w:spacing w:after="0" w:line="144" w:lineRule="exact"/>
        <w:rPr>
          <w:sz w:val="20"/>
          <w:szCs w:val="20"/>
          <w:color w:val="auto"/>
        </w:rPr>
      </w:pPr>
    </w:p>
    <w:p>
      <w:pPr>
        <w:jc w:val="both"/>
        <w:ind w:firstLine="519"/>
        <w:spacing w:after="0" w:line="238" w:lineRule="auto"/>
        <w:rPr>
          <w:sz w:val="20"/>
          <w:szCs w:val="20"/>
          <w:color w:val="auto"/>
        </w:rPr>
      </w:pPr>
      <w:r>
        <w:rPr>
          <w:rFonts w:ascii="Arial" w:cs="Arial" w:eastAsia="Arial" w:hAnsi="Arial"/>
          <w:sz w:val="22"/>
          <w:szCs w:val="22"/>
          <w:color w:val="auto"/>
        </w:rPr>
        <w:t>In accordance with Section 180.0857 of the WBCL, Article VII of the Company's by-laws allows the Company to purchase insurance for directors and officers. Through insurance, the officers and directors of the Company are insured for acts or omissions related to the conduct of their duties. The insurance covers certain liabilities which may arise under the Securities Act of 1933, as amended.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21. Exhibits and Financial Statement Schedules.</w:t>
      </w:r>
    </w:p>
    <w:p>
      <w:pPr>
        <w:spacing w:after="0" w:line="212"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following Exhibits are filed as part of this Registration Statement.</w:t>
      </w:r>
    </w:p>
    <w:p>
      <w:pPr>
        <w:spacing w:after="0" w:line="191" w:lineRule="exact"/>
        <w:rPr>
          <w:sz w:val="20"/>
          <w:szCs w:val="20"/>
          <w:color w:val="auto"/>
        </w:rPr>
      </w:pPr>
    </w:p>
    <w:tbl>
      <w:tblPr>
        <w:tblLayout w:type="fixed"/>
        <w:tblInd w:w="3220" w:type="dxa"/>
        <w:tblCellMar>
          <w:top w:w="0" w:type="dxa"/>
          <w:left w:w="0" w:type="dxa"/>
          <w:bottom w:w="0" w:type="dxa"/>
          <w:right w:w="0" w:type="dxa"/>
        </w:tblCellMar>
      </w:tblPr>
      <w:tr>
        <w:trPr>
          <w:trHeight w:val="253"/>
        </w:trPr>
        <w:tc>
          <w:tcPr>
            <w:tcW w:w="1080" w:type="dxa"/>
            <w:vAlign w:val="bottom"/>
            <w:gridSpan w:val="2"/>
          </w:tcPr>
          <w:p>
            <w:pPr>
              <w:spacing w:after="0"/>
              <w:rPr>
                <w:sz w:val="20"/>
                <w:szCs w:val="20"/>
                <w:color w:val="auto"/>
              </w:rPr>
            </w:pPr>
            <w:r>
              <w:rPr>
                <w:rFonts w:ascii="Arial" w:cs="Arial" w:eastAsia="Arial" w:hAnsi="Arial"/>
                <w:sz w:val="22"/>
                <w:szCs w:val="22"/>
                <w:color w:val="auto"/>
                <w:w w:val="99"/>
              </w:rPr>
              <w:t>Exhibit No.</w:t>
            </w:r>
          </w:p>
        </w:tc>
        <w:tc>
          <w:tcPr>
            <w:tcW w:w="5200" w:type="dxa"/>
            <w:vAlign w:val="bottom"/>
          </w:tcPr>
          <w:p>
            <w:pPr>
              <w:spacing w:after="0"/>
              <w:rPr>
                <w:sz w:val="21"/>
                <w:szCs w:val="21"/>
                <w:color w:val="auto"/>
              </w:rPr>
            </w:pPr>
          </w:p>
        </w:tc>
      </w:tr>
      <w:tr>
        <w:trPr>
          <w:trHeight w:val="296"/>
        </w:trPr>
        <w:tc>
          <w:tcPr>
            <w:tcW w:w="10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5.1</w:t>
            </w:r>
          </w:p>
        </w:tc>
        <w:tc>
          <w:tcPr>
            <w:tcW w:w="6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22"/>
                <w:szCs w:val="22"/>
                <w:color w:val="auto"/>
              </w:rPr>
              <w:t>Opinion of Godfrey &amp; Kahn, S.C.*</w:t>
            </w:r>
          </w:p>
        </w:tc>
      </w:t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23.1</w:t>
            </w:r>
          </w:p>
        </w:tc>
        <w:tc>
          <w:tcPr>
            <w:tcW w:w="60" w:type="dxa"/>
            <w:vAlign w:val="bottom"/>
          </w:tcPr>
          <w:p>
            <w:pPr>
              <w:spacing w:after="0"/>
              <w:rPr>
                <w:sz w:val="23"/>
                <w:szCs w:val="23"/>
                <w:color w:val="auto"/>
              </w:rPr>
            </w:pPr>
          </w:p>
        </w:tc>
        <w:tc>
          <w:tcPr>
            <w:tcW w:w="5200" w:type="dxa"/>
            <w:vAlign w:val="bottom"/>
          </w:tcPr>
          <w:p>
            <w:pPr>
              <w:ind w:left="80"/>
              <w:spacing w:after="0"/>
              <w:rPr>
                <w:sz w:val="20"/>
                <w:szCs w:val="20"/>
                <w:color w:val="auto"/>
              </w:rPr>
            </w:pPr>
            <w:r>
              <w:rPr>
                <w:rFonts w:ascii="Arial" w:cs="Arial" w:eastAsia="Arial" w:hAnsi="Arial"/>
                <w:sz w:val="22"/>
                <w:szCs w:val="22"/>
                <w:color w:val="auto"/>
              </w:rPr>
              <w:t>Consent of Independent Public Accountants</w:t>
            </w:r>
          </w:p>
        </w:tc>
      </w:tr>
      <w:tr>
        <w:trPr>
          <w:trHeight w:val="275"/>
        </w:trPr>
        <w:tc>
          <w:tcPr>
            <w:tcW w:w="1020" w:type="dxa"/>
            <w:vAlign w:val="bottom"/>
          </w:tcPr>
          <w:p>
            <w:pPr>
              <w:spacing w:after="0"/>
              <w:rPr>
                <w:sz w:val="20"/>
                <w:szCs w:val="20"/>
                <w:color w:val="auto"/>
              </w:rPr>
            </w:pPr>
            <w:r>
              <w:rPr>
                <w:rFonts w:ascii="Arial" w:cs="Arial" w:eastAsia="Arial" w:hAnsi="Arial"/>
                <w:sz w:val="22"/>
                <w:szCs w:val="22"/>
                <w:color w:val="auto"/>
              </w:rPr>
              <w:t>23.2</w:t>
            </w:r>
          </w:p>
        </w:tc>
        <w:tc>
          <w:tcPr>
            <w:tcW w:w="60" w:type="dxa"/>
            <w:vAlign w:val="bottom"/>
          </w:tcPr>
          <w:p>
            <w:pPr>
              <w:spacing w:after="0"/>
              <w:rPr>
                <w:sz w:val="23"/>
                <w:szCs w:val="23"/>
                <w:color w:val="auto"/>
              </w:rPr>
            </w:pPr>
          </w:p>
        </w:tc>
        <w:tc>
          <w:tcPr>
            <w:tcW w:w="5200" w:type="dxa"/>
            <w:vAlign w:val="bottom"/>
          </w:tcPr>
          <w:p>
            <w:pPr>
              <w:ind w:left="80"/>
              <w:spacing w:after="0"/>
              <w:rPr>
                <w:sz w:val="20"/>
                <w:szCs w:val="20"/>
                <w:color w:val="auto"/>
              </w:rPr>
            </w:pPr>
            <w:r>
              <w:rPr>
                <w:rFonts w:ascii="Arial" w:cs="Arial" w:eastAsia="Arial" w:hAnsi="Arial"/>
                <w:sz w:val="22"/>
                <w:szCs w:val="22"/>
                <w:color w:val="auto"/>
                <w:w w:val="91"/>
              </w:rPr>
              <w:t>Consent of Godfrey &amp; Kahn, S.C. (included in Exhibit 5.1)</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24.1</w:t>
            </w:r>
          </w:p>
        </w:tc>
        <w:tc>
          <w:tcPr>
            <w:tcW w:w="6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22"/>
                <w:szCs w:val="22"/>
                <w:color w:val="auto"/>
              </w:rPr>
              <w:t>Powers of Attorney*</w:t>
            </w: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_________</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Previously filed.</w:t>
      </w:r>
    </w:p>
    <w:p>
      <w:pPr>
        <w:spacing w:after="0" w:line="206"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22"/>
          <w:szCs w:val="22"/>
          <w:color w:val="auto"/>
        </w:rPr>
        <w:t>(b)-(c)</w:t>
      </w:r>
      <w:r>
        <w:rPr>
          <w:sz w:val="20"/>
          <w:szCs w:val="20"/>
          <w:color w:val="auto"/>
        </w:rPr>
        <w:tab/>
      </w:r>
      <w:r>
        <w:rPr>
          <w:rFonts w:ascii="Arial" w:cs="Arial" w:eastAsia="Arial" w:hAnsi="Arial"/>
          <w:sz w:val="19"/>
          <w:szCs w:val="19"/>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22. Undertakings.</w:t>
      </w:r>
    </w:p>
    <w:p>
      <w:pPr>
        <w:spacing w:after="0" w:line="212"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undersigned Registrant hereby undertakes:</w:t>
      </w:r>
    </w:p>
    <w:p>
      <w:pPr>
        <w:spacing w:after="0" w:line="206" w:lineRule="exact"/>
        <w:rPr>
          <w:sz w:val="20"/>
          <w:szCs w:val="20"/>
          <w:color w:val="auto"/>
        </w:rPr>
      </w:pPr>
    </w:p>
    <w:p>
      <w:pPr>
        <w:ind w:left="1480" w:hanging="477"/>
        <w:spacing w:after="0"/>
        <w:tabs>
          <w:tab w:leader="none" w:pos="14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Statement:</w:t>
      </w:r>
    </w:p>
    <w:p>
      <w:pPr>
        <w:spacing w:after="0" w:line="188" w:lineRule="exact"/>
        <w:rPr>
          <w:sz w:val="20"/>
          <w:szCs w:val="20"/>
          <w:color w:val="auto"/>
        </w:rPr>
      </w:pPr>
    </w:p>
    <w:p>
      <w:pPr>
        <w:ind w:left="2040" w:hanging="735"/>
        <w:spacing w:after="0"/>
        <w:tabs>
          <w:tab w:leader="none" w:pos="2040" w:val="left"/>
        </w:tabs>
        <w:numPr>
          <w:ilvl w:val="2"/>
          <w:numId w:val="3"/>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 of 1933;</w:t>
      </w:r>
    </w:p>
    <w:p>
      <w:pPr>
        <w:spacing w:after="0" w:line="206" w:lineRule="exact"/>
        <w:rPr>
          <w:rFonts w:ascii="Arial" w:cs="Arial" w:eastAsia="Arial" w:hAnsi="Arial"/>
          <w:sz w:val="22"/>
          <w:szCs w:val="22"/>
          <w:color w:val="auto"/>
        </w:rPr>
      </w:pPr>
    </w:p>
    <w:p>
      <w:pPr>
        <w:jc w:val="both"/>
        <w:ind w:firstLine="1453"/>
        <w:spacing w:after="0"/>
        <w:tabs>
          <w:tab w:leader="none" w:pos="2131" w:val="left"/>
        </w:tabs>
        <w:numPr>
          <w:ilvl w:val="3"/>
          <w:numId w:val="3"/>
        </w:numPr>
        <w:rPr>
          <w:rFonts w:ascii="Arial" w:cs="Arial" w:eastAsia="Arial" w:hAnsi="Arial"/>
          <w:sz w:val="22"/>
          <w:szCs w:val="22"/>
          <w:color w:val="auto"/>
        </w:rPr>
      </w:pPr>
      <w:r>
        <w:rPr>
          <w:rFonts w:ascii="Arial" w:cs="Arial" w:eastAsia="Arial" w:hAnsi="Arial"/>
          <w:sz w:val="22"/>
          <w:szCs w:val="2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6" w:lineRule="exact"/>
        <w:rPr>
          <w:rFonts w:ascii="Arial" w:cs="Arial" w:eastAsia="Arial" w:hAnsi="Arial"/>
          <w:sz w:val="22"/>
          <w:szCs w:val="22"/>
          <w:color w:val="auto"/>
        </w:rPr>
      </w:pPr>
    </w:p>
    <w:p>
      <w:pPr>
        <w:ind w:firstLine="1488"/>
        <w:spacing w:after="0" w:line="251" w:lineRule="auto"/>
        <w:tabs>
          <w:tab w:leader="none" w:pos="2174" w:val="left"/>
        </w:tabs>
        <w:numPr>
          <w:ilvl w:val="4"/>
          <w:numId w:val="3"/>
        </w:numPr>
        <w:rPr>
          <w:rFonts w:ascii="Arial" w:cs="Arial" w:eastAsia="Arial" w:hAnsi="Arial"/>
          <w:sz w:val="22"/>
          <w:szCs w:val="22"/>
          <w:color w:val="auto"/>
        </w:rPr>
      </w:pPr>
      <w:r>
        <w:rPr>
          <w:rFonts w:ascii="Arial" w:cs="Arial" w:eastAsia="Arial" w:hAnsi="Arial"/>
          <w:sz w:val="22"/>
          <w:szCs w:val="22"/>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rFonts w:ascii="Arial" w:cs="Arial" w:eastAsia="Arial" w:hAnsi="Arial"/>
          <w:sz w:val="22"/>
          <w:szCs w:val="22"/>
          <w:color w:val="auto"/>
        </w:rPr>
      </w:pPr>
    </w:p>
    <w:p>
      <w:pPr>
        <w:jc w:val="both"/>
        <w:ind w:firstLine="1227"/>
        <w:spacing w:after="0"/>
        <w:tabs>
          <w:tab w:leader="none" w:pos="1771" w:val="left"/>
        </w:tabs>
        <w:numPr>
          <w:ilvl w:val="1"/>
          <w:numId w:val="4"/>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22"/>
          <w:szCs w:val="22"/>
          <w:color w:val="auto"/>
        </w:rPr>
      </w:pPr>
    </w:p>
    <w:p>
      <w:pPr>
        <w:ind w:firstLine="992"/>
        <w:spacing w:after="0" w:line="251" w:lineRule="auto"/>
        <w:tabs>
          <w:tab w:leader="none" w:pos="1479"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173"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9"/>
          <w:szCs w:val="19"/>
          <w:color w:val="auto"/>
        </w:rPr>
        <w:t>*(b) 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sz w:val="20"/>
          <w:szCs w:val="20"/>
          <w:color w:val="auto"/>
        </w:rPr>
      </w:pPr>
    </w:p>
    <w:p>
      <w:pPr>
        <w:jc w:val="both"/>
        <w:ind w:firstLine="592"/>
        <w:spacing w:after="0" w:line="249" w:lineRule="auto"/>
        <w:rPr>
          <w:sz w:val="20"/>
          <w:szCs w:val="20"/>
          <w:color w:val="auto"/>
        </w:rPr>
      </w:pPr>
      <w:r>
        <w:rPr>
          <w:rFonts w:ascii="Arial" w:cs="Arial" w:eastAsia="Arial" w:hAnsi="Arial"/>
          <w:sz w:val="21"/>
          <w:szCs w:val="21"/>
          <w:color w:val="auto"/>
        </w:rPr>
        <w:t>*(g) (1)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sz w:val="20"/>
          <w:szCs w:val="20"/>
          <w:color w:val="auto"/>
        </w:rPr>
      </w:pPr>
    </w:p>
    <w:p>
      <w:pPr>
        <w:ind w:left="1420" w:hanging="488"/>
        <w:spacing w:after="0"/>
        <w:tabs>
          <w:tab w:leader="none" w:pos="1420"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registrant undertakes that every prospectus (i) that is filed pursuant to paragraph (1) immediately preceding, or</w:t>
      </w:r>
    </w:p>
    <w:p>
      <w:pPr>
        <w:spacing w:after="0" w:line="42" w:lineRule="exact"/>
        <w:rPr>
          <w:rFonts w:ascii="Arial" w:cs="Arial" w:eastAsia="Arial" w:hAnsi="Arial"/>
          <w:sz w:val="19"/>
          <w:szCs w:val="19"/>
          <w:color w:val="auto"/>
        </w:rPr>
      </w:pPr>
    </w:p>
    <w:p>
      <w:pPr>
        <w:jc w:val="both"/>
        <w:ind w:firstLine="8"/>
        <w:spacing w:after="0" w:line="245" w:lineRule="auto"/>
        <w:tabs>
          <w:tab w:leader="none" w:pos="338" w:val="left"/>
        </w:tabs>
        <w:numPr>
          <w:ilvl w:val="0"/>
          <w:numId w:val="7"/>
        </w:numPr>
        <w:rPr>
          <w:rFonts w:ascii="Arial" w:cs="Arial" w:eastAsia="Arial" w:hAnsi="Arial"/>
          <w:sz w:val="21"/>
          <w:szCs w:val="21"/>
          <w:color w:val="auto"/>
        </w:rPr>
      </w:pPr>
      <w:r>
        <w:rPr>
          <w:rFonts w:ascii="Arial" w:cs="Arial" w:eastAsia="Arial" w:hAnsi="Arial"/>
          <w:sz w:val="21"/>
          <w:szCs w:val="21"/>
          <w:color w:val="auto"/>
        </w:rPr>
        <w:t>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firstLine="462"/>
        <w:spacing w:after="0" w:line="328" w:lineRule="auto"/>
        <w:rPr>
          <w:sz w:val="20"/>
          <w:szCs w:val="20"/>
          <w:color w:val="auto"/>
        </w:rPr>
      </w:pPr>
      <w:r>
        <w:rPr>
          <w:rFonts w:ascii="Arial" w:cs="Arial" w:eastAsia="Arial" w:hAnsi="Arial"/>
          <w:sz w:val="19"/>
          <w:szCs w:val="19"/>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w:t>
      </w:r>
    </w:p>
    <w:p>
      <w:pPr>
        <w:sectPr>
          <w:pgSz w:w="11900" w:h="16852" w:orient="portrait"/>
          <w:cols w:equalWidth="0" w:num="1">
            <w:col w:w="11420"/>
          </w:cols>
          <w:pgMar w:left="240" w:top="118" w:right="239" w:bottom="0" w:gutter="0" w:footer="0" w:header="0"/>
        </w:sectPr>
      </w:pPr>
    </w:p>
    <w:bookmarkStart w:id="11" w:name="page12"/>
    <w:bookmarkEnd w:id="11"/>
    <w:p>
      <w:pPr>
        <w:jc w:val="both"/>
        <w:spacing w:after="0" w:line="247" w:lineRule="auto"/>
        <w:rPr>
          <w:sz w:val="20"/>
          <w:szCs w:val="20"/>
          <w:color w:val="auto"/>
        </w:rPr>
      </w:pPr>
      <w:r>
        <w:rPr>
          <w:rFonts w:ascii="Arial" w:cs="Arial" w:eastAsia="Arial" w:hAnsi="Arial"/>
          <w:sz w:val="21"/>
          <w:szCs w:val="21"/>
          <w:color w:val="auto"/>
        </w:rPr>
        <w:t xml:space="preserve">the opinion of the Securities and Exchange Commission such indemnification is against public policy as expressed in the Act and </w:t>
      </w:r>
      <w:r>
        <w:rPr>
          <w:rFonts w:ascii="Arial" w:cs="Arial" w:eastAsia="Arial" w:hAnsi="Arial"/>
          <w:sz w:val="21"/>
          <w:szCs w:val="21"/>
          <w:color w:val="auto"/>
        </w:rPr>
        <w:t>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9"/>
          <w:szCs w:val="19"/>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3" w:lineRule="exact"/>
        <w:rPr>
          <w:sz w:val="20"/>
          <w:szCs w:val="20"/>
          <w:color w:val="auto"/>
        </w:rPr>
      </w:pPr>
    </w:p>
    <w:p>
      <w:pPr>
        <w:jc w:val="both"/>
        <w:ind w:firstLine="473"/>
        <w:spacing w:after="0"/>
        <w:rPr>
          <w:sz w:val="20"/>
          <w:szCs w:val="20"/>
          <w:color w:val="auto"/>
        </w:rPr>
      </w:pPr>
      <w:r>
        <w:rPr>
          <w:rFonts w:ascii="Arial" w:cs="Arial" w:eastAsia="Arial" w:hAnsi="Arial"/>
          <w:sz w:val="22"/>
          <w:szCs w:val="22"/>
          <w:color w:val="auto"/>
        </w:rPr>
        <w:t>The undersigned Registrant hereby undertakes to supply by means of a post-effective amendment, if required, all information concerning a transaction, and the company being acquired involved therein, that was not the subject of and included in the Registration Statement when it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874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87450" cy="342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 Paragraph references correspond to those of Item 512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jc w:val="both"/>
        <w:ind w:firstLine="532"/>
        <w:spacing w:after="0" w:line="328" w:lineRule="auto"/>
        <w:rPr>
          <w:sz w:val="20"/>
          <w:szCs w:val="20"/>
          <w:color w:val="auto"/>
        </w:rPr>
      </w:pPr>
      <w:r>
        <w:rPr>
          <w:rFonts w:ascii="Arial" w:cs="Arial" w:eastAsia="Arial" w:hAnsi="Arial"/>
          <w:sz w:val="19"/>
          <w:szCs w:val="19"/>
          <w:color w:val="auto"/>
        </w:rPr>
        <w:t>Pursuant to the requirements of the Securities Act of 1933, the Registrant has duly caused this Registration Statement to be signed on its behalf by the undersigned, thereunto duly authorized, in the City of Milwaukee, State of Wisconsin, on May 23, 2002.</w:t>
      </w:r>
    </w:p>
    <w:p>
      <w:pPr>
        <w:spacing w:after="0" w:line="119"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357"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-17780</wp:posOffset>
            </wp:positionV>
            <wp:extent cx="21964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96465" cy="8890"/>
                    </a:xfrm>
                    <a:prstGeom prst="rect">
                      <a:avLst/>
                    </a:prstGeom>
                    <a:noFill/>
                  </pic:spPr>
                </pic:pic>
              </a:graphicData>
            </a:graphic>
          </wp:anchor>
        </w:drawing>
      </w:r>
    </w:p>
    <w:p>
      <w:pPr>
        <w:spacing w:after="0" w:line="2"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Jeffrey A. Joerres,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9"/>
          <w:szCs w:val="19"/>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below by the following persons in the capacities on the dates indicated.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22"/>
                <w:szCs w:val="22"/>
                <w:color w:val="auto"/>
                <w:w w:val="87"/>
              </w:rPr>
              <w:t>Signature</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90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22"/>
                <w:szCs w:val="22"/>
                <w:color w:val="auto"/>
              </w:rPr>
              <w:t>Date</w:t>
            </w:r>
          </w:p>
        </w:tc>
      </w:tr>
      <w:tr>
        <w:trPr>
          <w:trHeight w:val="20"/>
        </w:trPr>
        <w:tc>
          <w:tcPr>
            <w:tcW w:w="1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0"/>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Jeffrey A. Joerres</w:t>
            </w:r>
          </w:p>
        </w:tc>
        <w:tc>
          <w:tcPr>
            <w:tcW w:w="120" w:type="dxa"/>
            <w:vAlign w:val="bottom"/>
          </w:tcPr>
          <w:p>
            <w:pPr>
              <w:spacing w:after="0"/>
              <w:rPr>
                <w:sz w:val="24"/>
                <w:szCs w:val="24"/>
                <w:color w:val="auto"/>
              </w:rPr>
            </w:pPr>
          </w:p>
        </w:tc>
        <w:tc>
          <w:tcPr>
            <w:tcW w:w="3700" w:type="dxa"/>
            <w:vAlign w:val="bottom"/>
            <w:gridSpan w:val="3"/>
          </w:tcPr>
          <w:p>
            <w:pPr>
              <w:ind w:left="600"/>
              <w:spacing w:after="0"/>
              <w:rPr>
                <w:sz w:val="20"/>
                <w:szCs w:val="20"/>
                <w:color w:val="auto"/>
              </w:rPr>
            </w:pPr>
            <w:r>
              <w:rPr>
                <w:rFonts w:ascii="Arial" w:cs="Arial" w:eastAsia="Arial" w:hAnsi="Arial"/>
                <w:sz w:val="22"/>
                <w:szCs w:val="22"/>
                <w:color w:val="auto"/>
              </w:rPr>
              <w:t>Chairman, President and Chief</w:t>
            </w:r>
          </w:p>
        </w:tc>
        <w:tc>
          <w:tcPr>
            <w:tcW w:w="1460" w:type="dxa"/>
            <w:vAlign w:val="bottom"/>
            <w:gridSpan w:val="3"/>
          </w:tcPr>
          <w:p>
            <w:pPr>
              <w:ind w:left="260"/>
              <w:spacing w:after="0"/>
              <w:rPr>
                <w:sz w:val="20"/>
                <w:szCs w:val="20"/>
                <w:color w:val="auto"/>
              </w:rPr>
            </w:pPr>
            <w:r>
              <w:rPr>
                <w:rFonts w:ascii="Arial" w:cs="Arial" w:eastAsia="Arial" w:hAnsi="Arial"/>
                <w:sz w:val="22"/>
                <w:szCs w:val="22"/>
                <w:color w:val="auto"/>
                <w:w w:val="88"/>
              </w:rPr>
              <w:t>May 23, 2002</w:t>
            </w:r>
          </w:p>
        </w:tc>
      </w:tr>
      <w:tr>
        <w:trPr>
          <w:trHeight w:val="242"/>
        </w:trPr>
        <w:tc>
          <w:tcPr>
            <w:tcW w:w="2820" w:type="dxa"/>
            <w:vAlign w:val="bottom"/>
            <w:gridSpan w:val="3"/>
          </w:tcPr>
          <w:p>
            <w:pPr>
              <w:spacing w:after="0" w:line="242" w:lineRule="exact"/>
              <w:rPr>
                <w:sz w:val="20"/>
                <w:szCs w:val="20"/>
                <w:color w:val="auto"/>
              </w:rPr>
            </w:pPr>
            <w:r>
              <w:rPr>
                <w:rFonts w:ascii="Arial" w:cs="Arial" w:eastAsia="Arial" w:hAnsi="Arial"/>
                <w:sz w:val="22"/>
                <w:szCs w:val="22"/>
                <w:color w:val="auto"/>
              </w:rPr>
              <w:t>Jeffrey A. Joerres</w:t>
            </w:r>
          </w:p>
        </w:tc>
        <w:tc>
          <w:tcPr>
            <w:tcW w:w="120" w:type="dxa"/>
            <w:vAlign w:val="bottom"/>
          </w:tcPr>
          <w:p>
            <w:pPr>
              <w:spacing w:after="0"/>
              <w:rPr>
                <w:sz w:val="21"/>
                <w:szCs w:val="21"/>
                <w:color w:val="auto"/>
              </w:rPr>
            </w:pPr>
          </w:p>
        </w:tc>
        <w:tc>
          <w:tcPr>
            <w:tcW w:w="3700" w:type="dxa"/>
            <w:vAlign w:val="bottom"/>
            <w:gridSpan w:val="3"/>
          </w:tcPr>
          <w:p>
            <w:pPr>
              <w:ind w:left="600"/>
              <w:spacing w:after="0" w:line="242" w:lineRule="exact"/>
              <w:rPr>
                <w:sz w:val="20"/>
                <w:szCs w:val="20"/>
                <w:color w:val="auto"/>
              </w:rPr>
            </w:pPr>
            <w:r>
              <w:rPr>
                <w:rFonts w:ascii="Arial" w:cs="Arial" w:eastAsia="Arial" w:hAnsi="Arial"/>
                <w:sz w:val="22"/>
                <w:szCs w:val="22"/>
                <w:color w:val="auto"/>
                <w:w w:val="99"/>
              </w:rPr>
              <w:t>Executive Officer and a Director</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5"/>
        </w:trPr>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00" w:type="dxa"/>
            <w:vAlign w:val="bottom"/>
            <w:gridSpan w:val="3"/>
          </w:tcPr>
          <w:p>
            <w:pPr>
              <w:ind w:left="600"/>
              <w:spacing w:after="0"/>
              <w:rPr>
                <w:sz w:val="20"/>
                <w:szCs w:val="20"/>
                <w:color w:val="auto"/>
              </w:rPr>
            </w:pPr>
            <w:r>
              <w:rPr>
                <w:rFonts w:ascii="Arial" w:cs="Arial" w:eastAsia="Arial" w:hAnsi="Arial"/>
                <w:sz w:val="22"/>
                <w:szCs w:val="22"/>
                <w:color w:val="auto"/>
              </w:rPr>
              <w:t>(Principal Executive Officer)</w:t>
            </w: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490"/>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Michael J. Van Handel</w:t>
            </w:r>
          </w:p>
        </w:tc>
        <w:tc>
          <w:tcPr>
            <w:tcW w:w="120" w:type="dxa"/>
            <w:vAlign w:val="bottom"/>
            <w:tcBorders>
              <w:bottom w:val="single" w:sz="8" w:color="auto"/>
            </w:tcBorders>
          </w:tcPr>
          <w:p>
            <w:pPr>
              <w:spacing w:after="0"/>
              <w:rPr>
                <w:sz w:val="24"/>
                <w:szCs w:val="24"/>
                <w:color w:val="auto"/>
              </w:rPr>
            </w:pPr>
          </w:p>
        </w:tc>
        <w:tc>
          <w:tcPr>
            <w:tcW w:w="3700" w:type="dxa"/>
            <w:vAlign w:val="bottom"/>
            <w:gridSpan w:val="3"/>
          </w:tcPr>
          <w:p>
            <w:pPr>
              <w:ind w:left="600"/>
              <w:spacing w:after="0"/>
              <w:rPr>
                <w:sz w:val="20"/>
                <w:szCs w:val="20"/>
                <w:color w:val="auto"/>
              </w:rPr>
            </w:pPr>
            <w:r>
              <w:rPr>
                <w:rFonts w:ascii="Arial" w:cs="Arial" w:eastAsia="Arial" w:hAnsi="Arial"/>
                <w:sz w:val="22"/>
                <w:szCs w:val="22"/>
                <w:color w:val="auto"/>
              </w:rPr>
              <w:t>Senior Vice President―Chief</w:t>
            </w:r>
          </w:p>
        </w:tc>
        <w:tc>
          <w:tcPr>
            <w:tcW w:w="1460" w:type="dxa"/>
            <w:vAlign w:val="bottom"/>
            <w:gridSpan w:val="3"/>
          </w:tcPr>
          <w:p>
            <w:pPr>
              <w:ind w:left="260"/>
              <w:spacing w:after="0"/>
              <w:rPr>
                <w:sz w:val="20"/>
                <w:szCs w:val="20"/>
                <w:color w:val="auto"/>
              </w:rPr>
            </w:pPr>
            <w:r>
              <w:rPr>
                <w:rFonts w:ascii="Arial" w:cs="Arial" w:eastAsia="Arial" w:hAnsi="Arial"/>
                <w:sz w:val="22"/>
                <w:szCs w:val="22"/>
                <w:color w:val="auto"/>
                <w:w w:val="88"/>
              </w:rPr>
              <w:t>May 23, 2002</w:t>
            </w:r>
          </w:p>
        </w:tc>
      </w:tr>
      <w:tr>
        <w:trPr>
          <w:trHeight w:val="242"/>
        </w:trPr>
        <w:tc>
          <w:tcPr>
            <w:tcW w:w="2820" w:type="dxa"/>
            <w:vAlign w:val="bottom"/>
            <w:gridSpan w:val="3"/>
          </w:tcPr>
          <w:p>
            <w:pPr>
              <w:spacing w:after="0" w:line="242" w:lineRule="exact"/>
              <w:rPr>
                <w:sz w:val="20"/>
                <w:szCs w:val="20"/>
                <w:color w:val="auto"/>
              </w:rPr>
            </w:pPr>
            <w:r>
              <w:rPr>
                <w:rFonts w:ascii="Arial" w:cs="Arial" w:eastAsia="Arial" w:hAnsi="Arial"/>
                <w:sz w:val="22"/>
                <w:szCs w:val="22"/>
                <w:color w:val="auto"/>
              </w:rPr>
              <w:t>Michael J. Van Handel</w:t>
            </w:r>
          </w:p>
        </w:tc>
        <w:tc>
          <w:tcPr>
            <w:tcW w:w="120" w:type="dxa"/>
            <w:vAlign w:val="bottom"/>
          </w:tcPr>
          <w:p>
            <w:pPr>
              <w:spacing w:after="0"/>
              <w:rPr>
                <w:sz w:val="21"/>
                <w:szCs w:val="21"/>
                <w:color w:val="auto"/>
              </w:rPr>
            </w:pPr>
          </w:p>
        </w:tc>
        <w:tc>
          <w:tcPr>
            <w:tcW w:w="3700" w:type="dxa"/>
            <w:vAlign w:val="bottom"/>
            <w:gridSpan w:val="3"/>
          </w:tcPr>
          <w:p>
            <w:pPr>
              <w:ind w:left="600"/>
              <w:spacing w:after="0" w:line="242" w:lineRule="exact"/>
              <w:rPr>
                <w:sz w:val="20"/>
                <w:szCs w:val="20"/>
                <w:color w:val="auto"/>
              </w:rPr>
            </w:pPr>
            <w:r>
              <w:rPr>
                <w:rFonts w:ascii="Arial" w:cs="Arial" w:eastAsia="Arial" w:hAnsi="Arial"/>
                <w:sz w:val="22"/>
                <w:szCs w:val="22"/>
                <w:color w:val="auto"/>
              </w:rPr>
              <w:t>Financial Officer and Secretary</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gridSpan w:val="3"/>
          </w:tcPr>
          <w:p>
            <w:pPr>
              <w:ind w:left="600"/>
              <w:spacing w:after="0" w:line="243" w:lineRule="exact"/>
              <w:rPr>
                <w:sz w:val="20"/>
                <w:szCs w:val="20"/>
                <w:color w:val="auto"/>
              </w:rPr>
            </w:pPr>
            <w:r>
              <w:rPr>
                <w:rFonts w:ascii="Arial" w:cs="Arial" w:eastAsia="Arial" w:hAnsi="Arial"/>
                <w:sz w:val="22"/>
                <w:szCs w:val="22"/>
                <w:color w:val="auto"/>
              </w:rPr>
              <w:t>(Principal Financial Officer and</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5"/>
        </w:trPr>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00" w:type="dxa"/>
            <w:vAlign w:val="bottom"/>
            <w:gridSpan w:val="3"/>
          </w:tcPr>
          <w:p>
            <w:pPr>
              <w:ind w:left="600"/>
              <w:spacing w:after="0"/>
              <w:rPr>
                <w:sz w:val="20"/>
                <w:szCs w:val="20"/>
                <w:color w:val="auto"/>
              </w:rPr>
            </w:pPr>
            <w:r>
              <w:rPr>
                <w:rFonts w:ascii="Arial" w:cs="Arial" w:eastAsia="Arial" w:hAnsi="Arial"/>
                <w:sz w:val="22"/>
                <w:szCs w:val="22"/>
                <w:color w:val="auto"/>
              </w:rPr>
              <w:t>Principal Accounting Officer)</w:t>
            </w: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12"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22"/>
          <w:szCs w:val="22"/>
          <w:color w:val="auto"/>
        </w:rPr>
        <w:t>Directors:</w:t>
      </w:r>
      <w:r>
        <w:rPr>
          <w:sz w:val="20"/>
          <w:szCs w:val="20"/>
          <w:color w:val="auto"/>
        </w:rPr>
        <w:tab/>
      </w:r>
      <w:r>
        <w:rPr>
          <w:rFonts w:ascii="Arial" w:cs="Arial" w:eastAsia="Arial" w:hAnsi="Arial"/>
          <w:sz w:val="19"/>
          <w:szCs w:val="19"/>
          <w:color w:val="auto"/>
        </w:rPr>
        <w:t>J. Thomas Bouchard, Willie D. Davis, J. Ira Harris, Terry A. Hueneke, Rozanne L.</w:t>
      </w:r>
    </w:p>
    <w:p>
      <w:pPr>
        <w:spacing w:after="0" w:line="4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Ridgway, Dennis Stevenson, John R. Walter and Edward J. Zore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40" w:type="dxa"/>
            <w:vAlign w:val="bottom"/>
            <w:gridSpan w:val="3"/>
          </w:tcPr>
          <w:p>
            <w:pPr>
              <w:spacing w:after="0"/>
              <w:rPr>
                <w:sz w:val="20"/>
                <w:szCs w:val="20"/>
                <w:color w:val="auto"/>
              </w:rPr>
            </w:pPr>
            <w:r>
              <w:rPr>
                <w:rFonts w:ascii="Arial" w:cs="Arial" w:eastAsia="Arial" w:hAnsi="Arial"/>
                <w:sz w:val="22"/>
                <w:szCs w:val="22"/>
                <w:color w:val="auto"/>
              </w:rPr>
              <w:t>By: /s/ Michael J. Van Handel</w:t>
            </w:r>
          </w:p>
        </w:tc>
        <w:tc>
          <w:tcPr>
            <w:tcW w:w="2480" w:type="dxa"/>
            <w:vAlign w:val="bottom"/>
          </w:tcPr>
          <w:p>
            <w:pPr>
              <w:ind w:left="1280"/>
              <w:spacing w:after="0"/>
              <w:rPr>
                <w:sz w:val="20"/>
                <w:szCs w:val="20"/>
                <w:color w:val="auto"/>
              </w:rPr>
            </w:pPr>
            <w:r>
              <w:rPr>
                <w:rFonts w:ascii="Arial" w:cs="Arial" w:eastAsia="Arial" w:hAnsi="Arial"/>
                <w:sz w:val="22"/>
                <w:szCs w:val="22"/>
                <w:color w:val="auto"/>
                <w:w w:val="88"/>
              </w:rPr>
              <w:t>May 23, 2002</w:t>
            </w:r>
          </w:p>
        </w:tc>
      </w:tr>
      <w:tr>
        <w:trPr>
          <w:trHeight w:val="20"/>
        </w:trPr>
        <w:tc>
          <w:tcPr>
            <w:tcW w:w="3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4"/>
        </w:trPr>
        <w:tc>
          <w:tcPr>
            <w:tcW w:w="5540" w:type="dxa"/>
            <w:vAlign w:val="bottom"/>
            <w:gridSpan w:val="3"/>
          </w:tcPr>
          <w:p>
            <w:pPr>
              <w:ind w:left="320"/>
              <w:spacing w:after="0"/>
              <w:rPr>
                <w:sz w:val="20"/>
                <w:szCs w:val="20"/>
                <w:color w:val="auto"/>
              </w:rPr>
            </w:pPr>
            <w:r>
              <w:rPr>
                <w:rFonts w:ascii="Arial" w:cs="Arial" w:eastAsia="Arial" w:hAnsi="Arial"/>
                <w:sz w:val="22"/>
                <w:szCs w:val="22"/>
                <w:color w:val="auto"/>
              </w:rPr>
              <w:t>Michael J. Van Handel, as Attorney-In-Fact *</w:t>
            </w:r>
          </w:p>
        </w:tc>
        <w:tc>
          <w:tcPr>
            <w:tcW w:w="24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2"/>
          <w:szCs w:val="22"/>
          <w:color w:val="auto"/>
        </w:rPr>
      </w:pPr>
      <w:r>
        <w:rPr>
          <w:rFonts w:ascii="Arial" w:cs="Arial" w:eastAsia="Arial" w:hAnsi="Arial"/>
          <w:sz w:val="22"/>
          <w:szCs w:val="22"/>
          <w:color w:val="auto"/>
        </w:rPr>
        <w:t>Pursuant to authority granted by powers of attorney, copies of which are filed herewith.</w:t>
      </w:r>
    </w:p>
    <w:p>
      <w:pPr>
        <w:spacing w:after="0" w:line="200" w:lineRule="exact"/>
        <w:rPr>
          <w:rFonts w:ascii="Arial" w:cs="Arial" w:eastAsia="Arial" w:hAnsi="Arial"/>
          <w:sz w:val="22"/>
          <w:szCs w:val="22"/>
          <w:color w:val="auto"/>
        </w:rPr>
      </w:pPr>
    </w:p>
    <w:p>
      <w:pPr>
        <w:ind w:left="4880"/>
        <w:spacing w:after="0"/>
        <w:rPr>
          <w:rFonts w:ascii="Arial" w:cs="Arial" w:eastAsia="Arial" w:hAnsi="Arial"/>
          <w:sz w:val="22"/>
          <w:szCs w:val="22"/>
          <w:color w:val="auto"/>
        </w:rPr>
      </w:pPr>
      <w:r>
        <w:rPr>
          <w:rFonts w:ascii="Arial" w:cs="Arial" w:eastAsia="Arial" w:hAnsi="Arial"/>
          <w:sz w:val="22"/>
          <w:szCs w:val="22"/>
          <w:b w:val="1"/>
          <w:bCs w:val="1"/>
          <w:color w:val="auto"/>
        </w:rPr>
        <w:t>EXHIBIT INDEX</w:t>
      </w:r>
    </w:p>
    <w:p>
      <w:pPr>
        <w:sectPr>
          <w:pgSz w:w="11900" w:h="16838" w:orient="portrait"/>
          <w:cols w:equalWidth="0" w:num="1">
            <w:col w:w="11420"/>
          </w:cols>
          <w:pgMar w:left="240" w:top="118" w:right="239" w:bottom="0" w:gutter="0" w:footer="0" w:header="0"/>
        </w:sectPr>
      </w:pPr>
    </w:p>
    <w:bookmarkStart w:id="12" w:name="page13"/>
    <w:bookmarkEnd w:id="12"/>
    <w:tbl>
      <w:tblPr>
        <w:tblLayout w:type="fixed"/>
        <w:tblInd w:w="3420" w:type="dxa"/>
        <w:tblCellMar>
          <w:top w:w="0" w:type="dxa"/>
          <w:left w:w="0" w:type="dxa"/>
          <w:bottom w:w="0" w:type="dxa"/>
          <w:right w:w="0" w:type="dxa"/>
        </w:tblCellMar>
      </w:tblPr>
      <w:tr>
        <w:trPr>
          <w:trHeight w:val="253"/>
        </w:trPr>
        <w:tc>
          <w:tcPr>
            <w:tcW w:w="172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5440" w:type="dxa"/>
            <w:vAlign w:val="bottom"/>
            <w:gridSpan w:val="3"/>
          </w:tcPr>
          <w:p>
            <w:pPr>
              <w:ind w:left="320"/>
              <w:spacing w:after="0"/>
              <w:rPr>
                <w:sz w:val="20"/>
                <w:szCs w:val="20"/>
                <w:color w:val="auto"/>
              </w:rPr>
            </w:pPr>
            <w:r>
              <w:rPr>
                <w:rFonts w:ascii="Arial" w:cs="Arial" w:eastAsia="Arial" w:hAnsi="Arial"/>
                <w:sz w:val="22"/>
                <w:szCs w:val="22"/>
                <w:color w:val="auto"/>
              </w:rPr>
              <w:t>Document Description</w:t>
            </w:r>
          </w:p>
        </w:tc>
      </w:tr>
      <w:tr>
        <w:trPr>
          <w:trHeight w:val="20"/>
        </w:trPr>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571"/>
        </w:trPr>
        <w:tc>
          <w:tcPr>
            <w:tcW w:w="1400" w:type="dxa"/>
            <w:vAlign w:val="bottom"/>
          </w:tcPr>
          <w:p>
            <w:pPr>
              <w:spacing w:after="0"/>
              <w:rPr>
                <w:sz w:val="20"/>
                <w:szCs w:val="20"/>
                <w:color w:val="auto"/>
              </w:rPr>
            </w:pPr>
            <w:r>
              <w:rPr>
                <w:rFonts w:ascii="Arial" w:cs="Arial" w:eastAsia="Arial" w:hAnsi="Arial"/>
                <w:sz w:val="22"/>
                <w:szCs w:val="22"/>
                <w:color w:val="auto"/>
              </w:rPr>
              <w:t>5.1</w:t>
            </w:r>
          </w:p>
        </w:tc>
        <w:tc>
          <w:tcPr>
            <w:tcW w:w="320" w:type="dxa"/>
            <w:vAlign w:val="bottom"/>
          </w:tcPr>
          <w:p>
            <w:pPr>
              <w:spacing w:after="0"/>
              <w:rPr>
                <w:sz w:val="24"/>
                <w:szCs w:val="24"/>
                <w:color w:val="auto"/>
              </w:rPr>
            </w:pPr>
          </w:p>
        </w:tc>
        <w:tc>
          <w:tcPr>
            <w:tcW w:w="5440" w:type="dxa"/>
            <w:vAlign w:val="bottom"/>
            <w:gridSpan w:val="3"/>
          </w:tcPr>
          <w:p>
            <w:pPr>
              <w:ind w:left="320"/>
              <w:spacing w:after="0"/>
              <w:rPr>
                <w:sz w:val="20"/>
                <w:szCs w:val="20"/>
                <w:color w:val="auto"/>
              </w:rPr>
            </w:pPr>
            <w:r>
              <w:rPr>
                <w:rFonts w:ascii="Arial" w:cs="Arial" w:eastAsia="Arial" w:hAnsi="Arial"/>
                <w:sz w:val="22"/>
                <w:szCs w:val="22"/>
                <w:color w:val="auto"/>
              </w:rPr>
              <w:t>Opinion of Godfrey &amp; Kahn, S.C.*</w:t>
            </w: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23.1</w:t>
            </w:r>
          </w:p>
        </w:tc>
        <w:tc>
          <w:tcPr>
            <w:tcW w:w="320" w:type="dxa"/>
            <w:vAlign w:val="bottom"/>
          </w:tcPr>
          <w:p>
            <w:pPr>
              <w:spacing w:after="0"/>
              <w:rPr>
                <w:sz w:val="24"/>
                <w:szCs w:val="24"/>
                <w:color w:val="auto"/>
              </w:rPr>
            </w:pPr>
          </w:p>
        </w:tc>
        <w:tc>
          <w:tcPr>
            <w:tcW w:w="5440" w:type="dxa"/>
            <w:vAlign w:val="bottom"/>
            <w:gridSpan w:val="3"/>
          </w:tcPr>
          <w:p>
            <w:pPr>
              <w:ind w:left="320"/>
              <w:spacing w:after="0"/>
              <w:rPr>
                <w:sz w:val="20"/>
                <w:szCs w:val="20"/>
                <w:color w:val="auto"/>
              </w:rPr>
            </w:pPr>
            <w:r>
              <w:rPr>
                <w:rFonts w:ascii="Arial" w:cs="Arial" w:eastAsia="Arial" w:hAnsi="Arial"/>
                <w:sz w:val="22"/>
                <w:szCs w:val="22"/>
                <w:color w:val="auto"/>
              </w:rPr>
              <w:t>Consent of Independent Public Accountants</w:t>
            </w: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23.2</w:t>
            </w:r>
          </w:p>
        </w:tc>
        <w:tc>
          <w:tcPr>
            <w:tcW w:w="320" w:type="dxa"/>
            <w:vAlign w:val="bottom"/>
          </w:tcPr>
          <w:p>
            <w:pPr>
              <w:spacing w:after="0"/>
              <w:rPr>
                <w:sz w:val="24"/>
                <w:szCs w:val="24"/>
                <w:color w:val="auto"/>
              </w:rPr>
            </w:pPr>
          </w:p>
        </w:tc>
        <w:tc>
          <w:tcPr>
            <w:tcW w:w="5440" w:type="dxa"/>
            <w:vAlign w:val="bottom"/>
            <w:gridSpan w:val="3"/>
          </w:tcPr>
          <w:p>
            <w:pPr>
              <w:ind w:left="320"/>
              <w:spacing w:after="0"/>
              <w:rPr>
                <w:sz w:val="20"/>
                <w:szCs w:val="20"/>
                <w:color w:val="auto"/>
              </w:rPr>
            </w:pPr>
            <w:r>
              <w:rPr>
                <w:rFonts w:ascii="Arial" w:cs="Arial" w:eastAsia="Arial" w:hAnsi="Arial"/>
                <w:sz w:val="22"/>
                <w:szCs w:val="22"/>
                <w:color w:val="auto"/>
                <w:w w:val="91"/>
              </w:rPr>
              <w:t>Consent of Godfrey &amp; Kahn, S.C. (included in Exhibit 5.1)</w:t>
            </w: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24.1</w:t>
            </w:r>
          </w:p>
        </w:tc>
        <w:tc>
          <w:tcPr>
            <w:tcW w:w="320" w:type="dxa"/>
            <w:vAlign w:val="bottom"/>
          </w:tcPr>
          <w:p>
            <w:pPr>
              <w:spacing w:after="0"/>
              <w:rPr>
                <w:sz w:val="24"/>
                <w:szCs w:val="24"/>
                <w:color w:val="auto"/>
              </w:rPr>
            </w:pPr>
          </w:p>
        </w:tc>
        <w:tc>
          <w:tcPr>
            <w:tcW w:w="5440" w:type="dxa"/>
            <w:vAlign w:val="bottom"/>
            <w:gridSpan w:val="3"/>
          </w:tcPr>
          <w:p>
            <w:pPr>
              <w:ind w:left="320"/>
              <w:spacing w:after="0"/>
              <w:rPr>
                <w:sz w:val="20"/>
                <w:szCs w:val="20"/>
                <w:color w:val="auto"/>
              </w:rPr>
            </w:pPr>
            <w:r>
              <w:rPr>
                <w:rFonts w:ascii="Arial" w:cs="Arial" w:eastAsia="Arial" w:hAnsi="Arial"/>
                <w:sz w:val="22"/>
                <w:szCs w:val="22"/>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298450</wp:posOffset>
            </wp:positionV>
            <wp:extent cx="895985"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959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 Previously filed.</w:t>
      </w:r>
    </w:p>
    <w:p>
      <w:pPr>
        <w:sectPr>
          <w:pgSz w:w="11900" w:h="16838" w:orient="portrait"/>
          <w:cols w:equalWidth="0" w:num="1">
            <w:col w:w="10580"/>
          </w:cols>
          <w:pgMar w:left="780" w:top="562" w:right="5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t>EXHIBIT 23.1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Public Accountants</w:t>
      </w:r>
    </w:p>
    <w:p>
      <w:pPr>
        <w:spacing w:after="0" w:line="21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As independent public accountants, we hereby consent to the use of our report (and to all references to our firm) included in or made a part of this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ARTHUR ANDERSEN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Arthur Andersen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Milwaukee, Wisconsin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May 22, 2002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1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lvl w:ilvl="4">
      <w:lvlJc w:val="left"/>
      <w:lvlText w:val="(%5)"/>
      <w:numFmt w:val="lowerRoman"/>
      <w:start w:val="3"/>
    </w:lvl>
  </w:abstractNum>
  <w:abstractNum w:abstractNumId="3">
    <w:nsid w:val="507ED7AB"/>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4">
    <w:nsid w:val="2EB141F2"/>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5">
    <w:nsid w:val="41B71EFB"/>
    <w:multiLevelType w:val="hybridMultilevel"/>
    <w:lvl w:ilvl="0">
      <w:lvlJc w:val="left"/>
      <w:lvlText w:val="%1"/>
      <w:numFmt w:val="lowerRoman"/>
      <w:start w:val="1"/>
    </w:lvl>
    <w:lvl w:ilvl="1">
      <w:lvlJc w:val="left"/>
      <w:lvlText w:val="(%2)"/>
      <w:numFmt w:val="decimal"/>
      <w:start w:val="2"/>
    </w:lvl>
  </w:abstractNum>
  <w:abstractNum w:abstractNumId="6">
    <w:nsid w:val="79E2A9E3"/>
    <w:multiLevelType w:val="hybridMultilevel"/>
    <w:lvl w:ilvl="0">
      <w:lvlJc w:val="left"/>
      <w:lvlText w:val="(%1)"/>
      <w:numFmt w:val="lowerRoman"/>
      <w:start w:val="2"/>
    </w:lvl>
    <w:lvl w:ilvl="1">
      <w:lvlJc w:val="left"/>
      <w:lvlText w:val="%2"/>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2019-12-19T23:39:23Z</dcterms:created>
  <dcterms:modified xsi:type="dcterms:W3CDTF">2019-12-19T23:39:23Z</dcterms:modified>
</cp:coreProperties>
</file>