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 10-K</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x ANNUAL REPORT PURSUANT TO SECTION 13 OR 15(d) OF THE SECURITIES EXCHANGE ACT OF 1934:</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 the fiscal year ended December 31, 2018</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16" w:lineRule="exact"/>
        <w:rPr>
          <w:sz w:val="24"/>
          <w:szCs w:val="24"/>
          <w:color w:val="auto"/>
        </w:rPr>
      </w:pPr>
    </w:p>
    <w:p>
      <w:pPr>
        <w:ind w:left="1780" w:hanging="164"/>
        <w:spacing w:after="0"/>
        <w:tabs>
          <w:tab w:leader="none" w:pos="1780" w:val="left"/>
        </w:tabs>
        <w:numPr>
          <w:ilvl w:val="0"/>
          <w:numId w:val="1"/>
        </w:numPr>
        <w:rPr>
          <w:rFonts w:ascii="Arial" w:cs="Arial" w:eastAsia="Arial" w:hAnsi="Arial"/>
          <w:sz w:val="18"/>
          <w:szCs w:val="18"/>
          <w:color w:val="auto"/>
        </w:rPr>
      </w:pPr>
      <w:r>
        <w:rPr>
          <w:rFonts w:ascii="Arial" w:cs="Arial" w:eastAsia="Arial" w:hAnsi="Arial"/>
          <w:sz w:val="15"/>
          <w:szCs w:val="15"/>
          <w:color w:val="auto"/>
        </w:rPr>
        <w:t>TRANSITION REPORT PURSUANT TO SECTION 13 OR 15(d) OF THE 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Commission File No. 1-10686</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MANPOWERGROUP INC.</w:t>
      </w: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420"/>
          </w:cols>
          <w:pgMar w:left="240" w:top="223" w:right="239" w:bottom="1440" w:gutter="0" w:footer="0" w:header="0"/>
        </w:sectPr>
      </w:pPr>
    </w:p>
    <w:p>
      <w:pPr>
        <w:spacing w:after="0" w:line="135" w:lineRule="exact"/>
        <w:rPr>
          <w:sz w:val="24"/>
          <w:szCs w:val="24"/>
          <w:color w:val="auto"/>
        </w:rPr>
      </w:pPr>
    </w:p>
    <w:p>
      <w:pPr>
        <w:ind w:left="2380"/>
        <w:spacing w:after="0"/>
        <w:rPr>
          <w:sz w:val="20"/>
          <w:szCs w:val="20"/>
          <w:color w:val="auto"/>
        </w:rPr>
      </w:pPr>
      <w:r>
        <w:rPr>
          <w:rFonts w:ascii="Arial" w:cs="Arial" w:eastAsia="Arial" w:hAnsi="Arial"/>
          <w:sz w:val="16"/>
          <w:szCs w:val="16"/>
          <w:b w:val="1"/>
          <w:bCs w:val="1"/>
          <w:color w:val="auto"/>
        </w:rPr>
        <w:t>WISCONSIN</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39-1672779</w:t>
      </w:r>
    </w:p>
    <w:p>
      <w:pPr>
        <w:spacing w:after="0" w:line="99" w:lineRule="exact"/>
        <w:rPr>
          <w:sz w:val="24"/>
          <w:szCs w:val="24"/>
          <w:color w:val="auto"/>
        </w:rPr>
      </w:pPr>
    </w:p>
    <w:p>
      <w:pPr>
        <w:sectPr>
          <w:pgSz w:w="11900" w:h="16838" w:orient="portrait"/>
          <w:cols w:equalWidth="0" w:num="2">
            <w:col w:w="7460" w:space="720"/>
            <w:col w:w="3240"/>
          </w:cols>
          <w:pgMar w:left="240" w:top="223" w:right="239" w:bottom="1440" w:gutter="0" w:footer="0" w:header="0"/>
          <w:type w:val="continuous"/>
        </w:sectPr>
      </w:pPr>
    </w:p>
    <w:p>
      <w:pPr>
        <w:ind w:left="1820"/>
        <w:spacing w:after="0"/>
        <w:rPr>
          <w:sz w:val="20"/>
          <w:szCs w:val="20"/>
          <w:color w:val="auto"/>
        </w:rPr>
      </w:pPr>
      <w:r>
        <w:rPr>
          <w:rFonts w:ascii="Arial" w:cs="Arial" w:eastAsia="Arial" w:hAnsi="Arial"/>
          <w:sz w:val="15"/>
          <w:szCs w:val="15"/>
          <w:b w:val="1"/>
          <w:bCs w:val="1"/>
          <w:color w:val="auto"/>
        </w:rPr>
        <w:t>(State or other jurisdiction of</w:t>
      </w:r>
    </w:p>
    <w:p>
      <w:pPr>
        <w:spacing w:after="0" w:line="44" w:lineRule="exact"/>
        <w:rPr>
          <w:sz w:val="24"/>
          <w:szCs w:val="24"/>
          <w:color w:val="auto"/>
        </w:rPr>
      </w:pPr>
    </w:p>
    <w:p>
      <w:pPr>
        <w:ind w:left="1780"/>
        <w:spacing w:after="0"/>
        <w:rPr>
          <w:sz w:val="20"/>
          <w:szCs w:val="20"/>
          <w:color w:val="auto"/>
        </w:rPr>
      </w:pPr>
      <w:r>
        <w:rPr>
          <w:rFonts w:ascii="Arial" w:cs="Arial" w:eastAsia="Arial" w:hAnsi="Arial"/>
          <w:sz w:val="15"/>
          <w:szCs w:val="15"/>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6"/>
          <w:szCs w:val="16"/>
          <w:b w:val="1"/>
          <w:bCs w:val="1"/>
          <w:color w:val="auto"/>
        </w:rPr>
        <w:t>(I.R.S. Employer</w:t>
      </w: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Identification No.)</w:t>
      </w:r>
    </w:p>
    <w:p>
      <w:pPr>
        <w:spacing w:after="0" w:line="200" w:lineRule="exact"/>
        <w:rPr>
          <w:sz w:val="24"/>
          <w:szCs w:val="24"/>
          <w:color w:val="auto"/>
        </w:rPr>
      </w:pPr>
    </w:p>
    <w:p>
      <w:pPr>
        <w:sectPr>
          <w:pgSz w:w="11900" w:h="16838" w:orient="portrait"/>
          <w:cols w:equalWidth="0" w:num="2">
            <w:col w:w="7200" w:space="720"/>
            <w:col w:w="3500"/>
          </w:cols>
          <w:pgMar w:left="240" w:top="223" w:right="239" w:bottom="1440" w:gutter="0" w:footer="0" w:header="0"/>
          <w:type w:val="continuous"/>
        </w:sectPr>
      </w:pPr>
    </w:p>
    <w:p>
      <w:pPr>
        <w:spacing w:after="0" w:line="109" w:lineRule="exact"/>
        <w:rPr>
          <w:sz w:val="24"/>
          <w:szCs w:val="24"/>
          <w:color w:val="auto"/>
        </w:rPr>
      </w:pPr>
    </w:p>
    <w:p>
      <w:pPr>
        <w:ind w:left="800"/>
        <w:spacing w:after="0"/>
        <w:rPr>
          <w:sz w:val="20"/>
          <w:szCs w:val="20"/>
          <w:color w:val="auto"/>
        </w:rPr>
      </w:pPr>
      <w:r>
        <w:rPr>
          <w:rFonts w:ascii="Arial" w:cs="Arial" w:eastAsia="Arial" w:hAnsi="Arial"/>
          <w:sz w:val="16"/>
          <w:szCs w:val="16"/>
          <w:b w:val="1"/>
          <w:bCs w:val="1"/>
          <w:color w:val="auto"/>
        </w:rPr>
        <w:t>100 MANPOWER PLACE, MILWAUKEE, WISCONSIN</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53212</w:t>
      </w:r>
    </w:p>
    <w:p>
      <w:pPr>
        <w:spacing w:after="0" w:line="76" w:lineRule="exact"/>
        <w:rPr>
          <w:sz w:val="24"/>
          <w:szCs w:val="24"/>
          <w:color w:val="auto"/>
        </w:rPr>
      </w:pPr>
    </w:p>
    <w:p>
      <w:pPr>
        <w:sectPr>
          <w:pgSz w:w="11900" w:h="16838" w:orient="portrait"/>
          <w:cols w:equalWidth="0" w:num="2">
            <w:col w:w="7640" w:space="720"/>
            <w:col w:w="3060"/>
          </w:cols>
          <w:pgMar w:left="240" w:top="223" w:right="239" w:bottom="1440" w:gutter="0" w:footer="0" w:header="0"/>
          <w:type w:val="continuous"/>
        </w:sectPr>
      </w:pPr>
    </w:p>
    <w:p>
      <w:pPr>
        <w:ind w:left="148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(Zip Code)</w:t>
      </w:r>
    </w:p>
    <w:p>
      <w:pPr>
        <w:spacing w:after="0" w:line="52" w:lineRule="exact"/>
        <w:rPr>
          <w:sz w:val="24"/>
          <w:szCs w:val="24"/>
          <w:color w:val="auto"/>
        </w:rPr>
      </w:pPr>
    </w:p>
    <w:p>
      <w:pPr>
        <w:sectPr>
          <w:pgSz w:w="11900" w:h="16838" w:orient="portrait"/>
          <w:cols w:equalWidth="0" w:num="2">
            <w:col w:w="7460" w:space="720"/>
            <w:col w:w="3240"/>
          </w:cols>
          <w:pgMar w:left="240" w:top="223" w:right="2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 (414) 961-1000</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ectPr>
          <w:pgSz w:w="11900" w:h="16838" w:orient="portrait"/>
          <w:cols w:equalWidth="0" w:num="1">
            <w:col w:w="11420"/>
          </w:cols>
          <w:pgMar w:left="240" w:top="223" w:right="239" w:bottom="1440" w:gutter="0" w:footer="0" w:header="0"/>
          <w:type w:val="continuous"/>
        </w:sectPr>
      </w:pPr>
    </w:p>
    <w:p>
      <w:pPr>
        <w:spacing w:after="0" w:line="137" w:lineRule="exact"/>
        <w:rPr>
          <w:sz w:val="24"/>
          <w:szCs w:val="24"/>
          <w:color w:val="auto"/>
        </w:rPr>
      </w:pPr>
    </w:p>
    <w:p>
      <w:pPr>
        <w:ind w:left="224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Name of Exchange on which registered</w:t>
      </w:r>
    </w:p>
    <w:p>
      <w:pPr>
        <w:spacing w:after="0" w:line="100" w:lineRule="exact"/>
        <w:rPr>
          <w:sz w:val="24"/>
          <w:szCs w:val="24"/>
          <w:color w:val="auto"/>
        </w:rPr>
      </w:pPr>
    </w:p>
    <w:p>
      <w:pPr>
        <w:sectPr>
          <w:pgSz w:w="11900" w:h="16838" w:orient="portrait"/>
          <w:cols w:equalWidth="0" w:num="2">
            <w:col w:w="6460" w:space="720"/>
            <w:col w:w="4240"/>
          </w:cols>
          <w:pgMar w:left="240" w:top="223" w:right="239" w:bottom="1440" w:gutter="0" w:footer="0" w:header="0"/>
          <w:type w:val="continuous"/>
        </w:sectPr>
      </w:pPr>
    </w:p>
    <w:p>
      <w:pPr>
        <w:ind w:left="1780"/>
        <w:spacing w:after="0"/>
        <w:rPr>
          <w:sz w:val="20"/>
          <w:szCs w:val="20"/>
          <w:color w:val="auto"/>
        </w:rPr>
      </w:pPr>
      <w:r>
        <w:rPr>
          <w:rFonts w:ascii="Arial" w:cs="Arial" w:eastAsia="Arial" w:hAnsi="Arial"/>
          <w:sz w:val="15"/>
          <w:szCs w:val="15"/>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New York Stock Exchange</w:t>
      </w:r>
    </w:p>
    <w:p>
      <w:pPr>
        <w:spacing w:after="0" w:line="74" w:lineRule="exact"/>
        <w:rPr>
          <w:sz w:val="24"/>
          <w:szCs w:val="24"/>
          <w:color w:val="auto"/>
        </w:rPr>
      </w:pPr>
    </w:p>
    <w:p>
      <w:pPr>
        <w:sectPr>
          <w:pgSz w:w="11900" w:h="16838" w:orient="portrait"/>
          <w:cols w:equalWidth="0" w:num="2">
            <w:col w:w="6900" w:space="720"/>
            <w:col w:w="3800"/>
          </w:cols>
          <w:pgMar w:left="240" w:top="223" w:right="2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ectPr>
          <w:pgSz w:w="11900" w:h="16838" w:orient="portrait"/>
          <w:cols w:equalWidth="0" w:num="1">
            <w:col w:w="11420"/>
          </w:cols>
          <w:pgMar w:left="240" w:top="223" w:right="239" w:bottom="1440" w:gutter="0" w:footer="0" w:header="0"/>
          <w:type w:val="continuous"/>
        </w:sectPr>
      </w:pPr>
    </w:p>
    <w:p>
      <w:pPr>
        <w:spacing w:after="0" w:line="228"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5"/>
          <w:szCs w:val="15"/>
          <w:color w:val="auto"/>
        </w:rPr>
        <w:t>Yes x</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9"/>
          <w:szCs w:val="19"/>
          <w:color w:val="auto"/>
        </w:rPr>
        <w:t>□</w:t>
      </w:r>
    </w:p>
    <w:p>
      <w:pPr>
        <w:spacing w:after="0" w:line="29" w:lineRule="exact"/>
        <w:rPr>
          <w:sz w:val="24"/>
          <w:szCs w:val="24"/>
          <w:color w:val="auto"/>
        </w:rPr>
      </w:pPr>
    </w:p>
    <w:p>
      <w:pPr>
        <w:sectPr>
          <w:pgSz w:w="11900" w:h="16838" w:orient="portrait"/>
          <w:cols w:equalWidth="0" w:num="4">
            <w:col w:w="7800" w:space="200"/>
            <w:col w:w="400" w:space="180"/>
            <w:col w:w="200" w:space="180"/>
            <w:col w:w="2460"/>
          </w:cols>
          <w:pgMar w:left="240" w:top="223" w:right="23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x</w:t>
      </w:r>
    </w:p>
    <w:p>
      <w:pPr>
        <w:spacing w:after="0" w:line="28" w:lineRule="exact"/>
        <w:rPr>
          <w:sz w:val="24"/>
          <w:szCs w:val="24"/>
          <w:color w:val="auto"/>
        </w:rPr>
      </w:pPr>
    </w:p>
    <w:p>
      <w:pPr>
        <w:sectPr>
          <w:pgSz w:w="11900" w:h="16838" w:orient="portrait"/>
          <w:cols w:equalWidth="0" w:num="5">
            <w:col w:w="7940" w:space="200"/>
            <w:col w:w="260" w:space="80"/>
            <w:col w:w="120" w:space="160"/>
            <w:col w:w="200" w:space="180"/>
            <w:col w:w="2280"/>
          </w:cols>
          <w:pgMar w:left="240" w:top="223" w:right="239" w:bottom="1440" w:gutter="0" w:footer="0" w:header="0"/>
          <w:type w:val="continuous"/>
        </w:sectPr>
      </w:pPr>
    </w:p>
    <w:p>
      <w:pPr>
        <w:jc w:val="both"/>
        <w:ind w:firstLine="219"/>
        <w:spacing w:after="0" w:line="237" w:lineRule="auto"/>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Arial" w:cs="Arial" w:eastAsia="Arial" w:hAnsi="Arial"/>
          <w:sz w:val="19"/>
          <w:szCs w:val="19"/>
          <w:color w:val="auto"/>
        </w:rPr>
        <w:t>□</w:t>
      </w:r>
    </w:p>
    <w:p>
      <w:pPr>
        <w:spacing w:after="0" w:line="260"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x No </w:t>
      </w:r>
      <w:r>
        <w:rPr>
          <w:rFonts w:ascii="Arial" w:cs="Arial" w:eastAsia="Arial" w:hAnsi="Arial"/>
          <w:sz w:val="17"/>
          <w:szCs w:val="17"/>
          <w:color w:val="auto"/>
        </w:rPr>
        <w:t>□</w:t>
      </w:r>
    </w:p>
    <w:p>
      <w:pPr>
        <w:spacing w:after="0" w:line="207"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 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3" w:right="239" w:bottom="1440" w:gutter="0" w:footer="0" w:header="0"/>
          <w:type w:val="continuous"/>
        </w:sectPr>
      </w:pPr>
    </w:p>
    <w:p>
      <w:pPr>
        <w:spacing w:after="0" w:line="140" w:lineRule="exact"/>
        <w:rPr>
          <w:sz w:val="24"/>
          <w:szCs w:val="24"/>
          <w:color w:val="auto"/>
        </w:rPr>
      </w:pPr>
    </w:p>
    <w:p>
      <w:pPr>
        <w:ind w:left="34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9"/>
          <w:szCs w:val="19"/>
          <w:color w:val="auto"/>
        </w:rPr>
        <w:t>□</w:t>
      </w:r>
    </w:p>
    <w:p>
      <w:pPr>
        <w:spacing w:after="0" w:line="56" w:lineRule="exact"/>
        <w:rPr>
          <w:sz w:val="24"/>
          <w:szCs w:val="24"/>
          <w:color w:val="auto"/>
        </w:rPr>
      </w:pPr>
    </w:p>
    <w:p>
      <w:pPr>
        <w:sectPr>
          <w:pgSz w:w="11900" w:h="16838" w:orient="portrait"/>
          <w:cols w:equalWidth="0" w:num="6">
            <w:col w:w="1820" w:space="120"/>
            <w:col w:w="920" w:space="720"/>
            <w:col w:w="1120" w:space="120"/>
            <w:col w:w="1180" w:space="720"/>
            <w:col w:w="1400" w:space="140"/>
            <w:col w:w="3160"/>
          </w:cols>
          <w:pgMar w:left="240" w:top="223" w:right="239" w:bottom="1440" w:gutter="0" w:footer="0" w:header="0"/>
          <w:type w:val="continuous"/>
        </w:sectPr>
      </w:pPr>
    </w:p>
    <w:p>
      <w:pPr>
        <w:spacing w:after="0" w:line="31" w:lineRule="exact"/>
        <w:rPr>
          <w:sz w:val="24"/>
          <w:szCs w:val="24"/>
          <w:color w:val="auto"/>
        </w:rPr>
      </w:pPr>
    </w:p>
    <w:p>
      <w:pPr>
        <w:ind w:left="340"/>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w:t>
      </w:r>
    </w:p>
    <w:p>
      <w:pPr>
        <w:spacing w:after="0" w:line="187" w:lineRule="exact"/>
        <w:rPr>
          <w:sz w:val="24"/>
          <w:szCs w:val="24"/>
          <w:color w:val="auto"/>
        </w:rPr>
      </w:pPr>
    </w:p>
    <w:p>
      <w:pPr>
        <w:sectPr>
          <w:pgSz w:w="11900" w:h="16838" w:orient="portrait"/>
          <w:cols w:equalWidth="0" w:num="4">
            <w:col w:w="2140" w:space="140"/>
            <w:col w:w="580" w:space="720"/>
            <w:col w:w="1820" w:space="120"/>
            <w:col w:w="5900"/>
          </w:cols>
          <w:pgMar w:left="240" w:top="223" w:right="239" w:bottom="1440" w:gutter="0" w:footer="0" w:header="0"/>
          <w:type w:val="continuous"/>
        </w:sectPr>
      </w:pPr>
    </w:p>
    <w:p>
      <w:pPr>
        <w:spacing w:after="0" w:line="20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right="3720"/>
        <w:spacing w:after="0" w:line="248" w:lineRule="auto"/>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Arial" w:cs="Arial" w:eastAsia="Arial" w:hAnsi="Arial"/>
          <w:sz w:val="19"/>
          <w:szCs w:val="19"/>
          <w:color w:val="auto"/>
        </w:rPr>
        <w:t>□</w:t>
      </w:r>
      <w:r>
        <w:rPr>
          <w:rFonts w:ascii="Arial" w:cs="Arial" w:eastAsia="Arial" w:hAnsi="Arial"/>
          <w:sz w:val="17"/>
          <w:szCs w:val="17"/>
          <w:color w:val="auto"/>
        </w:rPr>
        <w:t xml:space="preserve"> Yes </w:t>
      </w:r>
      <w:r>
        <w:rPr>
          <w:rFonts w:ascii="Arial" w:cs="Arial" w:eastAsia="Arial" w:hAnsi="Arial"/>
          <w:sz w:val="19"/>
          <w:szCs w:val="19"/>
          <w:color w:val="auto"/>
        </w:rPr>
        <w:t>□</w:t>
      </w:r>
      <w:r>
        <w:rPr>
          <w:rFonts w:ascii="Arial" w:cs="Arial" w:eastAsia="Arial" w:hAnsi="Arial"/>
          <w:sz w:val="17"/>
          <w:szCs w:val="17"/>
          <w:color w:val="auto"/>
        </w:rPr>
        <w:t xml:space="preserve"> No x</w:t>
      </w:r>
    </w:p>
    <w:p>
      <w:pPr>
        <w:spacing w:after="0" w:line="1" w:lineRule="exact"/>
        <w:rPr>
          <w:sz w:val="24"/>
          <w:szCs w:val="24"/>
          <w:color w:val="auto"/>
        </w:rPr>
      </w:pPr>
    </w:p>
    <w:p>
      <w:pPr>
        <w:spacing w:after="0" w:line="221" w:lineRule="auto"/>
        <w:rPr>
          <w:sz w:val="20"/>
          <w:szCs w:val="20"/>
          <w:color w:val="auto"/>
        </w:rPr>
      </w:pPr>
      <w:r>
        <w:rPr>
          <w:rFonts w:ascii="Arial" w:cs="Arial" w:eastAsia="Arial" w:hAnsi="Arial"/>
          <w:sz w:val="17"/>
          <w:szCs w:val="17"/>
          <w:color w:val="auto"/>
        </w:rPr>
        <w:t>The aggregate market value of the voting stock held by nonaffiliates of the registrant was $5,623,583,987 as of June 30, 2018. As of February 20, 2019, there were 60,382,667 of the registrant’s shares of common stock outstanding.</w:t>
      </w:r>
    </w:p>
    <w:p>
      <w:pPr>
        <w:spacing w:after="0" w:line="112"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DOCUMENTS INCORPORATED BY REFERENCE</w:t>
      </w:r>
    </w:p>
    <w:p>
      <w:pPr>
        <w:spacing w:after="0" w:line="129" w:lineRule="exact"/>
        <w:rPr>
          <w:sz w:val="24"/>
          <w:szCs w:val="24"/>
          <w:color w:val="auto"/>
        </w:rPr>
      </w:pPr>
    </w:p>
    <w:p>
      <w:pPr>
        <w:spacing w:after="0"/>
        <w:rPr>
          <w:sz w:val="20"/>
          <w:szCs w:val="20"/>
          <w:color w:val="auto"/>
        </w:rPr>
      </w:pPr>
      <w:r>
        <w:rPr>
          <w:rFonts w:ascii="Arial" w:cs="Arial" w:eastAsia="Arial" w:hAnsi="Arial"/>
          <w:sz w:val="17"/>
          <w:szCs w:val="17"/>
          <w:color w:val="auto"/>
        </w:rPr>
        <w:t>Part III is incorporated by reference from the Proxy Statement for the Annual Meeting of Shareholders to be held on May 10, 2019.</w:t>
      </w:r>
    </w:p>
    <w:p>
      <w:pPr>
        <w:sectPr>
          <w:pgSz w:w="11900" w:h="16838" w:orient="portrait"/>
          <w:cols w:equalWidth="0" w:num="1">
            <w:col w:w="11420"/>
          </w:cols>
          <w:pgMar w:left="240" w:top="22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gridSpan w:val="10"/>
          </w:tcPr>
          <w:p>
            <w:pPr>
              <w:jc w:val="center"/>
              <w:ind w:right="3820"/>
              <w:spacing w:after="0"/>
              <w:rPr>
                <w:sz w:val="20"/>
                <w:szCs w:val="20"/>
                <w:color w:val="auto"/>
              </w:rPr>
            </w:pPr>
            <w:r>
              <w:rPr>
                <w:rFonts w:ascii="Arial" w:cs="Arial" w:eastAsia="Arial" w:hAnsi="Arial"/>
                <w:sz w:val="17"/>
                <w:szCs w:val="17"/>
                <w:b w:val="1"/>
                <w:bCs w:val="1"/>
                <w:color w:val="auto"/>
                <w:w w:val="92"/>
              </w:rPr>
              <w:t>ManpowerGroup Inc.</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20" w:type="dxa"/>
            <w:vAlign w:val="bottom"/>
            <w:gridSpan w:val="8"/>
          </w:tcPr>
          <w:p>
            <w:pPr>
              <w:jc w:val="center"/>
              <w:ind w:right="4260"/>
              <w:spacing w:after="0"/>
              <w:rPr>
                <w:sz w:val="20"/>
                <w:szCs w:val="20"/>
                <w:color w:val="auto"/>
              </w:rPr>
            </w:pPr>
            <w:r>
              <w:rPr>
                <w:rFonts w:ascii="Arial" w:cs="Arial" w:eastAsia="Arial" w:hAnsi="Arial"/>
                <w:sz w:val="17"/>
                <w:szCs w:val="17"/>
                <w:b w:val="1"/>
                <w:bCs w:val="1"/>
                <w:color w:val="auto"/>
                <w:w w:val="92"/>
              </w:rPr>
              <w:t>Form 10-K</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00" w:type="dxa"/>
            <w:vAlign w:val="bottom"/>
            <w:gridSpan w:val="12"/>
          </w:tcPr>
          <w:p>
            <w:pPr>
              <w:jc w:val="center"/>
              <w:ind w:right="3060"/>
              <w:spacing w:after="0"/>
              <w:rPr>
                <w:sz w:val="20"/>
                <w:szCs w:val="20"/>
                <w:color w:val="auto"/>
              </w:rPr>
            </w:pPr>
            <w:r>
              <w:rPr>
                <w:rFonts w:ascii="Arial" w:cs="Arial" w:eastAsia="Arial" w:hAnsi="Arial"/>
                <w:sz w:val="17"/>
                <w:szCs w:val="17"/>
                <w:b w:val="1"/>
                <w:bCs w:val="1"/>
                <w:color w:val="auto"/>
                <w:w w:val="88"/>
              </w:rPr>
              <w:t>For the Fiscal Year Ended December 31, 2018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399"/>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80" w:type="dxa"/>
            <w:vAlign w:val="bottom"/>
            <w:gridSpan w:val="11"/>
          </w:tcPr>
          <w:p>
            <w:pPr>
              <w:jc w:val="center"/>
              <w:ind w:right="3800"/>
              <w:spacing w:after="0"/>
              <w:rPr>
                <w:sz w:val="20"/>
                <w:szCs w:val="20"/>
                <w:color w:val="auto"/>
              </w:rPr>
            </w:pPr>
            <w:r>
              <w:rPr>
                <w:rFonts w:ascii="Arial" w:cs="Arial" w:eastAsia="Arial" w:hAnsi="Arial"/>
                <w:sz w:val="17"/>
                <w:szCs w:val="17"/>
                <w:b w:val="1"/>
                <w:bCs w:val="1"/>
                <w:color w:val="auto"/>
                <w:w w:val="97"/>
              </w:rPr>
              <w:t>TABLE OF CONTENTS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gridSpan w:val="4"/>
          </w:tcPr>
          <w:p>
            <w:pPr>
              <w:jc w:val="center"/>
              <w:spacing w:after="0"/>
              <w:rPr>
                <w:sz w:val="20"/>
                <w:szCs w:val="20"/>
                <w:color w:val="auto"/>
              </w:rPr>
            </w:pPr>
            <w:r>
              <w:rPr>
                <w:rFonts w:ascii="Arial" w:cs="Arial" w:eastAsia="Arial" w:hAnsi="Arial"/>
                <w:sz w:val="17"/>
                <w:szCs w:val="17"/>
                <w:b w:val="1"/>
                <w:bCs w:val="1"/>
                <w:color w:val="auto"/>
                <w:w w:val="83"/>
              </w:rPr>
              <w:t>Page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gridSpan w:val="4"/>
          </w:tcPr>
          <w:p>
            <w:pPr>
              <w:jc w:val="center"/>
              <w:spacing w:after="0"/>
              <w:rPr>
                <w:sz w:val="20"/>
                <w:szCs w:val="20"/>
                <w:color w:val="auto"/>
              </w:rPr>
            </w:pPr>
            <w:r>
              <w:rPr>
                <w:rFonts w:ascii="Arial" w:cs="Arial" w:eastAsia="Arial" w:hAnsi="Arial"/>
                <w:sz w:val="17"/>
                <w:szCs w:val="17"/>
                <w:b w:val="1"/>
                <w:bCs w:val="1"/>
                <w:color w:val="auto"/>
                <w:w w:val="93"/>
              </w:rPr>
              <w:t>Number</w:t>
            </w:r>
          </w:p>
        </w:tc>
      </w:tr>
      <w:tr>
        <w:trPr>
          <w:trHeight w:val="25"/>
        </w:trPr>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22"/>
        </w:trPr>
        <w:tc>
          <w:tcPr>
            <w:tcW w:w="20" w:type="dxa"/>
            <w:vAlign w:val="bottom"/>
            <w:shd w:val="clear" w:color="auto" w:fill="CCEEFF"/>
          </w:tcPr>
          <w:p>
            <w:pPr>
              <w:spacing w:after="0"/>
              <w:rPr>
                <w:sz w:val="19"/>
                <w:szCs w:val="19"/>
                <w:color w:val="auto"/>
              </w:rPr>
            </w:pPr>
          </w:p>
        </w:tc>
        <w:tc>
          <w:tcPr>
            <w:tcW w:w="1080" w:type="dxa"/>
            <w:vAlign w:val="bottom"/>
            <w:gridSpan w:val="8"/>
            <w:shd w:val="clear" w:color="auto" w:fill="CCEEFF"/>
          </w:tcPr>
          <w:p>
            <w:pPr>
              <w:spacing w:after="0" w:line="167" w:lineRule="exact"/>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w:t>
              </w:r>
            </w:hyperlink>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187"/>
        </w:trPr>
        <w:tc>
          <w:tcPr>
            <w:tcW w:w="20" w:type="dxa"/>
            <w:vAlign w:val="bottom"/>
            <w:tcBorders>
              <w:top w:val="single" w:sz="8" w:color="CCEEFF"/>
            </w:tcBorders>
          </w:tcPr>
          <w:p>
            <w:pPr>
              <w:spacing w:after="0"/>
              <w:rPr>
                <w:sz w:val="16"/>
                <w:szCs w:val="16"/>
                <w:color w:val="auto"/>
              </w:rPr>
            </w:pPr>
          </w:p>
        </w:tc>
        <w:tc>
          <w:tcPr>
            <w:tcW w:w="540" w:type="dxa"/>
            <w:vAlign w:val="bottom"/>
            <w:tcBorders>
              <w:top w:val="single" w:sz="8" w:color="0000EE"/>
            </w:tcBorders>
            <w:gridSpan w:val="3"/>
          </w:tcPr>
          <w:p>
            <w:pPr>
              <w:spacing w:after="0" w:line="187" w:lineRule="exact"/>
              <w:rPr>
                <w:rFonts w:ascii="Arial" w:cs="Arial" w:eastAsia="Arial" w:hAnsi="Arial"/>
                <w:sz w:val="17"/>
                <w:szCs w:val="17"/>
                <w:color w:val="0000EE"/>
              </w:rPr>
            </w:pPr>
            <w:hyperlink w:anchor="page3">
              <w:r>
                <w:rPr>
                  <w:rFonts w:ascii="Arial" w:cs="Arial" w:eastAsia="Arial" w:hAnsi="Arial"/>
                  <w:sz w:val="17"/>
                  <w:szCs w:val="17"/>
                  <w:color w:val="0000EE"/>
                </w:rPr>
                <w:t>Item 1</w:t>
              </w:r>
            </w:hyperlink>
          </w:p>
        </w:tc>
        <w:tc>
          <w:tcPr>
            <w:tcW w:w="540" w:type="dxa"/>
            <w:vAlign w:val="bottom"/>
            <w:tcBorders>
              <w:top w:val="single" w:sz="8" w:color="CCEEFF"/>
            </w:tcBorders>
            <w:gridSpan w:val="5"/>
          </w:tcPr>
          <w:p>
            <w:pPr>
              <w:spacing w:after="0"/>
              <w:rPr>
                <w:sz w:val="16"/>
                <w:szCs w:val="16"/>
                <w:color w:val="auto"/>
              </w:rPr>
            </w:pPr>
          </w:p>
        </w:tc>
        <w:tc>
          <w:tcPr>
            <w:tcW w:w="9300" w:type="dxa"/>
            <w:vAlign w:val="bottom"/>
            <w:tcBorders>
              <w:top w:val="single" w:sz="8" w:color="CCEEFF"/>
            </w:tcBorders>
            <w:gridSpan w:val="23"/>
          </w:tcPr>
          <w:p>
            <w:pPr>
              <w:ind w:left="1100"/>
              <w:spacing w:after="0" w:line="187" w:lineRule="exact"/>
              <w:rPr>
                <w:rFonts w:ascii="Arial" w:cs="Arial" w:eastAsia="Arial" w:hAnsi="Arial"/>
                <w:sz w:val="17"/>
                <w:szCs w:val="17"/>
                <w:color w:val="0000EE"/>
              </w:rPr>
            </w:pPr>
            <w:hyperlink w:anchor="page3">
              <w:r>
                <w:rPr>
                  <w:rFonts w:ascii="Arial" w:cs="Arial" w:eastAsia="Arial" w:hAnsi="Arial"/>
                  <w:sz w:val="17"/>
                  <w:szCs w:val="17"/>
                  <w:color w:val="0000EE"/>
                </w:rPr>
                <w:t>Business</w:t>
              </w:r>
            </w:hyperlink>
          </w:p>
        </w:tc>
        <w:tc>
          <w:tcPr>
            <w:tcW w:w="640" w:type="dxa"/>
            <w:vAlign w:val="bottom"/>
            <w:tcBorders>
              <w:top w:val="single" w:sz="8" w:color="CCEEFF"/>
            </w:tcBorders>
            <w:gridSpan w:val="3"/>
          </w:tcPr>
          <w:p>
            <w:pPr>
              <w:jc w:val="center"/>
              <w:ind w:left="317"/>
              <w:spacing w:after="0" w:line="187" w:lineRule="exact"/>
              <w:rPr>
                <w:rFonts w:ascii="Arial" w:cs="Arial" w:eastAsia="Arial" w:hAnsi="Arial"/>
                <w:sz w:val="17"/>
                <w:szCs w:val="17"/>
                <w:color w:val="0000EE"/>
                <w:w w:val="84"/>
              </w:rPr>
            </w:pPr>
            <w:hyperlink w:anchor="page3">
              <w:r>
                <w:rPr>
                  <w:rFonts w:ascii="Arial" w:cs="Arial" w:eastAsia="Arial" w:hAnsi="Arial"/>
                  <w:sz w:val="17"/>
                  <w:szCs w:val="17"/>
                  <w:color w:val="0000EE"/>
                  <w:w w:val="84"/>
                </w:rPr>
                <w:t>3</w:t>
              </w:r>
            </w:hyperlink>
          </w:p>
        </w:tc>
        <w:tc>
          <w:tcPr>
            <w:tcW w:w="380" w:type="dxa"/>
            <w:vAlign w:val="bottom"/>
            <w:tcBorders>
              <w:top w:val="single" w:sz="8" w:color="CCEEFF"/>
            </w:tcBorders>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187"/>
        </w:trPr>
        <w:tc>
          <w:tcPr>
            <w:tcW w:w="20" w:type="dxa"/>
            <w:vAlign w:val="bottom"/>
            <w:shd w:val="clear" w:color="auto" w:fill="CCEEFF"/>
          </w:tcPr>
          <w:p>
            <w:pPr>
              <w:spacing w:after="0"/>
              <w:rPr>
                <w:sz w:val="16"/>
                <w:szCs w:val="16"/>
                <w:color w:val="auto"/>
              </w:rPr>
            </w:pPr>
          </w:p>
        </w:tc>
        <w:tc>
          <w:tcPr>
            <w:tcW w:w="560" w:type="dxa"/>
            <w:vAlign w:val="bottom"/>
            <w:gridSpan w:val="4"/>
            <w:shd w:val="clear" w:color="auto" w:fill="CCEEFF"/>
          </w:tcPr>
          <w:p>
            <w:pPr>
              <w:spacing w:after="0" w:line="187" w:lineRule="exact"/>
              <w:rPr>
                <w:rFonts w:ascii="Arial" w:cs="Arial" w:eastAsia="Arial" w:hAnsi="Arial"/>
                <w:sz w:val="17"/>
                <w:szCs w:val="17"/>
                <w:color w:val="0000EE"/>
                <w:w w:val="92"/>
              </w:rPr>
            </w:pPr>
            <w:hyperlink w:anchor="page10">
              <w:r>
                <w:rPr>
                  <w:rFonts w:ascii="Arial" w:cs="Arial" w:eastAsia="Arial" w:hAnsi="Arial"/>
                  <w:sz w:val="17"/>
                  <w:szCs w:val="17"/>
                  <w:color w:val="0000EE"/>
                  <w:w w:val="92"/>
                </w:rPr>
                <w:t>Item 1A</w:t>
              </w:r>
            </w:hyperlink>
          </w:p>
        </w:tc>
        <w:tc>
          <w:tcPr>
            <w:tcW w:w="520" w:type="dxa"/>
            <w:vAlign w:val="bottom"/>
            <w:gridSpan w:val="4"/>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200" w:type="dxa"/>
            <w:vAlign w:val="bottom"/>
            <w:gridSpan w:val="22"/>
            <w:shd w:val="clear" w:color="auto" w:fill="CCEEFF"/>
          </w:tcPr>
          <w:p>
            <w:pPr>
              <w:spacing w:after="0" w:line="187" w:lineRule="exact"/>
              <w:rPr>
                <w:rFonts w:ascii="Arial" w:cs="Arial" w:eastAsia="Arial" w:hAnsi="Arial"/>
                <w:sz w:val="17"/>
                <w:szCs w:val="17"/>
                <w:color w:val="0000EE"/>
              </w:rPr>
            </w:pPr>
            <w:hyperlink w:anchor="page10">
              <w:r>
                <w:rPr>
                  <w:rFonts w:ascii="Arial" w:cs="Arial" w:eastAsia="Arial" w:hAnsi="Arial"/>
                  <w:sz w:val="17"/>
                  <w:szCs w:val="17"/>
                  <w:color w:val="0000EE"/>
                </w:rPr>
                <w:t>Risk Factors</w:t>
              </w:r>
            </w:hyperlink>
          </w:p>
        </w:tc>
        <w:tc>
          <w:tcPr>
            <w:tcW w:w="640" w:type="dxa"/>
            <w:vAlign w:val="bottom"/>
            <w:tcBorders>
              <w:right w:val="single" w:sz="8" w:color="CCEEFF"/>
            </w:tcBorders>
            <w:gridSpan w:val="3"/>
            <w:shd w:val="clear" w:color="auto" w:fill="CCEEFF"/>
          </w:tcPr>
          <w:p>
            <w:pPr>
              <w:jc w:val="center"/>
              <w:ind w:left="317"/>
              <w:spacing w:after="0" w:line="187"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10</w:t>
              </w:r>
            </w:hyperlink>
          </w:p>
        </w:tc>
        <w:tc>
          <w:tcPr>
            <w:tcW w:w="38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right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560" w:type="dxa"/>
            <w:vAlign w:val="bottom"/>
            <w:gridSpan w:val="4"/>
          </w:tcPr>
          <w:p>
            <w:pPr>
              <w:spacing w:after="0" w:line="187" w:lineRule="exact"/>
              <w:rPr>
                <w:rFonts w:ascii="Arial" w:cs="Arial" w:eastAsia="Arial" w:hAnsi="Arial"/>
                <w:sz w:val="17"/>
                <w:szCs w:val="17"/>
                <w:color w:val="0000EE"/>
                <w:w w:val="92"/>
              </w:rPr>
            </w:pPr>
            <w:hyperlink w:anchor="page21">
              <w:r>
                <w:rPr>
                  <w:rFonts w:ascii="Arial" w:cs="Arial" w:eastAsia="Arial" w:hAnsi="Arial"/>
                  <w:sz w:val="17"/>
                  <w:szCs w:val="17"/>
                  <w:color w:val="0000EE"/>
                  <w:w w:val="92"/>
                </w:rPr>
                <w:t>Item 1B</w:t>
              </w:r>
            </w:hyperlink>
          </w:p>
        </w:tc>
        <w:tc>
          <w:tcPr>
            <w:tcW w:w="52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8200" w:type="dxa"/>
            <w:vAlign w:val="bottom"/>
            <w:gridSpan w:val="22"/>
          </w:tcPr>
          <w:p>
            <w:pPr>
              <w:spacing w:after="0" w:line="187" w:lineRule="exact"/>
              <w:rPr>
                <w:rFonts w:ascii="Arial" w:cs="Arial" w:eastAsia="Arial" w:hAnsi="Arial"/>
                <w:sz w:val="17"/>
                <w:szCs w:val="17"/>
                <w:color w:val="0000EE"/>
              </w:rPr>
            </w:pPr>
            <w:hyperlink w:anchor="page21">
              <w:r>
                <w:rPr>
                  <w:rFonts w:ascii="Arial" w:cs="Arial" w:eastAsia="Arial" w:hAnsi="Arial"/>
                  <w:sz w:val="17"/>
                  <w:szCs w:val="17"/>
                  <w:color w:val="0000EE"/>
                </w:rPr>
                <w:t>Unresolved Staff Comments</w:t>
              </w:r>
            </w:hyperlink>
          </w:p>
        </w:tc>
        <w:tc>
          <w:tcPr>
            <w:tcW w:w="640" w:type="dxa"/>
            <w:vAlign w:val="bottom"/>
            <w:gridSpan w:val="3"/>
          </w:tcPr>
          <w:p>
            <w:pPr>
              <w:jc w:val="center"/>
              <w:ind w:left="317"/>
              <w:spacing w:after="0" w:line="187" w:lineRule="exact"/>
              <w:rPr>
                <w:rFonts w:ascii="Arial" w:cs="Arial" w:eastAsia="Arial" w:hAnsi="Arial"/>
                <w:sz w:val="17"/>
                <w:szCs w:val="17"/>
                <w:color w:val="0000EE"/>
                <w:w w:val="84"/>
              </w:rPr>
            </w:pPr>
            <w:hyperlink w:anchor="page21">
              <w:r>
                <w:rPr>
                  <w:rFonts w:ascii="Arial" w:cs="Arial" w:eastAsia="Arial" w:hAnsi="Arial"/>
                  <w:sz w:val="17"/>
                  <w:szCs w:val="17"/>
                  <w:color w:val="0000EE"/>
                  <w:w w:val="84"/>
                </w:rPr>
                <w:t>21</w:t>
              </w:r>
            </w:hyperlink>
          </w:p>
        </w:tc>
        <w:tc>
          <w:tcPr>
            <w:tcW w:w="38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80" w:type="dxa"/>
            <w:vAlign w:val="bottom"/>
          </w:tcPr>
          <w:p>
            <w:pPr>
              <w:spacing w:after="0"/>
              <w:rPr>
                <w:sz w:val="3"/>
                <w:szCs w:val="3"/>
                <w:color w:val="auto"/>
              </w:rPr>
            </w:pPr>
          </w:p>
        </w:tc>
      </w:tr>
      <w:tr>
        <w:trPr>
          <w:trHeight w:val="187"/>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line="187" w:lineRule="exact"/>
              <w:rPr>
                <w:rFonts w:ascii="Arial" w:cs="Arial" w:eastAsia="Arial" w:hAnsi="Arial"/>
                <w:sz w:val="17"/>
                <w:szCs w:val="17"/>
                <w:color w:val="0000EE"/>
                <w:w w:val="88"/>
              </w:rPr>
            </w:pPr>
            <w:hyperlink w:anchor="page21">
              <w:r>
                <w:rPr>
                  <w:rFonts w:ascii="Arial" w:cs="Arial" w:eastAsia="Arial" w:hAnsi="Arial"/>
                  <w:sz w:val="17"/>
                  <w:szCs w:val="17"/>
                  <w:color w:val="0000EE"/>
                  <w:w w:val="88"/>
                </w:rPr>
                <w:t>Item 2</w:t>
              </w:r>
            </w:hyperlink>
          </w:p>
        </w:tc>
        <w:tc>
          <w:tcPr>
            <w:tcW w:w="640" w:type="dxa"/>
            <w:vAlign w:val="bottom"/>
            <w:gridSpan w:val="7"/>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spacing w:after="0" w:line="187" w:lineRule="exact"/>
              <w:rPr>
                <w:rFonts w:ascii="Arial" w:cs="Arial" w:eastAsia="Arial" w:hAnsi="Arial"/>
                <w:sz w:val="17"/>
                <w:szCs w:val="17"/>
                <w:color w:val="0000EE"/>
                <w:w w:val="85"/>
              </w:rPr>
            </w:pPr>
            <w:hyperlink w:anchor="page21">
              <w:r>
                <w:rPr>
                  <w:rFonts w:ascii="Arial" w:cs="Arial" w:eastAsia="Arial" w:hAnsi="Arial"/>
                  <w:sz w:val="17"/>
                  <w:szCs w:val="17"/>
                  <w:color w:val="0000EE"/>
                  <w:w w:val="85"/>
                </w:rPr>
                <w:t>Properties</w:t>
              </w:r>
            </w:hyperlink>
          </w:p>
        </w:tc>
        <w:tc>
          <w:tcPr>
            <w:tcW w:w="7520" w:type="dxa"/>
            <w:vAlign w:val="bottom"/>
            <w:gridSpan w:val="20"/>
            <w:shd w:val="clear" w:color="auto" w:fill="CCEEFF"/>
          </w:tcPr>
          <w:p>
            <w:pPr>
              <w:spacing w:after="0"/>
              <w:rPr>
                <w:sz w:val="16"/>
                <w:szCs w:val="16"/>
                <w:color w:val="auto"/>
              </w:rPr>
            </w:pPr>
          </w:p>
        </w:tc>
        <w:tc>
          <w:tcPr>
            <w:tcW w:w="640" w:type="dxa"/>
            <w:vAlign w:val="bottom"/>
            <w:tcBorders>
              <w:right w:val="single" w:sz="8" w:color="CCEEFF"/>
            </w:tcBorders>
            <w:gridSpan w:val="3"/>
            <w:shd w:val="clear" w:color="auto" w:fill="CCEEFF"/>
          </w:tcPr>
          <w:p>
            <w:pPr>
              <w:jc w:val="center"/>
              <w:ind w:left="317"/>
              <w:spacing w:after="0" w:line="187" w:lineRule="exact"/>
              <w:rPr>
                <w:rFonts w:ascii="Arial" w:cs="Arial" w:eastAsia="Arial" w:hAnsi="Arial"/>
                <w:sz w:val="17"/>
                <w:szCs w:val="17"/>
                <w:color w:val="0000EE"/>
                <w:w w:val="84"/>
              </w:rPr>
            </w:pPr>
            <w:hyperlink w:anchor="page21">
              <w:r>
                <w:rPr>
                  <w:rFonts w:ascii="Arial" w:cs="Arial" w:eastAsia="Arial" w:hAnsi="Arial"/>
                  <w:sz w:val="17"/>
                  <w:szCs w:val="17"/>
                  <w:color w:val="0000EE"/>
                  <w:w w:val="84"/>
                </w:rPr>
                <w:t>21</w:t>
              </w:r>
            </w:hyperlink>
          </w:p>
        </w:tc>
        <w:tc>
          <w:tcPr>
            <w:tcW w:w="38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right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440" w:type="dxa"/>
            <w:vAlign w:val="bottom"/>
          </w:tcPr>
          <w:p>
            <w:pPr>
              <w:spacing w:after="0" w:line="187" w:lineRule="exact"/>
              <w:rPr>
                <w:rFonts w:ascii="Arial" w:cs="Arial" w:eastAsia="Arial" w:hAnsi="Arial"/>
                <w:sz w:val="17"/>
                <w:szCs w:val="17"/>
                <w:color w:val="0000EE"/>
                <w:w w:val="88"/>
              </w:rPr>
            </w:pPr>
            <w:hyperlink w:anchor="page21">
              <w:r>
                <w:rPr>
                  <w:rFonts w:ascii="Arial" w:cs="Arial" w:eastAsia="Arial" w:hAnsi="Arial"/>
                  <w:sz w:val="17"/>
                  <w:szCs w:val="17"/>
                  <w:color w:val="0000EE"/>
                  <w:w w:val="88"/>
                </w:rPr>
                <w:t>Item 3</w:t>
              </w:r>
            </w:hyperlink>
          </w:p>
        </w:tc>
        <w:tc>
          <w:tcPr>
            <w:tcW w:w="640" w:type="dxa"/>
            <w:vAlign w:val="bottom"/>
            <w:gridSpan w:val="7"/>
          </w:tcPr>
          <w:p>
            <w:pPr>
              <w:spacing w:after="0"/>
              <w:rPr>
                <w:sz w:val="16"/>
                <w:szCs w:val="16"/>
                <w:color w:val="auto"/>
              </w:rPr>
            </w:pPr>
          </w:p>
        </w:tc>
        <w:tc>
          <w:tcPr>
            <w:tcW w:w="1100" w:type="dxa"/>
            <w:vAlign w:val="bottom"/>
          </w:tcPr>
          <w:p>
            <w:pPr>
              <w:spacing w:after="0"/>
              <w:rPr>
                <w:sz w:val="16"/>
                <w:szCs w:val="16"/>
                <w:color w:val="auto"/>
              </w:rPr>
            </w:pPr>
          </w:p>
        </w:tc>
        <w:tc>
          <w:tcPr>
            <w:tcW w:w="8200" w:type="dxa"/>
            <w:vAlign w:val="bottom"/>
            <w:gridSpan w:val="22"/>
          </w:tcPr>
          <w:p>
            <w:pPr>
              <w:spacing w:after="0" w:line="187" w:lineRule="exact"/>
              <w:rPr>
                <w:rFonts w:ascii="Arial" w:cs="Arial" w:eastAsia="Arial" w:hAnsi="Arial"/>
                <w:sz w:val="17"/>
                <w:szCs w:val="17"/>
                <w:color w:val="0000EE"/>
              </w:rPr>
            </w:pPr>
            <w:hyperlink w:anchor="page21">
              <w:r>
                <w:rPr>
                  <w:rFonts w:ascii="Arial" w:cs="Arial" w:eastAsia="Arial" w:hAnsi="Arial"/>
                  <w:sz w:val="17"/>
                  <w:szCs w:val="17"/>
                  <w:color w:val="0000EE"/>
                </w:rPr>
                <w:t>Legal Proceedings</w:t>
              </w:r>
            </w:hyperlink>
          </w:p>
        </w:tc>
        <w:tc>
          <w:tcPr>
            <w:tcW w:w="640" w:type="dxa"/>
            <w:vAlign w:val="bottom"/>
            <w:gridSpan w:val="3"/>
          </w:tcPr>
          <w:p>
            <w:pPr>
              <w:jc w:val="center"/>
              <w:ind w:left="317"/>
              <w:spacing w:after="0" w:line="187" w:lineRule="exact"/>
              <w:rPr>
                <w:rFonts w:ascii="Arial" w:cs="Arial" w:eastAsia="Arial" w:hAnsi="Arial"/>
                <w:sz w:val="17"/>
                <w:szCs w:val="17"/>
                <w:color w:val="0000EE"/>
                <w:w w:val="84"/>
              </w:rPr>
            </w:pPr>
            <w:hyperlink w:anchor="page21">
              <w:r>
                <w:rPr>
                  <w:rFonts w:ascii="Arial" w:cs="Arial" w:eastAsia="Arial" w:hAnsi="Arial"/>
                  <w:sz w:val="17"/>
                  <w:szCs w:val="17"/>
                  <w:color w:val="0000EE"/>
                  <w:w w:val="84"/>
                </w:rPr>
                <w:t>21</w:t>
              </w:r>
            </w:hyperlink>
          </w:p>
        </w:tc>
        <w:tc>
          <w:tcPr>
            <w:tcW w:w="38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80" w:type="dxa"/>
            <w:vAlign w:val="bottom"/>
          </w:tcPr>
          <w:p>
            <w:pPr>
              <w:spacing w:after="0"/>
              <w:rPr>
                <w:sz w:val="3"/>
                <w:szCs w:val="3"/>
                <w:color w:val="auto"/>
              </w:rPr>
            </w:pPr>
          </w:p>
        </w:tc>
      </w:tr>
      <w:tr>
        <w:trPr>
          <w:trHeight w:val="187"/>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line="187" w:lineRule="exact"/>
              <w:rPr>
                <w:rFonts w:ascii="Arial" w:cs="Arial" w:eastAsia="Arial" w:hAnsi="Arial"/>
                <w:sz w:val="17"/>
                <w:szCs w:val="17"/>
                <w:color w:val="0000EE"/>
                <w:w w:val="88"/>
              </w:rPr>
            </w:pPr>
            <w:hyperlink w:anchor="page21">
              <w:r>
                <w:rPr>
                  <w:rFonts w:ascii="Arial" w:cs="Arial" w:eastAsia="Arial" w:hAnsi="Arial"/>
                  <w:sz w:val="17"/>
                  <w:szCs w:val="17"/>
                  <w:color w:val="0000EE"/>
                  <w:w w:val="88"/>
                </w:rPr>
                <w:t>Item 4</w:t>
              </w:r>
            </w:hyperlink>
          </w:p>
        </w:tc>
        <w:tc>
          <w:tcPr>
            <w:tcW w:w="640" w:type="dxa"/>
            <w:vAlign w:val="bottom"/>
            <w:gridSpan w:val="7"/>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40" w:type="dxa"/>
            <w:vAlign w:val="bottom"/>
            <w:gridSpan w:val="8"/>
            <w:shd w:val="clear" w:color="auto" w:fill="CCEEFF"/>
          </w:tcPr>
          <w:p>
            <w:pPr>
              <w:spacing w:after="0" w:line="187" w:lineRule="exact"/>
              <w:rPr>
                <w:rFonts w:ascii="Arial" w:cs="Arial" w:eastAsia="Arial" w:hAnsi="Arial"/>
                <w:sz w:val="17"/>
                <w:szCs w:val="17"/>
                <w:color w:val="0000EE"/>
                <w:w w:val="88"/>
              </w:rPr>
            </w:pPr>
            <w:hyperlink w:anchor="page21">
              <w:r>
                <w:rPr>
                  <w:rFonts w:ascii="Arial" w:cs="Arial" w:eastAsia="Arial" w:hAnsi="Arial"/>
                  <w:sz w:val="17"/>
                  <w:szCs w:val="17"/>
                  <w:color w:val="0000EE"/>
                  <w:w w:val="88"/>
                </w:rPr>
                <w:t>Mine Safety Disclosures</w:t>
              </w:r>
            </w:hyperlink>
          </w:p>
        </w:tc>
        <w:tc>
          <w:tcPr>
            <w:tcW w:w="6560" w:type="dxa"/>
            <w:vAlign w:val="bottom"/>
            <w:gridSpan w:val="14"/>
            <w:shd w:val="clear" w:color="auto" w:fill="CCEEFF"/>
          </w:tcPr>
          <w:p>
            <w:pPr>
              <w:spacing w:after="0"/>
              <w:rPr>
                <w:sz w:val="16"/>
                <w:szCs w:val="16"/>
                <w:color w:val="auto"/>
              </w:rPr>
            </w:pPr>
          </w:p>
        </w:tc>
        <w:tc>
          <w:tcPr>
            <w:tcW w:w="640" w:type="dxa"/>
            <w:vAlign w:val="bottom"/>
            <w:tcBorders>
              <w:right w:val="single" w:sz="8" w:color="CCEEFF"/>
            </w:tcBorders>
            <w:gridSpan w:val="3"/>
            <w:shd w:val="clear" w:color="auto" w:fill="CCEEFF"/>
          </w:tcPr>
          <w:p>
            <w:pPr>
              <w:jc w:val="center"/>
              <w:ind w:left="317"/>
              <w:spacing w:after="0" w:line="187" w:lineRule="exact"/>
              <w:rPr>
                <w:rFonts w:ascii="Arial" w:cs="Arial" w:eastAsia="Arial" w:hAnsi="Arial"/>
                <w:sz w:val="17"/>
                <w:szCs w:val="17"/>
                <w:color w:val="0000EE"/>
                <w:w w:val="84"/>
              </w:rPr>
            </w:pPr>
            <w:hyperlink w:anchor="page21">
              <w:r>
                <w:rPr>
                  <w:rFonts w:ascii="Arial" w:cs="Arial" w:eastAsia="Arial" w:hAnsi="Arial"/>
                  <w:sz w:val="17"/>
                  <w:szCs w:val="17"/>
                  <w:color w:val="0000EE"/>
                  <w:w w:val="84"/>
                </w:rPr>
                <w:t>21</w:t>
              </w:r>
            </w:hyperlink>
          </w:p>
        </w:tc>
        <w:tc>
          <w:tcPr>
            <w:tcW w:w="38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right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0" w:type="dxa"/>
            <w:vAlign w:val="bottom"/>
            <w:gridSpan w:val="22"/>
          </w:tcPr>
          <w:p>
            <w:pPr>
              <w:spacing w:after="0" w:line="187" w:lineRule="exact"/>
              <w:rPr>
                <w:rFonts w:ascii="Arial" w:cs="Arial" w:eastAsia="Arial" w:hAnsi="Arial"/>
                <w:sz w:val="17"/>
                <w:szCs w:val="17"/>
                <w:color w:val="0000EE"/>
              </w:rPr>
            </w:pPr>
            <w:hyperlink w:anchor="page22">
              <w:r>
                <w:rPr>
                  <w:rFonts w:ascii="Arial" w:cs="Arial" w:eastAsia="Arial" w:hAnsi="Arial"/>
                  <w:sz w:val="17"/>
                  <w:szCs w:val="17"/>
                  <w:color w:val="0000EE"/>
                </w:rPr>
                <w:t>Executive Officers of ManpowerGroup</w:t>
              </w:r>
            </w:hyperlink>
          </w:p>
        </w:tc>
        <w:tc>
          <w:tcPr>
            <w:tcW w:w="640" w:type="dxa"/>
            <w:vAlign w:val="bottom"/>
            <w:gridSpan w:val="3"/>
          </w:tcPr>
          <w:p>
            <w:pPr>
              <w:jc w:val="center"/>
              <w:ind w:left="317"/>
              <w:spacing w:after="0" w:line="187" w:lineRule="exact"/>
              <w:rPr>
                <w:rFonts w:ascii="Arial" w:cs="Arial" w:eastAsia="Arial" w:hAnsi="Arial"/>
                <w:sz w:val="17"/>
                <w:szCs w:val="17"/>
                <w:color w:val="0000EE"/>
                <w:w w:val="84"/>
              </w:rPr>
            </w:pPr>
            <w:hyperlink w:anchor="page22">
              <w:r>
                <w:rPr>
                  <w:rFonts w:ascii="Arial" w:cs="Arial" w:eastAsia="Arial" w:hAnsi="Arial"/>
                  <w:sz w:val="17"/>
                  <w:szCs w:val="17"/>
                  <w:color w:val="0000EE"/>
                  <w:w w:val="84"/>
                </w:rPr>
                <w:t>22</w:t>
              </w:r>
            </w:hyperlink>
          </w:p>
        </w:tc>
        <w:tc>
          <w:tcPr>
            <w:tcW w:w="38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80" w:type="dxa"/>
            <w:vAlign w:val="bottom"/>
          </w:tcPr>
          <w:p>
            <w:pPr>
              <w:spacing w:after="0"/>
              <w:rPr>
                <w:sz w:val="3"/>
                <w:szCs w:val="3"/>
                <w:color w:val="auto"/>
              </w:rPr>
            </w:pPr>
          </w:p>
        </w:tc>
      </w:tr>
      <w:tr>
        <w:trPr>
          <w:trHeight w:val="229"/>
        </w:trPr>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300" w:type="dxa"/>
            <w:vAlign w:val="bottom"/>
            <w:gridSpan w:val="23"/>
            <w:shd w:val="clear" w:color="auto" w:fill="CCEEFF"/>
          </w:tcPr>
          <w:p>
            <w:pPr>
              <w:ind w:left="1100"/>
              <w:spacing w:after="0" w:line="187" w:lineRule="exact"/>
              <w:rPr>
                <w:rFonts w:ascii="Arial" w:cs="Arial" w:eastAsia="Arial" w:hAnsi="Arial"/>
                <w:sz w:val="17"/>
                <w:szCs w:val="17"/>
                <w:color w:val="0000EE"/>
              </w:rPr>
            </w:pPr>
            <w:hyperlink w:anchor="page23">
              <w:r>
                <w:rPr>
                  <w:rFonts w:ascii="Arial" w:cs="Arial" w:eastAsia="Arial" w:hAnsi="Arial"/>
                  <w:sz w:val="17"/>
                  <w:szCs w:val="17"/>
                  <w:color w:val="0000EE"/>
                </w:rPr>
                <w:t>Other Information</w:t>
              </w:r>
            </w:hyperlink>
          </w:p>
        </w:tc>
        <w:tc>
          <w:tcPr>
            <w:tcW w:w="640" w:type="dxa"/>
            <w:vAlign w:val="bottom"/>
            <w:tcBorders>
              <w:right w:val="single" w:sz="8" w:color="CCEEFF"/>
            </w:tcBorders>
            <w:gridSpan w:val="3"/>
            <w:shd w:val="clear" w:color="auto" w:fill="CCEEFF"/>
          </w:tcPr>
          <w:p>
            <w:pPr>
              <w:jc w:val="center"/>
              <w:ind w:left="317"/>
              <w:spacing w:after="0" w:line="187" w:lineRule="exact"/>
              <w:rPr>
                <w:rFonts w:ascii="Arial" w:cs="Arial" w:eastAsia="Arial" w:hAnsi="Arial"/>
                <w:sz w:val="17"/>
                <w:szCs w:val="17"/>
                <w:color w:val="0000EE"/>
                <w:w w:val="84"/>
              </w:rPr>
            </w:pPr>
            <w:hyperlink w:anchor="page23">
              <w:r>
                <w:rPr>
                  <w:rFonts w:ascii="Arial" w:cs="Arial" w:eastAsia="Arial" w:hAnsi="Arial"/>
                  <w:sz w:val="17"/>
                  <w:szCs w:val="17"/>
                  <w:color w:val="0000EE"/>
                  <w:w w:val="84"/>
                </w:rPr>
                <w:t>23</w:t>
              </w:r>
            </w:hyperlink>
          </w:p>
        </w:tc>
        <w:tc>
          <w:tcPr>
            <w:tcW w:w="380" w:type="dxa"/>
            <w:vAlign w:val="bottom"/>
            <w:shd w:val="clear" w:color="auto" w:fill="CCEEFF"/>
          </w:tcPr>
          <w:p>
            <w:pPr>
              <w:spacing w:after="0"/>
              <w:rPr>
                <w:sz w:val="19"/>
                <w:szCs w:val="19"/>
                <w:color w:val="auto"/>
              </w:rPr>
            </w:pPr>
          </w:p>
        </w:tc>
      </w:tr>
      <w:tr>
        <w:trPr>
          <w:trHeight w:val="299"/>
        </w:trPr>
        <w:tc>
          <w:tcPr>
            <w:tcW w:w="2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r>
      <w:tr>
        <w:trPr>
          <w:trHeight w:val="229"/>
        </w:trPr>
        <w:tc>
          <w:tcPr>
            <w:tcW w:w="20" w:type="dxa"/>
            <w:vAlign w:val="bottom"/>
            <w:shd w:val="clear" w:color="auto" w:fill="CCEEFF"/>
          </w:tcPr>
          <w:p>
            <w:pPr>
              <w:spacing w:after="0"/>
              <w:rPr>
                <w:sz w:val="19"/>
                <w:szCs w:val="19"/>
                <w:color w:val="auto"/>
              </w:rPr>
            </w:pPr>
          </w:p>
        </w:tc>
        <w:tc>
          <w:tcPr>
            <w:tcW w:w="1080" w:type="dxa"/>
            <w:vAlign w:val="bottom"/>
            <w:gridSpan w:val="8"/>
            <w:shd w:val="clear" w:color="auto" w:fill="CCEEFF"/>
          </w:tcPr>
          <w:p>
            <w:pPr>
              <w:spacing w:after="0" w:line="187" w:lineRule="exact"/>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PART II</w:t>
              </w:r>
            </w:hyperlink>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187"/>
        </w:trPr>
        <w:tc>
          <w:tcPr>
            <w:tcW w:w="20" w:type="dxa"/>
            <w:vAlign w:val="bottom"/>
            <w:tcBorders>
              <w:top w:val="single" w:sz="8" w:color="CCEEFF"/>
            </w:tcBorders>
          </w:tcPr>
          <w:p>
            <w:pPr>
              <w:spacing w:after="0"/>
              <w:rPr>
                <w:sz w:val="16"/>
                <w:szCs w:val="16"/>
                <w:color w:val="auto"/>
              </w:rPr>
            </w:pPr>
          </w:p>
        </w:tc>
        <w:tc>
          <w:tcPr>
            <w:tcW w:w="600" w:type="dxa"/>
            <w:vAlign w:val="bottom"/>
            <w:tcBorders>
              <w:top w:val="single" w:sz="8" w:color="0000EE"/>
            </w:tcBorders>
            <w:gridSpan w:val="5"/>
          </w:tcPr>
          <w:p>
            <w:pPr>
              <w:spacing w:after="0" w:line="187" w:lineRule="exact"/>
              <w:rPr>
                <w:rFonts w:ascii="Arial" w:cs="Arial" w:eastAsia="Arial" w:hAnsi="Arial"/>
                <w:sz w:val="17"/>
                <w:szCs w:val="17"/>
                <w:color w:val="0000EE"/>
              </w:rPr>
            </w:pPr>
            <w:hyperlink w:anchor="page24">
              <w:r>
                <w:rPr>
                  <w:rFonts w:ascii="Arial" w:cs="Arial" w:eastAsia="Arial" w:hAnsi="Arial"/>
                  <w:sz w:val="17"/>
                  <w:szCs w:val="17"/>
                  <w:color w:val="0000EE"/>
                </w:rPr>
                <w:t>Item 5</w:t>
              </w:r>
            </w:hyperlink>
          </w:p>
        </w:tc>
        <w:tc>
          <w:tcPr>
            <w:tcW w:w="480" w:type="dxa"/>
            <w:vAlign w:val="bottom"/>
            <w:tcBorders>
              <w:top w:val="single" w:sz="8" w:color="CCEEFF"/>
            </w:tcBorders>
            <w:gridSpan w:val="3"/>
          </w:tcPr>
          <w:p>
            <w:pPr>
              <w:spacing w:after="0"/>
              <w:rPr>
                <w:sz w:val="16"/>
                <w:szCs w:val="16"/>
                <w:color w:val="auto"/>
              </w:rPr>
            </w:pPr>
          </w:p>
        </w:tc>
        <w:tc>
          <w:tcPr>
            <w:tcW w:w="9300" w:type="dxa"/>
            <w:vAlign w:val="bottom"/>
            <w:tcBorders>
              <w:top w:val="single" w:sz="8" w:color="CCEEFF"/>
            </w:tcBorders>
            <w:gridSpan w:val="23"/>
          </w:tcPr>
          <w:p>
            <w:pPr>
              <w:ind w:left="1100"/>
              <w:spacing w:after="0" w:line="187" w:lineRule="exact"/>
              <w:rPr>
                <w:rFonts w:ascii="Arial" w:cs="Arial" w:eastAsia="Arial" w:hAnsi="Arial"/>
                <w:sz w:val="17"/>
                <w:szCs w:val="17"/>
                <w:color w:val="0000EE"/>
                <w:w w:val="97"/>
              </w:rPr>
            </w:pPr>
            <w:hyperlink w:anchor="page24">
              <w:r>
                <w:rPr>
                  <w:rFonts w:ascii="Arial" w:cs="Arial" w:eastAsia="Arial" w:hAnsi="Arial"/>
                  <w:sz w:val="17"/>
                  <w:szCs w:val="17"/>
                  <w:color w:val="0000EE"/>
                  <w:w w:val="97"/>
                </w:rPr>
                <w:t>Market for Registrant's Common Equity, Related Shareholder Matters and Issuer Purchases of Equity Securities</w:t>
              </w:r>
            </w:hyperlink>
          </w:p>
        </w:tc>
        <w:tc>
          <w:tcPr>
            <w:tcW w:w="640" w:type="dxa"/>
            <w:vAlign w:val="bottom"/>
            <w:tcBorders>
              <w:top w:val="single" w:sz="8" w:color="CCEEFF"/>
            </w:tcBorders>
            <w:gridSpan w:val="3"/>
          </w:tcPr>
          <w:p>
            <w:pPr>
              <w:jc w:val="center"/>
              <w:ind w:left="317"/>
              <w:spacing w:after="0" w:line="187" w:lineRule="exact"/>
              <w:rPr>
                <w:rFonts w:ascii="Arial" w:cs="Arial" w:eastAsia="Arial" w:hAnsi="Arial"/>
                <w:sz w:val="17"/>
                <w:szCs w:val="17"/>
                <w:color w:val="0000EE"/>
                <w:w w:val="84"/>
              </w:rPr>
            </w:pPr>
            <w:hyperlink w:anchor="page24">
              <w:r>
                <w:rPr>
                  <w:rFonts w:ascii="Arial" w:cs="Arial" w:eastAsia="Arial" w:hAnsi="Arial"/>
                  <w:sz w:val="17"/>
                  <w:szCs w:val="17"/>
                  <w:color w:val="0000EE"/>
                  <w:w w:val="84"/>
                </w:rPr>
                <w:t>24</w:t>
              </w:r>
            </w:hyperlink>
          </w:p>
        </w:tc>
        <w:tc>
          <w:tcPr>
            <w:tcW w:w="380" w:type="dxa"/>
            <w:vAlign w:val="bottom"/>
            <w:tcBorders>
              <w:top w:val="single" w:sz="8" w:color="CCEEFF"/>
            </w:tcBorders>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020" w:type="dxa"/>
            <w:vAlign w:val="bottom"/>
            <w:tcBorders>
              <w:top w:val="single" w:sz="8" w:color="0000EE"/>
            </w:tcBorders>
          </w:tcPr>
          <w:p>
            <w:pPr>
              <w:spacing w:after="0"/>
              <w:rPr>
                <w:sz w:val="3"/>
                <w:szCs w:val="3"/>
                <w:color w:val="auto"/>
              </w:rPr>
            </w:pPr>
          </w:p>
        </w:tc>
        <w:tc>
          <w:tcPr>
            <w:tcW w:w="9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80" w:type="dxa"/>
            <w:vAlign w:val="bottom"/>
          </w:tcPr>
          <w:p>
            <w:pPr>
              <w:spacing w:after="0"/>
              <w:rPr>
                <w:sz w:val="3"/>
                <w:szCs w:val="3"/>
                <w:color w:val="auto"/>
              </w:rPr>
            </w:pPr>
          </w:p>
        </w:tc>
      </w:tr>
      <w:tr>
        <w:trPr>
          <w:trHeight w:val="187"/>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line="187" w:lineRule="exact"/>
              <w:rPr>
                <w:rFonts w:ascii="Arial" w:cs="Arial" w:eastAsia="Arial" w:hAnsi="Arial"/>
                <w:sz w:val="17"/>
                <w:szCs w:val="17"/>
                <w:color w:val="0000EE"/>
                <w:w w:val="88"/>
              </w:rPr>
            </w:pPr>
            <w:hyperlink w:anchor="page26">
              <w:r>
                <w:rPr>
                  <w:rFonts w:ascii="Arial" w:cs="Arial" w:eastAsia="Arial" w:hAnsi="Arial"/>
                  <w:sz w:val="17"/>
                  <w:szCs w:val="17"/>
                  <w:color w:val="0000EE"/>
                  <w:w w:val="88"/>
                </w:rPr>
                <w:t>Item 6</w:t>
              </w:r>
            </w:hyperlink>
          </w:p>
        </w:tc>
        <w:tc>
          <w:tcPr>
            <w:tcW w:w="640" w:type="dxa"/>
            <w:vAlign w:val="bottom"/>
            <w:gridSpan w:val="7"/>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200" w:type="dxa"/>
            <w:vAlign w:val="bottom"/>
            <w:gridSpan w:val="22"/>
            <w:shd w:val="clear" w:color="auto" w:fill="CCEEFF"/>
          </w:tcPr>
          <w:p>
            <w:pPr>
              <w:spacing w:after="0" w:line="187" w:lineRule="exact"/>
              <w:rPr>
                <w:rFonts w:ascii="Arial" w:cs="Arial" w:eastAsia="Arial" w:hAnsi="Arial"/>
                <w:sz w:val="17"/>
                <w:szCs w:val="17"/>
                <w:color w:val="0000EE"/>
              </w:rPr>
            </w:pPr>
            <w:hyperlink w:anchor="page26">
              <w:r>
                <w:rPr>
                  <w:rFonts w:ascii="Arial" w:cs="Arial" w:eastAsia="Arial" w:hAnsi="Arial"/>
                  <w:sz w:val="17"/>
                  <w:szCs w:val="17"/>
                  <w:color w:val="0000EE"/>
                </w:rPr>
                <w:t>Selected Financial Data</w:t>
              </w:r>
            </w:hyperlink>
          </w:p>
        </w:tc>
        <w:tc>
          <w:tcPr>
            <w:tcW w:w="640" w:type="dxa"/>
            <w:vAlign w:val="bottom"/>
            <w:tcBorders>
              <w:right w:val="single" w:sz="8" w:color="CCEEFF"/>
            </w:tcBorders>
            <w:gridSpan w:val="3"/>
            <w:shd w:val="clear" w:color="auto" w:fill="CCEEFF"/>
          </w:tcPr>
          <w:p>
            <w:pPr>
              <w:jc w:val="center"/>
              <w:ind w:left="317"/>
              <w:spacing w:after="0" w:line="187" w:lineRule="exact"/>
              <w:rPr>
                <w:rFonts w:ascii="Arial" w:cs="Arial" w:eastAsia="Arial" w:hAnsi="Arial"/>
                <w:sz w:val="17"/>
                <w:szCs w:val="17"/>
                <w:color w:val="0000EE"/>
                <w:w w:val="84"/>
              </w:rPr>
            </w:pPr>
            <w:hyperlink w:anchor="page26">
              <w:r>
                <w:rPr>
                  <w:rFonts w:ascii="Arial" w:cs="Arial" w:eastAsia="Arial" w:hAnsi="Arial"/>
                  <w:sz w:val="17"/>
                  <w:szCs w:val="17"/>
                  <w:color w:val="0000EE"/>
                  <w:w w:val="84"/>
                </w:rPr>
                <w:t>26</w:t>
              </w:r>
            </w:hyperlink>
          </w:p>
        </w:tc>
        <w:tc>
          <w:tcPr>
            <w:tcW w:w="38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right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440" w:type="dxa"/>
            <w:vAlign w:val="bottom"/>
          </w:tcPr>
          <w:p>
            <w:pPr>
              <w:spacing w:after="0" w:line="187" w:lineRule="exact"/>
              <w:rPr>
                <w:rFonts w:ascii="Arial" w:cs="Arial" w:eastAsia="Arial" w:hAnsi="Arial"/>
                <w:sz w:val="17"/>
                <w:szCs w:val="17"/>
                <w:color w:val="0000EE"/>
                <w:w w:val="88"/>
              </w:rPr>
            </w:pPr>
            <w:hyperlink w:anchor="page26">
              <w:r>
                <w:rPr>
                  <w:rFonts w:ascii="Arial" w:cs="Arial" w:eastAsia="Arial" w:hAnsi="Arial"/>
                  <w:sz w:val="17"/>
                  <w:szCs w:val="17"/>
                  <w:color w:val="0000EE"/>
                  <w:w w:val="88"/>
                </w:rPr>
                <w:t>Item 7</w:t>
              </w:r>
            </w:hyperlink>
          </w:p>
        </w:tc>
        <w:tc>
          <w:tcPr>
            <w:tcW w:w="640" w:type="dxa"/>
            <w:vAlign w:val="bottom"/>
            <w:gridSpan w:val="7"/>
          </w:tcPr>
          <w:p>
            <w:pPr>
              <w:spacing w:after="0"/>
              <w:rPr>
                <w:sz w:val="16"/>
                <w:szCs w:val="16"/>
                <w:color w:val="auto"/>
              </w:rPr>
            </w:pPr>
          </w:p>
        </w:tc>
        <w:tc>
          <w:tcPr>
            <w:tcW w:w="1100" w:type="dxa"/>
            <w:vAlign w:val="bottom"/>
          </w:tcPr>
          <w:p>
            <w:pPr>
              <w:spacing w:after="0"/>
              <w:rPr>
                <w:sz w:val="16"/>
                <w:szCs w:val="16"/>
                <w:color w:val="auto"/>
              </w:rPr>
            </w:pPr>
          </w:p>
        </w:tc>
        <w:tc>
          <w:tcPr>
            <w:tcW w:w="8200" w:type="dxa"/>
            <w:vAlign w:val="bottom"/>
            <w:gridSpan w:val="22"/>
          </w:tcPr>
          <w:p>
            <w:pPr>
              <w:spacing w:after="0" w:line="187" w:lineRule="exact"/>
              <w:rPr>
                <w:rFonts w:ascii="Arial" w:cs="Arial" w:eastAsia="Arial" w:hAnsi="Arial"/>
                <w:sz w:val="17"/>
                <w:szCs w:val="17"/>
                <w:color w:val="0000EE"/>
              </w:rPr>
            </w:pPr>
            <w:hyperlink w:anchor="page26">
              <w:r>
                <w:rPr>
                  <w:rFonts w:ascii="Arial" w:cs="Arial" w:eastAsia="Arial" w:hAnsi="Arial"/>
                  <w:sz w:val="17"/>
                  <w:szCs w:val="17"/>
                  <w:color w:val="0000EE"/>
                </w:rPr>
                <w:t>Management's Discussion and Analysis of Financial Condition and Results of Operations</w:t>
              </w:r>
            </w:hyperlink>
          </w:p>
        </w:tc>
        <w:tc>
          <w:tcPr>
            <w:tcW w:w="640" w:type="dxa"/>
            <w:vAlign w:val="bottom"/>
            <w:gridSpan w:val="3"/>
          </w:tcPr>
          <w:p>
            <w:pPr>
              <w:jc w:val="center"/>
              <w:ind w:left="317"/>
              <w:spacing w:after="0" w:line="187" w:lineRule="exact"/>
              <w:rPr>
                <w:rFonts w:ascii="Arial" w:cs="Arial" w:eastAsia="Arial" w:hAnsi="Arial"/>
                <w:sz w:val="17"/>
                <w:szCs w:val="17"/>
                <w:color w:val="0000EE"/>
                <w:w w:val="84"/>
              </w:rPr>
            </w:pPr>
            <w:hyperlink w:anchor="page26">
              <w:r>
                <w:rPr>
                  <w:rFonts w:ascii="Arial" w:cs="Arial" w:eastAsia="Arial" w:hAnsi="Arial"/>
                  <w:sz w:val="17"/>
                  <w:szCs w:val="17"/>
                  <w:color w:val="0000EE"/>
                  <w:w w:val="84"/>
                </w:rPr>
                <w:t>26</w:t>
              </w:r>
            </w:hyperlink>
          </w:p>
        </w:tc>
        <w:tc>
          <w:tcPr>
            <w:tcW w:w="38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020" w:type="dxa"/>
            <w:vAlign w:val="bottom"/>
            <w:tcBorders>
              <w:top w:val="single" w:sz="8" w:color="0000EE"/>
            </w:tcBorders>
          </w:tcPr>
          <w:p>
            <w:pPr>
              <w:spacing w:after="0"/>
              <w:rPr>
                <w:sz w:val="3"/>
                <w:szCs w:val="3"/>
                <w:color w:val="auto"/>
              </w:rPr>
            </w:pPr>
          </w:p>
        </w:tc>
        <w:tc>
          <w:tcPr>
            <w:tcW w:w="92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80" w:type="dxa"/>
            <w:vAlign w:val="bottom"/>
          </w:tcPr>
          <w:p>
            <w:pPr>
              <w:spacing w:after="0"/>
              <w:rPr>
                <w:sz w:val="3"/>
                <w:szCs w:val="3"/>
                <w:color w:val="auto"/>
              </w:rPr>
            </w:pPr>
          </w:p>
        </w:tc>
      </w:tr>
      <w:tr>
        <w:trPr>
          <w:trHeight w:val="187"/>
        </w:trPr>
        <w:tc>
          <w:tcPr>
            <w:tcW w:w="20" w:type="dxa"/>
            <w:vAlign w:val="bottom"/>
            <w:shd w:val="clear" w:color="auto" w:fill="CCEEFF"/>
          </w:tcPr>
          <w:p>
            <w:pPr>
              <w:spacing w:after="0"/>
              <w:rPr>
                <w:sz w:val="16"/>
                <w:szCs w:val="16"/>
                <w:color w:val="auto"/>
              </w:rPr>
            </w:pPr>
          </w:p>
        </w:tc>
        <w:tc>
          <w:tcPr>
            <w:tcW w:w="560" w:type="dxa"/>
            <w:vAlign w:val="bottom"/>
            <w:gridSpan w:val="4"/>
            <w:shd w:val="clear" w:color="auto" w:fill="CCEEFF"/>
          </w:tcPr>
          <w:p>
            <w:pPr>
              <w:spacing w:after="0" w:line="187" w:lineRule="exact"/>
              <w:rPr>
                <w:rFonts w:ascii="Arial" w:cs="Arial" w:eastAsia="Arial" w:hAnsi="Arial"/>
                <w:sz w:val="17"/>
                <w:szCs w:val="17"/>
                <w:color w:val="0000EE"/>
                <w:w w:val="92"/>
              </w:rPr>
            </w:pPr>
            <w:hyperlink w:anchor="page46">
              <w:r>
                <w:rPr>
                  <w:rFonts w:ascii="Arial" w:cs="Arial" w:eastAsia="Arial" w:hAnsi="Arial"/>
                  <w:sz w:val="17"/>
                  <w:szCs w:val="17"/>
                  <w:color w:val="0000EE"/>
                  <w:w w:val="92"/>
                </w:rPr>
                <w:t>Item 7A</w:t>
              </w:r>
            </w:hyperlink>
          </w:p>
        </w:tc>
        <w:tc>
          <w:tcPr>
            <w:tcW w:w="520" w:type="dxa"/>
            <w:vAlign w:val="bottom"/>
            <w:gridSpan w:val="4"/>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200" w:type="dxa"/>
            <w:vAlign w:val="bottom"/>
            <w:gridSpan w:val="22"/>
            <w:shd w:val="clear" w:color="auto" w:fill="CCEEFF"/>
          </w:tcPr>
          <w:p>
            <w:pPr>
              <w:spacing w:after="0" w:line="187" w:lineRule="exact"/>
              <w:rPr>
                <w:rFonts w:ascii="Arial" w:cs="Arial" w:eastAsia="Arial" w:hAnsi="Arial"/>
                <w:sz w:val="17"/>
                <w:szCs w:val="17"/>
                <w:color w:val="0000EE"/>
              </w:rPr>
            </w:pPr>
            <w:hyperlink w:anchor="page46">
              <w:r>
                <w:rPr>
                  <w:rFonts w:ascii="Arial" w:cs="Arial" w:eastAsia="Arial" w:hAnsi="Arial"/>
                  <w:sz w:val="17"/>
                  <w:szCs w:val="17"/>
                  <w:color w:val="0000EE"/>
                </w:rPr>
                <w:t>Quantitative and Qualitative Disclosures About Market Risk</w:t>
              </w:r>
            </w:hyperlink>
          </w:p>
        </w:tc>
        <w:tc>
          <w:tcPr>
            <w:tcW w:w="640" w:type="dxa"/>
            <w:vAlign w:val="bottom"/>
            <w:tcBorders>
              <w:right w:val="single" w:sz="8" w:color="CCEEFF"/>
            </w:tcBorders>
            <w:gridSpan w:val="3"/>
            <w:shd w:val="clear" w:color="auto" w:fill="CCEEFF"/>
          </w:tcPr>
          <w:p>
            <w:pPr>
              <w:jc w:val="center"/>
              <w:ind w:left="317"/>
              <w:spacing w:after="0" w:line="187" w:lineRule="exact"/>
              <w:rPr>
                <w:rFonts w:ascii="Arial" w:cs="Arial" w:eastAsia="Arial" w:hAnsi="Arial"/>
                <w:sz w:val="17"/>
                <w:szCs w:val="17"/>
                <w:color w:val="0000EE"/>
                <w:w w:val="84"/>
              </w:rPr>
            </w:pPr>
            <w:hyperlink w:anchor="page46">
              <w:r>
                <w:rPr>
                  <w:rFonts w:ascii="Arial" w:cs="Arial" w:eastAsia="Arial" w:hAnsi="Arial"/>
                  <w:sz w:val="17"/>
                  <w:szCs w:val="17"/>
                  <w:color w:val="0000EE"/>
                  <w:w w:val="84"/>
                </w:rPr>
                <w:t>46</w:t>
              </w:r>
            </w:hyperlink>
          </w:p>
        </w:tc>
        <w:tc>
          <w:tcPr>
            <w:tcW w:w="38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7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70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right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560" w:type="dxa"/>
            <w:vAlign w:val="bottom"/>
            <w:gridSpan w:val="4"/>
          </w:tcPr>
          <w:p>
            <w:pPr>
              <w:spacing w:after="0" w:line="187" w:lineRule="exact"/>
              <w:rPr>
                <w:rFonts w:ascii="Arial" w:cs="Arial" w:eastAsia="Arial" w:hAnsi="Arial"/>
                <w:sz w:val="17"/>
                <w:szCs w:val="17"/>
                <w:color w:val="0000EE"/>
              </w:rPr>
            </w:pPr>
            <w:hyperlink w:anchor="page49">
              <w:r>
                <w:rPr>
                  <w:rFonts w:ascii="Arial" w:cs="Arial" w:eastAsia="Arial" w:hAnsi="Arial"/>
                  <w:sz w:val="17"/>
                  <w:szCs w:val="17"/>
                  <w:color w:val="0000EE"/>
                </w:rPr>
                <w:t>Item 8</w:t>
              </w:r>
            </w:hyperlink>
          </w:p>
        </w:tc>
        <w:tc>
          <w:tcPr>
            <w:tcW w:w="520" w:type="dxa"/>
            <w:vAlign w:val="bottom"/>
            <w:gridSpan w:val="4"/>
          </w:tcPr>
          <w:p>
            <w:pPr>
              <w:spacing w:after="0"/>
              <w:rPr>
                <w:sz w:val="16"/>
                <w:szCs w:val="16"/>
                <w:color w:val="auto"/>
              </w:rPr>
            </w:pPr>
          </w:p>
        </w:tc>
        <w:tc>
          <w:tcPr>
            <w:tcW w:w="1100" w:type="dxa"/>
            <w:vAlign w:val="bottom"/>
          </w:tcPr>
          <w:p>
            <w:pPr>
              <w:spacing w:after="0"/>
              <w:rPr>
                <w:sz w:val="16"/>
                <w:szCs w:val="16"/>
                <w:color w:val="auto"/>
              </w:rPr>
            </w:pPr>
          </w:p>
        </w:tc>
        <w:tc>
          <w:tcPr>
            <w:tcW w:w="4020" w:type="dxa"/>
            <w:vAlign w:val="bottom"/>
            <w:gridSpan w:val="16"/>
          </w:tcPr>
          <w:p>
            <w:pPr>
              <w:spacing w:after="0" w:line="187" w:lineRule="exact"/>
              <w:rPr>
                <w:rFonts w:ascii="Arial" w:cs="Arial" w:eastAsia="Arial" w:hAnsi="Arial"/>
                <w:sz w:val="17"/>
                <w:szCs w:val="17"/>
                <w:color w:val="0000EE"/>
              </w:rPr>
            </w:pPr>
            <w:hyperlink w:anchor="page49">
              <w:r>
                <w:rPr>
                  <w:rFonts w:ascii="Arial" w:cs="Arial" w:eastAsia="Arial" w:hAnsi="Arial"/>
                  <w:sz w:val="17"/>
                  <w:szCs w:val="17"/>
                  <w:color w:val="0000EE"/>
                </w:rPr>
                <w:t>Financial Statements and Supplementary Data</w:t>
              </w:r>
            </w:hyperlink>
          </w:p>
        </w:tc>
        <w:tc>
          <w:tcPr>
            <w:tcW w:w="4180" w:type="dxa"/>
            <w:vAlign w:val="bottom"/>
            <w:gridSpan w:val="6"/>
          </w:tcPr>
          <w:p>
            <w:pPr>
              <w:spacing w:after="0"/>
              <w:rPr>
                <w:sz w:val="16"/>
                <w:szCs w:val="16"/>
                <w:color w:val="auto"/>
              </w:rPr>
            </w:pPr>
          </w:p>
        </w:tc>
        <w:tc>
          <w:tcPr>
            <w:tcW w:w="640" w:type="dxa"/>
            <w:vAlign w:val="bottom"/>
            <w:gridSpan w:val="3"/>
          </w:tcPr>
          <w:p>
            <w:pPr>
              <w:jc w:val="center"/>
              <w:ind w:left="317"/>
              <w:spacing w:after="0" w:line="187" w:lineRule="exact"/>
              <w:rPr>
                <w:rFonts w:ascii="Arial" w:cs="Arial" w:eastAsia="Arial" w:hAnsi="Arial"/>
                <w:sz w:val="17"/>
                <w:szCs w:val="17"/>
                <w:color w:val="0000EE"/>
                <w:w w:val="84"/>
              </w:rPr>
            </w:pPr>
            <w:hyperlink w:anchor="page49">
              <w:r>
                <w:rPr>
                  <w:rFonts w:ascii="Arial" w:cs="Arial" w:eastAsia="Arial" w:hAnsi="Arial"/>
                  <w:sz w:val="17"/>
                  <w:szCs w:val="17"/>
                  <w:color w:val="0000EE"/>
                  <w:w w:val="84"/>
                </w:rPr>
                <w:t>49</w:t>
              </w:r>
            </w:hyperlink>
          </w:p>
        </w:tc>
        <w:tc>
          <w:tcPr>
            <w:tcW w:w="38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80" w:type="dxa"/>
            <w:vAlign w:val="bottom"/>
          </w:tcPr>
          <w:p>
            <w:pPr>
              <w:spacing w:after="0"/>
              <w:rPr>
                <w:sz w:val="3"/>
                <w:szCs w:val="3"/>
                <w:color w:val="auto"/>
              </w:rPr>
            </w:pPr>
          </w:p>
        </w:tc>
      </w:tr>
      <w:tr>
        <w:trPr>
          <w:trHeight w:val="187"/>
        </w:trPr>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line="187" w:lineRule="exact"/>
              <w:rPr>
                <w:rFonts w:ascii="Arial" w:cs="Arial" w:eastAsia="Arial" w:hAnsi="Arial"/>
                <w:sz w:val="17"/>
                <w:szCs w:val="17"/>
                <w:color w:val="0000EE"/>
                <w:w w:val="88"/>
              </w:rPr>
            </w:pPr>
            <w:hyperlink w:anchor="page94">
              <w:r>
                <w:rPr>
                  <w:rFonts w:ascii="Arial" w:cs="Arial" w:eastAsia="Arial" w:hAnsi="Arial"/>
                  <w:sz w:val="17"/>
                  <w:szCs w:val="17"/>
                  <w:color w:val="0000EE"/>
                  <w:w w:val="88"/>
                </w:rPr>
                <w:t>Item 9</w:t>
              </w:r>
            </w:hyperlink>
          </w:p>
        </w:tc>
        <w:tc>
          <w:tcPr>
            <w:tcW w:w="640" w:type="dxa"/>
            <w:vAlign w:val="bottom"/>
            <w:gridSpan w:val="7"/>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200" w:type="dxa"/>
            <w:vAlign w:val="bottom"/>
            <w:gridSpan w:val="22"/>
            <w:shd w:val="clear" w:color="auto" w:fill="CCEEFF"/>
          </w:tcPr>
          <w:p>
            <w:pPr>
              <w:spacing w:after="0" w:line="187" w:lineRule="exact"/>
              <w:rPr>
                <w:rFonts w:ascii="Arial" w:cs="Arial" w:eastAsia="Arial" w:hAnsi="Arial"/>
                <w:sz w:val="17"/>
                <w:szCs w:val="17"/>
                <w:color w:val="0000EE"/>
              </w:rPr>
            </w:pPr>
            <w:hyperlink w:anchor="page94">
              <w:r>
                <w:rPr>
                  <w:rFonts w:ascii="Arial" w:cs="Arial" w:eastAsia="Arial" w:hAnsi="Arial"/>
                  <w:sz w:val="17"/>
                  <w:szCs w:val="17"/>
                  <w:color w:val="0000EE"/>
                </w:rPr>
                <w:t>Changes in and Disagreements with Accountants on Accounting and Financial Disclosure</w:t>
              </w:r>
            </w:hyperlink>
          </w:p>
        </w:tc>
        <w:tc>
          <w:tcPr>
            <w:tcW w:w="640" w:type="dxa"/>
            <w:vAlign w:val="bottom"/>
            <w:tcBorders>
              <w:right w:val="single" w:sz="8" w:color="CCEEFF"/>
            </w:tcBorders>
            <w:gridSpan w:val="3"/>
            <w:shd w:val="clear" w:color="auto" w:fill="CCEEFF"/>
          </w:tcPr>
          <w:p>
            <w:pPr>
              <w:jc w:val="center"/>
              <w:ind w:left="317"/>
              <w:spacing w:after="0" w:line="187" w:lineRule="exact"/>
              <w:rPr>
                <w:rFonts w:ascii="Arial" w:cs="Arial" w:eastAsia="Arial" w:hAnsi="Arial"/>
                <w:sz w:val="17"/>
                <w:szCs w:val="17"/>
                <w:color w:val="0000EE"/>
                <w:w w:val="84"/>
              </w:rPr>
            </w:pPr>
            <w:hyperlink w:anchor="page94">
              <w:r>
                <w:rPr>
                  <w:rFonts w:ascii="Arial" w:cs="Arial" w:eastAsia="Arial" w:hAnsi="Arial"/>
                  <w:sz w:val="17"/>
                  <w:szCs w:val="17"/>
                  <w:color w:val="0000EE"/>
                  <w:w w:val="84"/>
                </w:rPr>
                <w:t>94</w:t>
              </w:r>
            </w:hyperlink>
          </w:p>
        </w:tc>
        <w:tc>
          <w:tcPr>
            <w:tcW w:w="38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7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70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1020" w:type="dxa"/>
            <w:vAlign w:val="bottom"/>
            <w:tcBorders>
              <w:top w:val="single" w:sz="8" w:color="0000EE"/>
            </w:tcBorders>
            <w:shd w:val="clear" w:color="auto" w:fill="CCEEFF"/>
          </w:tcPr>
          <w:p>
            <w:pPr>
              <w:spacing w:after="0"/>
              <w:rPr>
                <w:sz w:val="3"/>
                <w:szCs w:val="3"/>
                <w:color w:val="auto"/>
              </w:rPr>
            </w:pPr>
          </w:p>
        </w:tc>
        <w:tc>
          <w:tcPr>
            <w:tcW w:w="9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right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1080" w:type="dxa"/>
            <w:vAlign w:val="bottom"/>
            <w:gridSpan w:val="8"/>
          </w:tcPr>
          <w:p>
            <w:pPr>
              <w:spacing w:after="0" w:line="187" w:lineRule="exact"/>
              <w:rPr>
                <w:rFonts w:ascii="Arial" w:cs="Arial" w:eastAsia="Arial" w:hAnsi="Arial"/>
                <w:sz w:val="17"/>
                <w:szCs w:val="17"/>
                <w:color w:val="0000EE"/>
              </w:rPr>
            </w:pPr>
            <w:hyperlink w:anchor="page94">
              <w:r>
                <w:rPr>
                  <w:rFonts w:ascii="Arial" w:cs="Arial" w:eastAsia="Arial" w:hAnsi="Arial"/>
                  <w:sz w:val="17"/>
                  <w:szCs w:val="17"/>
                  <w:color w:val="0000EE"/>
                </w:rPr>
                <w:t>Item 9A</w:t>
              </w:r>
            </w:hyperlink>
          </w:p>
        </w:tc>
        <w:tc>
          <w:tcPr>
            <w:tcW w:w="9300" w:type="dxa"/>
            <w:vAlign w:val="bottom"/>
            <w:gridSpan w:val="23"/>
          </w:tcPr>
          <w:p>
            <w:pPr>
              <w:ind w:left="1100"/>
              <w:spacing w:after="0" w:line="187" w:lineRule="exact"/>
              <w:rPr>
                <w:rFonts w:ascii="Arial" w:cs="Arial" w:eastAsia="Arial" w:hAnsi="Arial"/>
                <w:sz w:val="17"/>
                <w:szCs w:val="17"/>
                <w:color w:val="0000EE"/>
              </w:rPr>
            </w:pPr>
            <w:hyperlink w:anchor="page94">
              <w:r>
                <w:rPr>
                  <w:rFonts w:ascii="Arial" w:cs="Arial" w:eastAsia="Arial" w:hAnsi="Arial"/>
                  <w:sz w:val="17"/>
                  <w:szCs w:val="17"/>
                  <w:color w:val="0000EE"/>
                </w:rPr>
                <w:t>Controls and Procedures</w:t>
              </w:r>
            </w:hyperlink>
          </w:p>
        </w:tc>
        <w:tc>
          <w:tcPr>
            <w:tcW w:w="640" w:type="dxa"/>
            <w:vAlign w:val="bottom"/>
            <w:gridSpan w:val="3"/>
          </w:tcPr>
          <w:p>
            <w:pPr>
              <w:jc w:val="center"/>
              <w:ind w:left="317"/>
              <w:spacing w:after="0" w:line="187" w:lineRule="exact"/>
              <w:rPr>
                <w:rFonts w:ascii="Arial" w:cs="Arial" w:eastAsia="Arial" w:hAnsi="Arial"/>
                <w:sz w:val="17"/>
                <w:szCs w:val="17"/>
                <w:color w:val="0000EE"/>
                <w:w w:val="84"/>
              </w:rPr>
            </w:pPr>
            <w:hyperlink w:anchor="page94">
              <w:r>
                <w:rPr>
                  <w:rFonts w:ascii="Arial" w:cs="Arial" w:eastAsia="Arial" w:hAnsi="Arial"/>
                  <w:sz w:val="17"/>
                  <w:szCs w:val="17"/>
                  <w:color w:val="0000EE"/>
                  <w:w w:val="84"/>
                </w:rPr>
                <w:t>94</w:t>
              </w:r>
            </w:hyperlink>
          </w:p>
        </w:tc>
        <w:tc>
          <w:tcPr>
            <w:tcW w:w="38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80" w:type="dxa"/>
            <w:vAlign w:val="bottom"/>
          </w:tcPr>
          <w:p>
            <w:pPr>
              <w:spacing w:after="0"/>
              <w:rPr>
                <w:sz w:val="3"/>
                <w:szCs w:val="3"/>
                <w:color w:val="auto"/>
              </w:rPr>
            </w:pPr>
          </w:p>
        </w:tc>
      </w:tr>
      <w:tr>
        <w:trPr>
          <w:trHeight w:val="229"/>
        </w:trPr>
        <w:tc>
          <w:tcPr>
            <w:tcW w:w="20" w:type="dxa"/>
            <w:vAlign w:val="bottom"/>
            <w:shd w:val="clear" w:color="auto" w:fill="CCEEFF"/>
          </w:tcPr>
          <w:p>
            <w:pPr>
              <w:spacing w:after="0"/>
              <w:rPr>
                <w:sz w:val="19"/>
                <w:szCs w:val="19"/>
                <w:color w:val="auto"/>
              </w:rPr>
            </w:pPr>
          </w:p>
        </w:tc>
        <w:tc>
          <w:tcPr>
            <w:tcW w:w="1080" w:type="dxa"/>
            <w:vAlign w:val="bottom"/>
            <w:gridSpan w:val="8"/>
            <w:shd w:val="clear" w:color="auto" w:fill="CCEEFF"/>
          </w:tcPr>
          <w:p>
            <w:pPr>
              <w:spacing w:after="0" w:line="187" w:lineRule="exact"/>
              <w:rPr>
                <w:rFonts w:ascii="Arial" w:cs="Arial" w:eastAsia="Arial" w:hAnsi="Arial"/>
                <w:sz w:val="17"/>
                <w:szCs w:val="17"/>
                <w:color w:val="0000EE"/>
              </w:rPr>
            </w:pPr>
            <w:hyperlink w:anchor="page95">
              <w:r>
                <w:rPr>
                  <w:rFonts w:ascii="Arial" w:cs="Arial" w:eastAsia="Arial" w:hAnsi="Arial"/>
                  <w:sz w:val="17"/>
                  <w:szCs w:val="17"/>
                  <w:color w:val="0000EE"/>
                </w:rPr>
                <w:t>Item 9B</w:t>
              </w:r>
            </w:hyperlink>
          </w:p>
        </w:tc>
        <w:tc>
          <w:tcPr>
            <w:tcW w:w="9300" w:type="dxa"/>
            <w:vAlign w:val="bottom"/>
            <w:gridSpan w:val="23"/>
            <w:shd w:val="clear" w:color="auto" w:fill="CCEEFF"/>
          </w:tcPr>
          <w:p>
            <w:pPr>
              <w:ind w:left="1100"/>
              <w:spacing w:after="0" w:line="187" w:lineRule="exact"/>
              <w:rPr>
                <w:rFonts w:ascii="Arial" w:cs="Arial" w:eastAsia="Arial" w:hAnsi="Arial"/>
                <w:sz w:val="17"/>
                <w:szCs w:val="17"/>
                <w:color w:val="0000EE"/>
              </w:rPr>
            </w:pPr>
            <w:hyperlink w:anchor="page95">
              <w:r>
                <w:rPr>
                  <w:rFonts w:ascii="Arial" w:cs="Arial" w:eastAsia="Arial" w:hAnsi="Arial"/>
                  <w:sz w:val="17"/>
                  <w:szCs w:val="17"/>
                  <w:color w:val="0000EE"/>
                </w:rPr>
                <w:t>Other Information</w:t>
              </w:r>
            </w:hyperlink>
          </w:p>
        </w:tc>
        <w:tc>
          <w:tcPr>
            <w:tcW w:w="640" w:type="dxa"/>
            <w:vAlign w:val="bottom"/>
            <w:tcBorders>
              <w:right w:val="single" w:sz="8" w:color="CCEEFF"/>
            </w:tcBorders>
            <w:gridSpan w:val="3"/>
            <w:shd w:val="clear" w:color="auto" w:fill="CCEEFF"/>
          </w:tcPr>
          <w:p>
            <w:pPr>
              <w:jc w:val="center"/>
              <w:ind w:left="317"/>
              <w:spacing w:after="0" w:line="187" w:lineRule="exact"/>
              <w:rPr>
                <w:rFonts w:ascii="Arial" w:cs="Arial" w:eastAsia="Arial" w:hAnsi="Arial"/>
                <w:sz w:val="17"/>
                <w:szCs w:val="17"/>
                <w:color w:val="0000EE"/>
                <w:w w:val="84"/>
              </w:rPr>
            </w:pPr>
            <w:hyperlink w:anchor="page95">
              <w:r>
                <w:rPr>
                  <w:rFonts w:ascii="Arial" w:cs="Arial" w:eastAsia="Arial" w:hAnsi="Arial"/>
                  <w:sz w:val="17"/>
                  <w:szCs w:val="17"/>
                  <w:color w:val="0000EE"/>
                  <w:w w:val="84"/>
                </w:rPr>
                <w:t>95</w:t>
              </w:r>
            </w:hyperlink>
          </w:p>
        </w:tc>
        <w:tc>
          <w:tcPr>
            <w:tcW w:w="380" w:type="dxa"/>
            <w:vAlign w:val="bottom"/>
            <w:shd w:val="clear" w:color="auto" w:fill="CCEEFF"/>
          </w:tcPr>
          <w:p>
            <w:pPr>
              <w:spacing w:after="0"/>
              <w:rPr>
                <w:sz w:val="19"/>
                <w:szCs w:val="19"/>
                <w:color w:val="auto"/>
              </w:rPr>
            </w:pPr>
          </w:p>
        </w:tc>
      </w:tr>
      <w:tr>
        <w:trPr>
          <w:trHeight w:val="299"/>
        </w:trPr>
        <w:tc>
          <w:tcPr>
            <w:tcW w:w="20" w:type="dxa"/>
            <w:vAlign w:val="bottom"/>
            <w:tcBorders>
              <w:top w:val="single" w:sz="8" w:color="CCEEFF"/>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r>
      <w:tr>
        <w:trPr>
          <w:trHeight w:val="229"/>
        </w:trPr>
        <w:tc>
          <w:tcPr>
            <w:tcW w:w="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0000EE"/>
            </w:tcBorders>
            <w:gridSpan w:val="7"/>
            <w:shd w:val="clear" w:color="auto" w:fill="CCEEFF"/>
          </w:tcPr>
          <w:p>
            <w:pPr>
              <w:spacing w:after="0" w:line="187" w:lineRule="exact"/>
              <w:rPr>
                <w:rFonts w:ascii="Arial" w:cs="Arial" w:eastAsia="Arial" w:hAnsi="Arial"/>
                <w:sz w:val="17"/>
                <w:szCs w:val="17"/>
                <w:b w:val="1"/>
                <w:bCs w:val="1"/>
                <w:color w:val="0000EE"/>
              </w:rPr>
            </w:pPr>
            <w:hyperlink w:anchor="page96">
              <w:r>
                <w:rPr>
                  <w:rFonts w:ascii="Arial" w:cs="Arial" w:eastAsia="Arial" w:hAnsi="Arial"/>
                  <w:sz w:val="17"/>
                  <w:szCs w:val="17"/>
                  <w:b w:val="1"/>
                  <w:bCs w:val="1"/>
                  <w:color w:val="0000EE"/>
                </w:rPr>
                <w:t>PART III</w:t>
              </w:r>
            </w:hyperlink>
          </w:p>
        </w:tc>
        <w:tc>
          <w:tcPr>
            <w:tcW w:w="4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right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1080" w:type="dxa"/>
            <w:vAlign w:val="bottom"/>
            <w:gridSpan w:val="8"/>
          </w:tcPr>
          <w:p>
            <w:pPr>
              <w:spacing w:after="0" w:line="187" w:lineRule="exact"/>
              <w:rPr>
                <w:rFonts w:ascii="Arial" w:cs="Arial" w:eastAsia="Arial" w:hAnsi="Arial"/>
                <w:sz w:val="17"/>
                <w:szCs w:val="17"/>
                <w:color w:val="0000EE"/>
              </w:rPr>
            </w:pPr>
            <w:hyperlink w:anchor="page96">
              <w:r>
                <w:rPr>
                  <w:rFonts w:ascii="Arial" w:cs="Arial" w:eastAsia="Arial" w:hAnsi="Arial"/>
                  <w:sz w:val="17"/>
                  <w:szCs w:val="17"/>
                  <w:color w:val="0000EE"/>
                </w:rPr>
                <w:t>Item 10</w:t>
              </w:r>
            </w:hyperlink>
          </w:p>
        </w:tc>
        <w:tc>
          <w:tcPr>
            <w:tcW w:w="9300" w:type="dxa"/>
            <w:vAlign w:val="bottom"/>
            <w:gridSpan w:val="23"/>
          </w:tcPr>
          <w:p>
            <w:pPr>
              <w:ind w:left="1100"/>
              <w:spacing w:after="0" w:line="187" w:lineRule="exact"/>
              <w:rPr>
                <w:rFonts w:ascii="Arial" w:cs="Arial" w:eastAsia="Arial" w:hAnsi="Arial"/>
                <w:sz w:val="17"/>
                <w:szCs w:val="17"/>
                <w:color w:val="0000EE"/>
              </w:rPr>
            </w:pPr>
            <w:hyperlink w:anchor="page96">
              <w:r>
                <w:rPr>
                  <w:rFonts w:ascii="Arial" w:cs="Arial" w:eastAsia="Arial" w:hAnsi="Arial"/>
                  <w:sz w:val="17"/>
                  <w:szCs w:val="17"/>
                  <w:color w:val="0000EE"/>
                </w:rPr>
                <w:t>Directors, Executive Officers and Corporate Governance</w:t>
              </w:r>
            </w:hyperlink>
          </w:p>
        </w:tc>
        <w:tc>
          <w:tcPr>
            <w:tcW w:w="640" w:type="dxa"/>
            <w:vAlign w:val="bottom"/>
            <w:gridSpan w:val="3"/>
          </w:tcPr>
          <w:p>
            <w:pPr>
              <w:jc w:val="center"/>
              <w:ind w:left="317"/>
              <w:spacing w:after="0" w:line="187" w:lineRule="exact"/>
              <w:rPr>
                <w:rFonts w:ascii="Arial" w:cs="Arial" w:eastAsia="Arial" w:hAnsi="Arial"/>
                <w:sz w:val="17"/>
                <w:szCs w:val="17"/>
                <w:color w:val="0000EE"/>
                <w:w w:val="84"/>
              </w:rPr>
            </w:pPr>
            <w:hyperlink w:anchor="page96">
              <w:r>
                <w:rPr>
                  <w:rFonts w:ascii="Arial" w:cs="Arial" w:eastAsia="Arial" w:hAnsi="Arial"/>
                  <w:sz w:val="17"/>
                  <w:szCs w:val="17"/>
                  <w:color w:val="0000EE"/>
                  <w:w w:val="84"/>
                </w:rPr>
                <w:t>96</w:t>
              </w:r>
            </w:hyperlink>
          </w:p>
        </w:tc>
        <w:tc>
          <w:tcPr>
            <w:tcW w:w="38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80" w:type="dxa"/>
            <w:vAlign w:val="bottom"/>
          </w:tcPr>
          <w:p>
            <w:pPr>
              <w:spacing w:after="0"/>
              <w:rPr>
                <w:sz w:val="3"/>
                <w:szCs w:val="3"/>
                <w:color w:val="auto"/>
              </w:rPr>
            </w:pPr>
          </w:p>
        </w:tc>
      </w:tr>
      <w:tr>
        <w:trPr>
          <w:trHeight w:val="187"/>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7" w:lineRule="exact"/>
              <w:rPr>
                <w:rFonts w:ascii="Arial" w:cs="Arial" w:eastAsia="Arial" w:hAnsi="Arial"/>
                <w:sz w:val="17"/>
                <w:szCs w:val="17"/>
                <w:color w:val="0000EE"/>
                <w:w w:val="88"/>
              </w:rPr>
            </w:pPr>
            <w:hyperlink w:anchor="page96">
              <w:r>
                <w:rPr>
                  <w:rFonts w:ascii="Arial" w:cs="Arial" w:eastAsia="Arial" w:hAnsi="Arial"/>
                  <w:sz w:val="17"/>
                  <w:szCs w:val="17"/>
                  <w:color w:val="0000EE"/>
                  <w:w w:val="88"/>
                </w:rPr>
                <w:t>Item 11</w:t>
              </w:r>
            </w:hyperlink>
          </w:p>
        </w:tc>
        <w:tc>
          <w:tcPr>
            <w:tcW w:w="560" w:type="dxa"/>
            <w:vAlign w:val="bottom"/>
            <w:gridSpan w:val="6"/>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680" w:type="dxa"/>
            <w:vAlign w:val="bottom"/>
            <w:gridSpan w:val="9"/>
            <w:shd w:val="clear" w:color="auto" w:fill="CCEEFF"/>
          </w:tcPr>
          <w:p>
            <w:pPr>
              <w:spacing w:after="0" w:line="187" w:lineRule="exact"/>
              <w:rPr>
                <w:rFonts w:ascii="Arial" w:cs="Arial" w:eastAsia="Arial" w:hAnsi="Arial"/>
                <w:sz w:val="17"/>
                <w:szCs w:val="17"/>
                <w:color w:val="0000EE"/>
                <w:w w:val="88"/>
              </w:rPr>
            </w:pPr>
            <w:hyperlink w:anchor="page96">
              <w:r>
                <w:rPr>
                  <w:rFonts w:ascii="Arial" w:cs="Arial" w:eastAsia="Arial" w:hAnsi="Arial"/>
                  <w:sz w:val="17"/>
                  <w:szCs w:val="17"/>
                  <w:color w:val="0000EE"/>
                  <w:w w:val="88"/>
                </w:rPr>
                <w:t>Executive Compensation</w:t>
              </w:r>
            </w:hyperlink>
          </w:p>
        </w:tc>
        <w:tc>
          <w:tcPr>
            <w:tcW w:w="6520" w:type="dxa"/>
            <w:vAlign w:val="bottom"/>
            <w:gridSpan w:val="13"/>
            <w:shd w:val="clear" w:color="auto" w:fill="CCEEFF"/>
          </w:tcPr>
          <w:p>
            <w:pPr>
              <w:spacing w:after="0"/>
              <w:rPr>
                <w:sz w:val="16"/>
                <w:szCs w:val="16"/>
                <w:color w:val="auto"/>
              </w:rPr>
            </w:pPr>
          </w:p>
        </w:tc>
        <w:tc>
          <w:tcPr>
            <w:tcW w:w="640" w:type="dxa"/>
            <w:vAlign w:val="bottom"/>
            <w:tcBorders>
              <w:right w:val="single" w:sz="8" w:color="CCEEFF"/>
            </w:tcBorders>
            <w:gridSpan w:val="3"/>
            <w:shd w:val="clear" w:color="auto" w:fill="CCEEFF"/>
          </w:tcPr>
          <w:p>
            <w:pPr>
              <w:jc w:val="center"/>
              <w:ind w:left="317"/>
              <w:spacing w:after="0" w:line="187" w:lineRule="exact"/>
              <w:rPr>
                <w:rFonts w:ascii="Arial" w:cs="Arial" w:eastAsia="Arial" w:hAnsi="Arial"/>
                <w:sz w:val="17"/>
                <w:szCs w:val="17"/>
                <w:color w:val="0000EE"/>
                <w:w w:val="84"/>
              </w:rPr>
            </w:pPr>
            <w:hyperlink w:anchor="page96">
              <w:r>
                <w:rPr>
                  <w:rFonts w:ascii="Arial" w:cs="Arial" w:eastAsia="Arial" w:hAnsi="Arial"/>
                  <w:sz w:val="17"/>
                  <w:szCs w:val="17"/>
                  <w:color w:val="0000EE"/>
                  <w:w w:val="84"/>
                </w:rPr>
                <w:t>96</w:t>
              </w:r>
            </w:hyperlink>
          </w:p>
        </w:tc>
        <w:tc>
          <w:tcPr>
            <w:tcW w:w="38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7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right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520" w:type="dxa"/>
            <w:vAlign w:val="bottom"/>
            <w:gridSpan w:val="2"/>
          </w:tcPr>
          <w:p>
            <w:pPr>
              <w:spacing w:after="0" w:line="187" w:lineRule="exact"/>
              <w:rPr>
                <w:rFonts w:ascii="Arial" w:cs="Arial" w:eastAsia="Arial" w:hAnsi="Arial"/>
                <w:sz w:val="17"/>
                <w:szCs w:val="17"/>
                <w:color w:val="0000EE"/>
                <w:w w:val="88"/>
              </w:rPr>
            </w:pPr>
            <w:hyperlink w:anchor="page96">
              <w:r>
                <w:rPr>
                  <w:rFonts w:ascii="Arial" w:cs="Arial" w:eastAsia="Arial" w:hAnsi="Arial"/>
                  <w:sz w:val="17"/>
                  <w:szCs w:val="17"/>
                  <w:color w:val="0000EE"/>
                  <w:w w:val="88"/>
                </w:rPr>
                <w:t>Item 12</w:t>
              </w:r>
            </w:hyperlink>
          </w:p>
        </w:tc>
        <w:tc>
          <w:tcPr>
            <w:tcW w:w="560" w:type="dxa"/>
            <w:vAlign w:val="bottom"/>
            <w:gridSpan w:val="6"/>
          </w:tcPr>
          <w:p>
            <w:pPr>
              <w:spacing w:after="0"/>
              <w:rPr>
                <w:sz w:val="16"/>
                <w:szCs w:val="16"/>
                <w:color w:val="auto"/>
              </w:rPr>
            </w:pPr>
          </w:p>
        </w:tc>
        <w:tc>
          <w:tcPr>
            <w:tcW w:w="1100" w:type="dxa"/>
            <w:vAlign w:val="bottom"/>
          </w:tcPr>
          <w:p>
            <w:pPr>
              <w:spacing w:after="0"/>
              <w:rPr>
                <w:sz w:val="16"/>
                <w:szCs w:val="16"/>
                <w:color w:val="auto"/>
              </w:rPr>
            </w:pPr>
          </w:p>
        </w:tc>
        <w:tc>
          <w:tcPr>
            <w:tcW w:w="8200" w:type="dxa"/>
            <w:vAlign w:val="bottom"/>
            <w:gridSpan w:val="22"/>
          </w:tcPr>
          <w:p>
            <w:pPr>
              <w:spacing w:after="0" w:line="187" w:lineRule="exact"/>
              <w:rPr>
                <w:rFonts w:ascii="Arial" w:cs="Arial" w:eastAsia="Arial" w:hAnsi="Arial"/>
                <w:sz w:val="17"/>
                <w:szCs w:val="17"/>
                <w:color w:val="0000EE"/>
              </w:rPr>
            </w:pPr>
            <w:hyperlink w:anchor="page96">
              <w:r>
                <w:rPr>
                  <w:rFonts w:ascii="Arial" w:cs="Arial" w:eastAsia="Arial" w:hAnsi="Arial"/>
                  <w:sz w:val="17"/>
                  <w:szCs w:val="17"/>
                  <w:color w:val="0000EE"/>
                </w:rPr>
                <w:t>Security Ownership of Certain Beneficial Owners and Management and Related Stockholder Matters</w:t>
              </w:r>
            </w:hyperlink>
          </w:p>
        </w:tc>
        <w:tc>
          <w:tcPr>
            <w:tcW w:w="640" w:type="dxa"/>
            <w:vAlign w:val="bottom"/>
            <w:gridSpan w:val="3"/>
          </w:tcPr>
          <w:p>
            <w:pPr>
              <w:jc w:val="center"/>
              <w:ind w:left="317"/>
              <w:spacing w:after="0" w:line="187" w:lineRule="exact"/>
              <w:rPr>
                <w:rFonts w:ascii="Arial" w:cs="Arial" w:eastAsia="Arial" w:hAnsi="Arial"/>
                <w:sz w:val="17"/>
                <w:szCs w:val="17"/>
                <w:color w:val="0000EE"/>
                <w:w w:val="84"/>
              </w:rPr>
            </w:pPr>
            <w:hyperlink w:anchor="page96">
              <w:r>
                <w:rPr>
                  <w:rFonts w:ascii="Arial" w:cs="Arial" w:eastAsia="Arial" w:hAnsi="Arial"/>
                  <w:sz w:val="17"/>
                  <w:szCs w:val="17"/>
                  <w:color w:val="0000EE"/>
                  <w:w w:val="84"/>
                </w:rPr>
                <w:t>96</w:t>
              </w:r>
            </w:hyperlink>
          </w:p>
        </w:tc>
        <w:tc>
          <w:tcPr>
            <w:tcW w:w="38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0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1020" w:type="dxa"/>
            <w:vAlign w:val="bottom"/>
            <w:tcBorders>
              <w:top w:val="single" w:sz="8" w:color="0000EE"/>
            </w:tcBorders>
          </w:tcPr>
          <w:p>
            <w:pPr>
              <w:spacing w:after="0"/>
              <w:rPr>
                <w:sz w:val="3"/>
                <w:szCs w:val="3"/>
                <w:color w:val="auto"/>
              </w:rPr>
            </w:pPr>
          </w:p>
        </w:tc>
        <w:tc>
          <w:tcPr>
            <w:tcW w:w="9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760" w:type="dxa"/>
            <w:vAlign w:val="bottom"/>
            <w:tcBorders>
              <w:top w:val="single" w:sz="8" w:color="0000EE"/>
            </w:tcBorders>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80" w:type="dxa"/>
            <w:vAlign w:val="bottom"/>
          </w:tcPr>
          <w:p>
            <w:pPr>
              <w:spacing w:after="0"/>
              <w:rPr>
                <w:sz w:val="3"/>
                <w:szCs w:val="3"/>
                <w:color w:val="auto"/>
              </w:rPr>
            </w:pPr>
          </w:p>
        </w:tc>
      </w:tr>
      <w:tr>
        <w:trPr>
          <w:trHeight w:val="187"/>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7" w:lineRule="exact"/>
              <w:rPr>
                <w:rFonts w:ascii="Arial" w:cs="Arial" w:eastAsia="Arial" w:hAnsi="Arial"/>
                <w:sz w:val="17"/>
                <w:szCs w:val="17"/>
                <w:color w:val="0000EE"/>
                <w:w w:val="88"/>
              </w:rPr>
            </w:pPr>
            <w:hyperlink w:anchor="page97">
              <w:r>
                <w:rPr>
                  <w:rFonts w:ascii="Arial" w:cs="Arial" w:eastAsia="Arial" w:hAnsi="Arial"/>
                  <w:sz w:val="17"/>
                  <w:szCs w:val="17"/>
                  <w:color w:val="0000EE"/>
                  <w:w w:val="88"/>
                </w:rPr>
                <w:t>Item 13</w:t>
              </w:r>
            </w:hyperlink>
          </w:p>
        </w:tc>
        <w:tc>
          <w:tcPr>
            <w:tcW w:w="560" w:type="dxa"/>
            <w:vAlign w:val="bottom"/>
            <w:gridSpan w:val="6"/>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040" w:type="dxa"/>
            <w:vAlign w:val="bottom"/>
            <w:gridSpan w:val="17"/>
            <w:shd w:val="clear" w:color="auto" w:fill="CCEEFF"/>
          </w:tcPr>
          <w:p>
            <w:pPr>
              <w:spacing w:after="0" w:line="187" w:lineRule="exact"/>
              <w:rPr>
                <w:rFonts w:ascii="Arial" w:cs="Arial" w:eastAsia="Arial" w:hAnsi="Arial"/>
                <w:sz w:val="17"/>
                <w:szCs w:val="17"/>
                <w:color w:val="0000EE"/>
                <w:w w:val="87"/>
              </w:rPr>
            </w:pPr>
            <w:hyperlink w:anchor="page97">
              <w:r>
                <w:rPr>
                  <w:rFonts w:ascii="Arial" w:cs="Arial" w:eastAsia="Arial" w:hAnsi="Arial"/>
                  <w:sz w:val="17"/>
                  <w:szCs w:val="17"/>
                  <w:color w:val="0000EE"/>
                  <w:w w:val="87"/>
                </w:rPr>
                <w:t>Certain Relationships and Related Transactions, and Director Independence</w:t>
              </w:r>
            </w:hyperlink>
          </w:p>
        </w:tc>
        <w:tc>
          <w:tcPr>
            <w:tcW w:w="3160" w:type="dxa"/>
            <w:vAlign w:val="bottom"/>
            <w:gridSpan w:val="5"/>
            <w:shd w:val="clear" w:color="auto" w:fill="CCEEFF"/>
          </w:tcPr>
          <w:p>
            <w:pPr>
              <w:spacing w:after="0"/>
              <w:rPr>
                <w:sz w:val="16"/>
                <w:szCs w:val="16"/>
                <w:color w:val="auto"/>
              </w:rPr>
            </w:pPr>
          </w:p>
        </w:tc>
        <w:tc>
          <w:tcPr>
            <w:tcW w:w="640" w:type="dxa"/>
            <w:vAlign w:val="bottom"/>
            <w:tcBorders>
              <w:right w:val="single" w:sz="8" w:color="CCEEFF"/>
            </w:tcBorders>
            <w:gridSpan w:val="3"/>
            <w:shd w:val="clear" w:color="auto" w:fill="CCEEFF"/>
          </w:tcPr>
          <w:p>
            <w:pPr>
              <w:jc w:val="center"/>
              <w:ind w:left="317"/>
              <w:spacing w:after="0" w:line="187" w:lineRule="exact"/>
              <w:rPr>
                <w:rFonts w:ascii="Arial" w:cs="Arial" w:eastAsia="Arial" w:hAnsi="Arial"/>
                <w:sz w:val="17"/>
                <w:szCs w:val="17"/>
                <w:color w:val="0000EE"/>
                <w:w w:val="84"/>
              </w:rPr>
            </w:pPr>
            <w:hyperlink w:anchor="page97">
              <w:r>
                <w:rPr>
                  <w:rFonts w:ascii="Arial" w:cs="Arial" w:eastAsia="Arial" w:hAnsi="Arial"/>
                  <w:sz w:val="17"/>
                  <w:szCs w:val="17"/>
                  <w:color w:val="0000EE"/>
                  <w:w w:val="84"/>
                </w:rPr>
                <w:t>97</w:t>
              </w:r>
            </w:hyperlink>
          </w:p>
        </w:tc>
        <w:tc>
          <w:tcPr>
            <w:tcW w:w="38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7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700" w:type="dxa"/>
            <w:vAlign w:val="bottom"/>
            <w:tcBorders>
              <w:top w:val="single" w:sz="8" w:color="0000EE"/>
            </w:tcBorders>
            <w:shd w:val="clear" w:color="auto" w:fill="CCEEFF"/>
          </w:tcPr>
          <w:p>
            <w:pPr>
              <w:spacing w:after="0"/>
              <w:rPr>
                <w:sz w:val="3"/>
                <w:szCs w:val="3"/>
                <w:color w:val="auto"/>
              </w:rPr>
            </w:pPr>
          </w:p>
        </w:tc>
        <w:tc>
          <w:tcPr>
            <w:tcW w:w="240" w:type="dxa"/>
            <w:vAlign w:val="bottom"/>
            <w:tcBorders>
              <w:top w:val="single" w:sz="8" w:color="0000EE"/>
            </w:tcBorders>
            <w:shd w:val="clear" w:color="auto" w:fill="CCEEFF"/>
          </w:tcPr>
          <w:p>
            <w:pPr>
              <w:spacing w:after="0"/>
              <w:rPr>
                <w:sz w:val="3"/>
                <w:szCs w:val="3"/>
                <w:color w:val="auto"/>
              </w:rPr>
            </w:pPr>
          </w:p>
        </w:tc>
        <w:tc>
          <w:tcPr>
            <w:tcW w:w="1020" w:type="dxa"/>
            <w:vAlign w:val="bottom"/>
            <w:tcBorders>
              <w:top w:val="single" w:sz="8" w:color="0000EE"/>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right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520" w:type="dxa"/>
            <w:vAlign w:val="bottom"/>
            <w:gridSpan w:val="2"/>
          </w:tcPr>
          <w:p>
            <w:pPr>
              <w:spacing w:after="0" w:line="187" w:lineRule="exact"/>
              <w:rPr>
                <w:rFonts w:ascii="Arial" w:cs="Arial" w:eastAsia="Arial" w:hAnsi="Arial"/>
                <w:sz w:val="17"/>
                <w:szCs w:val="17"/>
                <w:color w:val="0000EE"/>
                <w:w w:val="88"/>
              </w:rPr>
            </w:pPr>
            <w:hyperlink w:anchor="page97">
              <w:r>
                <w:rPr>
                  <w:rFonts w:ascii="Arial" w:cs="Arial" w:eastAsia="Arial" w:hAnsi="Arial"/>
                  <w:sz w:val="17"/>
                  <w:szCs w:val="17"/>
                  <w:color w:val="0000EE"/>
                  <w:w w:val="88"/>
                </w:rPr>
                <w:t>Item 14</w:t>
              </w:r>
            </w:hyperlink>
          </w:p>
        </w:tc>
        <w:tc>
          <w:tcPr>
            <w:tcW w:w="560" w:type="dxa"/>
            <w:vAlign w:val="bottom"/>
            <w:gridSpan w:val="6"/>
          </w:tcPr>
          <w:p>
            <w:pPr>
              <w:spacing w:after="0"/>
              <w:rPr>
                <w:sz w:val="16"/>
                <w:szCs w:val="16"/>
                <w:color w:val="auto"/>
              </w:rPr>
            </w:pPr>
          </w:p>
        </w:tc>
        <w:tc>
          <w:tcPr>
            <w:tcW w:w="1100" w:type="dxa"/>
            <w:vAlign w:val="bottom"/>
          </w:tcPr>
          <w:p>
            <w:pPr>
              <w:spacing w:after="0"/>
              <w:rPr>
                <w:sz w:val="16"/>
                <w:szCs w:val="16"/>
                <w:color w:val="auto"/>
              </w:rPr>
            </w:pPr>
          </w:p>
        </w:tc>
        <w:tc>
          <w:tcPr>
            <w:tcW w:w="5040" w:type="dxa"/>
            <w:vAlign w:val="bottom"/>
            <w:gridSpan w:val="17"/>
          </w:tcPr>
          <w:p>
            <w:pPr>
              <w:spacing w:after="0" w:line="187" w:lineRule="exact"/>
              <w:rPr>
                <w:rFonts w:ascii="Arial" w:cs="Arial" w:eastAsia="Arial" w:hAnsi="Arial"/>
                <w:sz w:val="17"/>
                <w:szCs w:val="17"/>
                <w:color w:val="0000EE"/>
              </w:rPr>
            </w:pPr>
            <w:hyperlink w:anchor="page97">
              <w:r>
                <w:rPr>
                  <w:rFonts w:ascii="Arial" w:cs="Arial" w:eastAsia="Arial" w:hAnsi="Arial"/>
                  <w:sz w:val="17"/>
                  <w:szCs w:val="17"/>
                  <w:color w:val="0000EE"/>
                </w:rPr>
                <w:t>Principal Accounting Fees and Services</w:t>
              </w:r>
            </w:hyperlink>
          </w:p>
        </w:tc>
        <w:tc>
          <w:tcPr>
            <w:tcW w:w="3160" w:type="dxa"/>
            <w:vAlign w:val="bottom"/>
            <w:gridSpan w:val="5"/>
          </w:tcPr>
          <w:p>
            <w:pPr>
              <w:spacing w:after="0"/>
              <w:rPr>
                <w:sz w:val="16"/>
                <w:szCs w:val="16"/>
                <w:color w:val="auto"/>
              </w:rPr>
            </w:pPr>
          </w:p>
        </w:tc>
        <w:tc>
          <w:tcPr>
            <w:tcW w:w="640" w:type="dxa"/>
            <w:vAlign w:val="bottom"/>
            <w:gridSpan w:val="3"/>
          </w:tcPr>
          <w:p>
            <w:pPr>
              <w:jc w:val="center"/>
              <w:ind w:left="317"/>
              <w:spacing w:after="0" w:line="187" w:lineRule="exact"/>
              <w:rPr>
                <w:rFonts w:ascii="Arial" w:cs="Arial" w:eastAsia="Arial" w:hAnsi="Arial"/>
                <w:sz w:val="17"/>
                <w:szCs w:val="17"/>
                <w:color w:val="0000EE"/>
                <w:w w:val="84"/>
              </w:rPr>
            </w:pPr>
            <w:hyperlink w:anchor="page97">
              <w:r>
                <w:rPr>
                  <w:rFonts w:ascii="Arial" w:cs="Arial" w:eastAsia="Arial" w:hAnsi="Arial"/>
                  <w:sz w:val="17"/>
                  <w:szCs w:val="17"/>
                  <w:color w:val="0000EE"/>
                  <w:w w:val="84"/>
                </w:rPr>
                <w:t>97</w:t>
              </w:r>
            </w:hyperlink>
          </w:p>
        </w:tc>
        <w:tc>
          <w:tcPr>
            <w:tcW w:w="38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2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80" w:type="dxa"/>
            <w:vAlign w:val="bottom"/>
          </w:tcPr>
          <w:p>
            <w:pPr>
              <w:spacing w:after="0"/>
              <w:rPr>
                <w:sz w:val="3"/>
                <w:szCs w:val="3"/>
                <w:color w:val="auto"/>
              </w:rPr>
            </w:pPr>
          </w:p>
        </w:tc>
      </w:tr>
      <w:tr>
        <w:trPr>
          <w:trHeight w:val="274"/>
        </w:trPr>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tcBorders>
              <w:right w:val="single" w:sz="8" w:color="CCEEFF"/>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tcBorders>
              <w:right w:val="single" w:sz="8" w:color="CCEEFF"/>
            </w:tcBorders>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r>
      <w:tr>
        <w:trPr>
          <w:trHeight w:val="187"/>
        </w:trPr>
        <w:tc>
          <w:tcPr>
            <w:tcW w:w="20" w:type="dxa"/>
            <w:vAlign w:val="bottom"/>
          </w:tcPr>
          <w:p>
            <w:pPr>
              <w:spacing w:after="0"/>
              <w:rPr>
                <w:sz w:val="16"/>
                <w:szCs w:val="16"/>
                <w:color w:val="auto"/>
              </w:rPr>
            </w:pPr>
          </w:p>
        </w:tc>
        <w:tc>
          <w:tcPr>
            <w:tcW w:w="1080" w:type="dxa"/>
            <w:vAlign w:val="bottom"/>
            <w:gridSpan w:val="8"/>
          </w:tcPr>
          <w:p>
            <w:pPr>
              <w:spacing w:after="0" w:line="187" w:lineRule="exact"/>
              <w:rPr>
                <w:rFonts w:ascii="Arial" w:cs="Arial" w:eastAsia="Arial" w:hAnsi="Arial"/>
                <w:sz w:val="17"/>
                <w:szCs w:val="17"/>
                <w:b w:val="1"/>
                <w:bCs w:val="1"/>
                <w:color w:val="0000EE"/>
              </w:rPr>
            </w:pPr>
            <w:hyperlink w:anchor="page98">
              <w:r>
                <w:rPr>
                  <w:rFonts w:ascii="Arial" w:cs="Arial" w:eastAsia="Arial" w:hAnsi="Arial"/>
                  <w:sz w:val="17"/>
                  <w:szCs w:val="17"/>
                  <w:b w:val="1"/>
                  <w:bCs w:val="1"/>
                  <w:color w:val="0000EE"/>
                </w:rPr>
                <w:t>PART IV</w:t>
              </w:r>
            </w:hyperlink>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187"/>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7" w:lineRule="exact"/>
              <w:rPr>
                <w:rFonts w:ascii="Arial" w:cs="Arial" w:eastAsia="Arial" w:hAnsi="Arial"/>
                <w:sz w:val="17"/>
                <w:szCs w:val="17"/>
                <w:color w:val="0000EE"/>
                <w:w w:val="88"/>
              </w:rPr>
            </w:pPr>
            <w:hyperlink w:anchor="page98">
              <w:r>
                <w:rPr>
                  <w:rFonts w:ascii="Arial" w:cs="Arial" w:eastAsia="Arial" w:hAnsi="Arial"/>
                  <w:sz w:val="17"/>
                  <w:szCs w:val="17"/>
                  <w:color w:val="0000EE"/>
                  <w:w w:val="88"/>
                </w:rPr>
                <w:t>Item 15</w:t>
              </w:r>
            </w:hyperlink>
          </w:p>
        </w:tc>
        <w:tc>
          <w:tcPr>
            <w:tcW w:w="560" w:type="dxa"/>
            <w:vAlign w:val="bottom"/>
            <w:gridSpan w:val="6"/>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200" w:type="dxa"/>
            <w:vAlign w:val="bottom"/>
            <w:gridSpan w:val="22"/>
            <w:shd w:val="clear" w:color="auto" w:fill="CCEEFF"/>
          </w:tcPr>
          <w:p>
            <w:pPr>
              <w:spacing w:after="0" w:line="187" w:lineRule="exact"/>
              <w:rPr>
                <w:rFonts w:ascii="Arial" w:cs="Arial" w:eastAsia="Arial" w:hAnsi="Arial"/>
                <w:sz w:val="17"/>
                <w:szCs w:val="17"/>
                <w:color w:val="0000EE"/>
              </w:rPr>
            </w:pPr>
            <w:hyperlink w:anchor="page98">
              <w:r>
                <w:rPr>
                  <w:rFonts w:ascii="Arial" w:cs="Arial" w:eastAsia="Arial" w:hAnsi="Arial"/>
                  <w:sz w:val="17"/>
                  <w:szCs w:val="17"/>
                  <w:color w:val="0000EE"/>
                </w:rPr>
                <w:t>Exhibits and Financial Statement Schedules</w:t>
              </w:r>
            </w:hyperlink>
          </w:p>
        </w:tc>
        <w:tc>
          <w:tcPr>
            <w:tcW w:w="640" w:type="dxa"/>
            <w:vAlign w:val="bottom"/>
            <w:tcBorders>
              <w:right w:val="single" w:sz="8" w:color="CCEEFF"/>
            </w:tcBorders>
            <w:gridSpan w:val="3"/>
            <w:shd w:val="clear" w:color="auto" w:fill="CCEEFF"/>
          </w:tcPr>
          <w:p>
            <w:pPr>
              <w:jc w:val="center"/>
              <w:ind w:left="317"/>
              <w:spacing w:after="0" w:line="187" w:lineRule="exact"/>
              <w:rPr>
                <w:rFonts w:ascii="Arial" w:cs="Arial" w:eastAsia="Arial" w:hAnsi="Arial"/>
                <w:sz w:val="17"/>
                <w:szCs w:val="17"/>
                <w:color w:val="0000EE"/>
                <w:w w:val="84"/>
              </w:rPr>
            </w:pPr>
            <w:hyperlink w:anchor="page98">
              <w:r>
                <w:rPr>
                  <w:rFonts w:ascii="Arial" w:cs="Arial" w:eastAsia="Arial" w:hAnsi="Arial"/>
                  <w:sz w:val="17"/>
                  <w:szCs w:val="17"/>
                  <w:color w:val="0000EE"/>
                  <w:w w:val="84"/>
                </w:rPr>
                <w:t>98</w:t>
              </w:r>
            </w:hyperlink>
          </w:p>
        </w:tc>
        <w:tc>
          <w:tcPr>
            <w:tcW w:w="380" w:type="dxa"/>
            <w:vAlign w:val="bottom"/>
            <w:shd w:val="clear" w:color="auto" w:fill="CCEEFF"/>
          </w:tcPr>
          <w:p>
            <w:pPr>
              <w:spacing w:after="0"/>
              <w:rPr>
                <w:sz w:val="16"/>
                <w:szCs w:val="16"/>
                <w:color w:val="auto"/>
              </w:rPr>
            </w:pPr>
          </w:p>
        </w:tc>
      </w:tr>
      <w:tr>
        <w:trPr>
          <w:trHeight w:val="42"/>
        </w:trPr>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20" w:type="dxa"/>
            <w:vAlign w:val="bottom"/>
            <w:tcBorders>
              <w:top w:val="single" w:sz="8" w:color="0000EE"/>
            </w:tcBorders>
            <w:shd w:val="clear" w:color="auto" w:fill="CCEEFF"/>
          </w:tcPr>
          <w:p>
            <w:pPr>
              <w:spacing w:after="0"/>
              <w:rPr>
                <w:sz w:val="3"/>
                <w:szCs w:val="3"/>
                <w:color w:val="auto"/>
              </w:rPr>
            </w:pPr>
          </w:p>
        </w:tc>
        <w:tc>
          <w:tcPr>
            <w:tcW w:w="72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26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9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480" w:type="dxa"/>
            <w:vAlign w:val="bottom"/>
            <w:tcBorders>
              <w:top w:val="single" w:sz="8" w:color="CCEEFF"/>
              <w:right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right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520" w:type="dxa"/>
            <w:vAlign w:val="bottom"/>
            <w:gridSpan w:val="2"/>
          </w:tcPr>
          <w:p>
            <w:pPr>
              <w:spacing w:after="0" w:line="187" w:lineRule="exact"/>
              <w:rPr>
                <w:rFonts w:ascii="Arial" w:cs="Arial" w:eastAsia="Arial" w:hAnsi="Arial"/>
                <w:sz w:val="17"/>
                <w:szCs w:val="17"/>
                <w:color w:val="0000EE"/>
                <w:w w:val="88"/>
              </w:rPr>
            </w:pPr>
            <w:hyperlink w:anchor="page101">
              <w:r>
                <w:rPr>
                  <w:rFonts w:ascii="Arial" w:cs="Arial" w:eastAsia="Arial" w:hAnsi="Arial"/>
                  <w:sz w:val="17"/>
                  <w:szCs w:val="17"/>
                  <w:color w:val="0000EE"/>
                  <w:w w:val="88"/>
                </w:rPr>
                <w:t>Item 16</w:t>
              </w:r>
            </w:hyperlink>
          </w:p>
        </w:tc>
        <w:tc>
          <w:tcPr>
            <w:tcW w:w="560" w:type="dxa"/>
            <w:vAlign w:val="bottom"/>
            <w:gridSpan w:val="6"/>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gridSpan w:val="13"/>
          </w:tcPr>
          <w:p>
            <w:pPr>
              <w:spacing w:after="0" w:line="187" w:lineRule="exact"/>
              <w:rPr>
                <w:rFonts w:ascii="Arial" w:cs="Arial" w:eastAsia="Arial" w:hAnsi="Arial"/>
                <w:sz w:val="17"/>
                <w:szCs w:val="17"/>
                <w:color w:val="0000EE"/>
              </w:rPr>
            </w:pPr>
            <w:hyperlink w:anchor="page101">
              <w:r>
                <w:rPr>
                  <w:rFonts w:ascii="Arial" w:cs="Arial" w:eastAsia="Arial" w:hAnsi="Arial"/>
                  <w:sz w:val="17"/>
                  <w:szCs w:val="17"/>
                  <w:color w:val="0000EE"/>
                </w:rPr>
                <w:t>Form 10-K Summary</w:t>
              </w:r>
            </w:hyperlink>
          </w:p>
        </w:tc>
        <w:tc>
          <w:tcPr>
            <w:tcW w:w="5280" w:type="dxa"/>
            <w:vAlign w:val="bottom"/>
            <w:gridSpan w:val="9"/>
          </w:tcPr>
          <w:p>
            <w:pPr>
              <w:spacing w:after="0"/>
              <w:rPr>
                <w:sz w:val="16"/>
                <w:szCs w:val="16"/>
                <w:color w:val="auto"/>
              </w:rPr>
            </w:pPr>
          </w:p>
        </w:tc>
        <w:tc>
          <w:tcPr>
            <w:tcW w:w="1020" w:type="dxa"/>
            <w:vAlign w:val="bottom"/>
            <w:gridSpan w:val="4"/>
          </w:tcPr>
          <w:p>
            <w:pPr>
              <w:jc w:val="center"/>
              <w:spacing w:after="0" w:line="187" w:lineRule="exact"/>
              <w:rPr>
                <w:rFonts w:ascii="Arial" w:cs="Arial" w:eastAsia="Arial" w:hAnsi="Arial"/>
                <w:sz w:val="17"/>
                <w:szCs w:val="17"/>
                <w:color w:val="0000EE"/>
                <w:w w:val="84"/>
              </w:rPr>
            </w:pPr>
            <w:hyperlink w:anchor="page101">
              <w:r>
                <w:rPr>
                  <w:rFonts w:ascii="Arial" w:cs="Arial" w:eastAsia="Arial" w:hAnsi="Arial"/>
                  <w:sz w:val="17"/>
                  <w:szCs w:val="17"/>
                  <w:color w:val="0000EE"/>
                  <w:w w:val="84"/>
                </w:rPr>
                <w:t>101</w:t>
              </w:r>
            </w:hyperlink>
          </w:p>
        </w:tc>
      </w:tr>
      <w:tr>
        <w:trPr>
          <w:trHeight w:val="42"/>
        </w:trPr>
        <w:tc>
          <w:tcPr>
            <w:tcW w:w="20" w:type="dxa"/>
            <w:vAlign w:val="bottom"/>
          </w:tcPr>
          <w:p>
            <w:pPr>
              <w:spacing w:after="0"/>
              <w:rPr>
                <w:sz w:val="3"/>
                <w:szCs w:val="3"/>
                <w:color w:val="auto"/>
              </w:rPr>
            </w:pPr>
          </w:p>
        </w:tc>
        <w:tc>
          <w:tcPr>
            <w:tcW w:w="44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3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80" w:type="dxa"/>
            <w:vAlign w:val="bottom"/>
            <w:tcBorders>
              <w:top w:val="single" w:sz="8" w:color="0000EE"/>
            </w:tcBorders>
          </w:tcPr>
          <w:p>
            <w:pPr>
              <w:spacing w:after="0"/>
              <w:rPr>
                <w:sz w:val="3"/>
                <w:szCs w:val="3"/>
                <w:color w:val="auto"/>
              </w:rPr>
            </w:pPr>
          </w:p>
        </w:tc>
        <w:tc>
          <w:tcPr>
            <w:tcW w:w="380" w:type="dxa"/>
            <w:vAlign w:val="bottom"/>
          </w:tcPr>
          <w:p>
            <w:pPr>
              <w:spacing w:after="0"/>
              <w:rPr>
                <w:sz w:val="3"/>
                <w:szCs w:val="3"/>
                <w:color w:val="auto"/>
              </w:rPr>
            </w:pPr>
          </w:p>
        </w:tc>
      </w:tr>
      <w:tr>
        <w:trPr>
          <w:trHeight w:val="299"/>
        </w:trPr>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8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tcBorders>
              <w:right w:val="single" w:sz="8" w:color="CCEEFF"/>
            </w:tcBorders>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r>
      <w:tr>
        <w:trPr>
          <w:trHeight w:val="187"/>
        </w:trPr>
        <w:tc>
          <w:tcPr>
            <w:tcW w:w="20" w:type="dxa"/>
            <w:vAlign w:val="bottom"/>
          </w:tcPr>
          <w:p>
            <w:pPr>
              <w:spacing w:after="0"/>
              <w:rPr>
                <w:sz w:val="16"/>
                <w:szCs w:val="16"/>
                <w:color w:val="auto"/>
              </w:rPr>
            </w:pPr>
          </w:p>
        </w:tc>
        <w:tc>
          <w:tcPr>
            <w:tcW w:w="1080" w:type="dxa"/>
            <w:vAlign w:val="bottom"/>
            <w:gridSpan w:val="8"/>
          </w:tcPr>
          <w:p>
            <w:pPr>
              <w:spacing w:after="0" w:line="187" w:lineRule="exact"/>
              <w:rPr>
                <w:rFonts w:ascii="Arial" w:cs="Arial" w:eastAsia="Arial" w:hAnsi="Arial"/>
                <w:sz w:val="17"/>
                <w:szCs w:val="17"/>
                <w:b w:val="1"/>
                <w:bCs w:val="1"/>
                <w:color w:val="0000EE"/>
                <w:w w:val="95"/>
              </w:rPr>
            </w:pPr>
            <w:hyperlink w:anchor="page101">
              <w:r>
                <w:rPr>
                  <w:rFonts w:ascii="Arial" w:cs="Arial" w:eastAsia="Arial" w:hAnsi="Arial"/>
                  <w:sz w:val="17"/>
                  <w:szCs w:val="17"/>
                  <w:b w:val="1"/>
                  <w:bCs w:val="1"/>
                  <w:color w:val="0000EE"/>
                  <w:w w:val="95"/>
                </w:rPr>
                <w:t>SIGNATURES</w:t>
              </w:r>
            </w:hyperlink>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20" w:type="dxa"/>
            <w:vAlign w:val="bottom"/>
            <w:gridSpan w:val="4"/>
          </w:tcPr>
          <w:p>
            <w:pPr>
              <w:jc w:val="center"/>
              <w:spacing w:after="0" w:line="187" w:lineRule="exact"/>
              <w:rPr>
                <w:rFonts w:ascii="Arial" w:cs="Arial" w:eastAsia="Arial" w:hAnsi="Arial"/>
                <w:sz w:val="17"/>
                <w:szCs w:val="17"/>
                <w:color w:val="0000EE"/>
                <w:w w:val="84"/>
              </w:rPr>
            </w:pPr>
            <w:hyperlink w:anchor="page101">
              <w:r>
                <w:rPr>
                  <w:rFonts w:ascii="Arial" w:cs="Arial" w:eastAsia="Arial" w:hAnsi="Arial"/>
                  <w:sz w:val="17"/>
                  <w:szCs w:val="17"/>
                  <w:color w:val="0000EE"/>
                  <w:w w:val="84"/>
                </w:rPr>
                <w:t>101</w:t>
              </w:r>
            </w:hyperlink>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ectPr>
          <w:pgSz w:w="11900" w:h="16838" w:orient="portrait"/>
          <w:cols w:equalWidth="0" w:num="1">
            <w:col w:w="11420"/>
          </w:cols>
          <w:pgMar w:left="240" w:top="74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u w:val="single" w:color="auto"/>
          <w:color w:val="auto"/>
        </w:rPr>
        <w:t>PART I</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terms “we,” “our,” “us,” "ManpowerGroup," or “the Company” refer to ManpowerGroup Inc. and its consolidated subsidiaries.</w:t>
      </w:r>
    </w:p>
    <w:p>
      <w:pPr>
        <w:spacing w:after="0" w:line="199"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Introduction and History</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ManpowerGroup Inc. is a world leader in innovative workforce solutions and services. Through our global network of nearly 2,600 offices in 80 countries and territories, we put millions of people to work each year with our global, multinational and local clients across all major industry segments. Our strong and connected brands provide innovative solutions that drive organizations forward, accelerate individual success and help build more sustainable communities. We power the future of work.</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By offering a comprehensive range of workforce solutions and services, we help companies at varying stages in their evolution increase productivity, improve strategy, quality and efficiency, and reduce costs across their workforce to achieve their business goals. ManpowerGroup’s suite of innovative workforce solutions and services includes:</w:t>
      </w:r>
    </w:p>
    <w:p>
      <w:pPr>
        <w:spacing w:after="0" w:line="173" w:lineRule="exact"/>
        <w:rPr>
          <w:sz w:val="20"/>
          <w:szCs w:val="20"/>
          <w:color w:val="auto"/>
        </w:rPr>
      </w:pPr>
    </w:p>
    <w:p>
      <w:pPr>
        <w:jc w:val="both"/>
        <w:ind w:left="600" w:hanging="301"/>
        <w:spacing w:after="0" w:line="257" w:lineRule="auto"/>
        <w:tabs>
          <w:tab w:leader="none" w:pos="6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Recruitment and Assessment </w:t>
      </w:r>
      <w:r>
        <w:rPr>
          <w:rFonts w:ascii="Arial" w:cs="Arial" w:eastAsia="Arial" w:hAnsi="Arial"/>
          <w:sz w:val="17"/>
          <w:szCs w:val="17"/>
          <w:color w:val="auto"/>
        </w:rPr>
        <w:t>– By leveraging our trusted brands, industry knowledge and expertise, we identify the right talent in the right place to help our</w:t>
      </w:r>
      <w:r>
        <w:rPr>
          <w:rFonts w:ascii="Arial" w:cs="Arial" w:eastAsia="Arial" w:hAnsi="Arial"/>
          <w:sz w:val="17"/>
          <w:szCs w:val="17"/>
          <w:b w:val="1"/>
          <w:bCs w:val="1"/>
          <w:color w:val="auto"/>
        </w:rPr>
        <w:t xml:space="preserve"> </w:t>
      </w:r>
      <w:r>
        <w:rPr>
          <w:rFonts w:ascii="Arial" w:cs="Arial" w:eastAsia="Arial" w:hAnsi="Arial"/>
          <w:sz w:val="17"/>
          <w:szCs w:val="17"/>
          <w:color w:val="auto"/>
        </w:rPr>
        <w:t>clients quickly access the people they need when they need them. Through our industry-leading assessments, we help people and organizations understand their strengths and potential, resulting in better job matches, higher retention and a stronger workforce.</w:t>
      </w:r>
    </w:p>
    <w:p>
      <w:pPr>
        <w:spacing w:after="0" w:line="169" w:lineRule="exact"/>
        <w:rPr>
          <w:rFonts w:ascii="Arial" w:cs="Arial" w:eastAsia="Arial" w:hAnsi="Arial"/>
          <w:sz w:val="17"/>
          <w:szCs w:val="17"/>
          <w:b w:val="1"/>
          <w:bCs w:val="1"/>
          <w:color w:val="auto"/>
        </w:rPr>
      </w:pPr>
    </w:p>
    <w:p>
      <w:pPr>
        <w:jc w:val="both"/>
        <w:ind w:left="600" w:hanging="301"/>
        <w:spacing w:after="0" w:line="257" w:lineRule="auto"/>
        <w:tabs>
          <w:tab w:leader="none" w:pos="6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Training and Development </w:t>
      </w:r>
      <w:r>
        <w:rPr>
          <w:rFonts w:ascii="Arial" w:cs="Arial" w:eastAsia="Arial" w:hAnsi="Arial"/>
          <w:sz w:val="17"/>
          <w:szCs w:val="17"/>
          <w:color w:val="auto"/>
        </w:rPr>
        <w:t>– Our unique insights into evolving employer needs and our expertise in training and development help us prepare candidates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associates to succeed in today’s competitive marketplace. We offer an extensive portfolio of training courses and leadership development solutions that help clients maximize talent and optimize performance.</w:t>
      </w:r>
    </w:p>
    <w:p>
      <w:pPr>
        <w:spacing w:after="0" w:line="169" w:lineRule="exact"/>
        <w:rPr>
          <w:rFonts w:ascii="Arial" w:cs="Arial" w:eastAsia="Arial" w:hAnsi="Arial"/>
          <w:sz w:val="17"/>
          <w:szCs w:val="17"/>
          <w:b w:val="1"/>
          <w:bCs w:val="1"/>
          <w:color w:val="auto"/>
        </w:rPr>
      </w:pPr>
    </w:p>
    <w:p>
      <w:pPr>
        <w:ind w:left="600" w:hanging="301"/>
        <w:spacing w:after="0" w:line="270" w:lineRule="auto"/>
        <w:tabs>
          <w:tab w:leader="none" w:pos="6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Career Management </w:t>
      </w:r>
      <w:r>
        <w:rPr>
          <w:rFonts w:ascii="Arial" w:cs="Arial" w:eastAsia="Arial" w:hAnsi="Arial"/>
          <w:sz w:val="17"/>
          <w:szCs w:val="17"/>
          <w:color w:val="auto"/>
        </w:rPr>
        <w:t>– We help individuals manage their career journey through outplacement services and targeted skills development. By helping individuals</w:t>
      </w:r>
      <w:r>
        <w:rPr>
          <w:rFonts w:ascii="Arial" w:cs="Arial" w:eastAsia="Arial" w:hAnsi="Arial"/>
          <w:sz w:val="17"/>
          <w:szCs w:val="17"/>
          <w:b w:val="1"/>
          <w:bCs w:val="1"/>
          <w:color w:val="auto"/>
        </w:rPr>
        <w:t xml:space="preserve"> </w:t>
      </w:r>
      <w:r>
        <w:rPr>
          <w:rFonts w:ascii="Arial" w:cs="Arial" w:eastAsia="Arial" w:hAnsi="Arial"/>
          <w:sz w:val="17"/>
          <w:szCs w:val="17"/>
          <w:color w:val="auto"/>
        </w:rPr>
        <w:t>and organizations manage workforce transitions and career changes we unleash human potential.</w:t>
      </w:r>
    </w:p>
    <w:p>
      <w:pPr>
        <w:spacing w:after="0" w:line="158" w:lineRule="exact"/>
        <w:rPr>
          <w:rFonts w:ascii="Arial" w:cs="Arial" w:eastAsia="Arial" w:hAnsi="Arial"/>
          <w:sz w:val="17"/>
          <w:szCs w:val="17"/>
          <w:b w:val="1"/>
          <w:bCs w:val="1"/>
          <w:color w:val="auto"/>
        </w:rPr>
      </w:pPr>
    </w:p>
    <w:p>
      <w:pPr>
        <w:ind w:left="600" w:hanging="301"/>
        <w:spacing w:after="0" w:line="270" w:lineRule="auto"/>
        <w:tabs>
          <w:tab w:leader="none" w:pos="6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Outsourcing </w:t>
      </w:r>
      <w:r>
        <w:rPr>
          <w:rFonts w:ascii="Arial" w:cs="Arial" w:eastAsia="Arial" w:hAnsi="Arial"/>
          <w:sz w:val="17"/>
          <w:szCs w:val="17"/>
          <w:color w:val="auto"/>
        </w:rPr>
        <w:t>– We provide clients with outsourcing services related to human resources functions primarily in the areas of large-scale recruiting and workforce-intensive initiatives that are outcome-based, thereby sharing in the risk and reward with our clients.</w:t>
      </w:r>
    </w:p>
    <w:p>
      <w:pPr>
        <w:spacing w:after="0" w:line="158" w:lineRule="exact"/>
        <w:rPr>
          <w:rFonts w:ascii="Arial" w:cs="Arial" w:eastAsia="Arial" w:hAnsi="Arial"/>
          <w:sz w:val="17"/>
          <w:szCs w:val="17"/>
          <w:b w:val="1"/>
          <w:bCs w:val="1"/>
          <w:color w:val="auto"/>
        </w:rPr>
      </w:pPr>
    </w:p>
    <w:p>
      <w:pPr>
        <w:ind w:left="600" w:hanging="301"/>
        <w:spacing w:after="0" w:line="270" w:lineRule="auto"/>
        <w:tabs>
          <w:tab w:leader="none" w:pos="6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Workforce Consulting </w:t>
      </w:r>
      <w:r>
        <w:rPr>
          <w:rFonts w:ascii="Arial" w:cs="Arial" w:eastAsia="Arial" w:hAnsi="Arial"/>
          <w:sz w:val="17"/>
          <w:szCs w:val="17"/>
          <w:color w:val="auto"/>
        </w:rPr>
        <w:t>– We help clients create and align their workforce strategy to achieve their business strategy, increase business agility and flexibility, and</w:t>
      </w:r>
      <w:r>
        <w:rPr>
          <w:rFonts w:ascii="Arial" w:cs="Arial" w:eastAsia="Arial" w:hAnsi="Arial"/>
          <w:sz w:val="17"/>
          <w:szCs w:val="17"/>
          <w:b w:val="1"/>
          <w:bCs w:val="1"/>
          <w:color w:val="auto"/>
        </w:rPr>
        <w:t xml:space="preserve"> </w:t>
      </w:r>
      <w:r>
        <w:rPr>
          <w:rFonts w:ascii="Arial" w:cs="Arial" w:eastAsia="Arial" w:hAnsi="Arial"/>
          <w:sz w:val="17"/>
          <w:szCs w:val="17"/>
          <w:color w:val="auto"/>
        </w:rPr>
        <w:t>accelerate personal and business success.</w:t>
      </w:r>
    </w:p>
    <w:p>
      <w:pPr>
        <w:spacing w:after="0" w:line="16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This comprehensive and diverse business mix helps us to partially mitigate the cyclical effects of the economies in which we operate. Our family of brands and offerings includes:</w:t>
      </w:r>
    </w:p>
    <w:p>
      <w:pPr>
        <w:spacing w:after="0" w:line="163" w:lineRule="exact"/>
        <w:rPr>
          <w:sz w:val="20"/>
          <w:szCs w:val="20"/>
          <w:color w:val="auto"/>
        </w:rPr>
      </w:pPr>
    </w:p>
    <w:p>
      <w:pPr>
        <w:ind w:left="600" w:hanging="301"/>
        <w:spacing w:after="0" w:line="270" w:lineRule="auto"/>
        <w:tabs>
          <w:tab w:leader="none" w:pos="6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Manpower </w:t>
      </w:r>
      <w:r>
        <w:rPr>
          <w:rFonts w:ascii="Arial" w:cs="Arial" w:eastAsia="Arial" w:hAnsi="Arial"/>
          <w:sz w:val="17"/>
          <w:szCs w:val="17"/>
          <w:color w:val="auto"/>
        </w:rPr>
        <w:t>– We are a global leader in contingent staffing and permanent recruitment. We provide businesses with rapid access to a highly qualified and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productive pool of candidates to give them the flexibility and agility they need to respond to changing business needs.</w:t>
      </w:r>
    </w:p>
    <w:p>
      <w:pPr>
        <w:spacing w:after="0" w:line="158" w:lineRule="exact"/>
        <w:rPr>
          <w:rFonts w:ascii="Arial" w:cs="Arial" w:eastAsia="Arial" w:hAnsi="Arial"/>
          <w:sz w:val="17"/>
          <w:szCs w:val="17"/>
          <w:b w:val="1"/>
          <w:bCs w:val="1"/>
          <w:color w:val="auto"/>
        </w:rPr>
      </w:pPr>
    </w:p>
    <w:p>
      <w:pPr>
        <w:ind w:left="600" w:hanging="301"/>
        <w:spacing w:after="0" w:line="270" w:lineRule="auto"/>
        <w:tabs>
          <w:tab w:leader="none" w:pos="6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Experis </w:t>
      </w:r>
      <w:r>
        <w:rPr>
          <w:rFonts w:ascii="Arial" w:cs="Arial" w:eastAsia="Arial" w:hAnsi="Arial"/>
          <w:sz w:val="17"/>
          <w:szCs w:val="17"/>
          <w:color w:val="auto"/>
        </w:rPr>
        <w:t>– We are a global leader in professional resourcing and project-based solutions. With operations in over 50 countries and territories, we delivered 71</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hours of professional talent in 2018 specializing in Information Technology (IT), Engineering, and Finance.</w:t>
      </w:r>
    </w:p>
    <w:p>
      <w:pPr>
        <w:spacing w:after="0" w:line="158" w:lineRule="exact"/>
        <w:rPr>
          <w:rFonts w:ascii="Arial" w:cs="Arial" w:eastAsia="Arial" w:hAnsi="Arial"/>
          <w:sz w:val="17"/>
          <w:szCs w:val="17"/>
          <w:b w:val="1"/>
          <w:bCs w:val="1"/>
          <w:color w:val="auto"/>
        </w:rPr>
      </w:pPr>
    </w:p>
    <w:p>
      <w:pPr>
        <w:jc w:val="both"/>
        <w:ind w:left="600" w:hanging="301"/>
        <w:spacing w:after="0" w:line="257" w:lineRule="auto"/>
        <w:tabs>
          <w:tab w:leader="none" w:pos="6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Right Management </w:t>
      </w:r>
      <w:r>
        <w:rPr>
          <w:rFonts w:ascii="Arial" w:cs="Arial" w:eastAsia="Arial" w:hAnsi="Arial"/>
          <w:sz w:val="17"/>
          <w:szCs w:val="17"/>
          <w:color w:val="auto"/>
        </w:rPr>
        <w:t>– We are global career experts dedicated to helping organizations and individuals become more agile and market-ready. By leveraging our</w:t>
      </w:r>
      <w:r>
        <w:rPr>
          <w:rFonts w:ascii="Arial" w:cs="Arial" w:eastAsia="Arial" w:hAnsi="Arial"/>
          <w:sz w:val="17"/>
          <w:szCs w:val="17"/>
          <w:b w:val="1"/>
          <w:bCs w:val="1"/>
          <w:color w:val="auto"/>
        </w:rPr>
        <w:t xml:space="preserve"> </w:t>
      </w:r>
      <w:r>
        <w:rPr>
          <w:rFonts w:ascii="Arial" w:cs="Arial" w:eastAsia="Arial" w:hAnsi="Arial"/>
          <w:sz w:val="17"/>
          <w:szCs w:val="17"/>
          <w:color w:val="auto"/>
        </w:rPr>
        <w:t>expertise in assessment, development and coaching, we provide tailored solutions that deliver organizational efficiency, individual development, and career mobility, to increase productivity and optimize business performance.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347" w:right="239" w:bottom="1440" w:gutter="0" w:footer="0" w:header="0"/>
        </w:sectPr>
      </w:pPr>
    </w:p>
    <w:bookmarkStart w:id="3" w:name="page4"/>
    <w:bookmarkEnd w:id="3"/>
    <w:p>
      <w:pPr>
        <w:jc w:val="both"/>
        <w:ind w:left="600" w:hanging="301"/>
        <w:spacing w:after="0" w:line="253" w:lineRule="auto"/>
        <w:tabs>
          <w:tab w:leader="none" w:pos="60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ManpowerGroup Solutions </w:t>
      </w:r>
      <w:r>
        <w:rPr>
          <w:rFonts w:ascii="Arial" w:cs="Arial" w:eastAsia="Arial" w:hAnsi="Arial"/>
          <w:sz w:val="17"/>
          <w:szCs w:val="17"/>
          <w:color w:val="auto"/>
        </w:rPr>
        <w:t>– We are a global leader in outsourcing services for large-scale recruiting. We are the world’s largest Recruitment Process</w:t>
      </w:r>
      <w:r>
        <w:rPr>
          <w:rFonts w:ascii="Arial" w:cs="Arial" w:eastAsia="Arial" w:hAnsi="Arial"/>
          <w:sz w:val="17"/>
          <w:szCs w:val="17"/>
          <w:b w:val="1"/>
          <w:bCs w:val="1"/>
          <w:color w:val="auto"/>
        </w:rPr>
        <w:t xml:space="preserve"> </w:t>
      </w:r>
      <w:r>
        <w:rPr>
          <w:rFonts w:ascii="Arial" w:cs="Arial" w:eastAsia="Arial" w:hAnsi="Arial"/>
          <w:sz w:val="17"/>
          <w:szCs w:val="17"/>
          <w:color w:val="auto"/>
        </w:rPr>
        <w:t>Outsourcing (RPO) and our TAPFIN - Managed Service Provider (MSP) business is continually ranked as a top global MSP alongside our Talent Based Outsourcing (TBO). Our Proservia brand is a recognized leader within the Digital Services market and IT Infrastructure sector throughout Europe, specializing in infrastructure management and end-user support.</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Our leadership position enables us to be a pathway to quality employment opportunities for people at all points in their career paths. Whether it is seasoned professionals, skilled laborers, temporary to permanent, parents returning to work, seniors wanting to supplement pensions, previously unemployed or underemployed youth and disabled individuals, ManpowerGroup has been connecting people to meaningful work for 70 years. Similarly, governments in the nations in which we operate look to us to help provide employment opportunities and training to assist the unemployed in gaining the skills they need to enter the workforce. We provide a bridge to experience and employment, and help to build more sustainable communities.</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and our predecessors, have been in business since 1948 when we were incorporated as a Wisconsin corporation, and have had our shares listed on the New York Stock Exchange since 1967.</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Internet address is www.manpowergroup.com. We make available free of charge through our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204" w:lineRule="exact"/>
        <w:rPr>
          <w:sz w:val="20"/>
          <w:szCs w:val="20"/>
          <w:color w:val="auto"/>
        </w:rPr>
      </w:pPr>
    </w:p>
    <w:p>
      <w:pPr>
        <w:ind w:left="660" w:hanging="36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amended and restated articles of incorporation and amended and restated bylaws;</w:t>
      </w:r>
    </w:p>
    <w:p>
      <w:pPr>
        <w:spacing w:after="0" w:line="41" w:lineRule="exact"/>
        <w:rPr>
          <w:rFonts w:ascii="Arial" w:cs="Arial" w:eastAsia="Arial" w:hAnsi="Arial"/>
          <w:sz w:val="17"/>
          <w:szCs w:val="17"/>
          <w:color w:val="auto"/>
        </w:rPr>
      </w:pPr>
    </w:p>
    <w:p>
      <w:pPr>
        <w:ind w:left="660" w:hanging="36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ManpowerGroup code of business conduct and ethics;</w:t>
      </w:r>
    </w:p>
    <w:p>
      <w:pPr>
        <w:spacing w:after="0" w:line="41" w:lineRule="exact"/>
        <w:rPr>
          <w:rFonts w:ascii="Arial" w:cs="Arial" w:eastAsia="Arial" w:hAnsi="Arial"/>
          <w:sz w:val="17"/>
          <w:szCs w:val="17"/>
          <w:color w:val="auto"/>
        </w:rPr>
      </w:pPr>
    </w:p>
    <w:p>
      <w:pPr>
        <w:ind w:left="660" w:hanging="36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corporate governance guidelines;</w:t>
      </w:r>
    </w:p>
    <w:p>
      <w:pPr>
        <w:spacing w:after="0" w:line="41" w:lineRule="exact"/>
        <w:rPr>
          <w:rFonts w:ascii="Arial" w:cs="Arial" w:eastAsia="Arial" w:hAnsi="Arial"/>
          <w:sz w:val="17"/>
          <w:szCs w:val="17"/>
          <w:color w:val="auto"/>
        </w:rPr>
      </w:pPr>
    </w:p>
    <w:p>
      <w:pPr>
        <w:ind w:left="660" w:hanging="36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anti-corruption policy;</w:t>
      </w:r>
    </w:p>
    <w:p>
      <w:pPr>
        <w:spacing w:after="0" w:line="16" w:lineRule="exact"/>
        <w:rPr>
          <w:rFonts w:ascii="Arial" w:cs="Arial" w:eastAsia="Arial" w:hAnsi="Arial"/>
          <w:sz w:val="17"/>
          <w:szCs w:val="17"/>
          <w:color w:val="auto"/>
        </w:rPr>
      </w:pPr>
    </w:p>
    <w:p>
      <w:pPr>
        <w:ind w:left="600" w:hanging="301"/>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charters of the Audit, Executive Compensation and Human Resources and Nominating and Governance Committees of the Board of Directors;</w:t>
      </w:r>
    </w:p>
    <w:p>
      <w:pPr>
        <w:spacing w:after="0" w:line="40" w:lineRule="exact"/>
        <w:rPr>
          <w:rFonts w:ascii="Arial" w:cs="Arial" w:eastAsia="Arial" w:hAnsi="Arial"/>
          <w:sz w:val="16"/>
          <w:szCs w:val="16"/>
          <w:color w:val="auto"/>
        </w:rPr>
      </w:pPr>
    </w:p>
    <w:p>
      <w:pPr>
        <w:ind w:left="660" w:hanging="36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guidelines for selecting board candidates;</w:t>
      </w:r>
    </w:p>
    <w:p>
      <w:pPr>
        <w:spacing w:after="0" w:line="41" w:lineRule="exact"/>
        <w:rPr>
          <w:rFonts w:ascii="Arial" w:cs="Arial" w:eastAsia="Arial" w:hAnsi="Arial"/>
          <w:sz w:val="17"/>
          <w:szCs w:val="17"/>
          <w:color w:val="auto"/>
        </w:rPr>
      </w:pPr>
    </w:p>
    <w:p>
      <w:pPr>
        <w:ind w:left="660" w:hanging="36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categorical standards for relationships deemed not to impair independence of non-employee directors;</w:t>
      </w:r>
    </w:p>
    <w:p>
      <w:pPr>
        <w:spacing w:after="0" w:line="41" w:lineRule="exact"/>
        <w:rPr>
          <w:rFonts w:ascii="Arial" w:cs="Arial" w:eastAsia="Arial" w:hAnsi="Arial"/>
          <w:sz w:val="17"/>
          <w:szCs w:val="17"/>
          <w:color w:val="auto"/>
        </w:rPr>
      </w:pPr>
    </w:p>
    <w:p>
      <w:pPr>
        <w:ind w:left="660" w:hanging="36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independent auditors' services policy;</w:t>
      </w:r>
    </w:p>
    <w:p>
      <w:pPr>
        <w:spacing w:after="0" w:line="41" w:lineRule="exact"/>
        <w:rPr>
          <w:rFonts w:ascii="Arial" w:cs="Arial" w:eastAsia="Arial" w:hAnsi="Arial"/>
          <w:sz w:val="17"/>
          <w:szCs w:val="17"/>
          <w:color w:val="auto"/>
        </w:rPr>
      </w:pPr>
    </w:p>
    <w:p>
      <w:pPr>
        <w:ind w:left="660" w:hanging="36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executive officer stock ownership guidelines;</w:t>
      </w:r>
    </w:p>
    <w:p>
      <w:pPr>
        <w:spacing w:after="0" w:line="41" w:lineRule="exact"/>
        <w:rPr>
          <w:rFonts w:ascii="Arial" w:cs="Arial" w:eastAsia="Arial" w:hAnsi="Arial"/>
          <w:sz w:val="17"/>
          <w:szCs w:val="17"/>
          <w:color w:val="auto"/>
        </w:rPr>
      </w:pPr>
    </w:p>
    <w:p>
      <w:pPr>
        <w:ind w:left="660" w:hanging="36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outside director stock ownership guidelines; and</w:t>
      </w:r>
    </w:p>
    <w:p>
      <w:pPr>
        <w:spacing w:after="0" w:line="41" w:lineRule="exact"/>
        <w:rPr>
          <w:rFonts w:ascii="Arial" w:cs="Arial" w:eastAsia="Arial" w:hAnsi="Arial"/>
          <w:sz w:val="17"/>
          <w:szCs w:val="17"/>
          <w:color w:val="auto"/>
        </w:rPr>
      </w:pPr>
    </w:p>
    <w:p>
      <w:pPr>
        <w:ind w:left="660" w:hanging="36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regular update on corporate social responsibility.</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Documents available on the website are also available in print for any shareholder who requests them. Requests may be made by writing to Richard Buchband, Secretary, ManpowerGroup, 100 Manpower Place, Milwaukee, Wisconsin 53212. We are not including the information contained on or available through our website as a part of, or incorporating such information by reference into,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Operations</w:t>
      </w:r>
    </w:p>
    <w:p>
      <w:pPr>
        <w:spacing w:after="0" w:line="203" w:lineRule="exact"/>
        <w:rPr>
          <w:sz w:val="20"/>
          <w:szCs w:val="20"/>
          <w:color w:val="auto"/>
        </w:rPr>
      </w:pPr>
    </w:p>
    <w:p>
      <w:pPr>
        <w:jc w:val="both"/>
        <w:ind w:right="140"/>
        <w:spacing w:after="0" w:line="295" w:lineRule="auto"/>
        <w:rPr>
          <w:sz w:val="20"/>
          <w:szCs w:val="20"/>
          <w:color w:val="auto"/>
        </w:rPr>
      </w:pPr>
      <w:r>
        <w:rPr>
          <w:rFonts w:ascii="Arial" w:cs="Arial" w:eastAsia="Arial" w:hAnsi="Arial"/>
          <w:sz w:val="15"/>
          <w:szCs w:val="15"/>
          <w:color w:val="282A32"/>
        </w:rPr>
        <w:t>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increasing demand, as we experienced in the first half of 2018, we are generally able to improve our profitability and operating leverage as our cost base can support some increase in business without a similar increase in selling and administrative expenses.</w:t>
      </w:r>
    </w:p>
    <w:p>
      <w:pPr>
        <w:spacing w:after="0" w:line="14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82A32"/>
        </w:rPr>
        <w:t>Correspondingly, during periods of weak economic growth or economic contraction, the demand for our staffing services typically declines, while demand for our outplacement services typically accelerates.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47" w:right="239" w:bottom="144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5"/>
          <w:szCs w:val="15"/>
          <w:color w:val="282A32"/>
        </w:rPr>
        <w:t>The nature of our operations is such that our most significant current asset is accounts receivable, with an average days sales outstanding of between 50 and 60 days based on the markets where we do business.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are outstanding for much longer, which may result in a decline in operating cash flows. 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sustainable in the event that an economic downturn continued for an extended period.</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Due to our industry’s sensitivity to economic factors, the inherent difficulty in forecasting the direction and strength of the economy and the short-term nature of staffing assignments, it is difficult to forecast future demand for our services with certainty. As a result, we monitor a number of economic indicators, as well as recent business trends, to predict future revenue trends for each of the countries and territories where we operate. Based upon these anticipated trends, we determine what level of personnel and office investments are necessary to take full advantage of growth opportunities.</w:t>
      </w:r>
    </w:p>
    <w:p>
      <w:pPr>
        <w:spacing w:after="0" w:line="17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During the last several years, secular trends toward greater workforce flexibility have helped drive demand for our innovative workforce solutions and services around the world. As companies attempt to increase the variability of their cost base, the workforce solutions we provide help them to effectively address the fluctuating demand for their products or services. As the global economy continues to grow and adapt with new technology, we are helping clients manage their workforce transformation and ensure they have the right skills now and in the future. Whether it is through workforce assessments, targeted training or by creating longer-term development paths, we help organizations and candidates future-proof their skills.</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portfolio of recruitment services includes permanent, temporary and contract recruitment of professionals, as well as administrative and industrial positions. All of these services are provided under our Manpower and Experis brands. We have provided services under our core Manpower brand for 70 years with a primary focus on the areas of office and industrial services and solutions. We provide services under our Experis brand, particularly in the areas of IT, Engineering, and Finance, that include high-impact solutions, and accelerate organizations’ growth by attracting, assessing and placing specialized expertise to deliver in-demand talent for mission-critical positions. Our experience and expertise allow us to accurately assess candidates’ workplace potential and technical skills to match them to the needs of our clients. We plan to continue to build our brand and attract the talent our clients need as skills shortages arise or continue.</w:t>
      </w:r>
    </w:p>
    <w:p>
      <w:pPr>
        <w:spacing w:after="0" w:line="16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ManpowerGroup Solutions specializes in the delivery of customized workforce strategies and outcome-based solutions. Through our RPO offering, we manage customized, large-scale recruiting and workforce productivity initiatives for clients through exclusive outsourcing contracts.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TBO and Proservia services also include management of financial and administrative processes, including call center and customer service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282A32"/>
        </w:rPr>
        <w:t>Our career management services are counter-cyclical to our staffing services, which helps to offset the impact of an economic downturn on our overall financial results.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Americas</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provide services as Manpower, Experis and ManpowerGroup Solutions through both branch and franchise offices. The Americas segment had 573 branch and 182 franchise offices. In the United States, where we realized 61% of the Americas’ revenue, we had 377 branch and 167 franchise offices as of December 31, 2018, as well as on-site locations at clients with significant permanent, temporary and contract recruitment requirements. In Other Americas, the largest operations of which include Mexico and Argentina, we had 196 branch offices and 15 franchise offices. We provide a number of central support services to our branches and franchises, which enable us to maintain consistent service quality throughout the region regardless of whether an office is a branch or franchise.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51" w:right="239" w:bottom="1440" w:gutter="0" w:footer="0" w:header="0"/>
        </w:sectPr>
      </w:pPr>
    </w:p>
    <w:bookmarkStart w:id="5" w:name="page6"/>
    <w:bookmarkEnd w:id="5"/>
    <w:p>
      <w:pPr>
        <w:jc w:val="both"/>
        <w:spacing w:after="0" w:line="251" w:lineRule="auto"/>
        <w:rPr>
          <w:sz w:val="20"/>
          <w:szCs w:val="20"/>
          <w:color w:val="auto"/>
        </w:rPr>
      </w:pPr>
      <w:r>
        <w:rPr>
          <w:rFonts w:ascii="Arial" w:cs="Arial" w:eastAsia="Arial" w:hAnsi="Arial"/>
          <w:sz w:val="17"/>
          <w:szCs w:val="17"/>
          <w:color w:val="auto"/>
        </w:rPr>
        <w:t>Our franchise agreements provide the franchisee with the right to use the Manpower® service mark in a specifically defined exclusive territory. In the United States, franchise fees generally range from 2% to 3% of franchisee sales. Our franchise agreements provide that in the event of a proposed sale of a franchise to a third party, we have the right to acquire the franchise at the same price and on the same terms as proposed by the third party. We have exercised this right in the past and may do so in the future if opportunities arise with appropriate prices and terms.</w:t>
      </w:r>
    </w:p>
    <w:p>
      <w:pPr>
        <w:spacing w:after="0" w:line="179"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Our Manpower and Experis operations provide a variety of workforce solutions and services, including permanent, temporary and contract recruitment, assessment and selection, and training. During 2018 in this segment, approximately 38% of temporary and contract recruitment revenues were derived from placing industrial staff, 23% from placing office staff, and 39% from placing professional and technical staff. For our United States operations in 2018, approximately 48% of the temporary and contract recruitment revenues were derived from placing industrial staff, 13% from placing office staff, and 39% from placing professional and technical staff.</w:t>
      </w:r>
    </w:p>
    <w:p>
      <w:pPr>
        <w:spacing w:after="0" w:line="14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ManpowerGroup Solutions operations provide a variety of outcome-based solutions including RPO, MSP and TBO. We also conduct business in the Americas under our Right Management brand as discussed below.</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Southern Europe</w:t>
      </w:r>
    </w:p>
    <w:p>
      <w:pPr>
        <w:spacing w:after="0" w:line="20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are a leading provider of permanent, temporary and contract recruitment, assessment and selection, training and outsourcing services throughout Europe. The Southern Europe segment had 1,103 branch offices and 49 franchise offices as of December 31, 2018. Our largest operations in this segment are in France (62% of the segment revenue) and Italy (18% of the segment revenue). The franchise offices are in Switzerland, where we own 49% of the franchise.</w:t>
      </w:r>
    </w:p>
    <w:p>
      <w:pPr>
        <w:spacing w:after="0" w:line="15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2018 for our Southern Europe operations, approximately 73% of temporary and contract recruitment revenues were derived from placing industrial staff, 14% from placing office staff, and 13% from placing professional and technical staff.</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conduct our operations in France and the surrounding region as a leading workforce solutions and service provider through 530 branch offices as Manpower, Experis, ManpowerGroup Solutions and Proservia, and 146 branch offices under the name Supplay. The employment services market in France calls for a wide range of our services including permanent, temporary and contract recruitment, assessment and selection, and training. The temporary recruitment market is predominantly focused on recruitment for industrial positions. In 2018, we derived approximately 83% of our temporary recruitment revenues in France from the supply of industrial and construction workers, 16% from the supply of office staff, and 1% from the supply of professional and technical staff.</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Italy, we are a leading workforce solutions and services provider. As of December 31, 2018, ManpowerGroup Italy conducted operations through a network of 229 branch offices. It provides a comprehensive suite of workforce solutions and services offered through Manpower, Experis or ManpowerGroup Solutions, including permanent, temporary and contract recruitment, assessment and selection, training and outsourcing. In 2018, approximately 69% of our temporary and contract recruitment revenues in Italy were derived from placing industrial staff, 5% from placing office staff, including contact center staff, and 26% from placing professional and technical staff.</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We also conduct business in Southern Europe under our Right Management brand as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Northern Europe</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largest operations in Northern Europe are in the United Kingdom, Germany, the Nordics and the Netherlands, providing a comprehensive suite of workforce solutions and services through Manpower, Experis, and ManpowerGroup Solutions. Collectively, we operate through 449 branch offices in this region.</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2018 for our Northern Europe operations, approximately 41% of temporary and contract recruitment revenues were derived from placing industrial staff, 24% from placing office staff, and 35% from placing professional and technical staff.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51" w:right="239" w:bottom="1440" w:gutter="0" w:footer="0" w:header="0"/>
        </w:sectPr>
      </w:pPr>
    </w:p>
    <w:bookmarkStart w:id="6" w:name="page7"/>
    <w:bookmarkEnd w:id="6"/>
    <w:p>
      <w:pPr>
        <w:jc w:val="both"/>
        <w:spacing w:after="0" w:line="266" w:lineRule="auto"/>
        <w:rPr>
          <w:sz w:val="20"/>
          <w:szCs w:val="20"/>
          <w:color w:val="auto"/>
        </w:rPr>
      </w:pPr>
      <w:r>
        <w:rPr>
          <w:rFonts w:ascii="Arial" w:cs="Arial" w:eastAsia="Arial" w:hAnsi="Arial"/>
          <w:sz w:val="16"/>
          <w:szCs w:val="16"/>
          <w:color w:val="auto"/>
        </w:rPr>
        <w:t>In the United Kingdom, where we have the largest operation in this segment, we are a leading provider of workforce solutions and services. As of December 31, 2018, we conducted operations in the United Kingdom as Manpower, Experis and ManpowerGroup Solutions through a network of 33 branch offices and also provided on-site services to clients who have significant permanent, temporary and contract recruitment requirements. During 2018, approximately 23% of our United Kingdom operation’s temporary recruitment revenues were derived from the supply of industrial staff, 25% from the supply of office staff, and 52% from the supply of professional and technical staff. In the United Kingdom, we also conduct operations as Brook Street Bureau PLC, or Brook Street, through a total of 34 branch offices.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We also conduct business in Northern Europe under our Right Management brand as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APME</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operate through 175 branch offices in the Asia Pacific Middle East (APME) region. The largest of these operations are located in Japan, Australia, India, Greater China and Korea, all of which operate through branch offices. Our APME operations provide a variety of workforce solutions and services offered through Manpower, Experis and ManpowerGroup Solutions, including permanent, temporary and contract recruitment, assessment and selection, training and outsourcing. During 2018, approximately 12% of our APME temporary and contract recruitment revenues were derived from placing industrial staff, 52% from placing office staff, and 36% from placing professional and technical staff.</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We also conduct business in APME under our Right Management brand as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Right Management</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Right Management is a global expert in talent and career management workforce solutions. We design and deliver solutions to align talent strategy with business strategy. Our expertise spans Talent Assessment, Leader Development, Organizational Effectiveness, Employee Engagement, and Workforce Transition and Outplacement. With 68 offices in 51 countries and territories, we partner with companies of all sizes to help grow and engage their talent, increase productivity and optimize business performance.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Competition</w:t>
      </w:r>
    </w:p>
    <w:p>
      <w:pPr>
        <w:spacing w:after="0" w:line="203"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auto"/>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The Adecco Group and Randstad. We also compete against a variety of regional or specialized companies such as Recruit Holdings, Kelly Services, Robert Half, Kforce, PageGroup, Korn/Ferry International and Alexander Mann. It is a highly competitive industry, reflecting several trends in the global marketplace such as the increasing demand for skilled people, employers’ desire for more flexible working models and consolidation among clients and in the employment services industry itself. We manage these trends by leveraging established strengths, including one of the employment services industry’s most recognized and respected brands; geographic diversification; size and service scope; an innovative product mix; recruiting and assessment expertise; and a strong client base. While staffing is an important aspect of our business, our strategy is focused on providing both the skilled employees our clients need and high-value workforce management, outsourcing and consulting solutions.</w:t>
      </w:r>
    </w:p>
    <w:p>
      <w:pPr>
        <w:spacing w:after="0" w:line="15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Our client mix consists of both small- and medium-size businesses, and large national and multinational client relationships, which comprised approximately 58% of our revenues in 2018. Client relationships with small- and medium-size businesses are based on a local or regional relationship, and tend to rely less on longer-term contracts, and the competitors for this business are primarily locally-owned businesses. The large national and multinational clients, on the other hand, will frequently enter into non-exclusive arrangements with several firms, with the ultimate choice among them being left to local managers. As a result, employment services firms with a large network of offices compete most effectively for this business which generally has agreed-upon pricing or mark-up on services performed.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351"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auto"/>
        </w:rPr>
        <w:t>Legal Regulations</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employment services industry is closely regulated in all of the major markets in which we operate, except the United States and Canada. Employment services firms are generally subject to one or more of the following types of government regulation:</w:t>
      </w:r>
    </w:p>
    <w:p>
      <w:pPr>
        <w:spacing w:after="0" w:line="167" w:lineRule="exact"/>
        <w:rPr>
          <w:sz w:val="20"/>
          <w:szCs w:val="20"/>
          <w:color w:val="auto"/>
        </w:rPr>
      </w:pPr>
    </w:p>
    <w:p>
      <w:pPr>
        <w:ind w:left="700" w:hanging="476"/>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regulation of the employer/employee relationship between the firm and its temporary and contract employees;</w:t>
      </w:r>
    </w:p>
    <w:p>
      <w:pPr>
        <w:spacing w:after="0" w:line="16" w:lineRule="exact"/>
        <w:rPr>
          <w:rFonts w:ascii="Arial" w:cs="Arial" w:eastAsia="Arial" w:hAnsi="Arial"/>
          <w:sz w:val="17"/>
          <w:szCs w:val="17"/>
          <w:color w:val="auto"/>
        </w:rPr>
      </w:pPr>
    </w:p>
    <w:p>
      <w:pPr>
        <w:ind w:left="700" w:hanging="476"/>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registration, licensing, record keeping and reporting requirements; and</w:t>
      </w:r>
    </w:p>
    <w:p>
      <w:pPr>
        <w:spacing w:after="0" w:line="3" w:lineRule="exact"/>
        <w:rPr>
          <w:rFonts w:ascii="Arial" w:cs="Arial" w:eastAsia="Arial" w:hAnsi="Arial"/>
          <w:sz w:val="17"/>
          <w:szCs w:val="17"/>
          <w:color w:val="auto"/>
        </w:rPr>
      </w:pPr>
    </w:p>
    <w:p>
      <w:pPr>
        <w:ind w:left="700" w:hanging="476"/>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substantive limitations on the operations or the use of temporary and contract employees by clients.</w:t>
      </w:r>
    </w:p>
    <w:p>
      <w:pPr>
        <w:spacing w:after="0" w:line="191" w:lineRule="exact"/>
        <w:rPr>
          <w:sz w:val="20"/>
          <w:szCs w:val="20"/>
          <w:color w:val="auto"/>
        </w:rPr>
      </w:pPr>
    </w:p>
    <w:p>
      <w:pPr>
        <w:jc w:val="both"/>
        <w:spacing w:after="0" w:line="370" w:lineRule="auto"/>
        <w:rPr>
          <w:sz w:val="20"/>
          <w:szCs w:val="20"/>
          <w:color w:val="auto"/>
        </w:rPr>
      </w:pPr>
      <w:r>
        <w:rPr>
          <w:rFonts w:ascii="Arial" w:cs="Arial" w:eastAsia="Arial" w:hAnsi="Arial"/>
          <w:sz w:val="13"/>
          <w:szCs w:val="13"/>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0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most countries, workforce solutions and services firms are considered the legal employers of temporary and contract workers. Therefore, laws regulating the employer/employee relationship, such as tax withholding or reporting, social security or retirement, health and other benefits, anti-discrimination and workers’ compensation, govern the firm.</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Our outplacement and consulting services generally are not subject to governmental regulation in the markets in which we operate.</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77"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auto"/>
        </w:rPr>
        <w:t>Our results in France are affected by complementary health insurance costs, the Crédit d’Impôt pour la Compétitivité et l’Emploi ("CICE"), and changes in social charges.</w:t>
      </w:r>
    </w:p>
    <w:p>
      <w:pPr>
        <w:spacing w:after="0" w:line="22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In France, the government passed CICE legislation effective January 1, 2013 to improve the competitiveness and reduce employment costs by offering payroll tax credits to most French and foreign enterprises subject to corporate tax in France. This law provides credits based on a percentage of wages paid to employees receiving less than two-and-a-half times the French minimum wage. The payroll tax credit was equal to 6% in 2018. We have used, and intend to use, the credit to invest in employment opportunities and to improve our competitiveness, as required by the law. The CICE credit is accounted for as a reduction of our cost of services in the period earned, and has had a favorable impact on our consolidated gross profit margin, as well as margins in France and Southern Europe.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51" w:right="239" w:bottom="1440" w:gutter="0" w:footer="0" w:header="0"/>
        </w:sectPr>
      </w:pPr>
    </w:p>
    <w:bookmarkStart w:id="8" w:name="page9"/>
    <w:bookmarkEnd w:id="8"/>
    <w:p>
      <w:pPr>
        <w:ind w:right="120"/>
        <w:spacing w:after="0" w:line="249" w:lineRule="auto"/>
        <w:rPr>
          <w:sz w:val="20"/>
          <w:szCs w:val="20"/>
          <w:color w:val="auto"/>
        </w:rPr>
      </w:pPr>
      <w:r>
        <w:rPr>
          <w:rFonts w:ascii="Arial" w:cs="Arial" w:eastAsia="Arial" w:hAnsi="Arial"/>
          <w:sz w:val="17"/>
          <w:szCs w:val="17"/>
          <w:color w:val="auto"/>
        </w:rPr>
        <w:t>In December 2018, the French government published their final budget for 2019, which replaced the CICE program with new subsidies in January 2019. This transition leads to a profit-sharing cost that will reduce the gross profit margin benefit of the subsidies. Based on the final budget, we estimate a reduction of our gross profit margin in France of approximately 50 basis points (-0.50%) in the first three quarters of 2019, and beginning in the fourth quarter after incremental subsidies are scheduled, we estimate the reduction will then represent approximately 15 basis points (-0.15%) going forward. We would seek to offset this net negative impact in 2019 with ongoing initiatives.</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Germany, the Confederation of German Trade Unions (representing eight German trade unions and over six million people) and the Employer’s Association of the Temporary Staffing Industry (representing two major temporary worker employers’ associations) entered into a Collective Labor Agreement (“CLA”), which was implemented in multiple phases between 2014 and 2017. The first phases of the CLA required higher wages to temporary employees and higher cost for vacation, sick pay, and temporary staff time accounts. The following phase went into effect in June 2016 with a 2.3% to 3.6% wage increase. A new CLA in 2017 required three additional wage increases through 2019, with wage increases of 2.5% to 4.8% in 2017, 2018, 2019 and 2020, and that required the wage differences between the East and West be eliminated by 2021.</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There is also a mandate that was effective in January 2018 of equal pay for our associates after nine months on assignment. This new regulation generally had an unfavorable impact on our gross profit margin in Germany, as we often cannot pass on the additional costs to the client or, if so, without a mark-up. In October 2018, the 18-month rule took effect, which limited the maximum period of associate assignments to 18 months, after which such associates will be classified as employees for their assignment and allowed clients to in-source our staff. There are initiatives in place to manage any potential impact.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Trademarks</w:t>
      </w:r>
    </w:p>
    <w:p>
      <w:pPr>
        <w:spacing w:after="0" w:line="203"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We maintain a number of registered trademarks, trade names and service marks in the United States and various other countries and territories. We believe that many of these marks and trade names, including ManpowerGroup</w:t>
      </w:r>
      <w:r>
        <w:rPr>
          <w:rFonts w:ascii="Arial" w:cs="Arial" w:eastAsia="Arial" w:hAnsi="Arial"/>
          <w:sz w:val="23"/>
          <w:szCs w:val="23"/>
          <w:color w:val="auto"/>
          <w:vertAlign w:val="superscript"/>
        </w:rPr>
        <w:t>®</w:t>
      </w:r>
      <w:r>
        <w:rPr>
          <w:rFonts w:ascii="Arial" w:cs="Arial" w:eastAsia="Arial" w:hAnsi="Arial"/>
          <w:sz w:val="17"/>
          <w:szCs w:val="17"/>
          <w:color w:val="auto"/>
        </w:rPr>
        <w:t>, ManpowerGroup</w:t>
      </w:r>
      <w:r>
        <w:rPr>
          <w:rFonts w:ascii="Arial" w:cs="Arial" w:eastAsia="Arial" w:hAnsi="Arial"/>
          <w:sz w:val="23"/>
          <w:szCs w:val="23"/>
          <w:color w:val="auto"/>
          <w:vertAlign w:val="superscript"/>
        </w:rPr>
        <w:t>®</w:t>
      </w:r>
      <w:r>
        <w:rPr>
          <w:rFonts w:ascii="Arial" w:cs="Arial" w:eastAsia="Arial" w:hAnsi="Arial"/>
          <w:sz w:val="17"/>
          <w:szCs w:val="17"/>
          <w:color w:val="auto"/>
        </w:rPr>
        <w:t xml:space="preserve"> Solutions, Manpower</w:t>
      </w:r>
      <w:r>
        <w:rPr>
          <w:rFonts w:ascii="Arial" w:cs="Arial" w:eastAsia="Arial" w:hAnsi="Arial"/>
          <w:sz w:val="23"/>
          <w:szCs w:val="23"/>
          <w:color w:val="auto"/>
          <w:vertAlign w:val="superscript"/>
        </w:rPr>
        <w:t>®</w:t>
      </w:r>
      <w:r>
        <w:rPr>
          <w:rFonts w:ascii="Arial" w:cs="Arial" w:eastAsia="Arial" w:hAnsi="Arial"/>
          <w:sz w:val="17"/>
          <w:szCs w:val="17"/>
          <w:color w:val="auto"/>
        </w:rPr>
        <w:t>, Experis</w:t>
      </w:r>
      <w:r>
        <w:rPr>
          <w:rFonts w:ascii="Arial" w:cs="Arial" w:eastAsia="Arial" w:hAnsi="Arial"/>
          <w:sz w:val="23"/>
          <w:szCs w:val="23"/>
          <w:color w:val="auto"/>
          <w:vertAlign w:val="superscript"/>
        </w:rPr>
        <w:t>®</w:t>
      </w:r>
      <w:r>
        <w:rPr>
          <w:rFonts w:ascii="Arial" w:cs="Arial" w:eastAsia="Arial" w:hAnsi="Arial"/>
          <w:sz w:val="17"/>
          <w:szCs w:val="17"/>
          <w:color w:val="auto"/>
        </w:rPr>
        <w:t>, Right Management</w:t>
      </w:r>
      <w:r>
        <w:rPr>
          <w:rFonts w:ascii="Arial" w:cs="Arial" w:eastAsia="Arial" w:hAnsi="Arial"/>
          <w:sz w:val="23"/>
          <w:szCs w:val="23"/>
          <w:color w:val="auto"/>
          <w:vertAlign w:val="superscript"/>
        </w:rPr>
        <w:t>®</w:t>
      </w:r>
      <w:r>
        <w:rPr>
          <w:rFonts w:ascii="Arial" w:cs="Arial" w:eastAsia="Arial" w:hAnsi="Arial"/>
          <w:sz w:val="17"/>
          <w:szCs w:val="17"/>
          <w:color w:val="auto"/>
        </w:rPr>
        <w:t>, Brook Street</w:t>
      </w:r>
      <w:r>
        <w:rPr>
          <w:rFonts w:ascii="Arial" w:cs="Arial" w:eastAsia="Arial" w:hAnsi="Arial"/>
          <w:sz w:val="23"/>
          <w:szCs w:val="23"/>
          <w:color w:val="auto"/>
          <w:vertAlign w:val="superscript"/>
        </w:rPr>
        <w:t>®</w:t>
      </w:r>
      <w:r>
        <w:rPr>
          <w:rFonts w:ascii="Arial" w:cs="Arial" w:eastAsia="Arial" w:hAnsi="Arial"/>
          <w:sz w:val="17"/>
          <w:szCs w:val="17"/>
          <w:color w:val="auto"/>
        </w:rPr>
        <w:t>, and Proservia</w:t>
      </w:r>
      <w:r>
        <w:rPr>
          <w:rFonts w:ascii="Arial" w:cs="Arial" w:eastAsia="Arial" w:hAnsi="Arial"/>
          <w:sz w:val="23"/>
          <w:szCs w:val="23"/>
          <w:color w:val="auto"/>
          <w:vertAlign w:val="superscript"/>
        </w:rPr>
        <w:t>®</w:t>
      </w:r>
      <w:r>
        <w:rPr>
          <w:rFonts w:ascii="Arial" w:cs="Arial" w:eastAsia="Arial" w:hAnsi="Arial"/>
          <w:sz w:val="17"/>
          <w:szCs w:val="17"/>
          <w:color w:val="auto"/>
        </w:rPr>
        <w:t xml:space="preserve">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Employees</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had approximately 30,000 full-time equivalent employees as of December 31, 2018. In addition, we recruit millions of permanent, temporary and contract workers on a worldwide basis each year on behalf of our clients.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351" w:right="239" w:bottom="1440" w:gutter="0" w:footer="0" w:header="0"/>
        </w:sectPr>
      </w:pPr>
    </w:p>
    <w:bookmarkStart w:id="9" w:name="page10"/>
    <w:bookmarkEnd w:id="9"/>
    <w:p>
      <w:pPr>
        <w:spacing w:after="0"/>
        <w:tabs>
          <w:tab w:leader="none" w:pos="7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3"/>
          <w:szCs w:val="13"/>
          <w:b w:val="1"/>
          <w:bCs w:val="1"/>
          <w:color w:val="auto"/>
        </w:rPr>
        <w:t>Risk Factors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 We caution that any forward-looking statement reflects only our belief at the time the statement is made. We undertake no obligation to update any forward-looking statements to reflect subsequent events or circumstances.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of the factors that could cause actual results to differ materially from estimates contained in our forward-looking statements:</w:t>
      </w:r>
    </w:p>
    <w:p>
      <w:pPr>
        <w:spacing w:after="0" w:line="203" w:lineRule="exact"/>
        <w:rPr>
          <w:sz w:val="20"/>
          <w:szCs w:val="20"/>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volatile or uncertain economic conditions;</w:t>
      </w:r>
    </w:p>
    <w:p>
      <w:pPr>
        <w:spacing w:after="0" w:line="16"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economic recovery may be short-lived and uneven, and may not result in increased demand for our services;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inability to timely respond to the needs of our clients;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competition in the worldwide employment services industry limiting our ability to maintain or increase market share or profitability;</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inability to effectively implement our business strategy or achieve our objectives;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cyberattack or improper disclosure or loss of sensitive or confidential company, employee, associate or client data, including personal data;</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disruption and increased costs from outsourcing various aspects of our business;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foreign currency fluctuations;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loss or reduction in revenues from one or more large clients;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inability to meet our working capital needs;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challenges meeting contractual obligations if we or third parties fail to deliver on performance commitments;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to keep pace with technological change and marketplace demand in the development and implementation of our services and solutions;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to implement strategic technology investments;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 of key personnel;</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competition in labor markets limiting our ability to attract, train and retain the personnel necessary to meet our clients’ staffing needs;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political unrest, natural disasters, health crises, infrastructure disruptions, and other risks beyond our control;</w:t>
      </w:r>
    </w:p>
    <w:p>
      <w:pPr>
        <w:spacing w:after="0" w:line="3" w:lineRule="exact"/>
        <w:rPr>
          <w:rFonts w:ascii="Arial" w:cs="Arial" w:eastAsia="Arial" w:hAnsi="Arial"/>
          <w:sz w:val="17"/>
          <w:szCs w:val="17"/>
          <w:color w:val="auto"/>
        </w:rPr>
      </w:pPr>
    </w:p>
    <w:p>
      <w:pPr>
        <w:ind w:left="600" w:hanging="301"/>
        <w:spacing w:after="0" w:line="244"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to comply with the legal regulations in places we do business or the regulatory prohibition or restriction of employment services or the imposition of additional licensing or tax requirements;</w:t>
      </w:r>
    </w:p>
    <w:p>
      <w:pPr>
        <w:spacing w:after="0" w:line="1"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failure to comply with anti-corruption and bribery laws;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employment-related legal claims from clients or third parties;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liability resulting from competition law;</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to preserve our reputation in the marketplace;</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client attitudes toward the use of our services;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inability to maintain effective internal controls;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costs or disruptions resulting from acquisitions we complete;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347" w:right="239" w:bottom="1440" w:gutter="0" w:footer="0" w:header="0"/>
        </w:sectPr>
      </w:pPr>
    </w:p>
    <w:bookmarkStart w:id="10" w:name="page11"/>
    <w:bookmarkEnd w:id="10"/>
    <w:p>
      <w:pPr>
        <w:ind w:left="600" w:hanging="301"/>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limited ability to protect our thought leadership and other intellectual property;</w:t>
      </w:r>
    </w:p>
    <w:p>
      <w:pPr>
        <w:spacing w:after="0" w:line="16" w:lineRule="exact"/>
        <w:rPr>
          <w:rFonts w:ascii="Arial" w:cs="Arial" w:eastAsia="Arial" w:hAnsi="Arial"/>
          <w:sz w:val="17"/>
          <w:szCs w:val="17"/>
          <w:color w:val="auto"/>
        </w:rPr>
      </w:pPr>
    </w:p>
    <w:p>
      <w:pPr>
        <w:ind w:left="600" w:hanging="301"/>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material adverse effects on our operating flexibility resulting from our debt levels;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failure to comply with restrictive covenants under our revolving credit facilities and other debt instruments;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inability to obtain credit on terms acceptable to us or at all;</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performance of our subsidiaries and their ability to distribute cash to our parent company, ManpowerGroup, may vary;</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inability to secure guarantees or letters of credit on acceptable terms;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changes in tax legislation;</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fluctuation of our stock price;</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provisions under Wisconsin law and our articles of incorporation and bylaws could make the takeover of our Company more difficult;</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risk factors disclosed below; and</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factors that may be disclosed from time to time in our SEC filings or otherwise.</w:t>
      </w:r>
    </w:p>
    <w:p>
      <w:pPr>
        <w:spacing w:after="0" w:line="19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 FACTORS</w:t>
      </w:r>
    </w:p>
    <w:p>
      <w:pPr>
        <w:spacing w:after="0" w:line="207"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operations or stock price.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 could be materially adversely affected by volatile or uncertain economic conditions.</w:t>
      </w:r>
    </w:p>
    <w:p>
      <w:pPr>
        <w:spacing w:after="0" w:line="207"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Our business is affected by global macroeconomic conditions, which at various times have included considerable uncertainty and volatility. In particular, we have experienced periods during which economic conditions have been unstable and difficult to predict globally, and during which many regions experienced volatile growth patterns or declines. In the latter part of 2018, global economic conditions slowed down, particularly in Europe, and were marked by greater volatility and uncertainty, and in some countries, such as France and Germany, declining business sentiment. This adversely affected client demand for our services and solutions, and resulted in declines or declining growth rates in many of our markets. There is a risk if these trends continue or intensify, this could have a material adverse effect on our business and results of operations.</w:t>
      </w:r>
    </w:p>
    <w:p>
      <w:pPr>
        <w:spacing w:after="0" w:line="184" w:lineRule="exact"/>
        <w:rPr>
          <w:sz w:val="20"/>
          <w:szCs w:val="20"/>
          <w:color w:val="auto"/>
        </w:rPr>
      </w:pPr>
    </w:p>
    <w:p>
      <w:pPr>
        <w:ind w:right="160"/>
        <w:spacing w:after="0" w:line="291" w:lineRule="auto"/>
        <w:rPr>
          <w:sz w:val="20"/>
          <w:szCs w:val="20"/>
          <w:color w:val="auto"/>
        </w:rPr>
      </w:pPr>
      <w:r>
        <w:rPr>
          <w:rFonts w:ascii="Arial" w:cs="Arial" w:eastAsia="Arial" w:hAnsi="Arial"/>
          <w:sz w:val="15"/>
          <w:szCs w:val="15"/>
          <w:color w:val="auto"/>
        </w:rPr>
        <w:t>Our profitability is sensitive to decreases in demand. When demand drops or remains low, our operating profit is typically impacted unfavorably as we experience a deleveraging of our selling and administrative expense base as expenses may not decline as quickly as revenues. In periods of decline, such as we experienced in some of our markets in the second half of 2018, we may not be able to reduce selling and administrative expenses without negatively impacting the long-term potential of our branch network and brands. Additionally, during periods of decline or uncertainty, companies may slow the rate at which they pay their vendors, or they may become unable to pay their obligations. If our clients become unable to pay amounts owed to us, or pay us more slowly, then our cash flow and profitability may suffer.</w:t>
      </w:r>
    </w:p>
    <w:p>
      <w:pPr>
        <w:spacing w:after="0" w:line="151"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color w:val="auto"/>
        </w:rPr>
        <w:t>Economic conditions in the countries and territories where we do business may be affected by recent or emerging events, such as the rise of populism, changes in ruling parties or governmental leadership, protectionism or changes in global trade policies, the global refugee crisis, changes in immigration policy, changes in employment policy, rising interest rates, the impact of terrorist activity, or by other political or economic developments. We are particularly susceptible to changes in economic conditions in Europe, which represents two of our operating segments and approximately 67% of our revenue. During 2018, various economies in Europe experienced a slowdown, and there is a risk that some or many of the European economies may be hampered by events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351" w:right="239" w:bottom="1440" w:gutter="0" w:footer="0" w:header="0"/>
        </w:sectPr>
      </w:pPr>
    </w:p>
    <w:bookmarkStart w:id="11" w:name="page12"/>
    <w:bookmarkEnd w:id="11"/>
    <w:p>
      <w:pPr>
        <w:ind w:right="340"/>
        <w:spacing w:after="0" w:line="265" w:lineRule="auto"/>
        <w:rPr>
          <w:sz w:val="20"/>
          <w:szCs w:val="20"/>
          <w:color w:val="auto"/>
        </w:rPr>
      </w:pPr>
      <w:r>
        <w:rPr>
          <w:rFonts w:ascii="Arial" w:cs="Arial" w:eastAsia="Arial" w:hAnsi="Arial"/>
          <w:sz w:val="17"/>
          <w:szCs w:val="17"/>
          <w:color w:val="auto"/>
        </w:rPr>
        <w:t>emerged in recent years, including the uncertainty around the terms under which United Kingdom will exit the European Union in March 2019. Any of these events or trends could have a material adverse effect on our business and operating results.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There is a risk that even when overall global economic conditions are positive, we could experience declines in all, or in portions, of our business. During past periods of recovery, we have experienced inconsistent results, with some geographical regions, or countries within a region, suffering declines or weakness in economic activity while others improve. Differing economic conditions and patterns of economic growth or contraction may affect demand for our solutions and services, and there is a risk that, even during times of strengthening global economic conditions, we may not experience uniform, or any, increases in demand for our solutions and services within the markets where our business is concentrated.</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Even without uncertainty and volatility, it is difficult for us to forecast future demand for our services due to the inherent difficulty in forecasting the direction and strength of economic cycles, and the short-term nature of many of our staffing assignments. This situation can be exacerbated by uncertain and volatile economic conditions, which may cause clients to reduce or defer projects for which they utilize our services, thereby negatively affecting demand for them. When it is difficult for us to accurately forecast future demand, we may not be able to determine the optimal level of personnel and office investments necessary to profitably operate our business or take advantage of growth opportunities.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lack the speed and agility to respond to the needs of our clients.</w:t>
      </w:r>
    </w:p>
    <w:p>
      <w:pPr>
        <w:spacing w:after="0" w:line="207"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There is a risk we may not be able to respond with sufficient speed and agility to the needs of our clients, which may change rapidly as their businesses evolve. The size and breadth of our organization, comprising approximately 30,000 employees based out of nearly 2,600 offices in 80 countries and territories, may make it difficult for us to effectively manage our resources and provide coordinated solutions to our clients who require our services in multiple locations. For example, client demands for uniform service across borders may be difficult to satisfy because of variation in local laws and customs. We see a trend in more multi-country and enterprise-level relationships, and we may have difficulty in profitably managing and delivering projects involving multiple countries. Also, our size and organizational structure may make it difficult to develop and implement new processes and tools across the enterprise in a consistent manner. If we are not effective at meeting the needs of our current and prospective clients, or our competitors are more agile or effective at doing so, our business and financial results could be materially adversely affected.</w:t>
      </w:r>
    </w:p>
    <w:p>
      <w:pPr>
        <w:spacing w:after="0" w:line="152" w:lineRule="exact"/>
        <w:rPr>
          <w:sz w:val="20"/>
          <w:szCs w:val="20"/>
          <w:color w:val="auto"/>
        </w:rPr>
      </w:pPr>
    </w:p>
    <w:p>
      <w:pPr>
        <w:ind w:right="520"/>
        <w:spacing w:after="0" w:line="270" w:lineRule="auto"/>
        <w:rPr>
          <w:sz w:val="20"/>
          <w:szCs w:val="20"/>
          <w:color w:val="auto"/>
        </w:rPr>
      </w:pPr>
      <w:r>
        <w:rPr>
          <w:rFonts w:ascii="Arial" w:cs="Arial" w:eastAsia="Arial" w:hAnsi="Arial"/>
          <w:sz w:val="17"/>
          <w:szCs w:val="17"/>
          <w:b w:val="1"/>
          <w:bCs w:val="1"/>
          <w:color w:val="auto"/>
        </w:rPr>
        <w:t>The worldwide employment services industry is highly competitive with limited barriers to entry, which could limit our ability to maintain or increase our market share or profitability.</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worldwide employment services industry is highly competitive with limited barriers to entry, and in recent years has undergone significant consolidation. We compete in markets throughout the world with full-service and specialized employment services agencies. Several of our global competitors, including The Adecco Group and Randstad,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materially adversely affect our financial results. This may worsen as clients increasingly take advantage of low-cost alternatives including using their own in-house resources rather than engaging a third party.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effectively implement our business strategy, and there can be no assurance that we will achieve our objectives.</w:t>
      </w:r>
    </w:p>
    <w:p>
      <w:pPr>
        <w:spacing w:after="0" w:line="207"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Our business strategy focuses on growing revenues while improving our operating profits. An important element of our strategy is our effort to diversify our revenues beyond our core staffing and employment services through the sale of innovative workforce solutions designed to achieve higher operating margins. These workforce solutions are often unique, non-repeatable and tailored to a client’s needs, and present costs, risks and complexity that may be difficult to calculate. These solutions may be unprofitable if we are not able to accurately anticipate these costs and risks in our pricing for these solutions. For example, we may fail to structure and price our solutions in a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20"/>
          </w:cols>
          <w:pgMar w:left="240" w:top="351" w:right="239" w:bottom="1440" w:gutter="0" w:footer="0" w:header="0"/>
        </w:sectPr>
      </w:pPr>
    </w:p>
    <w:bookmarkStart w:id="12" w:name="page13"/>
    <w:bookmarkEnd w:id="12"/>
    <w:p>
      <w:pPr>
        <w:ind w:right="240"/>
        <w:spacing w:after="0" w:line="265" w:lineRule="auto"/>
        <w:rPr>
          <w:sz w:val="20"/>
          <w:szCs w:val="20"/>
          <w:color w:val="auto"/>
        </w:rPr>
      </w:pPr>
      <w:r>
        <w:rPr>
          <w:rFonts w:ascii="Arial" w:cs="Arial" w:eastAsia="Arial" w:hAnsi="Arial"/>
          <w:sz w:val="17"/>
          <w:szCs w:val="17"/>
          <w:color w:val="auto"/>
        </w:rPr>
        <w:t>that properly compensates us to create an adequate delivery model, to adequately manage new solutions, or to obtain adequate insurance coverage in amount or scope to cover potential risks arising from such solutions.</w:t>
      </w:r>
    </w:p>
    <w:p>
      <w:pPr>
        <w:spacing w:after="0" w:line="167"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Our business strategy also includes continuing efforts to transform how we use personnel and technology to enhance our delivery of services. Our goal is to become a more agile and effective competitor, to reduce the cost of operating our business and to increase our operating profit and operating profit margin. These efforts to transform how we do business may not be successful, and we may not succeed at reducing our operating costs or preventing the return of any costs that are eliminated. Additionally, reductions in personnel and other changes could materially adversely affect our ability to effectively operate our business. If, for these or other reasons, we are not successful in implementing our business strategy or achieving the anticipated results, our business, financial condition and results of operations could be materially adversely affected.</w:t>
      </w:r>
    </w:p>
    <w:p>
      <w:pPr>
        <w:spacing w:after="0" w:line="180" w:lineRule="exact"/>
        <w:rPr>
          <w:sz w:val="20"/>
          <w:szCs w:val="20"/>
          <w:color w:val="auto"/>
        </w:rPr>
      </w:pPr>
    </w:p>
    <w:p>
      <w:pPr>
        <w:ind w:right="600"/>
        <w:spacing w:after="0" w:line="270" w:lineRule="auto"/>
        <w:rPr>
          <w:sz w:val="20"/>
          <w:szCs w:val="20"/>
          <w:color w:val="auto"/>
        </w:rPr>
      </w:pPr>
      <w:r>
        <w:rPr>
          <w:rFonts w:ascii="Arial" w:cs="Arial" w:eastAsia="Arial" w:hAnsi="Arial"/>
          <w:sz w:val="17"/>
          <w:szCs w:val="17"/>
          <w:b w:val="1"/>
          <w:bCs w:val="1"/>
          <w:color w:val="auto"/>
        </w:rPr>
        <w:t>Our results of operations and ability to grow could be materially negatively affected if we cannot successfully keep pace with technological changes in the development and implementation of our services and solutions.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success depends on our ability to keep pace with rapid technological changes in the development and implementation of our services and solutions. For example, rapid changes in the use of artificial intelligence and robotics are having a significant impact on some of the industries we serve, and could have significant and unforeseen consequences for the workforce services industry and for our business. There is a risk that these, or other developments, could result in significant disruption to our business model, and that we will be unprepared to compete effectively.</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Additionally, our business is reliant on a variety of technologies, including those which support applicant on-boarding and tracking systems, order management, billing, payroll, and client data analytics. There is a risk we will not sufficiently invest in technology or industry developments, or evolve our business with the right strategic investments, or at sufficient speed and scale, to adapt to changes in our marketplace. Similarly, from time to time we make strategic commitments to particular technologies to recruit, manage or analyze our workforce or support our business, and there is a risk they will be unsuccessful. These and similar risks could have a negative effect on our services and solutions, our results of operations, and our ability to develop and maintain a competitive advantage in the marketplace.</w:t>
      </w:r>
    </w:p>
    <w:p>
      <w:pPr>
        <w:spacing w:after="0" w:line="14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b w:val="1"/>
          <w:bCs w:val="1"/>
          <w:color w:val="auto"/>
        </w:rPr>
        <w:t>We could incur liabilities or our reputation could be damaged from a cyberattack or improper disclosure or loss of sensitive or confidential company, employee, associate, candidate or client data, including personal data.</w:t>
      </w:r>
    </w:p>
    <w:p>
      <w:pPr>
        <w:spacing w:after="0" w:line="162"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In connection with the operation of our business, we store, process and transmit a large amount of data, including personnel and payment information, about our employees, clients, associates and candidates, a portion of which is confidential and/or personally identifiable and sensitive. We expect our use of data to increase, including through the use of analytics. In engaging in these data-related activities, we rely on our own technology and systems, and those of third party vendors we use for a variety of processes, including cloud-based technology and systems, mobile technologies and social media. Unauthorized disclosure, modification or loss of confidential, personally identifiable, or sensitive data may occur through a variety of methods. These include, but are not limited to, systems failure, employee negligence, fraud or misappropriation, or unauthorized access to or through our information systems, whether by our employees, vendors or third parties, including a cyberattack by hackers, members of organized crime and/or state-sponsored organizations, who may develop and deploy social engineering attacks, viruses, ransomware, worms or other malicious software programs, or obtain credentials to our systems through other unrelated cyberattacks.</w:t>
      </w:r>
    </w:p>
    <w:p>
      <w:pPr>
        <w:spacing w:after="0" w:line="156"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An incident involving disclosure, system failure, data modification, loss or security breach could harm our reputation and subject us to significant monetary damages or losses, litigation, negative publicity, regulatory enforcement actions, fines, criminal prosecution, as well as liability under our contracts and laws that protect personally identifiable and confidential data, resulting in increased costs or loss of revenues. Cybersecurity threats continue to increase in frequency and sophistication, thereby increasing the difficulty of detecting and defending against them. In the past, we have experienced data security breaches resulting from unauthorized access to our systems and other fraudulent activities, such as social engineering, which to date have not had a material impact on our operations or financial results; however, there is no assurance that such impacts will not be material in the future.</w:t>
      </w:r>
    </w:p>
    <w:p>
      <w:pPr>
        <w:spacing w:after="0" w:line="168"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It is possible that our and our third party vendors’ preventative security controls and practices may not thwart unauthorized access to, disclosure of, or loss of personally identifiable and confidential data, or fraudulent activity.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351" w:right="239" w:bottom="1440" w:gutter="0" w:footer="0" w:header="0"/>
        </w:sectPr>
      </w:pPr>
    </w:p>
    <w:bookmarkStart w:id="13" w:name="page14"/>
    <w:bookmarkEnd w:id="13"/>
    <w:p>
      <w:pPr>
        <w:ind w:right="120"/>
        <w:spacing w:after="0" w:line="267" w:lineRule="auto"/>
        <w:rPr>
          <w:sz w:val="20"/>
          <w:szCs w:val="20"/>
          <w:color w:val="auto"/>
        </w:rPr>
      </w:pPr>
      <w:r>
        <w:rPr>
          <w:rFonts w:ascii="Arial" w:cs="Arial" w:eastAsia="Arial" w:hAnsi="Arial"/>
          <w:sz w:val="16"/>
          <w:szCs w:val="16"/>
          <w:color w:val="auto"/>
        </w:rPr>
        <w:t>The potential risk of security breaches, fraud and cyberattacks may increase as we continue to introduce services and offerings, whether mobile, cloud, or otherwise. Any additional services and offerings inevitably increase the opportunity for a cyberattack against us. Further, data privacy and security is subject to frequently changing laws and regulations, such as the European Union General Data Protection Regulation (the “GDPR”) and the California Consumer Privacy Act. These laws and regulations are increasing in number, complexity, burden and potential financial penalties, and are often inconsistent among the various jurisdictions and countries in which we provide services. For example, in 2018, European regulators began conducting audits and investigations and imposing fines on entities subject to the GDPR, which carries a potential maximum fine of up to 4% of a company’s global revenues.</w:t>
      </w:r>
    </w:p>
    <w:p>
      <w:pPr>
        <w:spacing w:after="0" w:line="168" w:lineRule="exact"/>
        <w:rPr>
          <w:sz w:val="20"/>
          <w:szCs w:val="20"/>
          <w:color w:val="auto"/>
        </w:rPr>
      </w:pPr>
    </w:p>
    <w:p>
      <w:pPr>
        <w:ind w:right="20"/>
        <w:spacing w:after="0" w:line="248" w:lineRule="auto"/>
        <w:rPr>
          <w:sz w:val="20"/>
          <w:szCs w:val="20"/>
          <w:color w:val="auto"/>
        </w:rPr>
      </w:pPr>
      <w:r>
        <w:rPr>
          <w:rFonts w:ascii="Arial" w:cs="Arial" w:eastAsia="Arial" w:hAnsi="Arial"/>
          <w:sz w:val="17"/>
          <w:szCs w:val="17"/>
          <w:color w:val="auto"/>
        </w:rPr>
        <w:t>Any failure or perceived failure to successfully manage the collection, use, storage, processing, disclosure, transfer, destruction or security of personally identifiable data or other privacy and security related matters, or any failure to comply with changing regulatory requirements in this area, or any failure to mitigate other cyberattacks or material vulnerabilities, could result in legal liability or impairment to our reputation in the marketplace. The increasing discovery and/or disclosure of material vulnerabilities in various systems and components, along with the uncertainty concerning patches to those material vulnerabilities and the emergence of malware and tools to exploit those material vulnerabilities, may also have a detrimental effect on our cybersecurity posture and the ability to thwart a cyberattack. In addition, our liability insurance might not be sufficient in scope or amount to cover us against claims related to security breaches, social engineering, cyberattacks and other related data disclosure, loss or breach.</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outsourced aspects of our business, which could result in disruption and increased costs.</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We have outsourced important aspects of our business to third party vendors, which exposes us to other risks, including increased costs and potential disruptions to our business operations. For example, we rely on third parties to host, manage and secure certain aspects of our data center information and technology infrastructure, to develop and maintain new technology for attracting, onboarding, managing, and analyzing our workforce, and to provide certain back office support. Accordingly, we are subject to the risk that our vendors will be unable to provide these services consistent with our needs. Additionally, we replace these vendors from time to time, and there is a risk that we might suffer interruptions in service or data loss as we transition from one vendor to another. Our operations depend significantly upon these vendors’ and our ability to protect our data and to ensure the availability of our servers, software applications and websites. Despite our and our third party vendors’ implementation of security measures, our systems remain susceptible to system failures, computer viruses, natural disasters, unauthorized access, cyberattacks and other similar incidents, any of which could result in disruptions to our operations. A successful breach of the security of our technology systems could result in the theft of confidential, personally identifiable, or other sensitive data, including data about our employees and/or associates, or our human resources operations. If the cost of our outsourced services is more than expected, if we are not able to realize the savings associated with outsourcing services or if there is a disruption or security breach of our outsourced services that results in a loss or damage to our data, in a deficiency of our internal operations or controls, or in an inappropriate disclosure of confidential, personally identifiable, or sensitive data, or if our ability to deliver our services is interrupted, then our business and financial results could be materially adversely affected.</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fluctuations may have a material adverse effect on our operating results.</w:t>
      </w:r>
    </w:p>
    <w:p>
      <w:pPr>
        <w:spacing w:after="0" w:line="207"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Although we report our results of operations in United States dollars, the majority of our revenues and expenses are denominated in currencies other than the United States dollar, and unfavorable fluctuations in foreign currency exchange rates could have a material adverse effect on our reported financial results. Highly inflationary economies of certain foreign countries, such as Argentina in 2018, can result in foreign currency devaluation, which may also negatively impact our reported financial results.</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During 2018, approximately 88% of our revenues were generated outside of the United States, the majority of which were generated in Europe. Furthermore, $1,075.4 million of our outstanding indebtedness as of December 31, 2018 was denominated in foreign currencies, including $1,024.6 million related to our Euro-denominated notes (€900.0 million). Increases or decreases in the value of the United States dollar against other major currencies, or the imposition of limitations on conversion of foreign currencies into United States dollars, could affect our revenues, operating profit and the value of balance sheet items denominated in foreign currencies. Our exposure to foreign currencies, in particular the Euro, could have a material adverse effect on our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351" w:right="239" w:bottom="1440" w:gutter="0" w:footer="0" w:header="0"/>
        </w:sectPr>
      </w:pPr>
    </w:p>
    <w:bookmarkStart w:id="14" w:name="page15"/>
    <w:bookmarkEnd w:id="14"/>
    <w:p>
      <w:pPr>
        <w:spacing w:after="0" w:line="265" w:lineRule="auto"/>
        <w:rPr>
          <w:sz w:val="20"/>
          <w:szCs w:val="20"/>
          <w:color w:val="auto"/>
        </w:rPr>
      </w:pPr>
      <w:r>
        <w:rPr>
          <w:rFonts w:ascii="Arial" w:cs="Arial" w:eastAsia="Arial" w:hAnsi="Arial"/>
          <w:sz w:val="17"/>
          <w:szCs w:val="17"/>
          <w:color w:val="auto"/>
        </w:rPr>
        <w:t>results and shareholders’ equity, however, such fluctuations generally do not affect our cash flow or result in actual economic gains or losses. Furthermore, the volatility of currencies may make year-over-year comparability of our financial results difficult.</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We seek to mitigate our exposure to foreign currency fluctuations by utilizing net investment hedges and, from time to time, foreign currency forward exchange contracts. A portion of our Euro-denominated notes has been designated as a hedge of our net investment in subsidiaries with a Euro-functional currency as of December 31, 2018, to mitigate our Euro currency translation exposure. The effectiveness of this hedge in part depends on our ability to accurately forecast future cash flows, which is particularly difficult during periods of uncertain or uneven demand for our services and highly volatile exchange rates. Further, hedging activities may only offset a portion, or none at all, of the material adverse financial effects of unfavorable fluctuations in foreign exchange rates over the time the hedge is in place or effective.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 loss or reduction in revenues from large client accounts could have a material adverse effect on our business.</w:t>
      </w:r>
    </w:p>
    <w:p>
      <w:pPr>
        <w:spacing w:after="0" w:line="170"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Our client mix consists of both small- and medium-size businesses, which are based upon a local or regional relationship with our presence in each market, and large national and multinational client relationships. These large national and multinational clients, which comprised approximately 58% of our revenues in 2018, will frequently enter into non-exclusive arrangements with several firms, and the client is generally able to terminate their contract with us on short notice without penalty. The deterioration of the financial condition or business prospects of one or more large national and/or multinational clients, or a change in their strategy around the use of our services, could reduce their need for our services and result in a significant decrease in the revenues and earnings we derive from them. A loss or reduction in revenues from our large national and multinational clients could have a material adverse effect on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economic conditions may adversely impact our liquidity</w:t>
      </w: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working capital is primarily in the form of trade receivables which generally increase as sales increase. One of the ways in which we measure our working capital is in terms of working capital as a percent of revenue with a focus on Days Sales Outstanding (“DSO”). During periods of decline or uncertainty, our clients may slow the rate at which they pay their vendors, or they may become unable to pay their obligations. In addition, some clients have begun to impose more challenging billing terms, which increases the length of time before we receive payment for services. If our clients become unable to pay amounts owed to us, or pay us more slowly, then our DSO will increase and our cash flow, liquidity, and profitability may suffer.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performance on contracts may be materially adversely affected if we or third parties fail to deliver on commitments.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contracts are increasingly complex and, in most instances, require that we partner with other parties to provide the workforce solutions required by our clients. Our ability to deliver these solutions and provide the services required by our clients is dependent on our and our partners' ability to meet our clients' delivery requirements and schedules. If we or our partners fail to deliver services on time and in accordance with contractual performance obligations, then our ability to successfully complete our contracts may be affected, which may have a material and adverse impact on our client relations, revenues and profitability.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lose our key personnel, then our business may suffer.</w:t>
      </w:r>
    </w:p>
    <w:p>
      <w:pPr>
        <w:spacing w:after="0" w:line="207"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Our operations are dependent on the continued efforts of our officers and executive management and the performance and productivity of headquarters management and staff,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or in key markets, it could have a significant impact on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Intense competition may limit our ability to attract, train and retain the qualified personnel necessary for us to meet our clients’ staffing needs.</w:t>
      </w:r>
    </w:p>
    <w:p>
      <w:pPr>
        <w:spacing w:after="0" w:line="219" w:lineRule="exact"/>
        <w:rPr>
          <w:sz w:val="20"/>
          <w:szCs w:val="20"/>
          <w:color w:val="auto"/>
        </w:rPr>
      </w:pPr>
    </w:p>
    <w:p>
      <w:pPr>
        <w:spacing w:after="0" w:line="332" w:lineRule="auto"/>
        <w:rPr>
          <w:sz w:val="20"/>
          <w:szCs w:val="20"/>
          <w:color w:val="auto"/>
        </w:rPr>
      </w:pPr>
      <w:r>
        <w:rPr>
          <w:rFonts w:ascii="Arial" w:cs="Arial" w:eastAsia="Arial" w:hAnsi="Arial"/>
          <w:sz w:val="15"/>
          <w:szCs w:val="15"/>
          <w:color w:val="auto"/>
        </w:rPr>
        <w:t>Our business depends on our ability to attract and retain qualified associates who possess the skills and experience necessary to meet the requirements of our clients. In many markets, we have been experiencing an unusually tight labor market, with historically low levels of unemployment, and there is a risk that we may be unable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351" w:right="239" w:bottom="1440" w:gutter="0" w:footer="0" w:header="0"/>
        </w:sectPr>
      </w:pPr>
    </w:p>
    <w:bookmarkStart w:id="15" w:name="page16"/>
    <w:bookmarkEnd w:id="15"/>
    <w:p>
      <w:pPr>
        <w:jc w:val="both"/>
        <w:spacing w:after="0" w:line="265" w:lineRule="auto"/>
        <w:rPr>
          <w:sz w:val="20"/>
          <w:szCs w:val="20"/>
          <w:color w:val="auto"/>
        </w:rPr>
      </w:pPr>
      <w:r>
        <w:rPr>
          <w:rFonts w:ascii="Arial" w:cs="Arial" w:eastAsia="Arial" w:hAnsi="Arial"/>
          <w:sz w:val="16"/>
          <w:szCs w:val="16"/>
          <w:color w:val="auto"/>
        </w:rPr>
        <w:t>to meet our clients' requirements in identifying an adequate number of associates. We must continually evaluate and upgrade our base of available qualified personnel through recruiting and training programs to keep pace with changing client needs and emerging technologies. Competition for individuals with proven professional skills is intense, and we expect demand for such individuals to remain very strong for the foreseeable future. Qualified personnel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skillsets. These needs may change due to business requirements, or in response to geopolitical and societal trends. There is a risk that we may not be able to identify workers with the required attributes,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global operations subject us to certain risks beyond our control.</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With operations in 80 countries and territories around the world, we are subject to numerous risks outside of our control, including risks arising from political unrest and other political events, regional and international hostilities and international responses to these hostilities, strikes and other worker unrest, natural disasters, acts of war, terrorism, international conflict, severe weather conditions, pandemics and other global health emergencies, disruptions of infrastructure and utilities, cyberattacks, and other events beyond our control. Although it is not possible to predict such events or their consequences, these events could materially adversely affect our reputation, business and financial results.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6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many jurisdictions in which we operate, such as France, Italy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 Furthermore, many countries are also expanding enforcement of immigration laws, and there is a risk that we will incur greater expense in connection with immigration law compliance.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countries and territories in which we operate may, among other things:</w:t>
      </w:r>
    </w:p>
    <w:p>
      <w:pPr>
        <w:spacing w:after="0" w:line="203" w:lineRule="exact"/>
        <w:rPr>
          <w:sz w:val="20"/>
          <w:szCs w:val="20"/>
          <w:color w:val="auto"/>
        </w:rPr>
      </w:pPr>
    </w:p>
    <w:p>
      <w:pPr>
        <w:ind w:left="600" w:hanging="301"/>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create additional regulations that prohibit or restrict the types of employment services that we currently provide;</w:t>
      </w:r>
    </w:p>
    <w:p>
      <w:pPr>
        <w:spacing w:after="0" w:line="16" w:lineRule="exact"/>
        <w:rPr>
          <w:rFonts w:ascii="Arial" w:cs="Arial" w:eastAsia="Arial" w:hAnsi="Arial"/>
          <w:sz w:val="17"/>
          <w:szCs w:val="17"/>
          <w:color w:val="auto"/>
        </w:rPr>
      </w:pPr>
    </w:p>
    <w:p>
      <w:pPr>
        <w:ind w:left="600" w:hanging="301"/>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require new or additional benefits be paid to our associates;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require us to obtain additional licensing to provide employment services; or</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 taxes, such as sales or value-added taxes.</w:t>
      </w:r>
    </w:p>
    <w:p>
      <w:pPr>
        <w:spacing w:after="0" w:line="19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Any future regulations may have a material adverse effect on our business and financial results because they may make it more difficult or expensive for us to continue to provide employment services, particularly if we cannot pass along increases in costs to our clients.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comply with antibribery and corruption laws could materially adversely affect our business.</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We are additionally subject to numerous legal and regulatory requirements that prohibit bribery and corrupt acts. These include the Foreign Corrupt Practices Act and the UK Bribery Act 2010, as well as similar legislation in many of the countries and territories in which we operate. Our employees (but not our associates) are required to participate in a global anticorruption compliance training program designed to ensure compliance with these laws and regulations. However, there are no assurances this program will be effective. In many countries where we operate, practices in the local business community may not conform to international business standards and could violate anticorruption law or regulations. Furthermore, we remain subject to the risk that one of our employees (or one of our associates on a temporary or contract-based assignment) could engage in business practices that are prohibited by our policies and these laws and regulations. Any such violations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351" w:right="239" w:bottom="1440" w:gutter="0" w:footer="0" w:header="0"/>
        </w:sectPr>
      </w:pPr>
    </w:p>
    <w:bookmarkStart w:id="16" w:name="page17"/>
    <w:bookmarkEnd w:id="16"/>
    <w:p>
      <w:pPr>
        <w:spacing w:after="0" w:line="270" w:lineRule="auto"/>
        <w:rPr>
          <w:sz w:val="20"/>
          <w:szCs w:val="20"/>
          <w:color w:val="auto"/>
        </w:rPr>
      </w:pPr>
      <w:r>
        <w:rPr>
          <w:rFonts w:ascii="Arial" w:cs="Arial" w:eastAsia="Arial" w:hAnsi="Arial"/>
          <w:sz w:val="17"/>
          <w:szCs w:val="17"/>
          <w:b w:val="1"/>
          <w:bCs w:val="1"/>
          <w:color w:val="auto"/>
        </w:rPr>
        <w:t>We may be exposed to employment-related claims and costs from clients or third parties that could materially adversely affect our business,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We are in the business of employing people and placing them in the workplaces of other businesses. Risks relating to these activities include:</w:t>
      </w:r>
    </w:p>
    <w:p>
      <w:pPr>
        <w:spacing w:after="0" w:line="203" w:lineRule="exact"/>
        <w:rPr>
          <w:sz w:val="20"/>
          <w:szCs w:val="20"/>
          <w:color w:val="auto"/>
        </w:rPr>
      </w:pPr>
    </w:p>
    <w:p>
      <w:pPr>
        <w:ind w:left="600" w:hanging="301"/>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claims by our associates of discrimination or harassment directed at them, including claims relating to actions of our clients;</w:t>
      </w:r>
    </w:p>
    <w:p>
      <w:pPr>
        <w:spacing w:after="0" w:line="16" w:lineRule="exact"/>
        <w:rPr>
          <w:rFonts w:ascii="Arial" w:cs="Arial" w:eastAsia="Arial" w:hAnsi="Arial"/>
          <w:sz w:val="17"/>
          <w:szCs w:val="17"/>
          <w:color w:val="auto"/>
        </w:rPr>
      </w:pPr>
    </w:p>
    <w:p>
      <w:pPr>
        <w:ind w:left="600" w:hanging="301"/>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claims by our associates of wrongful termination or retaliation;</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claims arising out of the actions or inactions of our associates, including matters for which we may have indemnified a client;</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claims arising from violations of employment rights related to employment screening or privacy issues;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claims related to classification of workers as employees or independent contractors;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claims related to the employment of undocumented or illegal workers;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payment of workers’ compensation claims and other similar claims;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violations of employee pay and benefits requirements such as violations of wage and hour requirements;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entitlement to employee benefits, including healthcare coverage;</w:t>
      </w:r>
    </w:p>
    <w:p>
      <w:pPr>
        <w:spacing w:after="0" w:line="3" w:lineRule="exact"/>
        <w:rPr>
          <w:rFonts w:ascii="Arial" w:cs="Arial" w:eastAsia="Arial" w:hAnsi="Arial"/>
          <w:sz w:val="17"/>
          <w:szCs w:val="17"/>
          <w:color w:val="auto"/>
        </w:rPr>
      </w:pPr>
    </w:p>
    <w:p>
      <w:pPr>
        <w:ind w:left="600" w:hanging="301"/>
        <w:spacing w:after="0" w:line="244"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errors and omissions of our associates and other individuals working on our behalf in performing their jobs, such as accountants, IT professionals, engineers and other technical workers; and</w:t>
      </w:r>
    </w:p>
    <w:p>
      <w:pPr>
        <w:spacing w:after="0" w:line="1" w:lineRule="exact"/>
        <w:rPr>
          <w:rFonts w:ascii="Arial" w:cs="Arial" w:eastAsia="Arial" w:hAnsi="Arial"/>
          <w:sz w:val="17"/>
          <w:szCs w:val="17"/>
          <w:color w:val="auto"/>
        </w:rPr>
      </w:pPr>
    </w:p>
    <w:p>
      <w:pPr>
        <w:ind w:left="600" w:hanging="301"/>
        <w:spacing w:after="0" w:line="249"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claims by our clients relating to our associates’ misuse of clients’ proprietary information, misappropriation of funds, other criminal activity or torts or other similar claims.</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In the past several years, we devoted considerable time and expense to resolve several California-based “wage and hour” claims that asserted deficiencies in our payroll practices, and we cannot be certain we will not experience similar claims in the future.</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exposes us to competition law risk.</w:t>
      </w:r>
    </w:p>
    <w:p>
      <w:pPr>
        <w:spacing w:after="0" w:line="207"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We are subject to antitrust and competition law in the United States, the European Union, and many other regions in which we operate. Some of our business models may carry a heightened risk of regulatory inquiry under relevant competition laws. Although we have put in place safeguards designed to maintain compliance with applicable competition laws, there can be no assurance these protections will be adequate, and there is a risk that we will be subject to regulatory investigation by relevant authorities. For example, in 2009, we were fined by the French Competition Council following a 2004 investigation. As previously reported, in 2013, the French Competition Authority commenced another investigation covering ManpowerGroup and a number of our competitors in France. In February 2019, the French Competition Authority announced that they have closed the investigation.</w:t>
      </w:r>
    </w:p>
    <w:p>
      <w:pPr>
        <w:spacing w:after="0" w:line="168" w:lineRule="exact"/>
        <w:rPr>
          <w:sz w:val="20"/>
          <w:szCs w:val="20"/>
          <w:color w:val="auto"/>
        </w:rPr>
      </w:pPr>
    </w:p>
    <w:p>
      <w:pPr>
        <w:ind w:right="180"/>
        <w:spacing w:after="0" w:line="249" w:lineRule="auto"/>
        <w:rPr>
          <w:sz w:val="20"/>
          <w:szCs w:val="20"/>
          <w:color w:val="auto"/>
        </w:rPr>
      </w:pPr>
      <w:r>
        <w:rPr>
          <w:rFonts w:ascii="Arial" w:cs="Arial" w:eastAsia="Arial" w:hAnsi="Arial"/>
          <w:sz w:val="17"/>
          <w:szCs w:val="17"/>
          <w:color w:val="auto"/>
        </w:rPr>
        <w:t>There continues to be a risk, in France and in the other countries where we operate, of inquiries by competition law regulators into how we operate our business. There is no assurance we will successfully defend against such regulatory inquiries, and they may consume substantial amounts of our financial and managerial resources, remain outstanding for a significant duration, and result in adverse publicity, even if successfully resolved. An unfavorable outcome with respect to these matters and any future matters could, individually or in the aggregate, result in substantial liabilities that have a material adverse effect upon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ability to attract and retain business and employees may depend on our reputation in the marketplace.</w:t>
      </w:r>
    </w:p>
    <w:p>
      <w:pPr>
        <w:spacing w:after="0" w:line="20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We believe our reputation, along with our brand equity in the ManpowerGroup name and our various other brands, are important corporate resources that help distinguish our services from those of competitors and also contribute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347" w:right="239" w:bottom="1440" w:gutter="0" w:footer="0" w:header="0"/>
        </w:sectPr>
      </w:pPr>
    </w:p>
    <w:bookmarkStart w:id="17" w:name="page18"/>
    <w:bookmarkEnd w:id="17"/>
    <w:p>
      <w:pPr>
        <w:jc w:val="both"/>
        <w:spacing w:after="0" w:line="265" w:lineRule="auto"/>
        <w:rPr>
          <w:sz w:val="20"/>
          <w:szCs w:val="20"/>
          <w:color w:val="auto"/>
        </w:rPr>
      </w:pPr>
      <w:r>
        <w:rPr>
          <w:rFonts w:ascii="Arial" w:cs="Arial" w:eastAsia="Arial" w:hAnsi="Arial"/>
          <w:sz w:val="16"/>
          <w:szCs w:val="16"/>
          <w:color w:val="auto"/>
        </w:rPr>
        <w:t>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franchisees and other third-party brand licensees, adversaries in legal proceedings, government regulators, as well as members of the investment community or the media. There is a risk that negative information about ManpowerGroup, even if based on rumor or misunderstanding, could materially adversely affect our business. Damage to our reputation could be difficult, expensive and time-consuming to repair, could make potential or existing clients reluctant to select us for new engagements, resulting in a loss of business, and could materially adversely affect our recruitment and retention efforts. Damage to our reputation could also reduce the value and effectiveness of the ManpowerGroup name and our other brand names, and could reduce investor confidence in us, materially adversely affecting our share price.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sentiment toward the staffing industry could affect the marketplace for our services.</w:t>
      </w:r>
    </w:p>
    <w:p>
      <w:pPr>
        <w:spacing w:after="0" w:line="207" w:lineRule="exact"/>
        <w:rPr>
          <w:sz w:val="20"/>
          <w:szCs w:val="20"/>
          <w:color w:val="auto"/>
        </w:rPr>
      </w:pPr>
    </w:p>
    <w:p>
      <w:pPr>
        <w:ind w:right="100"/>
        <w:spacing w:after="0" w:line="295" w:lineRule="auto"/>
        <w:rPr>
          <w:sz w:val="20"/>
          <w:szCs w:val="20"/>
          <w:color w:val="auto"/>
        </w:rPr>
      </w:pPr>
      <w:r>
        <w:rPr>
          <w:rFonts w:ascii="Arial" w:cs="Arial" w:eastAsia="Arial" w:hAnsi="Arial"/>
          <w:sz w:val="15"/>
          <w:szCs w:val="15"/>
          <w:color w:val="auto"/>
        </w:rPr>
        <w:t>From time to time, the staffing industry has come under criticism from unions, works councils, regulatory agencies and other constituents that maintain that labor and employment protections, such as wage and benefits regulations, are subverted when clients use contingent staffing services. Our business is dependent on the continued acceptance of contingent staffing arrangements as a source of flexible labor for our clients. If attitudes or business practices in some locations change due to pressure from organized labor, political groups or regulatory agencies, it could have a material adverse effect on our business, results of operations and financial condition.</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results of operations and share price could be materially adversely affected if we are unable to maintain effective internal controls.</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 inherent limitations, internal control over financial reporting might not prevent or detect all misstatements or fraud. If we cannot maintain and execute adequate internal control over financial reporting or implement required new or improved controls that provide reasonable assurance of the reliability of the financial reporting and preparation of our financial statements for external use, we could suffer harm to our reputation, fail to meet our public reporting requirements timely, be unable to properly report on our business and our results of operations, or be required to restate our financial statements. If any of these were to occur, the market price of our securities and our ability to obtain new business could be materially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acquisition strategy may have a material adverse effect on our business due to unexpected or underestimated costs.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From time to time, we make acquisitions of other companies or operating assets or enter into operating joint ventures. These activities involve significant risks, including:</w:t>
      </w:r>
    </w:p>
    <w:p>
      <w:pPr>
        <w:spacing w:after="0" w:line="226" w:lineRule="exact"/>
        <w:rPr>
          <w:sz w:val="20"/>
          <w:szCs w:val="20"/>
          <w:color w:val="auto"/>
        </w:rPr>
      </w:pPr>
    </w:p>
    <w:p>
      <w:pPr>
        <w:ind w:left="600" w:hanging="301"/>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difficulties in the assimilation of the operations, financial reporting, services and corporate culture of acquired companies;</w:t>
      </w:r>
    </w:p>
    <w:p>
      <w:pPr>
        <w:spacing w:after="0" w:line="16" w:lineRule="exact"/>
        <w:rPr>
          <w:rFonts w:ascii="Arial" w:cs="Arial" w:eastAsia="Arial" w:hAnsi="Arial"/>
          <w:sz w:val="17"/>
          <w:szCs w:val="17"/>
          <w:color w:val="auto"/>
        </w:rPr>
      </w:pPr>
    </w:p>
    <w:p>
      <w:pPr>
        <w:ind w:left="600" w:hanging="301"/>
        <w:spacing w:after="0"/>
        <w:tabs>
          <w:tab w:leader="none" w:pos="6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failure of any companies or assets that we acquire, or joint ventures that we form, to meet performance expectations, which could trigger payment obligations;</w:t>
      </w:r>
    </w:p>
    <w:p>
      <w:pPr>
        <w:spacing w:after="0" w:line="26" w:lineRule="exact"/>
        <w:rPr>
          <w:rFonts w:ascii="Arial" w:cs="Arial" w:eastAsia="Arial" w:hAnsi="Arial"/>
          <w:sz w:val="15"/>
          <w:szCs w:val="15"/>
          <w:color w:val="auto"/>
        </w:rPr>
      </w:pPr>
    </w:p>
    <w:p>
      <w:pPr>
        <w:ind w:left="600" w:hanging="301"/>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over-valuation by us of any companies or assets that we acquire, or joint ventures that we form;</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disputes that arise with sellers;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failure to effectively monitor compliance with corporate policies as well as regulatory requirements;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insufficient indemnification from the selling parties for liabilities incurred by the acquired companies prior to the acquisitions; and</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351" w:right="239" w:bottom="1440" w:gutter="0" w:footer="0" w:header="0"/>
        </w:sectPr>
      </w:pPr>
    </w:p>
    <w:bookmarkStart w:id="18" w:name="page19"/>
    <w:bookmarkEnd w:id="18"/>
    <w:p>
      <w:pPr>
        <w:jc w:val="both"/>
        <w:ind w:right="60"/>
        <w:spacing w:after="0" w:line="254" w:lineRule="auto"/>
        <w:rPr>
          <w:sz w:val="20"/>
          <w:szCs w:val="20"/>
          <w:color w:val="auto"/>
        </w:rPr>
      </w:pPr>
      <w:r>
        <w:rPr>
          <w:rFonts w:ascii="Arial" w:cs="Arial" w:eastAsia="Arial" w:hAnsi="Arial"/>
          <w:sz w:val="17"/>
          <w:szCs w:val="17"/>
          <w:color w:val="auto"/>
        </w:rPr>
        <w:t>These risks could have a material adverse effect on our business because they may result in substantial costs to us and disrupt our business. In addition, future acquisitions could materially adversely affect our business, financial condition, results of operations and liquidity. Possible impairment losses on goodwill and intangible assets with an indefinite life, or restructuring charges could also occur.</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only a limited ability to protect our thought leadership and other intellectual property, which is important to our success.</w:t>
      </w: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license and other contractual agreements, and patent, copyright, and trademark laws to protect our intellectual property rights. Our intellectual property rights may not prevent competitors from independently developing products, services and solutions similar to ours. Further, the steps we take might not be adequate to prevent or deter infringement or other misappropriation of our intellectual property by competitors, former employees or other third parties, which could materially adversely affect our business and financial results.</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debt levels could materially adversely affect our operating flexibility and put us at a competitive disadvantage.</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of December 31, 2018, we had $1,075.4 million of total debt. Our level of debt and the limitations imposed on us by our credit agreements could have important consequences for investors, including the following:</w:t>
      </w:r>
    </w:p>
    <w:p>
      <w:pPr>
        <w:spacing w:after="0" w:line="167" w:lineRule="exact"/>
        <w:rPr>
          <w:sz w:val="20"/>
          <w:szCs w:val="20"/>
          <w:color w:val="auto"/>
        </w:rPr>
      </w:pPr>
    </w:p>
    <w:p>
      <w:pPr>
        <w:ind w:left="600" w:hanging="301"/>
        <w:spacing w:after="0" w:line="252" w:lineRule="auto"/>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not be able to obtain additional debt financing for future working capital, capital expenditures, significant acquisition opportunities, or other corporate purposes or may have to pay more for such financing;</w:t>
      </w: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borrowings under our revolving credit facilities are at a variable interest rate, making us more vulnerable to increases in interest rates; and</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could be less able to take advantage of significant business opportunities and to react to changes in market or industry conditions.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failure to comply with restrictive covenants under our revolving credit facilities and other debt instruments could trigger prepayment obligations.</w:t>
      </w:r>
    </w:p>
    <w:p>
      <w:pPr>
        <w:spacing w:after="0" w:line="21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materially adversely affected by increased costs and rates.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lenders under our and our subsidiaries’ credit facilities may be unwilling or unable to extend credit to us on acceptable terms or at all.</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If our liquidity needs increase, we would expect to use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materially adversely affected or our interest expense may increase substantially.</w:t>
      </w:r>
    </w:p>
    <w:p>
      <w:pPr>
        <w:spacing w:after="0" w:line="179" w:lineRule="exact"/>
        <w:rPr>
          <w:sz w:val="20"/>
          <w:szCs w:val="20"/>
          <w:color w:val="auto"/>
        </w:rPr>
      </w:pPr>
    </w:p>
    <w:p>
      <w:pPr>
        <w:jc w:val="both"/>
        <w:ind w:right="240"/>
        <w:spacing w:after="0" w:line="304" w:lineRule="auto"/>
        <w:rPr>
          <w:sz w:val="20"/>
          <w:szCs w:val="20"/>
          <w:color w:val="auto"/>
        </w:rPr>
      </w:pPr>
      <w:r>
        <w:rPr>
          <w:rFonts w:ascii="Arial" w:cs="Arial" w:eastAsia="Arial" w:hAnsi="Arial"/>
          <w:sz w:val="15"/>
          <w:szCs w:val="15"/>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351" w:right="239" w:bottom="1440" w:gutter="0" w:footer="0" w:header="0"/>
        </w:sectPr>
      </w:pPr>
    </w:p>
    <w:bookmarkStart w:id="19" w:name="page20"/>
    <w:bookmarkEnd w:id="19"/>
    <w:p>
      <w:pPr>
        <w:jc w:val="both"/>
        <w:spacing w:after="0" w:line="270" w:lineRule="auto"/>
        <w:rPr>
          <w:sz w:val="20"/>
          <w:szCs w:val="20"/>
          <w:color w:val="auto"/>
        </w:rPr>
      </w:pPr>
      <w:r>
        <w:rPr>
          <w:rFonts w:ascii="Arial" w:cs="Arial" w:eastAsia="Arial" w:hAnsi="Arial"/>
          <w:sz w:val="17"/>
          <w:szCs w:val="17"/>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working capital requirements, and be subject to various business considerations, including the ability of such subsidiaries to pay such dividends or make such loans and advances.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inability to secure guarantees or letters of credit on acceptable terms may substantially increase our cost of doing business in various countries.</w:t>
      </w:r>
    </w:p>
    <w:p>
      <w:pPr>
        <w:spacing w:after="0" w:line="219"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In a number of countries and territories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materially adversely affected, there could be a disruption to our business or there could be a substantial increase in cost for our business.</w:t>
      </w:r>
    </w:p>
    <w:p>
      <w:pPr>
        <w:spacing w:after="0" w:line="17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auto"/>
        </w:rPr>
        <w:t>We could be subject to changes in tax rates, adoption of new United States or international tax legislation or tax audits that could result in additional income tax liabilities.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are subject to income and other taxes in the United States and international jurisdictions where we have operations. The tax bases and rates of these respective tax jurisdictions change from time to time due to economic and political conditions. Our effective income tax rate is affected by changes in earnings in countries with differing tax rates, changes in valuation of deferred tax assets and liabilities or changes in the respective tax laws. Our other taxes are impacted by changes in local tax laws or changes in our business.</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addition, tax accounting involves complex matters and requires our judgment to determine our worldwide provision for income and other taxes and tax assets and liabilities. These complex matters include transfer pricing and reporting related to intercompany transactions. We are routinely subject to tax examinations by the United States Internal Revenue Service and other tax authorities. These audits may result in additional tax liabilities. Any increase in our income tax provision and other tax provision may have a material adverse effect on our financial results.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price of our common stock may fluctuate significantly, which may result in losses for investors.</w:t>
      </w:r>
    </w:p>
    <w:p>
      <w:pPr>
        <w:spacing w:after="0" w:line="207" w:lineRule="exact"/>
        <w:rPr>
          <w:sz w:val="20"/>
          <w:szCs w:val="20"/>
          <w:color w:val="auto"/>
        </w:rPr>
      </w:pPr>
    </w:p>
    <w:p>
      <w:pPr>
        <w:jc w:val="both"/>
        <w:ind w:right="260"/>
        <w:spacing w:after="0" w:line="254" w:lineRule="auto"/>
        <w:rPr>
          <w:sz w:val="20"/>
          <w:szCs w:val="20"/>
          <w:color w:val="auto"/>
        </w:rPr>
      </w:pPr>
      <w:r>
        <w:rPr>
          <w:rFonts w:ascii="Arial" w:cs="Arial" w:eastAsia="Arial" w:hAnsi="Arial"/>
          <w:sz w:val="17"/>
          <w:szCs w:val="17"/>
          <w:color w:val="auto"/>
        </w:rPr>
        <w:t>The market price for our common stock may be subject to significant volatility. For example, during 2018, the price of our common stock as reported on the New York Stock Exchange ranged from a high of $136.02 to a low of $62.59. Our stock price can fluctuate as a result of a variety of factors, including factors listed in these “Risk Factors” and others, many of which are beyond our control. These factors include:</w:t>
      </w:r>
    </w:p>
    <w:p>
      <w:pPr>
        <w:spacing w:after="0" w:line="177" w:lineRule="exact"/>
        <w:rPr>
          <w:sz w:val="20"/>
          <w:szCs w:val="20"/>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general economic conditions; and</w:t>
      </w:r>
    </w:p>
    <w:p>
      <w:pPr>
        <w:spacing w:after="0" w:line="16"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actual or anticipated variations in our quarterly operating results;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announcement of new services by us or our competitors;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announcements relating to strategic relationships or acquisitions;</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financial estimates or other statements by securities analysts; and</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investor sentiment regarding the company arising from these or other events, or the economy in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347"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Wisconsin law and our articles of incorporation and bylaws contain provisions that could make the takeover of our company more difficult.</w:t>
      </w:r>
    </w:p>
    <w:p>
      <w:pPr>
        <w:spacing w:after="0" w:line="20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spacing w:after="0" w:line="144" w:lineRule="exact"/>
        <w:rPr>
          <w:sz w:val="20"/>
          <w:szCs w:val="20"/>
          <w:color w:val="auto"/>
        </w:rPr>
      </w:pPr>
    </w:p>
    <w:p>
      <w:pPr>
        <w:ind w:left="600" w:hanging="301"/>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permitting removal of directors only for cause;</w:t>
      </w:r>
    </w:p>
    <w:p>
      <w:pPr>
        <w:spacing w:after="0" w:line="16" w:lineRule="exact"/>
        <w:rPr>
          <w:rFonts w:ascii="Arial" w:cs="Arial" w:eastAsia="Arial" w:hAnsi="Arial"/>
          <w:sz w:val="17"/>
          <w:szCs w:val="17"/>
          <w:color w:val="auto"/>
        </w:rPr>
      </w:pPr>
    </w:p>
    <w:p>
      <w:pPr>
        <w:ind w:left="600" w:hanging="301"/>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providing that vacancies on the board of directors will be filled by the remaining directors then in office; and</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requiring advance notice for shareholder proposals and director nominees.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spacing w:after="0" w:line="175"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3"/>
          <w:szCs w:val="13"/>
          <w:b w:val="1"/>
          <w:bCs w:val="1"/>
          <w:color w:val="auto"/>
        </w:rPr>
        <w:t>Unresolved Staff Comments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3"/>
          <w:szCs w:val="13"/>
          <w:b w:val="1"/>
          <w:bCs w:val="1"/>
          <w:color w:val="auto"/>
        </w:rPr>
        <w:t>Properties</w:t>
      </w: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362"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3"/>
          <w:szCs w:val="13"/>
          <w:b w:val="1"/>
          <w:bCs w:val="1"/>
          <w:color w:val="auto"/>
        </w:rPr>
        <w:t>Legal Proceedings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We are involved in litigation of a routine nature and various legal matters, which are being defended and handled in the ordinary course of business.</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3"/>
          <w:szCs w:val="13"/>
          <w:b w:val="1"/>
          <w:bCs w:val="1"/>
          <w:color w:val="auto"/>
        </w:rPr>
        <w:t>Mine Safety Disclosures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347"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9"/>
        </w:trPr>
        <w:tc>
          <w:tcPr>
            <w:tcW w:w="2520" w:type="dxa"/>
            <w:vAlign w:val="bottom"/>
          </w:tcPr>
          <w:p>
            <w:pPr>
              <w:spacing w:after="0"/>
              <w:rPr>
                <w:sz w:val="17"/>
                <w:szCs w:val="17"/>
                <w:color w:val="auto"/>
              </w:rPr>
            </w:pPr>
          </w:p>
        </w:tc>
        <w:tc>
          <w:tcPr>
            <w:tcW w:w="8880" w:type="dxa"/>
            <w:vAlign w:val="bottom"/>
          </w:tcPr>
          <w:p>
            <w:pPr>
              <w:ind w:left="1300"/>
              <w:spacing w:after="0"/>
              <w:rPr>
                <w:sz w:val="20"/>
                <w:szCs w:val="20"/>
                <w:color w:val="auto"/>
              </w:rPr>
            </w:pPr>
            <w:r>
              <w:rPr>
                <w:rFonts w:ascii="Arial" w:cs="Arial" w:eastAsia="Arial" w:hAnsi="Arial"/>
                <w:sz w:val="17"/>
                <w:szCs w:val="17"/>
                <w:b w:val="1"/>
                <w:bCs w:val="1"/>
                <w:color w:val="auto"/>
              </w:rPr>
              <w:t>EXECUTIVE OFFICERS OF MANPOWERGROUP</w:t>
            </w:r>
          </w:p>
        </w:tc>
      </w:tr>
      <w:tr>
        <w:trPr>
          <w:trHeight w:val="216"/>
        </w:trPr>
        <w:tc>
          <w:tcPr>
            <w:tcW w:w="2520" w:type="dxa"/>
            <w:vAlign w:val="bottom"/>
          </w:tcPr>
          <w:p>
            <w:pPr>
              <w:spacing w:after="0"/>
              <w:rPr>
                <w:sz w:val="18"/>
                <w:szCs w:val="18"/>
                <w:color w:val="auto"/>
              </w:rPr>
            </w:pPr>
          </w:p>
        </w:tc>
        <w:tc>
          <w:tcPr>
            <w:tcW w:w="8880" w:type="dxa"/>
            <w:vAlign w:val="bottom"/>
          </w:tcPr>
          <w:p>
            <w:pPr>
              <w:ind w:left="2300"/>
              <w:spacing w:after="0"/>
              <w:rPr>
                <w:sz w:val="20"/>
                <w:szCs w:val="20"/>
                <w:color w:val="auto"/>
              </w:rPr>
            </w:pPr>
            <w:r>
              <w:rPr>
                <w:rFonts w:ascii="Arial" w:cs="Arial" w:eastAsia="Arial" w:hAnsi="Arial"/>
                <w:sz w:val="17"/>
                <w:szCs w:val="17"/>
                <w:b w:val="1"/>
                <w:bCs w:val="1"/>
                <w:color w:val="auto"/>
              </w:rPr>
              <w:t>(as of February 20, 2019)</w:t>
            </w:r>
          </w:p>
        </w:tc>
      </w:tr>
      <w:tr>
        <w:trPr>
          <w:trHeight w:val="748"/>
        </w:trPr>
        <w:tc>
          <w:tcPr>
            <w:tcW w:w="2520" w:type="dxa"/>
            <w:vAlign w:val="bottom"/>
          </w:tcPr>
          <w:p>
            <w:pPr>
              <w:ind w:left="20"/>
              <w:spacing w:after="0"/>
              <w:rPr>
                <w:sz w:val="20"/>
                <w:szCs w:val="20"/>
                <w:color w:val="auto"/>
              </w:rPr>
            </w:pPr>
            <w:r>
              <w:rPr>
                <w:rFonts w:ascii="Arial" w:cs="Arial" w:eastAsia="Arial" w:hAnsi="Arial"/>
                <w:sz w:val="17"/>
                <w:szCs w:val="17"/>
                <w:b w:val="1"/>
                <w:bCs w:val="1"/>
                <w:color w:val="auto"/>
              </w:rPr>
              <w:t>Name of Officer</w:t>
            </w:r>
          </w:p>
        </w:tc>
        <w:tc>
          <w:tcPr>
            <w:tcW w:w="8880" w:type="dxa"/>
            <w:vAlign w:val="bottom"/>
          </w:tcPr>
          <w:p>
            <w:pPr>
              <w:ind w:left="500"/>
              <w:spacing w:after="0"/>
              <w:rPr>
                <w:sz w:val="20"/>
                <w:szCs w:val="20"/>
                <w:color w:val="auto"/>
              </w:rPr>
            </w:pPr>
            <w:r>
              <w:rPr>
                <w:rFonts w:ascii="Arial" w:cs="Arial" w:eastAsia="Arial" w:hAnsi="Arial"/>
                <w:sz w:val="17"/>
                <w:szCs w:val="17"/>
                <w:b w:val="1"/>
                <w:bCs w:val="1"/>
                <w:color w:val="auto"/>
              </w:rPr>
              <w:t>Office</w:t>
            </w:r>
          </w:p>
        </w:tc>
      </w:tr>
      <w:tr>
        <w:trPr>
          <w:trHeight w:val="30"/>
        </w:trPr>
        <w:tc>
          <w:tcPr>
            <w:tcW w:w="2520" w:type="dxa"/>
            <w:vAlign w:val="bottom"/>
            <w:tcBorders>
              <w:bottom w:val="single" w:sz="8" w:color="auto"/>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461"/>
        </w:trPr>
        <w:tc>
          <w:tcPr>
            <w:tcW w:w="2520" w:type="dxa"/>
            <w:vAlign w:val="bottom"/>
          </w:tcPr>
          <w:p>
            <w:pPr>
              <w:ind w:left="20"/>
              <w:spacing w:after="0"/>
              <w:rPr>
                <w:sz w:val="20"/>
                <w:szCs w:val="20"/>
                <w:color w:val="auto"/>
              </w:rPr>
            </w:pPr>
            <w:r>
              <w:rPr>
                <w:rFonts w:ascii="Arial" w:cs="Arial" w:eastAsia="Arial" w:hAnsi="Arial"/>
                <w:sz w:val="17"/>
                <w:szCs w:val="17"/>
                <w:color w:val="auto"/>
              </w:rPr>
              <w:t>Jonas Prising</w:t>
            </w:r>
          </w:p>
        </w:tc>
        <w:tc>
          <w:tcPr>
            <w:tcW w:w="8880" w:type="dxa"/>
            <w:vAlign w:val="bottom"/>
          </w:tcPr>
          <w:p>
            <w:pPr>
              <w:ind w:left="480"/>
              <w:spacing w:after="0"/>
              <w:rPr>
                <w:sz w:val="20"/>
                <w:szCs w:val="20"/>
                <w:color w:val="auto"/>
              </w:rPr>
            </w:pPr>
            <w:r>
              <w:rPr>
                <w:rFonts w:ascii="Arial" w:cs="Arial" w:eastAsia="Arial" w:hAnsi="Arial"/>
                <w:sz w:val="17"/>
                <w:szCs w:val="17"/>
                <w:color w:val="auto"/>
                <w:w w:val="95"/>
              </w:rPr>
              <w:t>Chairman of ManpowerGroup as of December 31, 2015. Chief Executive Officer of ManpowerGroup since May 2014.</w:t>
            </w:r>
          </w:p>
        </w:tc>
      </w:tr>
      <w:tr>
        <w:trPr>
          <w:trHeight w:val="199"/>
        </w:trPr>
        <w:tc>
          <w:tcPr>
            <w:tcW w:w="2520" w:type="dxa"/>
            <w:vAlign w:val="bottom"/>
          </w:tcPr>
          <w:p>
            <w:pPr>
              <w:ind w:left="20"/>
              <w:spacing w:after="0"/>
              <w:rPr>
                <w:sz w:val="20"/>
                <w:szCs w:val="20"/>
                <w:color w:val="auto"/>
              </w:rPr>
            </w:pPr>
            <w:r>
              <w:rPr>
                <w:rFonts w:ascii="Arial" w:cs="Arial" w:eastAsia="Arial" w:hAnsi="Arial"/>
                <w:sz w:val="17"/>
                <w:szCs w:val="17"/>
                <w:color w:val="auto"/>
              </w:rPr>
              <w:t>Age 54</w:t>
            </w:r>
          </w:p>
        </w:tc>
        <w:tc>
          <w:tcPr>
            <w:tcW w:w="8880" w:type="dxa"/>
            <w:vAlign w:val="bottom"/>
          </w:tcPr>
          <w:p>
            <w:pPr>
              <w:ind w:left="480"/>
              <w:spacing w:after="0"/>
              <w:rPr>
                <w:sz w:val="20"/>
                <w:szCs w:val="20"/>
                <w:color w:val="auto"/>
              </w:rPr>
            </w:pPr>
            <w:r>
              <w:rPr>
                <w:rFonts w:ascii="Arial" w:cs="Arial" w:eastAsia="Arial" w:hAnsi="Arial"/>
                <w:sz w:val="17"/>
                <w:szCs w:val="17"/>
                <w:color w:val="auto"/>
                <w:w w:val="89"/>
              </w:rPr>
              <w:t>ManpowerGroup President from November 2012 to May 2014. Executive Vice President, President of ManpowerGroup - the</w:t>
            </w:r>
          </w:p>
        </w:tc>
      </w:tr>
      <w:tr>
        <w:trPr>
          <w:trHeight w:val="199"/>
        </w:trPr>
        <w:tc>
          <w:tcPr>
            <w:tcW w:w="2520" w:type="dxa"/>
            <w:vAlign w:val="bottom"/>
          </w:tcPr>
          <w:p>
            <w:pPr>
              <w:spacing w:after="0"/>
              <w:rPr>
                <w:sz w:val="17"/>
                <w:szCs w:val="17"/>
                <w:color w:val="auto"/>
              </w:rPr>
            </w:pPr>
          </w:p>
        </w:tc>
        <w:tc>
          <w:tcPr>
            <w:tcW w:w="8880" w:type="dxa"/>
            <w:vAlign w:val="bottom"/>
          </w:tcPr>
          <w:p>
            <w:pPr>
              <w:ind w:left="480"/>
              <w:spacing w:after="0"/>
              <w:rPr>
                <w:sz w:val="20"/>
                <w:szCs w:val="20"/>
                <w:color w:val="auto"/>
              </w:rPr>
            </w:pPr>
            <w:r>
              <w:rPr>
                <w:rFonts w:ascii="Arial" w:cs="Arial" w:eastAsia="Arial" w:hAnsi="Arial"/>
                <w:sz w:val="17"/>
                <w:szCs w:val="17"/>
                <w:color w:val="auto"/>
                <w:w w:val="88"/>
              </w:rPr>
              <w:t>Americas from January 2009 to October 2012. Executive Vice President, President – United States and Canadian Operations</w:t>
            </w:r>
          </w:p>
        </w:tc>
      </w:tr>
      <w:tr>
        <w:trPr>
          <w:trHeight w:val="199"/>
        </w:trPr>
        <w:tc>
          <w:tcPr>
            <w:tcW w:w="2520" w:type="dxa"/>
            <w:vAlign w:val="bottom"/>
          </w:tcPr>
          <w:p>
            <w:pPr>
              <w:spacing w:after="0"/>
              <w:rPr>
                <w:sz w:val="17"/>
                <w:szCs w:val="17"/>
                <w:color w:val="auto"/>
              </w:rPr>
            </w:pPr>
          </w:p>
        </w:tc>
        <w:tc>
          <w:tcPr>
            <w:tcW w:w="8880" w:type="dxa"/>
            <w:vAlign w:val="bottom"/>
          </w:tcPr>
          <w:p>
            <w:pPr>
              <w:ind w:left="480"/>
              <w:spacing w:after="0"/>
              <w:rPr>
                <w:sz w:val="20"/>
                <w:szCs w:val="20"/>
                <w:color w:val="auto"/>
              </w:rPr>
            </w:pPr>
            <w:r>
              <w:rPr>
                <w:rFonts w:ascii="Arial" w:cs="Arial" w:eastAsia="Arial" w:hAnsi="Arial"/>
                <w:sz w:val="17"/>
                <w:szCs w:val="17"/>
                <w:color w:val="auto"/>
                <w:w w:val="92"/>
              </w:rPr>
              <w:t>from January 2006 to December 2008. A director of ManpowerGroup since May 2014. An employee of ManpowerGroup</w:t>
            </w:r>
          </w:p>
        </w:tc>
      </w:tr>
      <w:tr>
        <w:trPr>
          <w:trHeight w:val="212"/>
        </w:trPr>
        <w:tc>
          <w:tcPr>
            <w:tcW w:w="2520" w:type="dxa"/>
            <w:vAlign w:val="bottom"/>
          </w:tcPr>
          <w:p>
            <w:pPr>
              <w:spacing w:after="0"/>
              <w:rPr>
                <w:sz w:val="18"/>
                <w:szCs w:val="18"/>
                <w:color w:val="auto"/>
              </w:rPr>
            </w:pPr>
          </w:p>
        </w:tc>
        <w:tc>
          <w:tcPr>
            <w:tcW w:w="8880" w:type="dxa"/>
            <w:vAlign w:val="bottom"/>
          </w:tcPr>
          <w:p>
            <w:pPr>
              <w:ind w:left="480"/>
              <w:spacing w:after="0"/>
              <w:rPr>
                <w:sz w:val="20"/>
                <w:szCs w:val="20"/>
                <w:color w:val="auto"/>
              </w:rPr>
            </w:pPr>
            <w:r>
              <w:rPr>
                <w:rFonts w:ascii="Arial" w:cs="Arial" w:eastAsia="Arial" w:hAnsi="Arial"/>
                <w:sz w:val="17"/>
                <w:szCs w:val="17"/>
                <w:color w:val="auto"/>
              </w:rPr>
              <w:t>since May 1999. A director of Kohl's Corporation since August 2015.</w:t>
            </w:r>
          </w:p>
        </w:tc>
      </w:tr>
      <w:tr>
        <w:trPr>
          <w:trHeight w:val="486"/>
        </w:trPr>
        <w:tc>
          <w:tcPr>
            <w:tcW w:w="2520" w:type="dxa"/>
            <w:vAlign w:val="bottom"/>
          </w:tcPr>
          <w:p>
            <w:pPr>
              <w:ind w:left="20"/>
              <w:spacing w:after="0"/>
              <w:rPr>
                <w:sz w:val="20"/>
                <w:szCs w:val="20"/>
                <w:color w:val="auto"/>
              </w:rPr>
            </w:pPr>
            <w:r>
              <w:rPr>
                <w:rFonts w:ascii="Arial" w:cs="Arial" w:eastAsia="Arial" w:hAnsi="Arial"/>
                <w:sz w:val="17"/>
                <w:szCs w:val="17"/>
                <w:color w:val="auto"/>
              </w:rPr>
              <w:t>John T. McGinnis</w:t>
            </w:r>
          </w:p>
        </w:tc>
        <w:tc>
          <w:tcPr>
            <w:tcW w:w="8880" w:type="dxa"/>
            <w:vAlign w:val="bottom"/>
          </w:tcPr>
          <w:p>
            <w:pPr>
              <w:ind w:left="480"/>
              <w:spacing w:after="0"/>
              <w:rPr>
                <w:sz w:val="20"/>
                <w:szCs w:val="20"/>
                <w:color w:val="auto"/>
              </w:rPr>
            </w:pPr>
            <w:r>
              <w:rPr>
                <w:rFonts w:ascii="Arial" w:cs="Arial" w:eastAsia="Arial" w:hAnsi="Arial"/>
                <w:sz w:val="17"/>
                <w:szCs w:val="17"/>
                <w:color w:val="auto"/>
                <w:w w:val="93"/>
              </w:rPr>
              <w:t>Executive Vice President, Chief Financial Officer of ManpowerGroup since February 2016. Global Controller of Morgan</w:t>
            </w:r>
          </w:p>
        </w:tc>
      </w:tr>
      <w:tr>
        <w:trPr>
          <w:trHeight w:val="199"/>
        </w:trPr>
        <w:tc>
          <w:tcPr>
            <w:tcW w:w="2520" w:type="dxa"/>
            <w:vAlign w:val="bottom"/>
          </w:tcPr>
          <w:p>
            <w:pPr>
              <w:ind w:left="20"/>
              <w:spacing w:after="0"/>
              <w:rPr>
                <w:sz w:val="20"/>
                <w:szCs w:val="20"/>
                <w:color w:val="auto"/>
              </w:rPr>
            </w:pPr>
            <w:r>
              <w:rPr>
                <w:rFonts w:ascii="Arial" w:cs="Arial" w:eastAsia="Arial" w:hAnsi="Arial"/>
                <w:sz w:val="17"/>
                <w:szCs w:val="17"/>
                <w:color w:val="auto"/>
              </w:rPr>
              <w:t>Age 52</w:t>
            </w:r>
          </w:p>
        </w:tc>
        <w:tc>
          <w:tcPr>
            <w:tcW w:w="8880" w:type="dxa"/>
            <w:vAlign w:val="bottom"/>
          </w:tcPr>
          <w:p>
            <w:pPr>
              <w:ind w:left="480"/>
              <w:spacing w:after="0"/>
              <w:rPr>
                <w:sz w:val="20"/>
                <w:szCs w:val="20"/>
                <w:color w:val="auto"/>
              </w:rPr>
            </w:pPr>
            <w:r>
              <w:rPr>
                <w:rFonts w:ascii="Arial" w:cs="Arial" w:eastAsia="Arial" w:hAnsi="Arial"/>
                <w:sz w:val="17"/>
                <w:szCs w:val="17"/>
                <w:color w:val="auto"/>
                <w:w w:val="89"/>
              </w:rPr>
              <w:t>Stanley from January 2014 to February 2016. Chief Financial Officer, HSBC North America from July 2012 to January 2014.</w:t>
            </w:r>
          </w:p>
        </w:tc>
      </w:tr>
      <w:tr>
        <w:trPr>
          <w:trHeight w:val="199"/>
        </w:trPr>
        <w:tc>
          <w:tcPr>
            <w:tcW w:w="2520" w:type="dxa"/>
            <w:vAlign w:val="bottom"/>
          </w:tcPr>
          <w:p>
            <w:pPr>
              <w:spacing w:after="0"/>
              <w:rPr>
                <w:sz w:val="17"/>
                <w:szCs w:val="17"/>
                <w:color w:val="auto"/>
              </w:rPr>
            </w:pPr>
          </w:p>
        </w:tc>
        <w:tc>
          <w:tcPr>
            <w:tcW w:w="8880" w:type="dxa"/>
            <w:vAlign w:val="bottom"/>
          </w:tcPr>
          <w:p>
            <w:pPr>
              <w:ind w:left="480"/>
              <w:spacing w:after="0"/>
              <w:rPr>
                <w:sz w:val="20"/>
                <w:szCs w:val="20"/>
                <w:color w:val="auto"/>
              </w:rPr>
            </w:pPr>
            <w:r>
              <w:rPr>
                <w:rFonts w:ascii="Arial" w:cs="Arial" w:eastAsia="Arial" w:hAnsi="Arial"/>
                <w:sz w:val="17"/>
                <w:szCs w:val="17"/>
                <w:color w:val="auto"/>
                <w:w w:val="90"/>
              </w:rPr>
              <w:t>Chief Financial Officer, HSBC Bank USA from July 2010 to January 2014. An employee of ManpowerGroup since February</w:t>
            </w:r>
          </w:p>
        </w:tc>
      </w:tr>
      <w:tr>
        <w:trPr>
          <w:trHeight w:val="212"/>
        </w:trPr>
        <w:tc>
          <w:tcPr>
            <w:tcW w:w="2520" w:type="dxa"/>
            <w:vAlign w:val="bottom"/>
          </w:tcPr>
          <w:p>
            <w:pPr>
              <w:spacing w:after="0"/>
              <w:rPr>
                <w:sz w:val="18"/>
                <w:szCs w:val="18"/>
                <w:color w:val="auto"/>
              </w:rPr>
            </w:pPr>
          </w:p>
        </w:tc>
        <w:tc>
          <w:tcPr>
            <w:tcW w:w="8880" w:type="dxa"/>
            <w:vAlign w:val="bottom"/>
          </w:tcPr>
          <w:p>
            <w:pPr>
              <w:ind w:left="480"/>
              <w:spacing w:after="0"/>
              <w:rPr>
                <w:sz w:val="20"/>
                <w:szCs w:val="20"/>
                <w:color w:val="auto"/>
              </w:rPr>
            </w:pPr>
            <w:r>
              <w:rPr>
                <w:rFonts w:ascii="Arial" w:cs="Arial" w:eastAsia="Arial" w:hAnsi="Arial"/>
                <w:sz w:val="17"/>
                <w:szCs w:val="17"/>
                <w:color w:val="auto"/>
              </w:rPr>
              <w:t>2016.</w:t>
            </w:r>
          </w:p>
        </w:tc>
      </w:tr>
      <w:tr>
        <w:trPr>
          <w:trHeight w:val="536"/>
        </w:trPr>
        <w:tc>
          <w:tcPr>
            <w:tcW w:w="2520" w:type="dxa"/>
            <w:vAlign w:val="bottom"/>
          </w:tcPr>
          <w:p>
            <w:pPr>
              <w:ind w:left="20"/>
              <w:spacing w:after="0"/>
              <w:rPr>
                <w:sz w:val="20"/>
                <w:szCs w:val="20"/>
                <w:color w:val="auto"/>
              </w:rPr>
            </w:pPr>
            <w:r>
              <w:rPr>
                <w:rFonts w:ascii="Arial" w:cs="Arial" w:eastAsia="Arial" w:hAnsi="Arial"/>
                <w:sz w:val="17"/>
                <w:szCs w:val="17"/>
                <w:color w:val="auto"/>
              </w:rPr>
              <w:t>Mara E. Swan</w:t>
            </w:r>
          </w:p>
        </w:tc>
        <w:tc>
          <w:tcPr>
            <w:tcW w:w="8880" w:type="dxa"/>
            <w:vAlign w:val="bottom"/>
          </w:tcPr>
          <w:p>
            <w:pPr>
              <w:ind w:left="480"/>
              <w:spacing w:after="0"/>
              <w:rPr>
                <w:sz w:val="20"/>
                <w:szCs w:val="20"/>
                <w:color w:val="auto"/>
              </w:rPr>
            </w:pPr>
            <w:r>
              <w:rPr>
                <w:rFonts w:ascii="Arial" w:cs="Arial" w:eastAsia="Arial" w:hAnsi="Arial"/>
                <w:sz w:val="17"/>
                <w:szCs w:val="17"/>
                <w:color w:val="auto"/>
                <w:w w:val="88"/>
              </w:rPr>
              <w:t>Executive Vice President - Global Strategy and Talent since January 2009. Senior Vice President of Global Human Resources</w:t>
            </w:r>
          </w:p>
        </w:tc>
      </w:tr>
      <w:tr>
        <w:trPr>
          <w:trHeight w:val="199"/>
        </w:trPr>
        <w:tc>
          <w:tcPr>
            <w:tcW w:w="2520" w:type="dxa"/>
            <w:vAlign w:val="bottom"/>
          </w:tcPr>
          <w:p>
            <w:pPr>
              <w:ind w:left="20"/>
              <w:spacing w:after="0"/>
              <w:rPr>
                <w:sz w:val="20"/>
                <w:szCs w:val="20"/>
                <w:color w:val="auto"/>
              </w:rPr>
            </w:pPr>
            <w:r>
              <w:rPr>
                <w:rFonts w:ascii="Arial" w:cs="Arial" w:eastAsia="Arial" w:hAnsi="Arial"/>
                <w:sz w:val="17"/>
                <w:szCs w:val="17"/>
                <w:color w:val="auto"/>
              </w:rPr>
              <w:t>Age 59</w:t>
            </w:r>
          </w:p>
        </w:tc>
        <w:tc>
          <w:tcPr>
            <w:tcW w:w="8880" w:type="dxa"/>
            <w:vAlign w:val="bottom"/>
          </w:tcPr>
          <w:p>
            <w:pPr>
              <w:ind w:left="480"/>
              <w:spacing w:after="0"/>
              <w:rPr>
                <w:sz w:val="20"/>
                <w:szCs w:val="20"/>
                <w:color w:val="auto"/>
              </w:rPr>
            </w:pPr>
            <w:r>
              <w:rPr>
                <w:rFonts w:ascii="Arial" w:cs="Arial" w:eastAsia="Arial" w:hAnsi="Arial"/>
                <w:sz w:val="17"/>
                <w:szCs w:val="17"/>
                <w:color w:val="auto"/>
                <w:w w:val="91"/>
              </w:rPr>
              <w:t>from August 2005 to December 2008. An employee of ManpowerGroup since August 2005. A director of GOJO Industries</w:t>
            </w:r>
          </w:p>
        </w:tc>
      </w:tr>
      <w:tr>
        <w:trPr>
          <w:trHeight w:val="212"/>
        </w:trPr>
        <w:tc>
          <w:tcPr>
            <w:tcW w:w="2520" w:type="dxa"/>
            <w:vAlign w:val="bottom"/>
          </w:tcPr>
          <w:p>
            <w:pPr>
              <w:spacing w:after="0"/>
              <w:rPr>
                <w:sz w:val="18"/>
                <w:szCs w:val="18"/>
                <w:color w:val="auto"/>
              </w:rPr>
            </w:pPr>
          </w:p>
        </w:tc>
        <w:tc>
          <w:tcPr>
            <w:tcW w:w="8880" w:type="dxa"/>
            <w:vAlign w:val="bottom"/>
          </w:tcPr>
          <w:p>
            <w:pPr>
              <w:ind w:left="480"/>
              <w:spacing w:after="0"/>
              <w:rPr>
                <w:sz w:val="20"/>
                <w:szCs w:val="20"/>
                <w:color w:val="auto"/>
              </w:rPr>
            </w:pPr>
            <w:r>
              <w:rPr>
                <w:rFonts w:ascii="Arial" w:cs="Arial" w:eastAsia="Arial" w:hAnsi="Arial"/>
                <w:sz w:val="17"/>
                <w:szCs w:val="17"/>
                <w:color w:val="auto"/>
              </w:rPr>
              <w:t>since November 2012.</w:t>
            </w:r>
          </w:p>
        </w:tc>
      </w:tr>
      <w:tr>
        <w:trPr>
          <w:trHeight w:val="486"/>
        </w:trPr>
        <w:tc>
          <w:tcPr>
            <w:tcW w:w="2520" w:type="dxa"/>
            <w:vAlign w:val="bottom"/>
          </w:tcPr>
          <w:p>
            <w:pPr>
              <w:ind w:left="20"/>
              <w:spacing w:after="0"/>
              <w:rPr>
                <w:sz w:val="20"/>
                <w:szCs w:val="20"/>
                <w:color w:val="auto"/>
              </w:rPr>
            </w:pPr>
            <w:r>
              <w:rPr>
                <w:rFonts w:ascii="Arial" w:cs="Arial" w:eastAsia="Arial" w:hAnsi="Arial"/>
                <w:sz w:val="17"/>
                <w:szCs w:val="17"/>
                <w:color w:val="auto"/>
              </w:rPr>
              <w:t>Sriram “Ram” Chandrashekar</w:t>
            </w:r>
          </w:p>
        </w:tc>
        <w:tc>
          <w:tcPr>
            <w:tcW w:w="8880" w:type="dxa"/>
            <w:vAlign w:val="bottom"/>
          </w:tcPr>
          <w:p>
            <w:pPr>
              <w:ind w:left="480"/>
              <w:spacing w:after="0"/>
              <w:rPr>
                <w:sz w:val="20"/>
                <w:szCs w:val="20"/>
                <w:color w:val="auto"/>
              </w:rPr>
            </w:pPr>
            <w:r>
              <w:rPr>
                <w:rFonts w:ascii="Arial" w:cs="Arial" w:eastAsia="Arial" w:hAnsi="Arial"/>
                <w:sz w:val="17"/>
                <w:szCs w:val="17"/>
                <w:color w:val="auto"/>
                <w:w w:val="91"/>
              </w:rPr>
              <w:t>Executive Vice President, Operational Excellence, Technology and Transformation since December 2018. Executive Vice</w:t>
            </w:r>
          </w:p>
        </w:tc>
      </w:tr>
      <w:tr>
        <w:trPr>
          <w:trHeight w:val="199"/>
        </w:trPr>
        <w:tc>
          <w:tcPr>
            <w:tcW w:w="2520" w:type="dxa"/>
            <w:vAlign w:val="bottom"/>
          </w:tcPr>
          <w:p>
            <w:pPr>
              <w:ind w:left="20"/>
              <w:spacing w:after="0"/>
              <w:rPr>
                <w:sz w:val="20"/>
                <w:szCs w:val="20"/>
                <w:color w:val="auto"/>
              </w:rPr>
            </w:pPr>
            <w:r>
              <w:rPr>
                <w:rFonts w:ascii="Arial" w:cs="Arial" w:eastAsia="Arial" w:hAnsi="Arial"/>
                <w:sz w:val="17"/>
                <w:szCs w:val="17"/>
                <w:color w:val="auto"/>
              </w:rPr>
              <w:t>Age 52</w:t>
            </w:r>
          </w:p>
        </w:tc>
        <w:tc>
          <w:tcPr>
            <w:tcW w:w="8880" w:type="dxa"/>
            <w:vAlign w:val="bottom"/>
          </w:tcPr>
          <w:p>
            <w:pPr>
              <w:ind w:left="480"/>
              <w:spacing w:after="0"/>
              <w:rPr>
                <w:sz w:val="20"/>
                <w:szCs w:val="20"/>
                <w:color w:val="auto"/>
              </w:rPr>
            </w:pPr>
            <w:r>
              <w:rPr>
                <w:rFonts w:ascii="Arial" w:cs="Arial" w:eastAsia="Arial" w:hAnsi="Arial"/>
                <w:sz w:val="17"/>
                <w:szCs w:val="17"/>
                <w:color w:val="auto"/>
                <w:w w:val="90"/>
              </w:rPr>
              <w:t>President, Operational Excellence &amp; IT, and President of Asia Pacific Middle East Region from February 2014 to December</w:t>
            </w:r>
          </w:p>
        </w:tc>
      </w:tr>
      <w:tr>
        <w:trPr>
          <w:trHeight w:val="199"/>
        </w:trPr>
        <w:tc>
          <w:tcPr>
            <w:tcW w:w="2520" w:type="dxa"/>
            <w:vAlign w:val="bottom"/>
          </w:tcPr>
          <w:p>
            <w:pPr>
              <w:spacing w:after="0"/>
              <w:rPr>
                <w:sz w:val="17"/>
                <w:szCs w:val="17"/>
                <w:color w:val="auto"/>
              </w:rPr>
            </w:pPr>
          </w:p>
        </w:tc>
        <w:tc>
          <w:tcPr>
            <w:tcW w:w="8880" w:type="dxa"/>
            <w:vAlign w:val="bottom"/>
          </w:tcPr>
          <w:p>
            <w:pPr>
              <w:ind w:left="480"/>
              <w:spacing w:after="0"/>
              <w:rPr>
                <w:sz w:val="20"/>
                <w:szCs w:val="20"/>
                <w:color w:val="auto"/>
              </w:rPr>
            </w:pPr>
            <w:r>
              <w:rPr>
                <w:rFonts w:ascii="Arial" w:cs="Arial" w:eastAsia="Arial" w:hAnsi="Arial"/>
                <w:sz w:val="17"/>
                <w:szCs w:val="17"/>
                <w:color w:val="auto"/>
                <w:w w:val="90"/>
              </w:rPr>
              <w:t>2018. Senior Vice President of Operational Excellence and IT from October 2012 to February 2014. Chief Operating Officer</w:t>
            </w:r>
          </w:p>
        </w:tc>
      </w:tr>
      <w:tr>
        <w:trPr>
          <w:trHeight w:val="212"/>
        </w:trPr>
        <w:tc>
          <w:tcPr>
            <w:tcW w:w="2520" w:type="dxa"/>
            <w:vAlign w:val="bottom"/>
          </w:tcPr>
          <w:p>
            <w:pPr>
              <w:spacing w:after="0"/>
              <w:rPr>
                <w:sz w:val="18"/>
                <w:szCs w:val="18"/>
                <w:color w:val="auto"/>
              </w:rPr>
            </w:pPr>
          </w:p>
        </w:tc>
        <w:tc>
          <w:tcPr>
            <w:tcW w:w="8880" w:type="dxa"/>
            <w:vAlign w:val="bottom"/>
          </w:tcPr>
          <w:p>
            <w:pPr>
              <w:ind w:left="480"/>
              <w:spacing w:after="0"/>
              <w:rPr>
                <w:sz w:val="20"/>
                <w:szCs w:val="20"/>
                <w:color w:val="auto"/>
              </w:rPr>
            </w:pPr>
            <w:r>
              <w:rPr>
                <w:rFonts w:ascii="Arial" w:cs="Arial" w:eastAsia="Arial" w:hAnsi="Arial"/>
                <w:sz w:val="17"/>
                <w:szCs w:val="17"/>
                <w:color w:val="auto"/>
                <w:w w:val="93"/>
              </w:rPr>
              <w:t>of Asia Pacific Middle East Region from April 2008 to October 2012. An employee of ManpowerGroup since April 2008.</w:t>
            </w:r>
          </w:p>
        </w:tc>
      </w:tr>
      <w:tr>
        <w:trPr>
          <w:trHeight w:val="486"/>
        </w:trPr>
        <w:tc>
          <w:tcPr>
            <w:tcW w:w="2520" w:type="dxa"/>
            <w:vAlign w:val="bottom"/>
          </w:tcPr>
          <w:p>
            <w:pPr>
              <w:ind w:left="20"/>
              <w:spacing w:after="0"/>
              <w:rPr>
                <w:sz w:val="20"/>
                <w:szCs w:val="20"/>
                <w:color w:val="auto"/>
              </w:rPr>
            </w:pPr>
            <w:r>
              <w:rPr>
                <w:rFonts w:ascii="Arial" w:cs="Arial" w:eastAsia="Arial" w:hAnsi="Arial"/>
                <w:sz w:val="17"/>
                <w:szCs w:val="17"/>
                <w:color w:val="auto"/>
              </w:rPr>
              <w:t>Richard D. Buchband</w:t>
            </w:r>
          </w:p>
        </w:tc>
        <w:tc>
          <w:tcPr>
            <w:tcW w:w="8880" w:type="dxa"/>
            <w:vAlign w:val="bottom"/>
          </w:tcPr>
          <w:p>
            <w:pPr>
              <w:ind w:left="480"/>
              <w:spacing w:after="0"/>
              <w:rPr>
                <w:sz w:val="20"/>
                <w:szCs w:val="20"/>
                <w:color w:val="auto"/>
              </w:rPr>
            </w:pPr>
            <w:r>
              <w:rPr>
                <w:rFonts w:ascii="Arial" w:cs="Arial" w:eastAsia="Arial" w:hAnsi="Arial"/>
                <w:sz w:val="17"/>
                <w:szCs w:val="17"/>
                <w:color w:val="auto"/>
                <w:w w:val="93"/>
              </w:rPr>
              <w:t>Senior  Vice  President,  General  Counsel  and  Secretary  of  ManpowerGroup  since  January  2013.  Prior  to  joining</w:t>
            </w:r>
          </w:p>
        </w:tc>
      </w:tr>
      <w:tr>
        <w:trPr>
          <w:trHeight w:val="199"/>
        </w:trPr>
        <w:tc>
          <w:tcPr>
            <w:tcW w:w="2520" w:type="dxa"/>
            <w:vAlign w:val="bottom"/>
          </w:tcPr>
          <w:p>
            <w:pPr>
              <w:ind w:left="20"/>
              <w:spacing w:after="0"/>
              <w:rPr>
                <w:sz w:val="20"/>
                <w:szCs w:val="20"/>
                <w:color w:val="auto"/>
              </w:rPr>
            </w:pPr>
            <w:r>
              <w:rPr>
                <w:rFonts w:ascii="Arial" w:cs="Arial" w:eastAsia="Arial" w:hAnsi="Arial"/>
                <w:sz w:val="17"/>
                <w:szCs w:val="17"/>
                <w:color w:val="auto"/>
              </w:rPr>
              <w:t>Age 55</w:t>
            </w:r>
          </w:p>
        </w:tc>
        <w:tc>
          <w:tcPr>
            <w:tcW w:w="8880" w:type="dxa"/>
            <w:vAlign w:val="bottom"/>
          </w:tcPr>
          <w:p>
            <w:pPr>
              <w:ind w:left="480"/>
              <w:spacing w:after="0"/>
              <w:rPr>
                <w:sz w:val="20"/>
                <w:szCs w:val="20"/>
                <w:color w:val="auto"/>
              </w:rPr>
            </w:pPr>
            <w:r>
              <w:rPr>
                <w:rFonts w:ascii="Arial" w:cs="Arial" w:eastAsia="Arial" w:hAnsi="Arial"/>
                <w:sz w:val="17"/>
                <w:szCs w:val="17"/>
                <w:color w:val="auto"/>
                <w:w w:val="98"/>
              </w:rPr>
              <w:t>ManpowerGroup, a partner and Associate General Counsel for Accenture plc from 2006 to 2011. An employee of</w:t>
            </w:r>
          </w:p>
        </w:tc>
      </w:tr>
      <w:tr>
        <w:trPr>
          <w:trHeight w:val="212"/>
        </w:trPr>
        <w:tc>
          <w:tcPr>
            <w:tcW w:w="2520" w:type="dxa"/>
            <w:vAlign w:val="bottom"/>
          </w:tcPr>
          <w:p>
            <w:pPr>
              <w:spacing w:after="0"/>
              <w:rPr>
                <w:sz w:val="18"/>
                <w:szCs w:val="18"/>
                <w:color w:val="auto"/>
              </w:rPr>
            </w:pPr>
          </w:p>
        </w:tc>
        <w:tc>
          <w:tcPr>
            <w:tcW w:w="8880" w:type="dxa"/>
            <w:vAlign w:val="bottom"/>
          </w:tcPr>
          <w:p>
            <w:pPr>
              <w:ind w:left="480"/>
              <w:spacing w:after="0"/>
              <w:rPr>
                <w:sz w:val="20"/>
                <w:szCs w:val="20"/>
                <w:color w:val="auto"/>
              </w:rPr>
            </w:pPr>
            <w:r>
              <w:rPr>
                <w:rFonts w:ascii="Arial" w:cs="Arial" w:eastAsia="Arial" w:hAnsi="Arial"/>
                <w:sz w:val="17"/>
                <w:szCs w:val="17"/>
                <w:color w:val="auto"/>
              </w:rPr>
              <w:t>ManpowerGroup since January 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00"/>
          </w:cols>
          <w:pgMar w:left="240" w:top="347" w:right="2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7"/>
          <w:szCs w:val="17"/>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Audit Committee Approval of Audit-Related and Non-Audit Services</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Audit Committee of our Board of Directors has approved the following audit-related and non-audit services performed or to be performed for us by our independent registered public accounting firm, Deloitte &amp; Touche LLP and Affiliates, in 2018:</w:t>
      </w:r>
    </w:p>
    <w:p>
      <w:pPr>
        <w:spacing w:after="0" w:line="316" w:lineRule="exact"/>
        <w:rPr>
          <w:sz w:val="20"/>
          <w:szCs w:val="20"/>
          <w:color w:val="auto"/>
        </w:rPr>
      </w:pPr>
    </w:p>
    <w:p>
      <w:pPr>
        <w:ind w:left="480" w:hanging="455"/>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preparation and/or review of tax returns, including sales and use tax, excise tax, income tax, local tax, property tax, and value-added tax;</w:t>
      </w:r>
    </w:p>
    <w:p>
      <w:pPr>
        <w:spacing w:after="0" w:line="215" w:lineRule="exact"/>
        <w:rPr>
          <w:rFonts w:ascii="Arial" w:cs="Arial" w:eastAsia="Arial" w:hAnsi="Arial"/>
          <w:sz w:val="17"/>
          <w:szCs w:val="17"/>
          <w:color w:val="auto"/>
        </w:rPr>
      </w:pPr>
    </w:p>
    <w:p>
      <w:pPr>
        <w:ind w:left="480" w:right="140" w:hanging="455"/>
        <w:spacing w:after="0" w:line="265" w:lineRule="auto"/>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79" w:lineRule="exact"/>
        <w:rPr>
          <w:rFonts w:ascii="Arial" w:cs="Arial" w:eastAsia="Arial" w:hAnsi="Arial"/>
          <w:sz w:val="17"/>
          <w:szCs w:val="17"/>
          <w:color w:val="auto"/>
        </w:rPr>
      </w:pPr>
    </w:p>
    <w:p>
      <w:pPr>
        <w:ind w:left="480" w:hanging="455"/>
        <w:spacing w:after="0"/>
        <w:tabs>
          <w:tab w:leader="none" w:pos="4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audit services with respect to certain procedures and certifications where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347"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7"/>
          <w:szCs w:val="17"/>
          <w:b w:val="1"/>
          <w:bCs w:val="1"/>
          <w:color w:val="auto"/>
        </w:rPr>
        <w:t>PART II</w:t>
      </w:r>
    </w:p>
    <w:p>
      <w:pPr>
        <w:spacing w:after="0" w:line="203"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Shareholder Matters and Issuer Purchases of Equity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Common Stock Listing and Trading</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common stock is listed for trading on the New York Stock Exchange under the symbol MAN.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Shareholders of Record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As of February 20, 2019, the Company's common stock was held by approximately 2,900 record holders.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 Policy</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While we currently expect that future semi-annual dividends will continue to be paid, our dividend policy is subject to review and change at the discretion of our Board of Directors and may depend upon, among other factors, earnings, financial condition, and other requirements.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Issuer Purchases of Equity Securities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August 2018, the Board of Directors authorized the repurchase of 6.0 million shares of our common stock. We conduct share repurchases from time to time through a variety of methods, including open market purchases, block transactions, privately negotiated transactions or similar facilities. As of December 31, 2018, there were 3.1 million shares remaining authorized for repurchase under this authorization. The following table shows the total amount of shares repurchased during the fourth quarter of 2018.</w:t>
      </w:r>
    </w:p>
    <w:p>
      <w:pPr>
        <w:spacing w:after="0" w:line="325" w:lineRule="exact"/>
        <w:rPr>
          <w:sz w:val="20"/>
          <w:szCs w:val="20"/>
          <w:color w:val="auto"/>
        </w:rPr>
      </w:pPr>
    </w:p>
    <w:tbl>
      <w:tblPr>
        <w:tblLayout w:type="fixed"/>
        <w:tblInd w:w="20" w:type="dxa"/>
        <w:tblCellMar>
          <w:top w:w="0" w:type="dxa"/>
          <w:left w:w="0" w:type="dxa"/>
          <w:bottom w:w="0" w:type="dxa"/>
          <w:right w:w="0" w:type="dxa"/>
        </w:tblCellMar>
      </w:tblPr>
      <w:tr>
        <w:trPr>
          <w:trHeight w:val="199"/>
        </w:trPr>
        <w:tc>
          <w:tcPr>
            <w:tcW w:w="2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7"/>
                <w:szCs w:val="17"/>
                <w:b w:val="1"/>
                <w:bCs w:val="1"/>
                <w:color w:val="auto"/>
                <w:w w:val="94"/>
              </w:rPr>
              <w:t>Maximum</w:t>
            </w:r>
          </w:p>
        </w:tc>
      </w:tr>
      <w:tr>
        <w:trPr>
          <w:trHeight w:val="199"/>
        </w:trPr>
        <w:tc>
          <w:tcPr>
            <w:tcW w:w="2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90"/>
              </w:rPr>
              <w:t>Total number of</w:t>
            </w:r>
          </w:p>
        </w:tc>
        <w:tc>
          <w:tcPr>
            <w:tcW w:w="12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7"/>
                <w:szCs w:val="17"/>
                <w:b w:val="1"/>
                <w:bCs w:val="1"/>
                <w:color w:val="auto"/>
                <w:w w:val="86"/>
              </w:rPr>
              <w:t>number of shares</w:t>
            </w:r>
          </w:p>
        </w:tc>
      </w:tr>
      <w:tr>
        <w:trPr>
          <w:trHeight w:val="199"/>
        </w:trPr>
        <w:tc>
          <w:tcPr>
            <w:tcW w:w="26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3"/>
              </w:rPr>
              <w:t>Average</w:t>
            </w: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85"/>
              </w:rPr>
              <w:t>shares purchased</w:t>
            </w:r>
          </w:p>
        </w:tc>
        <w:tc>
          <w:tcPr>
            <w:tcW w:w="12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7"/>
                <w:szCs w:val="17"/>
                <w:b w:val="1"/>
                <w:bCs w:val="1"/>
                <w:color w:val="auto"/>
                <w:w w:val="88"/>
              </w:rPr>
              <w:t>that may yet be</w:t>
            </w:r>
          </w:p>
        </w:tc>
      </w:tr>
      <w:tr>
        <w:trPr>
          <w:trHeight w:val="199"/>
        </w:trPr>
        <w:tc>
          <w:tcPr>
            <w:tcW w:w="2640" w:type="dxa"/>
            <w:vAlign w:val="bottom"/>
          </w:tcPr>
          <w:p>
            <w:pPr>
              <w:spacing w:after="0"/>
              <w:rPr>
                <w:sz w:val="17"/>
                <w:szCs w:val="17"/>
                <w:color w:val="auto"/>
              </w:rPr>
            </w:pPr>
          </w:p>
        </w:tc>
        <w:tc>
          <w:tcPr>
            <w:tcW w:w="1840" w:type="dxa"/>
            <w:vAlign w:val="bottom"/>
          </w:tcPr>
          <w:p>
            <w:pPr>
              <w:jc w:val="right"/>
              <w:ind w:right="277"/>
              <w:spacing w:after="0"/>
              <w:rPr>
                <w:sz w:val="20"/>
                <w:szCs w:val="20"/>
                <w:color w:val="auto"/>
              </w:rPr>
            </w:pPr>
            <w:r>
              <w:rPr>
                <w:rFonts w:ascii="Arial" w:cs="Arial" w:eastAsia="Arial" w:hAnsi="Arial"/>
                <w:sz w:val="17"/>
                <w:szCs w:val="17"/>
                <w:b w:val="1"/>
                <w:bCs w:val="1"/>
                <w:color w:val="auto"/>
              </w:rPr>
              <w:t>Total number of</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price paid</w:t>
            </w: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87"/>
              </w:rPr>
              <w:t>as part of publicly</w:t>
            </w:r>
          </w:p>
        </w:tc>
        <w:tc>
          <w:tcPr>
            <w:tcW w:w="12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7"/>
                <w:szCs w:val="17"/>
                <w:b w:val="1"/>
                <w:bCs w:val="1"/>
                <w:color w:val="auto"/>
                <w:w w:val="87"/>
              </w:rPr>
              <w:t>purchased under the plan or</w:t>
            </w:r>
          </w:p>
        </w:tc>
      </w:tr>
      <w:tr>
        <w:trPr>
          <w:trHeight w:val="216"/>
        </w:trPr>
        <w:tc>
          <w:tcPr>
            <w:tcW w:w="2640" w:type="dxa"/>
            <w:vAlign w:val="bottom"/>
          </w:tcPr>
          <w:p>
            <w:pPr>
              <w:spacing w:after="0"/>
              <w:rPr>
                <w:sz w:val="18"/>
                <w:szCs w:val="18"/>
                <w:color w:val="auto"/>
              </w:rPr>
            </w:pPr>
          </w:p>
        </w:tc>
        <w:tc>
          <w:tcPr>
            <w:tcW w:w="1840" w:type="dxa"/>
            <w:vAlign w:val="bottom"/>
          </w:tcPr>
          <w:p>
            <w:pPr>
              <w:jc w:val="right"/>
              <w:ind w:right="237"/>
              <w:spacing w:after="0"/>
              <w:rPr>
                <w:sz w:val="20"/>
                <w:szCs w:val="20"/>
                <w:color w:val="auto"/>
              </w:rPr>
            </w:pPr>
            <w:r>
              <w:rPr>
                <w:rFonts w:ascii="Arial" w:cs="Arial" w:eastAsia="Arial" w:hAnsi="Arial"/>
                <w:sz w:val="17"/>
                <w:szCs w:val="17"/>
                <w:b w:val="1"/>
                <w:bCs w:val="1"/>
                <w:color w:val="auto"/>
              </w:rPr>
              <w:t>shares purchased</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per share</w:t>
            </w:r>
          </w:p>
        </w:tc>
        <w:tc>
          <w:tcPr>
            <w:tcW w:w="2160" w:type="dxa"/>
            <w:vAlign w:val="bottom"/>
          </w:tcPr>
          <w:p>
            <w:pPr>
              <w:jc w:val="center"/>
              <w:spacing w:after="0"/>
              <w:rPr>
                <w:sz w:val="20"/>
                <w:szCs w:val="20"/>
                <w:color w:val="auto"/>
              </w:rPr>
            </w:pPr>
            <w:r>
              <w:rPr>
                <w:rFonts w:ascii="Arial" w:cs="Arial" w:eastAsia="Arial" w:hAnsi="Arial"/>
                <w:sz w:val="17"/>
                <w:szCs w:val="17"/>
                <w:b w:val="1"/>
                <w:bCs w:val="1"/>
                <w:color w:val="auto"/>
                <w:w w:val="87"/>
              </w:rPr>
              <w:t>announced plan or programs</w:t>
            </w:r>
          </w:p>
        </w:tc>
        <w:tc>
          <w:tcPr>
            <w:tcW w:w="1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7"/>
                <w:szCs w:val="17"/>
                <w:b w:val="1"/>
                <w:bCs w:val="1"/>
                <w:color w:val="auto"/>
                <w:w w:val="86"/>
              </w:rPr>
              <w:t>programs</w:t>
            </w:r>
          </w:p>
        </w:tc>
      </w:tr>
      <w:tr>
        <w:trPr>
          <w:trHeight w:val="30"/>
        </w:trPr>
        <w:tc>
          <w:tcPr>
            <w:tcW w:w="26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2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October 1 - 31, 2018</w:t>
            </w:r>
          </w:p>
        </w:tc>
        <w:tc>
          <w:tcPr>
            <w:tcW w:w="1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946,376</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77.56</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946,376</w:t>
            </w:r>
          </w:p>
        </w:tc>
        <w:tc>
          <w:tcPr>
            <w:tcW w:w="26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4,769,198</w:t>
            </w:r>
          </w:p>
        </w:tc>
      </w:tr>
      <w:tr>
        <w:trPr>
          <w:trHeight w:val="224"/>
        </w:trPr>
        <w:tc>
          <w:tcPr>
            <w:tcW w:w="2640" w:type="dxa"/>
            <w:vAlign w:val="bottom"/>
          </w:tcPr>
          <w:p>
            <w:pPr>
              <w:ind w:left="20"/>
              <w:spacing w:after="0"/>
              <w:rPr>
                <w:sz w:val="20"/>
                <w:szCs w:val="20"/>
                <w:color w:val="auto"/>
              </w:rPr>
            </w:pPr>
            <w:r>
              <w:rPr>
                <w:rFonts w:ascii="Arial" w:cs="Arial" w:eastAsia="Arial" w:hAnsi="Arial"/>
                <w:sz w:val="17"/>
                <w:szCs w:val="17"/>
                <w:color w:val="auto"/>
              </w:rPr>
              <w:t>November 1 - 30, 2018</w:t>
            </w:r>
          </w:p>
        </w:tc>
        <w:tc>
          <w:tcPr>
            <w:tcW w:w="1840" w:type="dxa"/>
            <w:vAlign w:val="bottom"/>
          </w:tcPr>
          <w:p>
            <w:pPr>
              <w:jc w:val="right"/>
              <w:ind w:right="37"/>
              <w:spacing w:after="0"/>
              <w:rPr>
                <w:sz w:val="20"/>
                <w:szCs w:val="20"/>
                <w:color w:val="auto"/>
              </w:rPr>
            </w:pPr>
            <w:r>
              <w:rPr>
                <w:rFonts w:ascii="Arial" w:cs="Arial" w:eastAsia="Arial" w:hAnsi="Arial"/>
                <w:sz w:val="17"/>
                <w:szCs w:val="17"/>
                <w:color w:val="auto"/>
              </w:rPr>
              <w:t>1,621,209</w:t>
            </w:r>
          </w:p>
        </w:tc>
        <w:tc>
          <w:tcPr>
            <w:tcW w:w="440" w:type="dxa"/>
            <w:vAlign w:val="bottom"/>
          </w:tcPr>
          <w:p>
            <w:pPr>
              <w:jc w:val="right"/>
              <w:ind w:right="205"/>
              <w:spacing w:after="0"/>
              <w:rPr>
                <w:sz w:val="20"/>
                <w:szCs w:val="20"/>
                <w:color w:val="auto"/>
              </w:rPr>
            </w:pPr>
            <w:r>
              <w:rPr>
                <w:rFonts w:ascii="Arial" w:cs="Arial" w:eastAsia="Arial" w:hAnsi="Arial"/>
                <w:sz w:val="12"/>
                <w:szCs w:val="12"/>
                <w:color w:val="auto"/>
                <w:w w:val="95"/>
              </w:rPr>
              <w:t>(1)</w:t>
            </w:r>
          </w:p>
        </w:tc>
        <w:tc>
          <w:tcPr>
            <w:tcW w:w="28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78.99</w:t>
            </w:r>
          </w:p>
        </w:tc>
        <w:tc>
          <w:tcPr>
            <w:tcW w:w="100" w:type="dxa"/>
            <w:vAlign w:val="bottom"/>
          </w:tcPr>
          <w:p>
            <w:pPr>
              <w:spacing w:after="0"/>
              <w:rPr>
                <w:sz w:val="19"/>
                <w:szCs w:val="19"/>
                <w:color w:val="auto"/>
              </w:rPr>
            </w:pPr>
          </w:p>
        </w:tc>
        <w:tc>
          <w:tcPr>
            <w:tcW w:w="2160" w:type="dxa"/>
            <w:vAlign w:val="bottom"/>
          </w:tcPr>
          <w:p>
            <w:pPr>
              <w:jc w:val="right"/>
              <w:ind w:right="37"/>
              <w:spacing w:after="0"/>
              <w:rPr>
                <w:sz w:val="20"/>
                <w:szCs w:val="20"/>
                <w:color w:val="auto"/>
              </w:rPr>
            </w:pPr>
            <w:r>
              <w:rPr>
                <w:rFonts w:ascii="Arial" w:cs="Arial" w:eastAsia="Arial" w:hAnsi="Arial"/>
                <w:sz w:val="17"/>
                <w:szCs w:val="17"/>
                <w:color w:val="auto"/>
              </w:rPr>
              <w:t>1,620,405</w:t>
            </w:r>
          </w:p>
        </w:tc>
        <w:tc>
          <w:tcPr>
            <w:tcW w:w="2620" w:type="dxa"/>
            <w:vAlign w:val="bottom"/>
            <w:gridSpan w:val="2"/>
          </w:tcPr>
          <w:p>
            <w:pPr>
              <w:jc w:val="right"/>
              <w:ind w:right="37"/>
              <w:spacing w:after="0"/>
              <w:rPr>
                <w:sz w:val="20"/>
                <w:szCs w:val="20"/>
                <w:color w:val="auto"/>
              </w:rPr>
            </w:pPr>
            <w:r>
              <w:rPr>
                <w:rFonts w:ascii="Arial" w:cs="Arial" w:eastAsia="Arial" w:hAnsi="Arial"/>
                <w:sz w:val="17"/>
                <w:szCs w:val="17"/>
                <w:color w:val="auto"/>
              </w:rPr>
              <w:t>3,148,793</w:t>
            </w:r>
          </w:p>
        </w:tc>
      </w:tr>
      <w:tr>
        <w:trPr>
          <w:trHeight w:val="25"/>
        </w:trPr>
        <w:tc>
          <w:tcPr>
            <w:tcW w:w="26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4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1 - 31, 2018</w:t>
            </w:r>
          </w:p>
        </w:tc>
        <w:tc>
          <w:tcPr>
            <w:tcW w:w="1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620" w:type="dxa"/>
            <w:vAlign w:val="bottom"/>
            <w:tcBorders>
              <w:bottom w:val="single" w:sz="8" w:color="CCEEFF"/>
            </w:tcBorders>
            <w:gridSpan w:val="2"/>
            <w:shd w:val="clear" w:color="auto" w:fill="CCEEFF"/>
          </w:tcPr>
          <w:p>
            <w:pPr>
              <w:jc w:val="right"/>
              <w:ind w:right="37"/>
              <w:spacing w:after="0"/>
              <w:rPr>
                <w:sz w:val="20"/>
                <w:szCs w:val="20"/>
                <w:color w:val="auto"/>
              </w:rPr>
            </w:pPr>
            <w:r>
              <w:rPr>
                <w:rFonts w:ascii="Arial" w:cs="Arial" w:eastAsia="Arial" w:hAnsi="Arial"/>
                <w:sz w:val="17"/>
                <w:szCs w:val="17"/>
                <w:color w:val="auto"/>
              </w:rPr>
              <w:t>3,148,793</w:t>
            </w:r>
          </w:p>
        </w:tc>
      </w:tr>
      <w:tr>
        <w:trPr>
          <w:trHeight w:val="229"/>
        </w:trPr>
        <w:tc>
          <w:tcPr>
            <w:tcW w:w="2640" w:type="dxa"/>
            <w:vAlign w:val="bottom"/>
          </w:tcPr>
          <w:p>
            <w:pPr>
              <w:ind w:left="300"/>
              <w:spacing w:after="0"/>
              <w:rPr>
                <w:sz w:val="20"/>
                <w:szCs w:val="20"/>
                <w:color w:val="auto"/>
              </w:rPr>
            </w:pPr>
            <w:r>
              <w:rPr>
                <w:rFonts w:ascii="Arial" w:cs="Arial" w:eastAsia="Arial" w:hAnsi="Arial"/>
                <w:sz w:val="17"/>
                <w:szCs w:val="17"/>
                <w:color w:val="auto"/>
              </w:rPr>
              <w:t>Total</w:t>
            </w:r>
          </w:p>
        </w:tc>
        <w:tc>
          <w:tcPr>
            <w:tcW w:w="18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2,567,585</w:t>
            </w: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78.47</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2,566,781</w:t>
            </w:r>
          </w:p>
        </w:tc>
        <w:tc>
          <w:tcPr>
            <w:tcW w:w="2620" w:type="dxa"/>
            <w:vAlign w:val="bottom"/>
            <w:gridSpan w:val="2"/>
          </w:tcPr>
          <w:p>
            <w:pPr>
              <w:jc w:val="right"/>
              <w:ind w:right="37"/>
              <w:spacing w:after="0"/>
              <w:rPr>
                <w:sz w:val="20"/>
                <w:szCs w:val="20"/>
                <w:color w:val="auto"/>
              </w:rPr>
            </w:pPr>
            <w:r>
              <w:rPr>
                <w:rFonts w:ascii="Arial" w:cs="Arial" w:eastAsia="Arial" w:hAnsi="Arial"/>
                <w:sz w:val="17"/>
                <w:szCs w:val="17"/>
                <w:color w:val="auto"/>
              </w:rPr>
              <w:t>3,148,793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7620</wp:posOffset>
            </wp:positionV>
            <wp:extent cx="13690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9060" cy="7620"/>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23495</wp:posOffset>
            </wp:positionV>
            <wp:extent cx="13690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9060" cy="762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7620</wp:posOffset>
            </wp:positionV>
            <wp:extent cx="117157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1575" cy="762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23495</wp:posOffset>
            </wp:positionV>
            <wp:extent cx="11715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1575" cy="7620"/>
                    </a:xfrm>
                    <a:prstGeom prst="rect">
                      <a:avLst/>
                    </a:prstGeom>
                    <a:noFill/>
                  </pic:spPr>
                </pic:pic>
              </a:graphicData>
            </a:graphic>
          </wp:anchor>
        </w:drawing>
      </w:r>
    </w:p>
    <w:p>
      <w:pPr>
        <w:spacing w:after="0" w:line="34" w:lineRule="exact"/>
        <w:rPr>
          <w:sz w:val="20"/>
          <w:szCs w:val="20"/>
          <w:color w:val="auto"/>
        </w:rPr>
      </w:pPr>
    </w:p>
    <w:p>
      <w:pPr>
        <w:ind w:left="260" w:hanging="219"/>
        <w:spacing w:after="0"/>
        <w:tabs>
          <w:tab w:leader="none" w:pos="2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804 shares of common stock withheld by ManpowerGroup to satisfy tax withholding obligations on shares acquired by certain officers in settlement of restricted stock.</w:t>
      </w:r>
    </w:p>
    <w:p>
      <w:pPr>
        <w:spacing w:after="0" w:line="200" w:lineRule="exact"/>
        <w:rPr>
          <w:rFonts w:ascii="Arial" w:cs="Arial" w:eastAsia="Arial" w:hAnsi="Arial"/>
          <w:sz w:val="14"/>
          <w:szCs w:val="14"/>
          <w:color w:val="auto"/>
        </w:rPr>
      </w:pPr>
    </w:p>
    <w:p>
      <w:pPr>
        <w:spacing w:after="0" w:line="245" w:lineRule="exact"/>
        <w:rPr>
          <w:rFonts w:ascii="Arial" w:cs="Arial" w:eastAsia="Arial" w:hAnsi="Arial"/>
          <w:sz w:val="14"/>
          <w:szCs w:val="14"/>
          <w:color w:val="auto"/>
        </w:rPr>
      </w:pPr>
    </w:p>
    <w:p>
      <w:pPr>
        <w:ind w:left="5640"/>
        <w:spacing w:after="0"/>
        <w:rPr>
          <w:rFonts w:ascii="Arial" w:cs="Arial" w:eastAsia="Arial" w:hAnsi="Arial"/>
          <w:sz w:val="14"/>
          <w:szCs w:val="14"/>
          <w:color w:val="auto"/>
        </w:rPr>
      </w:pPr>
      <w:r>
        <w:rPr>
          <w:rFonts w:ascii="Arial" w:cs="Arial" w:eastAsia="Arial" w:hAnsi="Arial"/>
          <w:sz w:val="17"/>
          <w:szCs w:val="17"/>
          <w:color w:val="auto"/>
        </w:rPr>
        <w:t>24</w:t>
      </w:r>
    </w:p>
    <w:p>
      <w:pPr>
        <w:sectPr>
          <w:pgSz w:w="11900" w:h="16838" w:orient="portrait"/>
          <w:cols w:equalWidth="0" w:num="1">
            <w:col w:w="11420"/>
          </w:cols>
          <w:pgMar w:left="240" w:top="347"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auto"/>
        </w:rPr>
        <w:t>Performance Graph</w:t>
      </w:r>
    </w:p>
    <w:p>
      <w:pPr>
        <w:spacing w:after="0" w:line="203" w:lineRule="exact"/>
        <w:rPr>
          <w:sz w:val="20"/>
          <w:szCs w:val="20"/>
          <w:color w:val="auto"/>
        </w:rPr>
      </w:pPr>
    </w:p>
    <w:p>
      <w:pPr>
        <w:jc w:val="both"/>
        <w:ind w:firstLine="3888"/>
        <w:spacing w:after="0" w:line="267" w:lineRule="auto"/>
        <w:rPr>
          <w:sz w:val="20"/>
          <w:szCs w:val="20"/>
          <w:color w:val="auto"/>
        </w:rPr>
      </w:pPr>
      <w:r>
        <w:rPr>
          <w:rFonts w:ascii="Arial" w:cs="Arial" w:eastAsia="Arial" w:hAnsi="Arial"/>
          <w:sz w:val="16"/>
          <w:szCs w:val="16"/>
          <w:color w:val="282A32"/>
        </w:rPr>
        <w:t>Set forth below is a graph for the periods ending December 31, 2013-2018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17% of the total market capitalization of the companies included in the index. The graph assumes a $100 investment on December 31, 2013 in our common stock, the Standard &amp; Poor’s 400 Midcap Stock Index and the Standard &amp; Poor’s Supercomposite Human Resources and Employment Services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1329055</wp:posOffset>
            </wp:positionH>
            <wp:positionV relativeFrom="paragraph">
              <wp:posOffset>114300</wp:posOffset>
            </wp:positionV>
            <wp:extent cx="4605655" cy="2247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05655" cy="224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tcPr>
          <w:p>
            <w:pPr>
              <w:ind w:left="20"/>
              <w:spacing w:after="0"/>
              <w:rPr>
                <w:sz w:val="20"/>
                <w:szCs w:val="20"/>
                <w:color w:val="auto"/>
              </w:rPr>
            </w:pPr>
            <w:r>
              <w:rPr>
                <w:rFonts w:ascii="Arial" w:cs="Arial" w:eastAsia="Arial" w:hAnsi="Arial"/>
                <w:sz w:val="17"/>
                <w:szCs w:val="17"/>
                <w:color w:val="auto"/>
              </w:rPr>
              <w:t>December 31</w:t>
            </w:r>
          </w:p>
        </w:tc>
        <w:tc>
          <w:tcPr>
            <w:tcW w:w="2560" w:type="dxa"/>
            <w:vAlign w:val="bottom"/>
          </w:tcPr>
          <w:p>
            <w:pPr>
              <w:jc w:val="right"/>
              <w:spacing w:after="0"/>
              <w:rPr>
                <w:sz w:val="20"/>
                <w:szCs w:val="20"/>
                <w:color w:val="auto"/>
              </w:rPr>
            </w:pPr>
            <w:r>
              <w:rPr>
                <w:rFonts w:ascii="Arial" w:cs="Arial" w:eastAsia="Arial" w:hAnsi="Arial"/>
                <w:sz w:val="17"/>
                <w:szCs w:val="17"/>
                <w:color w:val="auto"/>
              </w:rPr>
              <w:t>2013</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2014</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2015</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5"/>
              </w:rPr>
              <w:t>2016</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2017</w:t>
            </w:r>
          </w:p>
        </w:tc>
        <w:tc>
          <w:tcPr>
            <w:tcW w:w="220" w:type="dxa"/>
            <w:vAlign w:val="bottom"/>
          </w:tcPr>
          <w:p>
            <w:pPr>
              <w:spacing w:after="0"/>
              <w:rPr>
                <w:sz w:val="18"/>
                <w:szCs w:val="18"/>
                <w:color w:val="auto"/>
              </w:rPr>
            </w:pPr>
          </w:p>
        </w:tc>
        <w:tc>
          <w:tcPr>
            <w:tcW w:w="500" w:type="dxa"/>
            <w:vAlign w:val="bottom"/>
          </w:tcPr>
          <w:p>
            <w:pPr>
              <w:jc w:val="right"/>
              <w:ind w:right="37"/>
              <w:spacing w:after="0"/>
              <w:rPr>
                <w:sz w:val="20"/>
                <w:szCs w:val="20"/>
                <w:color w:val="auto"/>
              </w:rPr>
            </w:pPr>
            <w:r>
              <w:rPr>
                <w:rFonts w:ascii="Arial" w:cs="Arial" w:eastAsia="Arial" w:hAnsi="Arial"/>
                <w:sz w:val="17"/>
                <w:szCs w:val="17"/>
                <w:color w:val="auto"/>
                <w:w w:val="95"/>
              </w:rPr>
              <w:t>2018</w:t>
            </w:r>
          </w:p>
        </w:tc>
      </w:tr>
      <w:tr>
        <w:trPr>
          <w:trHeight w:val="25"/>
        </w:trPr>
        <w:tc>
          <w:tcPr>
            <w:tcW w:w="5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2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ManpowerGroup</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100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75</w:t>
            </w:r>
          </w:p>
        </w:tc>
      </w:tr>
      <w:tr>
        <w:trPr>
          <w:trHeight w:val="224"/>
        </w:trPr>
        <w:tc>
          <w:tcPr>
            <w:tcW w:w="5280" w:type="dxa"/>
            <w:vAlign w:val="bottom"/>
          </w:tcPr>
          <w:p>
            <w:pPr>
              <w:ind w:left="20"/>
              <w:spacing w:after="0"/>
              <w:rPr>
                <w:sz w:val="20"/>
                <w:szCs w:val="20"/>
                <w:color w:val="auto"/>
              </w:rPr>
            </w:pPr>
            <w:r>
              <w:rPr>
                <w:rFonts w:ascii="Arial" w:cs="Arial" w:eastAsia="Arial" w:hAnsi="Arial"/>
                <w:sz w:val="17"/>
                <w:szCs w:val="17"/>
                <w:color w:val="auto"/>
              </w:rPr>
              <w:t>S&amp;P 400 Midcap Stock Index</w:t>
            </w:r>
          </w:p>
        </w:tc>
        <w:tc>
          <w:tcPr>
            <w:tcW w:w="2560" w:type="dxa"/>
            <w:vAlign w:val="bottom"/>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108</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104</w:t>
            </w:r>
          </w:p>
        </w:tc>
        <w:tc>
          <w:tcPr>
            <w:tcW w:w="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124</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142</w:t>
            </w:r>
          </w:p>
        </w:tc>
        <w:tc>
          <w:tcPr>
            <w:tcW w:w="220" w:type="dxa"/>
            <w:vAlign w:val="bottom"/>
          </w:tcPr>
          <w:p>
            <w:pPr>
              <w:spacing w:after="0"/>
              <w:rPr>
                <w:sz w:val="19"/>
                <w:szCs w:val="19"/>
                <w:color w:val="auto"/>
              </w:rPr>
            </w:pPr>
          </w:p>
        </w:tc>
        <w:tc>
          <w:tcPr>
            <w:tcW w:w="500" w:type="dxa"/>
            <w:vAlign w:val="bottom"/>
          </w:tcPr>
          <w:p>
            <w:pPr>
              <w:jc w:val="right"/>
              <w:ind w:right="37"/>
              <w:spacing w:after="0"/>
              <w:rPr>
                <w:sz w:val="20"/>
                <w:szCs w:val="20"/>
                <w:color w:val="auto"/>
              </w:rPr>
            </w:pPr>
            <w:r>
              <w:rPr>
                <w:rFonts w:ascii="Arial" w:cs="Arial" w:eastAsia="Arial" w:hAnsi="Arial"/>
                <w:sz w:val="17"/>
                <w:szCs w:val="17"/>
                <w:color w:val="auto"/>
              </w:rPr>
              <w:t>124</w:t>
            </w:r>
          </w:p>
        </w:tc>
      </w:tr>
      <w:tr>
        <w:trPr>
          <w:trHeight w:val="25"/>
        </w:trPr>
        <w:tc>
          <w:tcPr>
            <w:tcW w:w="5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4"/>
              </w:rPr>
              <w:t>S&amp;P Supercomposite Human Resources and Employment Services Index</w:t>
            </w:r>
          </w:p>
        </w:tc>
        <w:tc>
          <w:tcPr>
            <w:tcW w:w="2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119</w:t>
            </w:r>
          </w:p>
        </w:tc>
      </w:tr>
      <w:tr>
        <w:trPr>
          <w:trHeight w:val="815"/>
        </w:trPr>
        <w:tc>
          <w:tcPr>
            <w:tcW w:w="528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jc w:val="right"/>
              <w:ind w:right="1957"/>
              <w:spacing w:after="0"/>
              <w:rPr>
                <w:sz w:val="20"/>
                <w:szCs w:val="20"/>
                <w:color w:val="auto"/>
              </w:rPr>
            </w:pPr>
            <w:r>
              <w:rPr>
                <w:rFonts w:ascii="Arial" w:cs="Arial" w:eastAsia="Arial" w:hAnsi="Arial"/>
                <w:sz w:val="17"/>
                <w:szCs w:val="17"/>
                <w:color w:val="auto"/>
              </w:rPr>
              <w:t>25</w:t>
            </w:r>
          </w:p>
        </w:tc>
        <w:tc>
          <w:tcPr>
            <w:tcW w:w="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25" w:name="page26"/>
    <w:bookmarkEnd w:id="25"/>
    <w:p>
      <w:pPr>
        <w:spacing w:after="0"/>
        <w:tabs>
          <w:tab w:leader="none" w:pos="7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selected five-year financial data presented below should be read in conjunction with the information contained in Item 7. "Management’s Discussion and Analysis of Financial Condition and Results of Operations," and the Company’s Consolidated Financial Statements and the Notes thereto contained in Item 8. "Financial Statements and Supplementary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gridSpan w:val="5"/>
          </w:tcPr>
          <w:p>
            <w:pPr>
              <w:jc w:val="right"/>
              <w:ind w:right="317"/>
              <w:spacing w:after="0"/>
              <w:rPr>
                <w:sz w:val="20"/>
                <w:szCs w:val="20"/>
                <w:color w:val="auto"/>
              </w:rPr>
            </w:pPr>
            <w:r>
              <w:rPr>
                <w:rFonts w:ascii="Arial" w:cs="Arial" w:eastAsia="Arial" w:hAnsi="Arial"/>
                <w:sz w:val="17"/>
                <w:szCs w:val="17"/>
                <w:color w:val="auto"/>
                <w:w w:val="92"/>
              </w:rPr>
              <w:t>As of and for the Year Ended December 31</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5140" w:type="dxa"/>
            <w:vAlign w:val="bottom"/>
          </w:tcPr>
          <w:p>
            <w:pPr>
              <w:ind w:left="20"/>
              <w:spacing w:after="0"/>
              <w:rPr>
                <w:sz w:val="20"/>
                <w:szCs w:val="20"/>
                <w:color w:val="auto"/>
              </w:rPr>
            </w:pPr>
            <w:r>
              <w:rPr>
                <w:rFonts w:ascii="Arial" w:cs="Arial" w:eastAsia="Arial" w:hAnsi="Arial"/>
                <w:sz w:val="17"/>
                <w:szCs w:val="17"/>
                <w:i w:val="1"/>
                <w:iCs w:val="1"/>
                <w:color w:val="auto"/>
              </w:rPr>
              <w:t>(in millions, except per share data)</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2018</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2017</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2016</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2015</w:t>
            </w:r>
          </w:p>
        </w:tc>
        <w:tc>
          <w:tcPr>
            <w:tcW w:w="38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2014</w:t>
            </w:r>
          </w:p>
        </w:tc>
      </w:tr>
      <w:tr>
        <w:trPr>
          <w:trHeight w:val="25"/>
        </w:trPr>
        <w:tc>
          <w:tcPr>
            <w:tcW w:w="5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9"/>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Operations Data</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Revenues from services</w:t>
            </w: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21,991.2</w:t>
            </w:r>
          </w:p>
        </w:tc>
        <w:tc>
          <w:tcPr>
            <w:tcW w:w="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21,034.3</w:t>
            </w:r>
          </w:p>
        </w:tc>
        <w:tc>
          <w:tcPr>
            <w:tcW w:w="3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19,654.1</w:t>
            </w:r>
          </w:p>
        </w:tc>
        <w:tc>
          <w:tcPr>
            <w:tcW w:w="3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19,329.9</w:t>
            </w:r>
          </w:p>
        </w:tc>
        <w:tc>
          <w:tcPr>
            <w:tcW w:w="3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20,762.8</w:t>
            </w:r>
          </w:p>
        </w:tc>
      </w:tr>
      <w:tr>
        <w:trPr>
          <w:trHeight w:val="224"/>
        </w:trPr>
        <w:tc>
          <w:tcPr>
            <w:tcW w:w="5140" w:type="dxa"/>
            <w:vAlign w:val="bottom"/>
          </w:tcPr>
          <w:p>
            <w:pPr>
              <w:ind w:left="140"/>
              <w:spacing w:after="0"/>
              <w:rPr>
                <w:sz w:val="20"/>
                <w:szCs w:val="20"/>
                <w:color w:val="auto"/>
              </w:rPr>
            </w:pPr>
            <w:r>
              <w:rPr>
                <w:rFonts w:ascii="Arial" w:cs="Arial" w:eastAsia="Arial" w:hAnsi="Arial"/>
                <w:sz w:val="17"/>
                <w:szCs w:val="17"/>
                <w:color w:val="auto"/>
              </w:rPr>
              <w:t>Gross profit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3,579.0</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3,484.6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3,333.8</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3,295.8</w:t>
            </w:r>
          </w:p>
        </w:tc>
        <w:tc>
          <w:tcPr>
            <w:tcW w:w="38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3,488.2</w:t>
            </w:r>
          </w:p>
        </w:tc>
      </w:tr>
      <w:tr>
        <w:trPr>
          <w:trHeight w:val="25"/>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9"/>
        </w:trPr>
        <w:tc>
          <w:tcPr>
            <w:tcW w:w="5140" w:type="dxa"/>
            <w:vAlign w:val="bottom"/>
            <w:shd w:val="clear" w:color="auto" w:fill="CCEEFF"/>
          </w:tcPr>
          <w:p>
            <w:pPr>
              <w:ind w:left="140"/>
              <w:spacing w:after="0" w:line="250" w:lineRule="exact"/>
              <w:rPr>
                <w:sz w:val="20"/>
                <w:szCs w:val="20"/>
                <w:color w:val="auto"/>
              </w:rPr>
            </w:pPr>
            <w:r>
              <w:rPr>
                <w:rFonts w:ascii="Arial" w:cs="Arial" w:eastAsia="Arial" w:hAnsi="Arial"/>
                <w:sz w:val="17"/>
                <w:szCs w:val="17"/>
                <w:color w:val="auto"/>
              </w:rPr>
              <w:t>Operating profit</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796.7</w:t>
            </w:r>
          </w:p>
        </w:tc>
        <w:tc>
          <w:tcPr>
            <w:tcW w:w="3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789.2</w:t>
            </w: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745.5</w:t>
            </w: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693.1</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724.3</w:t>
            </w:r>
          </w:p>
        </w:tc>
      </w:tr>
      <w:tr>
        <w:trPr>
          <w:trHeight w:val="224"/>
        </w:trPr>
        <w:tc>
          <w:tcPr>
            <w:tcW w:w="5140" w:type="dxa"/>
            <w:vAlign w:val="bottom"/>
          </w:tcPr>
          <w:p>
            <w:pPr>
              <w:ind w:left="140"/>
              <w:spacing w:after="0"/>
              <w:rPr>
                <w:sz w:val="20"/>
                <w:szCs w:val="20"/>
                <w:color w:val="auto"/>
              </w:rPr>
            </w:pPr>
            <w:r>
              <w:rPr>
                <w:rFonts w:ascii="Arial" w:cs="Arial" w:eastAsia="Arial" w:hAnsi="Arial"/>
                <w:sz w:val="17"/>
                <w:szCs w:val="17"/>
                <w:color w:val="auto"/>
              </w:rPr>
              <w:t>Net earnings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556.7</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545.4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443.7</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419.2</w:t>
            </w:r>
          </w:p>
        </w:tc>
        <w:tc>
          <w:tcPr>
            <w:tcW w:w="38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427.6</w:t>
            </w:r>
          </w:p>
        </w:tc>
      </w:tr>
      <w:tr>
        <w:trPr>
          <w:trHeight w:val="25"/>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Per Share Data</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r>
      <w:tr>
        <w:trPr>
          <w:trHeight w:val="224"/>
        </w:trPr>
        <w:tc>
          <w:tcPr>
            <w:tcW w:w="5140" w:type="dxa"/>
            <w:vAlign w:val="bottom"/>
          </w:tcPr>
          <w:p>
            <w:pPr>
              <w:ind w:left="140"/>
              <w:spacing w:after="0"/>
              <w:rPr>
                <w:sz w:val="20"/>
                <w:szCs w:val="20"/>
                <w:color w:val="auto"/>
              </w:rPr>
            </w:pPr>
            <w:r>
              <w:rPr>
                <w:rFonts w:ascii="Arial" w:cs="Arial" w:eastAsia="Arial" w:hAnsi="Arial"/>
                <w:sz w:val="17"/>
                <w:szCs w:val="17"/>
                <w:color w:val="auto"/>
              </w:rPr>
              <w:t>Net earnings — basic</w:t>
            </w: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8.62</w:t>
            </w:r>
          </w:p>
        </w:tc>
        <w:tc>
          <w:tcPr>
            <w:tcW w:w="3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8.13</w:t>
            </w:r>
          </w:p>
        </w:tc>
        <w:tc>
          <w:tcPr>
            <w:tcW w:w="38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6.33</w:t>
            </w:r>
          </w:p>
        </w:tc>
        <w:tc>
          <w:tcPr>
            <w:tcW w:w="36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5.46</w:t>
            </w:r>
          </w:p>
        </w:tc>
        <w:tc>
          <w:tcPr>
            <w:tcW w:w="38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5.38</w:t>
            </w:r>
          </w:p>
        </w:tc>
      </w:tr>
      <w:tr>
        <w:trPr>
          <w:trHeight w:val="25"/>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earnings — diluted</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8.56</w:t>
            </w: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8.04</w:t>
            </w:r>
          </w:p>
        </w:tc>
        <w:tc>
          <w:tcPr>
            <w:tcW w:w="3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6.27</w:t>
            </w: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3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5.30</w:t>
            </w:r>
          </w:p>
        </w:tc>
      </w:tr>
      <w:tr>
        <w:trPr>
          <w:trHeight w:val="224"/>
        </w:trPr>
        <w:tc>
          <w:tcPr>
            <w:tcW w:w="5140" w:type="dxa"/>
            <w:vAlign w:val="bottom"/>
          </w:tcPr>
          <w:p>
            <w:pPr>
              <w:ind w:left="140"/>
              <w:spacing w:after="0"/>
              <w:rPr>
                <w:sz w:val="20"/>
                <w:szCs w:val="20"/>
                <w:color w:val="auto"/>
              </w:rPr>
            </w:pPr>
            <w:r>
              <w:rPr>
                <w:rFonts w:ascii="Arial" w:cs="Arial" w:eastAsia="Arial" w:hAnsi="Arial"/>
                <w:sz w:val="17"/>
                <w:szCs w:val="17"/>
                <w:color w:val="auto"/>
              </w:rPr>
              <w:t>Dividends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1.86</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1.72</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1.60</w:t>
            </w:r>
          </w:p>
        </w:tc>
        <w:tc>
          <w:tcPr>
            <w:tcW w:w="38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0.98</w:t>
            </w:r>
          </w:p>
        </w:tc>
      </w:tr>
      <w:tr>
        <w:trPr>
          <w:trHeight w:val="25"/>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92"/>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Sheet Data</w:t>
            </w:r>
          </w:p>
        </w:tc>
        <w:tc>
          <w:tcPr>
            <w:tcW w:w="3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r>
      <w:tr>
        <w:trPr>
          <w:trHeight w:val="224"/>
        </w:trPr>
        <w:tc>
          <w:tcPr>
            <w:tcW w:w="5140" w:type="dxa"/>
            <w:vAlign w:val="bottom"/>
          </w:tcPr>
          <w:p>
            <w:pPr>
              <w:ind w:left="140"/>
              <w:spacing w:after="0"/>
              <w:rPr>
                <w:sz w:val="20"/>
                <w:szCs w:val="20"/>
                <w:color w:val="auto"/>
              </w:rPr>
            </w:pPr>
            <w:r>
              <w:rPr>
                <w:rFonts w:ascii="Arial" w:cs="Arial" w:eastAsia="Arial" w:hAnsi="Arial"/>
                <w:sz w:val="17"/>
                <w:szCs w:val="17"/>
                <w:color w:val="auto"/>
              </w:rPr>
              <w:t>Total assets</w:t>
            </w: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8,519.8</w:t>
            </w:r>
          </w:p>
        </w:tc>
        <w:tc>
          <w:tcPr>
            <w:tcW w:w="3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8,883.6</w:t>
            </w:r>
          </w:p>
        </w:tc>
        <w:tc>
          <w:tcPr>
            <w:tcW w:w="38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7,574.2</w:t>
            </w:r>
          </w:p>
        </w:tc>
        <w:tc>
          <w:tcPr>
            <w:tcW w:w="36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7,517.5</w:t>
            </w:r>
          </w:p>
        </w:tc>
        <w:tc>
          <w:tcPr>
            <w:tcW w:w="38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7,181.2</w:t>
            </w:r>
          </w:p>
        </w:tc>
      </w:tr>
      <w:tr>
        <w:trPr>
          <w:trHeight w:val="25"/>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Long-term debt</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1,075.4</w:t>
            </w: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478.1</w:t>
            </w:r>
          </w:p>
        </w:tc>
        <w:tc>
          <w:tcPr>
            <w:tcW w:w="3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785.6</w:t>
            </w:r>
          </w:p>
        </w:tc>
        <w:tc>
          <w:tcPr>
            <w:tcW w:w="3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810.9</w:t>
            </w:r>
          </w:p>
        </w:tc>
        <w:tc>
          <w:tcPr>
            <w:tcW w:w="3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422.6</w:t>
            </w:r>
          </w:p>
        </w:tc>
      </w:tr>
      <w:tr>
        <w:trPr>
          <w:trHeight w:val="20"/>
        </w:trPr>
        <w:tc>
          <w:tcPr>
            <w:tcW w:w="5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p>
      <w:pPr>
        <w:jc w:val="both"/>
        <w:ind w:right="60"/>
        <w:spacing w:after="0" w:line="283" w:lineRule="auto"/>
        <w:tabs>
          <w:tab w:leader="none" w:pos="235" w:val="left"/>
        </w:tabs>
        <w:numPr>
          <w:ilvl w:val="0"/>
          <w:numId w:val="17"/>
        </w:numPr>
        <w:rPr>
          <w:rFonts w:ascii="Arial" w:cs="Arial" w:eastAsia="Arial" w:hAnsi="Arial"/>
          <w:sz w:val="15"/>
          <w:szCs w:val="15"/>
          <w:color w:val="auto"/>
        </w:rPr>
      </w:pPr>
      <w:r>
        <w:rPr>
          <w:rFonts w:ascii="Arial" w:cs="Arial" w:eastAsia="Arial" w:hAnsi="Arial"/>
          <w:sz w:val="15"/>
          <w:szCs w:val="15"/>
          <w:color w:val="auto"/>
        </w:rPr>
        <w:t>As of January 1, 2018, we adopted new accounting guidance on presentation of net periodic pension and postretirement benefit cost ("net benefit cost"). Under the new guidance, we are required to present non-service cost components of net benefit cost in interest and other expenses, as opposed to selling and administrative expenses. All previously reported results have been restated to conform to the current year presentation. (See Note 9 to the Consolidated Financial Statements found in Item 8.</w:t>
      </w:r>
    </w:p>
    <w:p>
      <w:pPr>
        <w:spacing w:after="0"/>
        <w:rPr>
          <w:rFonts w:ascii="Arial" w:cs="Arial" w:eastAsia="Arial" w:hAnsi="Arial"/>
          <w:sz w:val="15"/>
          <w:szCs w:val="15"/>
          <w:color w:val="auto"/>
        </w:rPr>
      </w:pPr>
      <w:r>
        <w:rPr>
          <w:rFonts w:ascii="Arial" w:cs="Arial" w:eastAsia="Arial" w:hAnsi="Arial"/>
          <w:sz w:val="17"/>
          <w:szCs w:val="17"/>
          <w:color w:val="auto"/>
        </w:rPr>
        <w:t>"Financial Statements and Supplementary Data" for further information.)</w:t>
      </w:r>
    </w:p>
    <w:p>
      <w:pPr>
        <w:spacing w:after="0" w:line="386"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282A32"/>
        </w:rPr>
        <w:t>Financial Measures — Constant Currency And Organic Constant Currency</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282A32"/>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84"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282A32"/>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ongoing business.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347" w:right="239" w:bottom="1440" w:gutter="0" w:footer="0" w:header="0"/>
        </w:sectPr>
      </w:pPr>
    </w:p>
    <w:bookmarkStart w:id="26" w:name="page27"/>
    <w:bookmarkEnd w:id="26"/>
    <w:p>
      <w:pPr>
        <w:spacing w:after="0" w:line="265" w:lineRule="auto"/>
        <w:rPr>
          <w:sz w:val="20"/>
          <w:szCs w:val="20"/>
          <w:color w:val="auto"/>
        </w:rPr>
      </w:pPr>
      <w:r>
        <w:rPr>
          <w:rFonts w:ascii="Arial" w:cs="Arial" w:eastAsia="Arial" w:hAnsi="Arial"/>
          <w:sz w:val="17"/>
          <w:szCs w:val="17"/>
          <w:color w:val="282A32"/>
        </w:rPr>
        <w:t>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67" w:lineRule="exact"/>
        <w:rPr>
          <w:sz w:val="20"/>
          <w:szCs w:val="20"/>
          <w:color w:val="auto"/>
        </w:rPr>
      </w:pPr>
    </w:p>
    <w:p>
      <w:pPr>
        <w:spacing w:after="0" w:line="265" w:lineRule="auto"/>
        <w:rPr>
          <w:sz w:val="20"/>
          <w:szCs w:val="20"/>
          <w:color w:val="auto"/>
        </w:rPr>
      </w:pPr>
      <w:r>
        <w:rPr>
          <w:rFonts w:ascii="Arial" w:cs="Arial" w:eastAsia="Arial" w:hAnsi="Arial"/>
          <w:sz w:val="17"/>
          <w:szCs w:val="17"/>
          <w:color w:val="282A32"/>
        </w:rPr>
        <w:t>Constant currency and organic constant currency percent variances, along with a reconciliation of these amounts to certain of our reported results, are included on pages 38 and 39.</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282A32"/>
        </w:rPr>
        <w:t>Results of Operations - For Years of Operation Ending December 31, 2018 and 2017</w:t>
      </w:r>
    </w:p>
    <w:p>
      <w:pPr>
        <w:spacing w:after="0" w:line="20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 xml:space="preserve">During </w:t>
      </w:r>
      <w:r>
        <w:rPr>
          <w:rFonts w:ascii="Arial" w:cs="Arial" w:eastAsia="Arial" w:hAnsi="Arial"/>
          <w:sz w:val="16"/>
          <w:szCs w:val="16"/>
          <w:color w:val="282A32"/>
        </w:rPr>
        <w:t>2018</w:t>
      </w:r>
      <w:r>
        <w:rPr>
          <w:rFonts w:ascii="Arial" w:cs="Arial" w:eastAsia="Arial" w:hAnsi="Arial"/>
          <w:sz w:val="16"/>
          <w:szCs w:val="16"/>
          <w:color w:val="auto"/>
        </w:rPr>
        <w:t>, t</w:t>
      </w:r>
      <w:r>
        <w:rPr>
          <w:rFonts w:ascii="Arial" w:cs="Arial" w:eastAsia="Arial" w:hAnsi="Arial"/>
          <w:sz w:val="16"/>
          <w:szCs w:val="16"/>
          <w:color w:val="282A32"/>
        </w:rPr>
        <w:t>he United States dollar was weaker, on average, relative to the currencies in Europe, having a favorable impact on our reported results.</w:t>
      </w:r>
      <w:r>
        <w:rPr>
          <w:rFonts w:ascii="Arial" w:cs="Arial" w:eastAsia="Arial" w:hAnsi="Arial"/>
          <w:sz w:val="16"/>
          <w:szCs w:val="16"/>
          <w:color w:val="auto"/>
        </w:rPr>
        <w:t xml:space="preserve"> While our reported revenues from services increased </w:t>
      </w:r>
      <w:r>
        <w:rPr>
          <w:rFonts w:ascii="Arial" w:cs="Arial" w:eastAsia="Arial" w:hAnsi="Arial"/>
          <w:sz w:val="16"/>
          <w:szCs w:val="16"/>
          <w:color w:val="282A32"/>
        </w:rPr>
        <w:t>4.5%</w:t>
      </w:r>
      <w:r>
        <w:rPr>
          <w:rFonts w:ascii="Arial" w:cs="Arial" w:eastAsia="Arial" w:hAnsi="Arial"/>
          <w:sz w:val="16"/>
          <w:szCs w:val="16"/>
          <w:color w:val="auto"/>
        </w:rPr>
        <w:t xml:space="preserve"> from </w:t>
      </w:r>
      <w:r>
        <w:rPr>
          <w:rFonts w:ascii="Arial" w:cs="Arial" w:eastAsia="Arial" w:hAnsi="Arial"/>
          <w:sz w:val="16"/>
          <w:szCs w:val="16"/>
          <w:color w:val="282A32"/>
        </w:rPr>
        <w:t>2017</w:t>
      </w:r>
      <w:r>
        <w:rPr>
          <w:rFonts w:ascii="Arial" w:cs="Arial" w:eastAsia="Arial" w:hAnsi="Arial"/>
          <w:sz w:val="16"/>
          <w:szCs w:val="16"/>
          <w:color w:val="auto"/>
        </w:rPr>
        <w:t xml:space="preserve">, our reported operating profit increased </w:t>
      </w:r>
      <w:r>
        <w:rPr>
          <w:rFonts w:ascii="Arial" w:cs="Arial" w:eastAsia="Arial" w:hAnsi="Arial"/>
          <w:sz w:val="16"/>
          <w:szCs w:val="16"/>
          <w:color w:val="282A32"/>
        </w:rPr>
        <w:t>0.9%</w:t>
      </w:r>
      <w:r>
        <w:rPr>
          <w:rFonts w:ascii="Arial" w:cs="Arial" w:eastAsia="Arial" w:hAnsi="Arial"/>
          <w:sz w:val="16"/>
          <w:szCs w:val="16"/>
          <w:color w:val="auto"/>
        </w:rPr>
        <w:t xml:space="preserve">, and our net earnings per share – diluted increased 6.5%, these results were impacted by the relative strength of other currencies against the United States dollar compared to </w:t>
      </w:r>
      <w:r>
        <w:rPr>
          <w:rFonts w:ascii="Arial" w:cs="Arial" w:eastAsia="Arial" w:hAnsi="Arial"/>
          <w:sz w:val="16"/>
          <w:szCs w:val="16"/>
          <w:color w:val="282A32"/>
        </w:rPr>
        <w:t>2017</w:t>
      </w:r>
      <w:r>
        <w:rPr>
          <w:rFonts w:ascii="Arial" w:cs="Arial" w:eastAsia="Arial" w:hAnsi="Arial"/>
          <w:sz w:val="16"/>
          <w:szCs w:val="16"/>
          <w:color w:val="auto"/>
        </w:rPr>
        <w:t xml:space="preserve">, and generally may overstate the performance of our underlying business. The changes in the foreign currency exchange rates had a </w:t>
      </w:r>
      <w:r>
        <w:rPr>
          <w:rFonts w:ascii="Arial" w:cs="Arial" w:eastAsia="Arial" w:hAnsi="Arial"/>
          <w:sz w:val="16"/>
          <w:szCs w:val="16"/>
          <w:color w:val="282A32"/>
        </w:rPr>
        <w:t>2.0%</w:t>
      </w:r>
      <w:r>
        <w:rPr>
          <w:rFonts w:ascii="Arial" w:cs="Arial" w:eastAsia="Arial" w:hAnsi="Arial"/>
          <w:sz w:val="16"/>
          <w:szCs w:val="16"/>
          <w:color w:val="auto"/>
        </w:rPr>
        <w:t xml:space="preserve"> favorable impact on revenues from services, a </w:t>
      </w:r>
      <w:r>
        <w:rPr>
          <w:rFonts w:ascii="Arial" w:cs="Arial" w:eastAsia="Arial" w:hAnsi="Arial"/>
          <w:sz w:val="16"/>
          <w:szCs w:val="16"/>
          <w:color w:val="282A32"/>
        </w:rPr>
        <w:t>1.3%</w:t>
      </w:r>
      <w:r>
        <w:rPr>
          <w:rFonts w:ascii="Arial" w:cs="Arial" w:eastAsia="Arial" w:hAnsi="Arial"/>
          <w:sz w:val="16"/>
          <w:szCs w:val="16"/>
          <w:color w:val="auto"/>
        </w:rPr>
        <w:t xml:space="preserve"> favorable impact on operating profit, and an approximately </w:t>
      </w:r>
      <w:r>
        <w:rPr>
          <w:rFonts w:ascii="Arial" w:cs="Arial" w:eastAsia="Arial" w:hAnsi="Arial"/>
          <w:sz w:val="16"/>
          <w:szCs w:val="16"/>
          <w:color w:val="282A32"/>
        </w:rPr>
        <w:t>$0.08</w:t>
      </w:r>
      <w:r>
        <w:rPr>
          <w:rFonts w:ascii="Arial" w:cs="Arial" w:eastAsia="Arial" w:hAnsi="Arial"/>
          <w:sz w:val="16"/>
          <w:szCs w:val="16"/>
          <w:color w:val="auto"/>
        </w:rPr>
        <w:t xml:space="preserve"> per share favorable impact on net earnings per share – diluted.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69"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color w:val="282A32"/>
        </w:rPr>
        <w:t>2018</w:t>
      </w:r>
      <w:r>
        <w:rPr>
          <w:rFonts w:ascii="Arial" w:cs="Arial" w:eastAsia="Arial" w:hAnsi="Arial"/>
          <w:sz w:val="17"/>
          <w:szCs w:val="17"/>
          <w:color w:val="auto"/>
        </w:rPr>
        <w:t xml:space="preserve">, we experienced uneven results as we saw constant currency revenue declines in the United States, Northern Europe, and Right Management, while we saw constant-currency revenue growth in Other Americas, France, Italy, Other Southern Europe and APME. Our consolidated revenues were up </w:t>
      </w:r>
      <w:r>
        <w:rPr>
          <w:rFonts w:ascii="Arial" w:cs="Arial" w:eastAsia="Arial" w:hAnsi="Arial"/>
          <w:sz w:val="17"/>
          <w:szCs w:val="17"/>
          <w:color w:val="282A32"/>
        </w:rPr>
        <w:t>2.5%</w:t>
      </w:r>
      <w:r>
        <w:rPr>
          <w:rFonts w:ascii="Arial" w:cs="Arial" w:eastAsia="Arial" w:hAnsi="Arial"/>
          <w:sz w:val="17"/>
          <w:szCs w:val="17"/>
          <w:color w:val="auto"/>
        </w:rPr>
        <w:t xml:space="preserve"> in constant currency in </w:t>
      </w:r>
      <w:r>
        <w:rPr>
          <w:rFonts w:ascii="Arial" w:cs="Arial" w:eastAsia="Arial" w:hAnsi="Arial"/>
          <w:sz w:val="17"/>
          <w:szCs w:val="17"/>
          <w:color w:val="282A32"/>
        </w:rPr>
        <w:t xml:space="preserve">2018 </w:t>
      </w:r>
      <w:r>
        <w:rPr>
          <w:rFonts w:ascii="Arial" w:cs="Arial" w:eastAsia="Arial" w:hAnsi="Arial"/>
          <w:sz w:val="17"/>
          <w:szCs w:val="17"/>
          <w:color w:val="000000"/>
        </w:rPr>
        <w:t>compared to</w:t>
      </w:r>
      <w:r>
        <w:rPr>
          <w:rFonts w:ascii="Arial" w:cs="Arial" w:eastAsia="Arial" w:hAnsi="Arial"/>
          <w:sz w:val="17"/>
          <w:szCs w:val="17"/>
          <w:color w:val="282A32"/>
        </w:rPr>
        <w:t xml:space="preserve"> 2017</w:t>
      </w:r>
      <w:r>
        <w:rPr>
          <w:rFonts w:ascii="Arial" w:cs="Arial" w:eastAsia="Arial" w:hAnsi="Arial"/>
          <w:sz w:val="17"/>
          <w:szCs w:val="17"/>
          <w:color w:val="000000"/>
        </w:rPr>
        <w:t>.</w:t>
      </w:r>
    </w:p>
    <w:p>
      <w:pPr>
        <w:spacing w:after="0" w:line="177" w:lineRule="exact"/>
        <w:rPr>
          <w:sz w:val="20"/>
          <w:szCs w:val="20"/>
          <w:color w:val="auto"/>
        </w:rPr>
      </w:pPr>
    </w:p>
    <w:p>
      <w:pPr>
        <w:spacing w:after="0" w:line="334" w:lineRule="auto"/>
        <w:rPr>
          <w:sz w:val="20"/>
          <w:szCs w:val="20"/>
          <w:color w:val="auto"/>
        </w:rPr>
      </w:pPr>
      <w:r>
        <w:rPr>
          <w:rFonts w:ascii="Arial" w:cs="Arial" w:eastAsia="Arial" w:hAnsi="Arial"/>
          <w:sz w:val="13"/>
          <w:szCs w:val="13"/>
          <w:color w:val="auto"/>
        </w:rPr>
        <w:t>We experienced increasing demand in the first half of the year while demand softened to a nearly flat consolidated growth rate in the second half of the year, primarily driven by lower growth rates or declines in constant currency in most of our European markets, most notably France, Italy and Germany. Our 2018 results reflect a slower growth environment during the second half of the year in certain markets within Southern and Northern Europe, which when combined represented approximately 67% of our total consolidated revenues. We expect the European economic slowdown experienced in the second half of 2018 to continue into at least the first quarter of 2019. Beyond that, we cannot predict if the trend will continue, reverse or intensify. The constant currency revenue decrease in Northern Europe was primarily due to a decrease in Germany resulting from challenges with the implementation of new systems and actions taken to optimize our delivery channels that caused some client disruption, as well as softer demand from the manufacturing sector in that market. We experienced better performance from our Southern Europe segment than from our Northern Europe segment, as discussed below under "Segment Results" due to the revenue increases in Italy, France, and certain other markets within Southern Europe. France experienced uneven but declining economic conditions with certain economic indicators and business confidence measures reaching their lowest point during the second half of 2018.</w:t>
      </w:r>
    </w:p>
    <w:p>
      <w:pPr>
        <w:spacing w:after="0" w:line="330" w:lineRule="exact"/>
        <w:rPr>
          <w:sz w:val="20"/>
          <w:szCs w:val="20"/>
          <w:color w:val="auto"/>
        </w:rPr>
      </w:pPr>
    </w:p>
    <w:p>
      <w:pPr>
        <w:ind w:right="420"/>
        <w:spacing w:after="0" w:line="254" w:lineRule="auto"/>
        <w:rPr>
          <w:sz w:val="20"/>
          <w:szCs w:val="20"/>
          <w:color w:val="auto"/>
        </w:rPr>
      </w:pPr>
      <w:r>
        <w:rPr>
          <w:rFonts w:ascii="Arial" w:cs="Arial" w:eastAsia="Arial" w:hAnsi="Arial"/>
          <w:sz w:val="17"/>
          <w:szCs w:val="17"/>
          <w:color w:val="auto"/>
        </w:rPr>
        <w:t>Our ManpowerGroup Solutions business had strong growth in 2018 in addition to a 6.9% constant currency increase (8.4% as reported) in our permanent recruitment business. At Right Management, we experienced a constant currency revenue decline for both our outplacement services, due to the counter-cyclical nature of this business, and our talent management services.</w:t>
      </w:r>
    </w:p>
    <w:p>
      <w:pPr>
        <w:spacing w:after="0" w:line="177"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 xml:space="preserve">Our gross profit margin in 2018 decreased compared to 2017 primarily due to the decline in our staffing/interim gross profit margin. The staffing/interim gross profit margin decline is due to the decrease </w:t>
      </w:r>
      <w:r>
        <w:rPr>
          <w:rFonts w:ascii="Arial" w:cs="Arial" w:eastAsia="Arial" w:hAnsi="Arial"/>
          <w:sz w:val="15"/>
          <w:szCs w:val="15"/>
          <w:color w:val="282A32"/>
        </w:rPr>
        <w:t>in the CICE payroll tax credit rate in France and the loss of the December 2018 CICE subsidy as a result of the transition from the</w:t>
      </w:r>
      <w:r>
        <w:rPr>
          <w:rFonts w:ascii="Arial" w:cs="Arial" w:eastAsia="Arial" w:hAnsi="Arial"/>
          <w:sz w:val="15"/>
          <w:szCs w:val="15"/>
          <w:color w:val="auto"/>
        </w:rPr>
        <w:t xml:space="preserve"> </w:t>
      </w:r>
      <w:r>
        <w:rPr>
          <w:rFonts w:ascii="Arial" w:cs="Arial" w:eastAsia="Arial" w:hAnsi="Arial"/>
          <w:sz w:val="15"/>
          <w:szCs w:val="15"/>
          <w:color w:val="282A32"/>
        </w:rPr>
        <w:t xml:space="preserve">CICE program to a new subsidy program in January 2019, </w:t>
      </w:r>
      <w:r>
        <w:rPr>
          <w:rFonts w:ascii="Arial" w:cs="Arial" w:eastAsia="Arial" w:hAnsi="Arial"/>
          <w:sz w:val="15"/>
          <w:szCs w:val="15"/>
          <w:color w:val="000000"/>
        </w:rPr>
        <w:t>and business mix changes in various countries. These unfavorable impacts were partially offset by favorable</w:t>
      </w:r>
      <w:r>
        <w:rPr>
          <w:rFonts w:ascii="Arial" w:cs="Arial" w:eastAsia="Arial" w:hAnsi="Arial"/>
          <w:sz w:val="15"/>
          <w:szCs w:val="15"/>
          <w:color w:val="282A32"/>
        </w:rPr>
        <w:t xml:space="preserve"> </w:t>
      </w:r>
      <w:r>
        <w:rPr>
          <w:rFonts w:ascii="Arial" w:cs="Arial" w:eastAsia="Arial" w:hAnsi="Arial"/>
          <w:sz w:val="15"/>
          <w:szCs w:val="15"/>
          <w:color w:val="000000"/>
        </w:rPr>
        <w:t>direct costs adjustments in 2018, primarily in France and Japan. The margin also declined due to the decreased demand in our outplacement business at Right Management. These declines were partially offset by the increase in our permanent recruitment business. The CICE payroll tax credit is accounted for as a reduction of our cost of services in the period, and has had a favorable impact on our consolidated gross margin, as well as margins in France and Southern Europe since 2013. The CICE program was replaced with new subsidies starting in January 2019 and we expect this replacement to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351" w:right="239" w:bottom="1440" w:gutter="0" w:footer="0" w:header="0"/>
        </w:sectPr>
      </w:pPr>
    </w:p>
    <w:bookmarkStart w:id="27" w:name="page28"/>
    <w:bookmarkEnd w:id="27"/>
    <w:p>
      <w:pPr>
        <w:spacing w:after="0"/>
        <w:rPr>
          <w:sz w:val="20"/>
          <w:szCs w:val="20"/>
          <w:color w:val="auto"/>
        </w:rPr>
      </w:pPr>
      <w:r>
        <w:rPr>
          <w:rFonts w:ascii="Arial" w:cs="Arial" w:eastAsia="Arial" w:hAnsi="Arial"/>
          <w:sz w:val="15"/>
          <w:szCs w:val="15"/>
          <w:color w:val="auto"/>
        </w:rPr>
        <w:t>negative impact on our gross profit margin. The new subsidies and their anticipated impact is discussed in the section, "Legal Regulations," found in Item 1. "Business."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282A32"/>
        </w:rPr>
        <w:t>Our operating profit decreased in 2018, down 0.4% in constant currency (0.9% increase as reported) with operating profit margin down 20 basis points compared to 2017. Included in 2018 and 2017 were $39.3 million and $34.5 million, respectively, of restructuring costs primarily related to the integration of certain acquisitions and front-office, back-office and delivery-model optimization. Excluding the restructuring costs in both 2018 and 2017, our operating profit was down 0.2% in constant currency with operating profit margin down 10 basis points compared to 2017. We continue to monitor expenses closely to ensure we maintain the benefit of our efforts to optimize our organizational and cost structures, while investing appropriately to support the growth in the business and enhance our productivity and technology and digital capabilities.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282A32"/>
        </w:rPr>
        <w:t>Consolidated Results - 2018 compared to 2017</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282A32"/>
        </w:rPr>
        <w:t>The following table presents selected consolidated financial data for 2018 as compared to 2017.</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4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jc w:val="right"/>
              <w:ind w:right="117"/>
              <w:spacing w:after="0"/>
              <w:rPr>
                <w:sz w:val="20"/>
                <w:szCs w:val="20"/>
                <w:color w:val="auto"/>
              </w:rPr>
            </w:pPr>
            <w:r>
              <w:rPr>
                <w:rFonts w:ascii="Arial" w:cs="Arial" w:eastAsia="Arial" w:hAnsi="Arial"/>
                <w:sz w:val="17"/>
                <w:szCs w:val="17"/>
                <w:color w:val="282A32"/>
                <w:w w:val="96"/>
              </w:rPr>
              <w:t>Variance in</w:t>
            </w:r>
          </w:p>
        </w:tc>
      </w:tr>
      <w:tr>
        <w:trPr>
          <w:trHeight w:val="199"/>
        </w:trPr>
        <w:tc>
          <w:tcPr>
            <w:tcW w:w="4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jc w:val="right"/>
              <w:ind w:right="177"/>
              <w:spacing w:after="0"/>
              <w:rPr>
                <w:sz w:val="20"/>
                <w:szCs w:val="20"/>
                <w:color w:val="auto"/>
              </w:rPr>
            </w:pPr>
            <w:r>
              <w:rPr>
                <w:rFonts w:ascii="Arial" w:cs="Arial" w:eastAsia="Arial" w:hAnsi="Arial"/>
                <w:sz w:val="17"/>
                <w:szCs w:val="17"/>
                <w:color w:val="282A32"/>
                <w:w w:val="96"/>
              </w:rPr>
              <w:t>Variance in</w:t>
            </w:r>
          </w:p>
        </w:tc>
        <w:tc>
          <w:tcPr>
            <w:tcW w:w="1040" w:type="dxa"/>
            <w:vAlign w:val="bottom"/>
          </w:tcPr>
          <w:p>
            <w:pPr>
              <w:jc w:val="right"/>
              <w:ind w:right="117"/>
              <w:spacing w:after="0"/>
              <w:rPr>
                <w:sz w:val="20"/>
                <w:szCs w:val="20"/>
                <w:color w:val="auto"/>
              </w:rPr>
            </w:pPr>
            <w:r>
              <w:rPr>
                <w:rFonts w:ascii="Arial" w:cs="Arial" w:eastAsia="Arial" w:hAnsi="Arial"/>
                <w:sz w:val="17"/>
                <w:szCs w:val="17"/>
                <w:color w:val="282A32"/>
              </w:rPr>
              <w:t>Organic</w:t>
            </w:r>
          </w:p>
        </w:tc>
      </w:tr>
      <w:tr>
        <w:trPr>
          <w:trHeight w:val="199"/>
        </w:trPr>
        <w:tc>
          <w:tcPr>
            <w:tcW w:w="4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40" w:type="dxa"/>
            <w:vAlign w:val="bottom"/>
          </w:tcPr>
          <w:p>
            <w:pPr>
              <w:jc w:val="right"/>
              <w:ind w:right="197"/>
              <w:spacing w:after="0"/>
              <w:rPr>
                <w:sz w:val="20"/>
                <w:szCs w:val="20"/>
                <w:color w:val="auto"/>
              </w:rPr>
            </w:pPr>
            <w:r>
              <w:rPr>
                <w:rFonts w:ascii="Arial" w:cs="Arial" w:eastAsia="Arial" w:hAnsi="Arial"/>
                <w:sz w:val="17"/>
                <w:szCs w:val="17"/>
                <w:color w:val="282A32"/>
              </w:rPr>
              <w:t>Reported</w:t>
            </w:r>
          </w:p>
        </w:tc>
        <w:tc>
          <w:tcPr>
            <w:tcW w:w="1100" w:type="dxa"/>
            <w:vAlign w:val="bottom"/>
          </w:tcPr>
          <w:p>
            <w:pPr>
              <w:jc w:val="right"/>
              <w:ind w:right="177"/>
              <w:spacing w:after="0"/>
              <w:rPr>
                <w:sz w:val="20"/>
                <w:szCs w:val="20"/>
                <w:color w:val="auto"/>
              </w:rPr>
            </w:pPr>
            <w:r>
              <w:rPr>
                <w:rFonts w:ascii="Arial" w:cs="Arial" w:eastAsia="Arial" w:hAnsi="Arial"/>
                <w:sz w:val="17"/>
                <w:szCs w:val="17"/>
                <w:color w:val="282A32"/>
              </w:rPr>
              <w:t>Constant</w:t>
            </w:r>
          </w:p>
        </w:tc>
        <w:tc>
          <w:tcPr>
            <w:tcW w:w="1040" w:type="dxa"/>
            <w:vAlign w:val="bottom"/>
          </w:tcPr>
          <w:p>
            <w:pPr>
              <w:jc w:val="right"/>
              <w:ind w:right="117"/>
              <w:spacing w:after="0"/>
              <w:rPr>
                <w:sz w:val="20"/>
                <w:szCs w:val="20"/>
                <w:color w:val="auto"/>
              </w:rPr>
            </w:pPr>
            <w:r>
              <w:rPr>
                <w:rFonts w:ascii="Arial" w:cs="Arial" w:eastAsia="Arial" w:hAnsi="Arial"/>
                <w:sz w:val="17"/>
                <w:szCs w:val="17"/>
                <w:color w:val="282A32"/>
              </w:rPr>
              <w:t>Constant</w:t>
            </w:r>
          </w:p>
        </w:tc>
      </w:tr>
      <w:tr>
        <w:trPr>
          <w:trHeight w:val="212"/>
        </w:trPr>
        <w:tc>
          <w:tcPr>
            <w:tcW w:w="4540" w:type="dxa"/>
            <w:vAlign w:val="bottom"/>
          </w:tcPr>
          <w:p>
            <w:pPr>
              <w:ind w:left="20"/>
              <w:spacing w:after="0"/>
              <w:rPr>
                <w:sz w:val="20"/>
                <w:szCs w:val="20"/>
                <w:color w:val="auto"/>
              </w:rPr>
            </w:pPr>
            <w:r>
              <w:rPr>
                <w:rFonts w:ascii="Arial" w:cs="Arial" w:eastAsia="Arial" w:hAnsi="Arial"/>
                <w:sz w:val="17"/>
                <w:szCs w:val="17"/>
                <w:i w:val="1"/>
                <w:iCs w:val="1"/>
                <w:color w:val="282A32"/>
              </w:rPr>
              <w:t>(in millions, except per share data)</w:t>
            </w:r>
          </w:p>
        </w:tc>
        <w:tc>
          <w:tcPr>
            <w:tcW w:w="1120" w:type="dxa"/>
            <w:vAlign w:val="bottom"/>
          </w:tcPr>
          <w:p>
            <w:pPr>
              <w:spacing w:after="0"/>
              <w:rPr>
                <w:sz w:val="18"/>
                <w:szCs w:val="18"/>
                <w:color w:val="auto"/>
              </w:rPr>
            </w:pPr>
          </w:p>
        </w:tc>
        <w:tc>
          <w:tcPr>
            <w:tcW w:w="960" w:type="dxa"/>
            <w:vAlign w:val="bottom"/>
          </w:tcPr>
          <w:p>
            <w:pPr>
              <w:jc w:val="right"/>
              <w:ind w:right="77"/>
              <w:spacing w:after="0"/>
              <w:rPr>
                <w:sz w:val="20"/>
                <w:szCs w:val="20"/>
                <w:color w:val="auto"/>
              </w:rPr>
            </w:pPr>
            <w:r>
              <w:rPr>
                <w:rFonts w:ascii="Arial" w:cs="Arial" w:eastAsia="Arial" w:hAnsi="Arial"/>
                <w:sz w:val="17"/>
                <w:szCs w:val="17"/>
                <w:color w:val="282A32"/>
              </w:rPr>
              <w:t>2018</w:t>
            </w:r>
          </w:p>
        </w:tc>
        <w:tc>
          <w:tcPr>
            <w:tcW w:w="320" w:type="dxa"/>
            <w:vAlign w:val="bottom"/>
          </w:tcPr>
          <w:p>
            <w:pPr>
              <w:spacing w:after="0"/>
              <w:rPr>
                <w:sz w:val="18"/>
                <w:szCs w:val="18"/>
                <w:color w:val="auto"/>
              </w:rPr>
            </w:pPr>
          </w:p>
        </w:tc>
        <w:tc>
          <w:tcPr>
            <w:tcW w:w="1080" w:type="dxa"/>
            <w:vAlign w:val="bottom"/>
          </w:tcPr>
          <w:p>
            <w:pPr>
              <w:jc w:val="right"/>
              <w:ind w:right="217"/>
              <w:spacing w:after="0"/>
              <w:rPr>
                <w:sz w:val="20"/>
                <w:szCs w:val="20"/>
                <w:color w:val="auto"/>
              </w:rPr>
            </w:pPr>
            <w:r>
              <w:rPr>
                <w:rFonts w:ascii="Arial" w:cs="Arial" w:eastAsia="Arial" w:hAnsi="Arial"/>
                <w:sz w:val="17"/>
                <w:szCs w:val="17"/>
                <w:color w:val="282A32"/>
              </w:rPr>
              <w:t>2017</w:t>
            </w:r>
          </w:p>
        </w:tc>
        <w:tc>
          <w:tcPr>
            <w:tcW w:w="1040" w:type="dxa"/>
            <w:vAlign w:val="bottom"/>
          </w:tcPr>
          <w:p>
            <w:pPr>
              <w:jc w:val="right"/>
              <w:ind w:right="197"/>
              <w:spacing w:after="0"/>
              <w:rPr>
                <w:sz w:val="20"/>
                <w:szCs w:val="20"/>
                <w:color w:val="auto"/>
              </w:rPr>
            </w:pPr>
            <w:r>
              <w:rPr>
                <w:rFonts w:ascii="Arial" w:cs="Arial" w:eastAsia="Arial" w:hAnsi="Arial"/>
                <w:sz w:val="17"/>
                <w:szCs w:val="17"/>
                <w:color w:val="282A32"/>
              </w:rPr>
              <w:t>Variance</w:t>
            </w:r>
          </w:p>
        </w:tc>
        <w:tc>
          <w:tcPr>
            <w:tcW w:w="1100" w:type="dxa"/>
            <w:vAlign w:val="bottom"/>
          </w:tcPr>
          <w:p>
            <w:pPr>
              <w:jc w:val="right"/>
              <w:ind w:right="177"/>
              <w:spacing w:after="0"/>
              <w:rPr>
                <w:sz w:val="20"/>
                <w:szCs w:val="20"/>
                <w:color w:val="auto"/>
              </w:rPr>
            </w:pPr>
            <w:r>
              <w:rPr>
                <w:rFonts w:ascii="Arial" w:cs="Arial" w:eastAsia="Arial" w:hAnsi="Arial"/>
                <w:sz w:val="17"/>
                <w:szCs w:val="17"/>
                <w:color w:val="282A32"/>
              </w:rPr>
              <w:t>Currency</w:t>
            </w:r>
          </w:p>
        </w:tc>
        <w:tc>
          <w:tcPr>
            <w:tcW w:w="1040" w:type="dxa"/>
            <w:vAlign w:val="bottom"/>
          </w:tcPr>
          <w:p>
            <w:pPr>
              <w:jc w:val="right"/>
              <w:ind w:right="117"/>
              <w:spacing w:after="0"/>
              <w:rPr>
                <w:sz w:val="20"/>
                <w:szCs w:val="20"/>
                <w:color w:val="auto"/>
              </w:rPr>
            </w:pPr>
            <w:r>
              <w:rPr>
                <w:rFonts w:ascii="Arial" w:cs="Arial" w:eastAsia="Arial" w:hAnsi="Arial"/>
                <w:sz w:val="17"/>
                <w:szCs w:val="17"/>
                <w:color w:val="282A32"/>
              </w:rPr>
              <w:t>Currency</w:t>
            </w:r>
          </w:p>
        </w:tc>
      </w:tr>
      <w:tr>
        <w:trPr>
          <w:trHeight w:val="25"/>
        </w:trPr>
        <w:tc>
          <w:tcPr>
            <w:tcW w:w="4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Revenues from services</w:t>
            </w: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w:t>
            </w: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21,991.2</w:t>
            </w: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w:t>
            </w:r>
          </w:p>
        </w:tc>
        <w:tc>
          <w:tcPr>
            <w:tcW w:w="10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21,034.3</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4.5 %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2.5 %</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2.2 %</w:t>
            </w:r>
          </w:p>
        </w:tc>
      </w:tr>
      <w:tr>
        <w:trPr>
          <w:trHeight w:val="224"/>
        </w:trPr>
        <w:tc>
          <w:tcPr>
            <w:tcW w:w="4540" w:type="dxa"/>
            <w:vAlign w:val="bottom"/>
          </w:tcPr>
          <w:p>
            <w:pPr>
              <w:ind w:left="20"/>
              <w:spacing w:after="0"/>
              <w:rPr>
                <w:sz w:val="20"/>
                <w:szCs w:val="20"/>
                <w:color w:val="auto"/>
              </w:rPr>
            </w:pPr>
            <w:r>
              <w:rPr>
                <w:rFonts w:ascii="Arial" w:cs="Arial" w:eastAsia="Arial" w:hAnsi="Arial"/>
                <w:sz w:val="17"/>
                <w:szCs w:val="17"/>
                <w:color w:val="282A32"/>
              </w:rPr>
              <w:t>Cost of services</w:t>
            </w:r>
          </w:p>
        </w:tc>
        <w:tc>
          <w:tcPr>
            <w:tcW w:w="112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Arial" w:cs="Arial" w:eastAsia="Arial" w:hAnsi="Arial"/>
                <w:sz w:val="17"/>
                <w:szCs w:val="17"/>
                <w:color w:val="282A32"/>
              </w:rPr>
              <w:t>18,412.2</w:t>
            </w:r>
          </w:p>
        </w:tc>
        <w:tc>
          <w:tcPr>
            <w:tcW w:w="320" w:type="dxa"/>
            <w:vAlign w:val="bottom"/>
          </w:tcPr>
          <w:p>
            <w:pPr>
              <w:spacing w:after="0"/>
              <w:rPr>
                <w:sz w:val="19"/>
                <w:szCs w:val="19"/>
                <w:color w:val="auto"/>
              </w:rPr>
            </w:pPr>
          </w:p>
        </w:tc>
        <w:tc>
          <w:tcPr>
            <w:tcW w:w="1080" w:type="dxa"/>
            <w:vAlign w:val="bottom"/>
          </w:tcPr>
          <w:p>
            <w:pPr>
              <w:jc w:val="right"/>
              <w:ind w:right="217"/>
              <w:spacing w:after="0"/>
              <w:rPr>
                <w:sz w:val="20"/>
                <w:szCs w:val="20"/>
                <w:color w:val="auto"/>
              </w:rPr>
            </w:pPr>
            <w:r>
              <w:rPr>
                <w:rFonts w:ascii="Arial" w:cs="Arial" w:eastAsia="Arial" w:hAnsi="Arial"/>
                <w:sz w:val="17"/>
                <w:szCs w:val="17"/>
                <w:color w:val="282A32"/>
              </w:rPr>
              <w:t>17,549.7</w:t>
            </w:r>
          </w:p>
        </w:tc>
        <w:tc>
          <w:tcPr>
            <w:tcW w:w="1040" w:type="dxa"/>
            <w:vAlign w:val="bottom"/>
          </w:tcPr>
          <w:p>
            <w:pPr>
              <w:jc w:val="right"/>
              <w:ind w:right="197"/>
              <w:spacing w:after="0"/>
              <w:rPr>
                <w:sz w:val="20"/>
                <w:szCs w:val="20"/>
                <w:color w:val="auto"/>
              </w:rPr>
            </w:pPr>
            <w:r>
              <w:rPr>
                <w:rFonts w:ascii="Arial" w:cs="Arial" w:eastAsia="Arial" w:hAnsi="Arial"/>
                <w:sz w:val="17"/>
                <w:szCs w:val="17"/>
                <w:color w:val="282A32"/>
              </w:rPr>
              <w:t>4.9</w:t>
            </w:r>
          </w:p>
        </w:tc>
        <w:tc>
          <w:tcPr>
            <w:tcW w:w="1100" w:type="dxa"/>
            <w:vAlign w:val="bottom"/>
          </w:tcPr>
          <w:p>
            <w:pPr>
              <w:jc w:val="right"/>
              <w:ind w:right="177"/>
              <w:spacing w:after="0"/>
              <w:rPr>
                <w:sz w:val="20"/>
                <w:szCs w:val="20"/>
                <w:color w:val="auto"/>
              </w:rPr>
            </w:pPr>
            <w:r>
              <w:rPr>
                <w:rFonts w:ascii="Arial" w:cs="Arial" w:eastAsia="Arial" w:hAnsi="Arial"/>
                <w:sz w:val="17"/>
                <w:szCs w:val="17"/>
                <w:color w:val="282A32"/>
              </w:rPr>
              <w:t>2.8</w:t>
            </w:r>
          </w:p>
        </w:tc>
        <w:tc>
          <w:tcPr>
            <w:tcW w:w="1040" w:type="dxa"/>
            <w:vAlign w:val="bottom"/>
          </w:tcPr>
          <w:p>
            <w:pPr>
              <w:spacing w:after="0"/>
              <w:rPr>
                <w:sz w:val="19"/>
                <w:szCs w:val="19"/>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Gross profit</w:t>
            </w:r>
          </w:p>
        </w:tc>
        <w:tc>
          <w:tcPr>
            <w:tcW w:w="1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3,579.0</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3,484.6</w:t>
            </w:r>
          </w:p>
        </w:tc>
        <w:tc>
          <w:tcPr>
            <w:tcW w:w="10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2.7</w:t>
            </w:r>
          </w:p>
        </w:tc>
        <w:tc>
          <w:tcPr>
            <w:tcW w:w="11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0.9</w:t>
            </w:r>
          </w:p>
        </w:tc>
        <w:tc>
          <w:tcPr>
            <w:tcW w:w="10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0.5</w:t>
            </w:r>
          </w:p>
        </w:tc>
      </w:tr>
      <w:tr>
        <w:trPr>
          <w:trHeight w:val="224"/>
        </w:trPr>
        <w:tc>
          <w:tcPr>
            <w:tcW w:w="4540" w:type="dxa"/>
            <w:vAlign w:val="bottom"/>
          </w:tcPr>
          <w:p>
            <w:pPr>
              <w:ind w:left="20"/>
              <w:spacing w:after="0"/>
              <w:rPr>
                <w:sz w:val="20"/>
                <w:szCs w:val="20"/>
                <w:color w:val="auto"/>
              </w:rPr>
            </w:pPr>
            <w:r>
              <w:rPr>
                <w:rFonts w:ascii="Arial" w:cs="Arial" w:eastAsia="Arial" w:hAnsi="Arial"/>
                <w:sz w:val="17"/>
                <w:szCs w:val="17"/>
                <w:i w:val="1"/>
                <w:iCs w:val="1"/>
                <w:color w:val="282A32"/>
              </w:rPr>
              <w:t>Gross profit margin</w:t>
            </w:r>
          </w:p>
        </w:tc>
        <w:tc>
          <w:tcPr>
            <w:tcW w:w="1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282A32"/>
              </w:rPr>
              <w:t>16.3%</w:t>
            </w:r>
          </w:p>
        </w:tc>
        <w:tc>
          <w:tcPr>
            <w:tcW w:w="320" w:type="dxa"/>
            <w:vAlign w:val="bottom"/>
          </w:tcPr>
          <w:p>
            <w:pPr>
              <w:spacing w:after="0"/>
              <w:rPr>
                <w:sz w:val="19"/>
                <w:szCs w:val="19"/>
                <w:color w:val="auto"/>
              </w:rPr>
            </w:pPr>
          </w:p>
        </w:tc>
        <w:tc>
          <w:tcPr>
            <w:tcW w:w="1080" w:type="dxa"/>
            <w:vAlign w:val="bottom"/>
          </w:tcPr>
          <w:p>
            <w:pPr>
              <w:jc w:val="right"/>
              <w:ind w:right="77"/>
              <w:spacing w:after="0"/>
              <w:rPr>
                <w:sz w:val="20"/>
                <w:szCs w:val="20"/>
                <w:color w:val="auto"/>
              </w:rPr>
            </w:pPr>
            <w:r>
              <w:rPr>
                <w:rFonts w:ascii="Arial" w:cs="Arial" w:eastAsia="Arial" w:hAnsi="Arial"/>
                <w:sz w:val="17"/>
                <w:szCs w:val="17"/>
                <w:i w:val="1"/>
                <w:iCs w:val="1"/>
                <w:color w:val="282A32"/>
              </w:rPr>
              <w:t>16.6%</w:t>
            </w: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
        </w:trPr>
        <w:tc>
          <w:tcPr>
            <w:tcW w:w="4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Selling and administrative expenses</w:t>
            </w:r>
          </w:p>
        </w:tc>
        <w:tc>
          <w:tcPr>
            <w:tcW w:w="1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2,782.3</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2,695.4</w:t>
            </w:r>
          </w:p>
        </w:tc>
        <w:tc>
          <w:tcPr>
            <w:tcW w:w="10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3.2</w:t>
            </w:r>
          </w:p>
        </w:tc>
        <w:tc>
          <w:tcPr>
            <w:tcW w:w="11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1.3</w:t>
            </w:r>
          </w:p>
        </w:tc>
        <w:tc>
          <w:tcPr>
            <w:tcW w:w="10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1.0</w:t>
            </w:r>
          </w:p>
        </w:tc>
      </w:tr>
      <w:tr>
        <w:trPr>
          <w:trHeight w:val="224"/>
        </w:trPr>
        <w:tc>
          <w:tcPr>
            <w:tcW w:w="4540" w:type="dxa"/>
            <w:vAlign w:val="bottom"/>
          </w:tcPr>
          <w:p>
            <w:pPr>
              <w:ind w:left="20"/>
              <w:spacing w:after="0"/>
              <w:rPr>
                <w:sz w:val="20"/>
                <w:szCs w:val="20"/>
                <w:color w:val="auto"/>
              </w:rPr>
            </w:pPr>
            <w:r>
              <w:rPr>
                <w:rFonts w:ascii="Arial" w:cs="Arial" w:eastAsia="Arial" w:hAnsi="Arial"/>
                <w:sz w:val="17"/>
                <w:szCs w:val="17"/>
                <w:i w:val="1"/>
                <w:iCs w:val="1"/>
                <w:color w:val="282A32"/>
              </w:rPr>
              <w:t>Selling and administrative expenses as a % of revenues</w:t>
            </w:r>
          </w:p>
        </w:tc>
        <w:tc>
          <w:tcPr>
            <w:tcW w:w="1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282A32"/>
              </w:rPr>
              <w:t>12.7%</w:t>
            </w:r>
          </w:p>
        </w:tc>
        <w:tc>
          <w:tcPr>
            <w:tcW w:w="320" w:type="dxa"/>
            <w:vAlign w:val="bottom"/>
          </w:tcPr>
          <w:p>
            <w:pPr>
              <w:spacing w:after="0"/>
              <w:rPr>
                <w:sz w:val="19"/>
                <w:szCs w:val="19"/>
                <w:color w:val="auto"/>
              </w:rPr>
            </w:pPr>
          </w:p>
        </w:tc>
        <w:tc>
          <w:tcPr>
            <w:tcW w:w="1080" w:type="dxa"/>
            <w:vAlign w:val="bottom"/>
          </w:tcPr>
          <w:p>
            <w:pPr>
              <w:jc w:val="right"/>
              <w:ind w:right="77"/>
              <w:spacing w:after="0"/>
              <w:rPr>
                <w:sz w:val="20"/>
                <w:szCs w:val="20"/>
                <w:color w:val="auto"/>
              </w:rPr>
            </w:pPr>
            <w:r>
              <w:rPr>
                <w:rFonts w:ascii="Arial" w:cs="Arial" w:eastAsia="Arial" w:hAnsi="Arial"/>
                <w:sz w:val="17"/>
                <w:szCs w:val="17"/>
                <w:i w:val="1"/>
                <w:iCs w:val="1"/>
                <w:color w:val="282A32"/>
              </w:rPr>
              <w:t>12.8%</w:t>
            </w: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Operating profit</w:t>
            </w:r>
          </w:p>
        </w:tc>
        <w:tc>
          <w:tcPr>
            <w:tcW w:w="1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796.7</w:t>
            </w: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789.2</w:t>
            </w:r>
          </w:p>
        </w:tc>
        <w:tc>
          <w:tcPr>
            <w:tcW w:w="10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0.9</w:t>
            </w:r>
          </w:p>
        </w:tc>
        <w:tc>
          <w:tcPr>
            <w:tcW w:w="11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(0.4)</w:t>
            </w:r>
          </w:p>
        </w:tc>
        <w:tc>
          <w:tcPr>
            <w:tcW w:w="10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(1.2)</w:t>
            </w:r>
          </w:p>
        </w:tc>
      </w:tr>
      <w:tr>
        <w:trPr>
          <w:trHeight w:val="224"/>
        </w:trPr>
        <w:tc>
          <w:tcPr>
            <w:tcW w:w="4540" w:type="dxa"/>
            <w:vAlign w:val="bottom"/>
          </w:tcPr>
          <w:p>
            <w:pPr>
              <w:ind w:left="20"/>
              <w:spacing w:after="0"/>
              <w:rPr>
                <w:sz w:val="20"/>
                <w:szCs w:val="20"/>
                <w:color w:val="auto"/>
              </w:rPr>
            </w:pPr>
            <w:r>
              <w:rPr>
                <w:rFonts w:ascii="Arial" w:cs="Arial" w:eastAsia="Arial" w:hAnsi="Arial"/>
                <w:sz w:val="17"/>
                <w:szCs w:val="17"/>
                <w:i w:val="1"/>
                <w:iCs w:val="1"/>
                <w:color w:val="282A32"/>
              </w:rPr>
              <w:t>Operating profit margin</w:t>
            </w:r>
          </w:p>
        </w:tc>
        <w:tc>
          <w:tcPr>
            <w:tcW w:w="1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282A32"/>
              </w:rPr>
              <w:t>3.6%</w:t>
            </w:r>
          </w:p>
        </w:tc>
        <w:tc>
          <w:tcPr>
            <w:tcW w:w="320" w:type="dxa"/>
            <w:vAlign w:val="bottom"/>
          </w:tcPr>
          <w:p>
            <w:pPr>
              <w:spacing w:after="0"/>
              <w:rPr>
                <w:sz w:val="19"/>
                <w:szCs w:val="19"/>
                <w:color w:val="auto"/>
              </w:rPr>
            </w:pPr>
          </w:p>
        </w:tc>
        <w:tc>
          <w:tcPr>
            <w:tcW w:w="1080" w:type="dxa"/>
            <w:vAlign w:val="bottom"/>
          </w:tcPr>
          <w:p>
            <w:pPr>
              <w:jc w:val="right"/>
              <w:ind w:right="77"/>
              <w:spacing w:after="0"/>
              <w:rPr>
                <w:sz w:val="20"/>
                <w:szCs w:val="20"/>
                <w:color w:val="auto"/>
              </w:rPr>
            </w:pPr>
            <w:r>
              <w:rPr>
                <w:rFonts w:ascii="Arial" w:cs="Arial" w:eastAsia="Arial" w:hAnsi="Arial"/>
                <w:sz w:val="17"/>
                <w:szCs w:val="17"/>
                <w:i w:val="1"/>
                <w:iCs w:val="1"/>
                <w:color w:val="282A32"/>
              </w:rPr>
              <w:t>3.8%</w:t>
            </w: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
        </w:trPr>
        <w:tc>
          <w:tcPr>
            <w:tcW w:w="4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7"/>
        </w:trPr>
        <w:tc>
          <w:tcPr>
            <w:tcW w:w="4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282A32"/>
              </w:rPr>
              <w:t>Net interest expense</w:t>
            </w:r>
          </w:p>
        </w:tc>
        <w:tc>
          <w:tcPr>
            <w:tcW w:w="1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41.0</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44.6</w:t>
            </w:r>
          </w:p>
        </w:tc>
        <w:tc>
          <w:tcPr>
            <w:tcW w:w="10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24"/>
        </w:trPr>
        <w:tc>
          <w:tcPr>
            <w:tcW w:w="4540" w:type="dxa"/>
            <w:vAlign w:val="bottom"/>
          </w:tcPr>
          <w:p>
            <w:pPr>
              <w:ind w:left="260"/>
              <w:spacing w:after="0"/>
              <w:rPr>
                <w:sz w:val="20"/>
                <w:szCs w:val="20"/>
                <w:color w:val="auto"/>
              </w:rPr>
            </w:pPr>
            <w:r>
              <w:rPr>
                <w:rFonts w:ascii="Arial" w:cs="Arial" w:eastAsia="Arial" w:hAnsi="Arial"/>
                <w:sz w:val="17"/>
                <w:szCs w:val="17"/>
                <w:color w:val="282A32"/>
              </w:rPr>
              <w:t>Other expenses</w:t>
            </w:r>
          </w:p>
        </w:tc>
        <w:tc>
          <w:tcPr>
            <w:tcW w:w="112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Arial" w:cs="Arial" w:eastAsia="Arial" w:hAnsi="Arial"/>
                <w:sz w:val="17"/>
                <w:szCs w:val="17"/>
                <w:color w:val="282A32"/>
              </w:rPr>
              <w:t>1.0</w:t>
            </w:r>
          </w:p>
        </w:tc>
        <w:tc>
          <w:tcPr>
            <w:tcW w:w="320" w:type="dxa"/>
            <w:vAlign w:val="bottom"/>
          </w:tcPr>
          <w:p>
            <w:pPr>
              <w:spacing w:after="0"/>
              <w:rPr>
                <w:sz w:val="19"/>
                <w:szCs w:val="19"/>
                <w:color w:val="auto"/>
              </w:rPr>
            </w:pPr>
          </w:p>
        </w:tc>
        <w:tc>
          <w:tcPr>
            <w:tcW w:w="1080" w:type="dxa"/>
            <w:vAlign w:val="bottom"/>
          </w:tcPr>
          <w:p>
            <w:pPr>
              <w:jc w:val="right"/>
              <w:ind w:right="217"/>
              <w:spacing w:after="0"/>
              <w:rPr>
                <w:sz w:val="20"/>
                <w:szCs w:val="20"/>
                <w:color w:val="auto"/>
              </w:rPr>
            </w:pPr>
            <w:r>
              <w:rPr>
                <w:rFonts w:ascii="Arial" w:cs="Arial" w:eastAsia="Arial" w:hAnsi="Arial"/>
                <w:sz w:val="17"/>
                <w:szCs w:val="17"/>
                <w:color w:val="282A32"/>
              </w:rPr>
              <w:t>7.3</w:t>
            </w:r>
          </w:p>
        </w:tc>
        <w:tc>
          <w:tcPr>
            <w:tcW w:w="10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9"/>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Earnings before income taxes</w:t>
            </w:r>
          </w:p>
        </w:tc>
        <w:tc>
          <w:tcPr>
            <w:tcW w:w="1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754.7</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737.3</w:t>
            </w:r>
          </w:p>
        </w:tc>
        <w:tc>
          <w:tcPr>
            <w:tcW w:w="10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2.4</w:t>
            </w:r>
          </w:p>
        </w:tc>
        <w:tc>
          <w:tcPr>
            <w:tcW w:w="11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1.1</w:t>
            </w:r>
          </w:p>
        </w:tc>
        <w:tc>
          <w:tcPr>
            <w:tcW w:w="1040" w:type="dxa"/>
            <w:vAlign w:val="bottom"/>
            <w:tcBorders>
              <w:bottom w:val="single" w:sz="8" w:color="CCEEFF"/>
            </w:tcBorders>
            <w:shd w:val="clear" w:color="auto" w:fill="CCEEFF"/>
          </w:tcPr>
          <w:p>
            <w:pPr>
              <w:spacing w:after="0"/>
              <w:rPr>
                <w:sz w:val="22"/>
                <w:szCs w:val="22"/>
                <w:color w:val="auto"/>
              </w:rPr>
            </w:pPr>
          </w:p>
        </w:tc>
      </w:tr>
      <w:tr>
        <w:trPr>
          <w:trHeight w:val="262"/>
        </w:trPr>
        <w:tc>
          <w:tcPr>
            <w:tcW w:w="4540" w:type="dxa"/>
            <w:vAlign w:val="bottom"/>
          </w:tcPr>
          <w:p>
            <w:pPr>
              <w:ind w:left="260"/>
              <w:spacing w:after="0"/>
              <w:rPr>
                <w:sz w:val="20"/>
                <w:szCs w:val="20"/>
                <w:color w:val="auto"/>
              </w:rPr>
            </w:pPr>
            <w:r>
              <w:rPr>
                <w:rFonts w:ascii="Arial" w:cs="Arial" w:eastAsia="Arial" w:hAnsi="Arial"/>
                <w:sz w:val="17"/>
                <w:szCs w:val="17"/>
                <w:color w:val="282A32"/>
              </w:rPr>
              <w:t>Provision for income taxes</w:t>
            </w:r>
          </w:p>
        </w:tc>
        <w:tc>
          <w:tcPr>
            <w:tcW w:w="1120" w:type="dxa"/>
            <w:vAlign w:val="bottom"/>
          </w:tcPr>
          <w:p>
            <w:pPr>
              <w:spacing w:after="0"/>
              <w:rPr>
                <w:sz w:val="22"/>
                <w:szCs w:val="22"/>
                <w:color w:val="auto"/>
              </w:rPr>
            </w:pPr>
          </w:p>
        </w:tc>
        <w:tc>
          <w:tcPr>
            <w:tcW w:w="960" w:type="dxa"/>
            <w:vAlign w:val="bottom"/>
          </w:tcPr>
          <w:p>
            <w:pPr>
              <w:jc w:val="right"/>
              <w:ind w:right="77"/>
              <w:spacing w:after="0"/>
              <w:rPr>
                <w:sz w:val="20"/>
                <w:szCs w:val="20"/>
                <w:color w:val="auto"/>
              </w:rPr>
            </w:pPr>
            <w:r>
              <w:rPr>
                <w:rFonts w:ascii="Arial" w:cs="Arial" w:eastAsia="Arial" w:hAnsi="Arial"/>
                <w:sz w:val="17"/>
                <w:szCs w:val="17"/>
                <w:color w:val="282A32"/>
              </w:rPr>
              <w:t>198.0</w:t>
            </w:r>
          </w:p>
        </w:tc>
        <w:tc>
          <w:tcPr>
            <w:tcW w:w="320" w:type="dxa"/>
            <w:vAlign w:val="bottom"/>
          </w:tcPr>
          <w:p>
            <w:pPr>
              <w:spacing w:after="0"/>
              <w:rPr>
                <w:sz w:val="22"/>
                <w:szCs w:val="22"/>
                <w:color w:val="auto"/>
              </w:rPr>
            </w:pPr>
          </w:p>
        </w:tc>
        <w:tc>
          <w:tcPr>
            <w:tcW w:w="1080" w:type="dxa"/>
            <w:vAlign w:val="bottom"/>
          </w:tcPr>
          <w:p>
            <w:pPr>
              <w:jc w:val="right"/>
              <w:ind w:right="217"/>
              <w:spacing w:after="0"/>
              <w:rPr>
                <w:sz w:val="20"/>
                <w:szCs w:val="20"/>
                <w:color w:val="auto"/>
              </w:rPr>
            </w:pPr>
            <w:r>
              <w:rPr>
                <w:rFonts w:ascii="Arial" w:cs="Arial" w:eastAsia="Arial" w:hAnsi="Arial"/>
                <w:sz w:val="17"/>
                <w:szCs w:val="17"/>
                <w:color w:val="282A32"/>
              </w:rPr>
              <w:t>191.9</w:t>
            </w:r>
          </w:p>
        </w:tc>
        <w:tc>
          <w:tcPr>
            <w:tcW w:w="1040" w:type="dxa"/>
            <w:vAlign w:val="bottom"/>
          </w:tcPr>
          <w:p>
            <w:pPr>
              <w:jc w:val="right"/>
              <w:ind w:right="197"/>
              <w:spacing w:after="0"/>
              <w:rPr>
                <w:sz w:val="20"/>
                <w:szCs w:val="20"/>
                <w:color w:val="auto"/>
              </w:rPr>
            </w:pPr>
            <w:r>
              <w:rPr>
                <w:rFonts w:ascii="Arial" w:cs="Arial" w:eastAsia="Arial" w:hAnsi="Arial"/>
                <w:sz w:val="17"/>
                <w:szCs w:val="17"/>
                <w:color w:val="282A32"/>
              </w:rPr>
              <w:t>3.2</w:t>
            </w:r>
          </w:p>
        </w:tc>
        <w:tc>
          <w:tcPr>
            <w:tcW w:w="1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
        </w:trPr>
        <w:tc>
          <w:tcPr>
            <w:tcW w:w="4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4"/>
        </w:trPr>
        <w:tc>
          <w:tcPr>
            <w:tcW w:w="4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i w:val="1"/>
                <w:iCs w:val="1"/>
                <w:color w:val="282A32"/>
              </w:rPr>
              <w:t>Effective income tax rate</w:t>
            </w:r>
          </w:p>
        </w:tc>
        <w:tc>
          <w:tcPr>
            <w:tcW w:w="1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i w:val="1"/>
                <w:iCs w:val="1"/>
                <w:color w:val="282A32"/>
              </w:rPr>
              <w:t>26.2%</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i w:val="1"/>
                <w:iCs w:val="1"/>
                <w:color w:val="282A32"/>
              </w:rPr>
              <w:t>26.0%</w:t>
            </w:r>
          </w:p>
        </w:tc>
        <w:tc>
          <w:tcPr>
            <w:tcW w:w="10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17"/>
        </w:trPr>
        <w:tc>
          <w:tcPr>
            <w:tcW w:w="45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Net earnings</w:t>
            </w:r>
          </w:p>
        </w:tc>
        <w:tc>
          <w:tcPr>
            <w:tcW w:w="112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w:t>
            </w:r>
          </w:p>
        </w:tc>
        <w:tc>
          <w:tcPr>
            <w:tcW w:w="9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282A32"/>
              </w:rPr>
              <w:t>556.7</w:t>
            </w:r>
          </w:p>
        </w:tc>
        <w:tc>
          <w:tcPr>
            <w:tcW w:w="32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w:t>
            </w:r>
          </w:p>
        </w:tc>
        <w:tc>
          <w:tcPr>
            <w:tcW w:w="108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545.4</w:t>
            </w:r>
          </w:p>
        </w:tc>
        <w:tc>
          <w:tcPr>
            <w:tcW w:w="104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282A32"/>
              </w:rPr>
              <w:t>2.1</w:t>
            </w:r>
          </w:p>
        </w:tc>
        <w:tc>
          <w:tcPr>
            <w:tcW w:w="110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282A32"/>
              </w:rPr>
              <w:t>1.1</w:t>
            </w:r>
          </w:p>
        </w:tc>
        <w:tc>
          <w:tcPr>
            <w:tcW w:w="1040" w:type="dxa"/>
            <w:vAlign w:val="bottom"/>
            <w:tcBorders>
              <w:top w:val="single" w:sz="8" w:color="auto"/>
            </w:tcBorders>
          </w:tcPr>
          <w:p>
            <w:pPr>
              <w:spacing w:after="0"/>
              <w:rPr>
                <w:sz w:val="18"/>
                <w:szCs w:val="18"/>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7"/>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Net earnings per share — diluted</w:t>
            </w:r>
          </w:p>
        </w:tc>
        <w:tc>
          <w:tcPr>
            <w:tcW w:w="11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w:t>
            </w: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8.56</w:t>
            </w: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w:t>
            </w:r>
          </w:p>
        </w:tc>
        <w:tc>
          <w:tcPr>
            <w:tcW w:w="10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8.04</w:t>
            </w:r>
          </w:p>
        </w:tc>
        <w:tc>
          <w:tcPr>
            <w:tcW w:w="10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6.5</w:t>
            </w:r>
          </w:p>
        </w:tc>
        <w:tc>
          <w:tcPr>
            <w:tcW w:w="11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5.5</w:t>
            </w:r>
          </w:p>
        </w:tc>
        <w:tc>
          <w:tcPr>
            <w:tcW w:w="1040" w:type="dxa"/>
            <w:vAlign w:val="bottom"/>
            <w:tcBorders>
              <w:bottom w:val="single" w:sz="8" w:color="CCEEFF"/>
            </w:tcBorders>
            <w:shd w:val="clear" w:color="auto" w:fill="CCEEFF"/>
          </w:tcPr>
          <w:p>
            <w:pPr>
              <w:spacing w:after="0"/>
              <w:rPr>
                <w:sz w:val="21"/>
                <w:szCs w:val="21"/>
                <w:color w:val="auto"/>
              </w:rPr>
            </w:pPr>
          </w:p>
        </w:tc>
      </w:tr>
      <w:tr>
        <w:trPr>
          <w:trHeight w:val="217"/>
        </w:trPr>
        <w:tc>
          <w:tcPr>
            <w:tcW w:w="45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Weighted average shares — diluted</w:t>
            </w:r>
          </w:p>
        </w:tc>
        <w:tc>
          <w:tcPr>
            <w:tcW w:w="1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282A32"/>
              </w:rPr>
              <w:t>65.1</w:t>
            </w: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67.9</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(4.1)%</w:t>
            </w:r>
          </w:p>
        </w:tc>
        <w:tc>
          <w:tcPr>
            <w:tcW w:w="1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
        </w:trPr>
        <w:tc>
          <w:tcPr>
            <w:tcW w:w="4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7"/>
          <w:szCs w:val="17"/>
          <w:color w:val="282A32"/>
        </w:rPr>
        <w:t>The year-over-year increase in revenues from services of 4.5% (2.5% in constant currency and 2.2% in organic constant currency) was attributed to:</w:t>
      </w:r>
    </w:p>
    <w:p>
      <w:pPr>
        <w:spacing w:after="0" w:line="203" w:lineRule="exact"/>
        <w:rPr>
          <w:sz w:val="20"/>
          <w:szCs w:val="20"/>
          <w:color w:val="auto"/>
        </w:rPr>
      </w:pPr>
    </w:p>
    <w:p>
      <w:pPr>
        <w:jc w:val="both"/>
        <w:ind w:left="600" w:hanging="301"/>
        <w:spacing w:after="0" w:line="265"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increased demand for services in several of our markets within Southern Europe and Northern Europe, where revenues increased 8.3% (4.0% in constant currency) and 1.2% (-2.0% in constant currency), respectively. This included a revenue increase in France of 6.4% (1.9% in constant currency), primarily due to strong growth in our large client accounts within the staffing market and a 14.5% increase (9.1% in constant currency) in the permanent recruitment business. The Southern Europe increase also included an increase in Italy of 13.2% (8.3% in constant currency) due to increased demand for our Manpower staffing services and a 15.9% increase (10.6% in constant currency) in the permanent recruitment business. We also experienced revenue growth in the Nordics, Spain and Belgium of 0.3%, 9.0% and 6.5%, respectively (0.1%, 4.4%, and 2.0%, respectively, in constant currency; 2.5%, in organic constant currency in Spain). Lastly, we experienced revenue growth in the United Kingdom and the Netherlands of 3.2% and 0.4%, respectively, while revenues decreased 0.4% and 4.2%, respectively, in constant currency;</w:t>
      </w:r>
    </w:p>
    <w:p>
      <w:pPr>
        <w:spacing w:after="0" w:line="169" w:lineRule="exact"/>
        <w:rPr>
          <w:rFonts w:ascii="Arial" w:cs="Arial" w:eastAsia="Arial" w:hAnsi="Arial"/>
          <w:sz w:val="16"/>
          <w:szCs w:val="16"/>
          <w:color w:val="auto"/>
        </w:rPr>
      </w:pPr>
    </w:p>
    <w:p>
      <w:pPr>
        <w:ind w:left="600" w:hanging="301"/>
        <w:spacing w:after="0" w:line="265" w:lineRule="auto"/>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revenue increase in APME of 9.6% (9.4% in constant currency and 8.7% in organic constant currency) primarily due to an increase in our staffing/interim revenues and a 9.9% increase (10.2% in constant currency) in our permanent recruitment business;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351" w:right="239" w:bottom="1440" w:gutter="0" w:footer="0" w:header="0"/>
        </w:sectPr>
      </w:pPr>
    </w:p>
    <w:bookmarkStart w:id="28" w:name="page29"/>
    <w:bookmarkEnd w:id="28"/>
    <w:p>
      <w:pPr>
        <w:ind w:left="600" w:hanging="301"/>
        <w:spacing w:after="0"/>
        <w:tabs>
          <w:tab w:leader="none" w:pos="600" w:val="left"/>
        </w:tabs>
        <w:numPr>
          <w:ilvl w:val="0"/>
          <w:numId w:val="19"/>
        </w:numPr>
        <w:rPr>
          <w:rFonts w:ascii="Arial" w:cs="Arial" w:eastAsia="Arial" w:hAnsi="Arial"/>
          <w:sz w:val="17"/>
          <w:szCs w:val="17"/>
          <w:color w:val="282A32"/>
        </w:rPr>
      </w:pPr>
      <w:r>
        <w:rPr>
          <w:rFonts w:ascii="Arial" w:cs="Arial" w:eastAsia="Arial" w:hAnsi="Arial"/>
          <w:sz w:val="17"/>
          <w:szCs w:val="17"/>
          <w:color w:val="282A32"/>
        </w:rPr>
        <w:t>our acquisitions in the Americas, Southern Europe, and APME, which added approximately 0.3% revenue growth to our consolidated results;</w:t>
      </w:r>
    </w:p>
    <w:p>
      <w:pPr>
        <w:spacing w:after="0" w:line="16" w:lineRule="exact"/>
        <w:rPr>
          <w:rFonts w:ascii="Arial" w:cs="Arial" w:eastAsia="Arial" w:hAnsi="Arial"/>
          <w:sz w:val="17"/>
          <w:szCs w:val="17"/>
          <w:color w:val="282A32"/>
        </w:rPr>
      </w:pPr>
    </w:p>
    <w:p>
      <w:pPr>
        <w:ind w:left="600" w:hanging="301"/>
        <w:spacing w:after="0"/>
        <w:tabs>
          <w:tab w:leader="none" w:pos="600" w:val="left"/>
        </w:tabs>
        <w:numPr>
          <w:ilvl w:val="0"/>
          <w:numId w:val="19"/>
        </w:numPr>
        <w:rPr>
          <w:rFonts w:ascii="Arial" w:cs="Arial" w:eastAsia="Arial" w:hAnsi="Arial"/>
          <w:sz w:val="17"/>
          <w:szCs w:val="17"/>
          <w:color w:val="282A32"/>
        </w:rPr>
      </w:pPr>
      <w:r>
        <w:rPr>
          <w:rFonts w:ascii="Arial" w:cs="Arial" w:eastAsia="Arial" w:hAnsi="Arial"/>
          <w:sz w:val="17"/>
          <w:szCs w:val="17"/>
          <w:color w:val="282A32"/>
        </w:rPr>
        <w:t>a 2.0% increase due to the impact of changes in currency exchange rates; and</w:t>
      </w:r>
    </w:p>
    <w:p>
      <w:pPr>
        <w:spacing w:after="0" w:line="3" w:lineRule="exact"/>
        <w:rPr>
          <w:rFonts w:ascii="Arial" w:cs="Arial" w:eastAsia="Arial" w:hAnsi="Arial"/>
          <w:sz w:val="17"/>
          <w:szCs w:val="17"/>
          <w:color w:val="282A32"/>
        </w:rPr>
      </w:pPr>
    </w:p>
    <w:p>
      <w:pPr>
        <w:ind w:left="600" w:hanging="301"/>
        <w:spacing w:after="0"/>
        <w:tabs>
          <w:tab w:leader="none" w:pos="600" w:val="left"/>
        </w:tabs>
        <w:numPr>
          <w:ilvl w:val="0"/>
          <w:numId w:val="19"/>
        </w:numPr>
        <w:rPr>
          <w:rFonts w:ascii="Arial" w:cs="Arial" w:eastAsia="Arial" w:hAnsi="Arial"/>
          <w:sz w:val="17"/>
          <w:szCs w:val="17"/>
          <w:color w:val="282A32"/>
        </w:rPr>
      </w:pPr>
      <w:r>
        <w:rPr>
          <w:rFonts w:ascii="Arial" w:cs="Arial" w:eastAsia="Arial" w:hAnsi="Arial"/>
          <w:sz w:val="17"/>
          <w:szCs w:val="17"/>
          <w:color w:val="282A32"/>
        </w:rPr>
        <w:t>the favorable impact of approximately 0.4% as reported and in constant currency due to one additional billing day in the year; partially offset by</w:t>
      </w:r>
    </w:p>
    <w:p>
      <w:pPr>
        <w:spacing w:after="0" w:line="3" w:lineRule="exact"/>
        <w:rPr>
          <w:rFonts w:ascii="Arial" w:cs="Arial" w:eastAsia="Arial" w:hAnsi="Arial"/>
          <w:sz w:val="17"/>
          <w:szCs w:val="17"/>
          <w:color w:val="282A32"/>
        </w:rPr>
      </w:pPr>
    </w:p>
    <w:p>
      <w:pPr>
        <w:jc w:val="both"/>
        <w:ind w:left="600" w:hanging="301"/>
        <w:spacing w:after="0" w:line="244" w:lineRule="auto"/>
        <w:tabs>
          <w:tab w:leader="none" w:pos="600" w:val="left"/>
        </w:tabs>
        <w:numPr>
          <w:ilvl w:val="0"/>
          <w:numId w:val="19"/>
        </w:numPr>
        <w:rPr>
          <w:rFonts w:ascii="Arial" w:cs="Arial" w:eastAsia="Arial" w:hAnsi="Arial"/>
          <w:sz w:val="17"/>
          <w:szCs w:val="17"/>
          <w:color w:val="282A32"/>
        </w:rPr>
      </w:pPr>
      <w:r>
        <w:rPr>
          <w:rFonts w:ascii="Arial" w:cs="Arial" w:eastAsia="Arial" w:hAnsi="Arial"/>
          <w:sz w:val="17"/>
          <w:szCs w:val="17"/>
          <w:color w:val="282A32"/>
        </w:rPr>
        <w:t>a revenue decrease in the United States of 5.1% primarily driven by a decline in our Experis interim services, specifically within the IT sector because of decreased demand from larger clients, a decline in our Manpower staffing services due to reduced demand from certain clients, and a 3.2% decrease in the permanent recruitment business; and</w:t>
      </w:r>
    </w:p>
    <w:p>
      <w:pPr>
        <w:spacing w:after="0" w:line="2" w:lineRule="exact"/>
        <w:rPr>
          <w:rFonts w:ascii="Arial" w:cs="Arial" w:eastAsia="Arial" w:hAnsi="Arial"/>
          <w:sz w:val="17"/>
          <w:szCs w:val="17"/>
          <w:color w:val="282A32"/>
        </w:rPr>
      </w:pPr>
    </w:p>
    <w:p>
      <w:pPr>
        <w:ind w:left="600" w:hanging="301"/>
        <w:spacing w:after="0" w:line="280" w:lineRule="auto"/>
        <w:tabs>
          <w:tab w:leader="none" w:pos="600" w:val="left"/>
        </w:tabs>
        <w:numPr>
          <w:ilvl w:val="0"/>
          <w:numId w:val="19"/>
        </w:numPr>
        <w:rPr>
          <w:rFonts w:ascii="Arial" w:cs="Arial" w:eastAsia="Arial" w:hAnsi="Arial"/>
          <w:sz w:val="16"/>
          <w:szCs w:val="16"/>
          <w:color w:val="282A32"/>
        </w:rPr>
      </w:pPr>
      <w:r>
        <w:rPr>
          <w:rFonts w:ascii="Arial" w:cs="Arial" w:eastAsia="Arial" w:hAnsi="Arial"/>
          <w:sz w:val="16"/>
          <w:szCs w:val="16"/>
          <w:color w:val="282A32"/>
        </w:rPr>
        <w:t xml:space="preserve">decreased demand for services at Right Management, where revenues decreased 8.5% (-9.4% in constant currency), including a 10.3% </w:t>
      </w:r>
      <w:r>
        <w:rPr>
          <w:rFonts w:ascii="Arial" w:cs="Arial" w:eastAsia="Arial" w:hAnsi="Arial"/>
          <w:sz w:val="16"/>
          <w:szCs w:val="16"/>
          <w:color w:val="000000"/>
        </w:rPr>
        <w:t>decrease (</w:t>
      </w:r>
      <w:r>
        <w:rPr>
          <w:rFonts w:ascii="Arial" w:cs="Arial" w:eastAsia="Arial" w:hAnsi="Arial"/>
          <w:sz w:val="16"/>
          <w:szCs w:val="16"/>
          <w:color w:val="282A32"/>
        </w:rPr>
        <w:t>-11.3% in constant currency) in our outplacement services as well as a 2.9% decrease (-3.3% in constant currency) in our talent management business.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282A32"/>
        </w:rPr>
        <w:t>The year-over-year 30 basis point (-0.30%) decrease in gross profit margin was primarily attributed to:</w:t>
      </w:r>
    </w:p>
    <w:p>
      <w:pPr>
        <w:spacing w:after="0" w:line="203" w:lineRule="exact"/>
        <w:rPr>
          <w:sz w:val="20"/>
          <w:szCs w:val="20"/>
          <w:color w:val="auto"/>
        </w:rPr>
      </w:pPr>
    </w:p>
    <w:p>
      <w:pPr>
        <w:ind w:left="600" w:right="120" w:hanging="301"/>
        <w:spacing w:after="0" w:line="265"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 30 basis point (-0.30%) unfavorable impact from the decline in our staffing/interim margin due to the decrease </w:t>
      </w:r>
      <w:r>
        <w:rPr>
          <w:rFonts w:ascii="Arial" w:cs="Arial" w:eastAsia="Arial" w:hAnsi="Arial"/>
          <w:sz w:val="16"/>
          <w:szCs w:val="16"/>
          <w:color w:val="282A32"/>
        </w:rPr>
        <w:t>in the CICE payroll tax credit rate in France and</w:t>
      </w:r>
      <w:r>
        <w:rPr>
          <w:rFonts w:ascii="Arial" w:cs="Arial" w:eastAsia="Arial" w:hAnsi="Arial"/>
          <w:sz w:val="16"/>
          <w:szCs w:val="16"/>
          <w:color w:val="auto"/>
        </w:rPr>
        <w:t xml:space="preserve"> </w:t>
      </w:r>
      <w:r>
        <w:rPr>
          <w:rFonts w:ascii="Arial" w:cs="Arial" w:eastAsia="Arial" w:hAnsi="Arial"/>
          <w:sz w:val="16"/>
          <w:szCs w:val="16"/>
          <w:color w:val="282A32"/>
        </w:rPr>
        <w:t xml:space="preserve">the loss of the December 2018 CICE subsidy as a result of the transition from the CICE program to a new subsidy program in January 2019 </w:t>
      </w:r>
      <w:r>
        <w:rPr>
          <w:rFonts w:ascii="Arial" w:cs="Arial" w:eastAsia="Arial" w:hAnsi="Arial"/>
          <w:sz w:val="16"/>
          <w:szCs w:val="16"/>
          <w:color w:val="000000"/>
        </w:rPr>
        <w:t>and business mix</w:t>
      </w:r>
      <w:r>
        <w:rPr>
          <w:rFonts w:ascii="Arial" w:cs="Arial" w:eastAsia="Arial" w:hAnsi="Arial"/>
          <w:sz w:val="16"/>
          <w:szCs w:val="16"/>
          <w:color w:val="282A32"/>
        </w:rPr>
        <w:t xml:space="preserve"> </w:t>
      </w:r>
      <w:r>
        <w:rPr>
          <w:rFonts w:ascii="Arial" w:cs="Arial" w:eastAsia="Arial" w:hAnsi="Arial"/>
          <w:sz w:val="16"/>
          <w:szCs w:val="16"/>
          <w:color w:val="000000"/>
        </w:rPr>
        <w:t>changes in various countries, partially offset by favorable direct costs adjustments in 2018, primarily in France and Japan.; and</w:t>
      </w:r>
    </w:p>
    <w:p>
      <w:pPr>
        <w:spacing w:after="0" w:line="1" w:lineRule="exact"/>
        <w:rPr>
          <w:rFonts w:ascii="Arial" w:cs="Arial" w:eastAsia="Arial" w:hAnsi="Arial"/>
          <w:sz w:val="16"/>
          <w:szCs w:val="16"/>
          <w:color w:val="auto"/>
        </w:rPr>
      </w:pPr>
    </w:p>
    <w:p>
      <w:pPr>
        <w:ind w:left="600" w:hanging="301"/>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a 10 basis point (-0.10%) </w:t>
      </w:r>
      <w:r>
        <w:rPr>
          <w:rFonts w:ascii="Arial" w:cs="Arial" w:eastAsia="Arial" w:hAnsi="Arial"/>
          <w:sz w:val="17"/>
          <w:szCs w:val="17"/>
          <w:color w:val="282A32"/>
        </w:rPr>
        <w:t>unfavorable impact from decreased demand in our outplacement business at Right Management; partially offset by</w:t>
      </w:r>
    </w:p>
    <w:p>
      <w:pPr>
        <w:spacing w:after="0" w:line="3" w:lineRule="exact"/>
        <w:rPr>
          <w:rFonts w:ascii="Arial" w:cs="Arial" w:eastAsia="Arial" w:hAnsi="Arial"/>
          <w:sz w:val="17"/>
          <w:szCs w:val="17"/>
          <w:color w:val="auto"/>
        </w:rPr>
      </w:pPr>
    </w:p>
    <w:p>
      <w:pPr>
        <w:ind w:left="600" w:hanging="301"/>
        <w:spacing w:after="0"/>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10 basis point (0.10%) favorable impact from the 8.4% (6.9% in constant currency) increase in our permanent recruitment business.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282A32"/>
        </w:rPr>
        <w:t>The 3.2% increase in selling and administrative expenses in 2018 (1.3% in constant currency; 1.0% in organic constant currency) was primarily attributed to:</w:t>
      </w:r>
    </w:p>
    <w:p>
      <w:pPr>
        <w:spacing w:after="0" w:line="215" w:lineRule="exact"/>
        <w:rPr>
          <w:sz w:val="20"/>
          <w:szCs w:val="20"/>
          <w:color w:val="auto"/>
        </w:rPr>
      </w:pPr>
    </w:p>
    <w:p>
      <w:pPr>
        <w:ind w:left="600" w:hanging="301"/>
        <w:spacing w:after="0" w:line="252" w:lineRule="auto"/>
        <w:tabs>
          <w:tab w:leader="none" w:pos="600" w:val="left"/>
        </w:tabs>
        <w:numPr>
          <w:ilvl w:val="0"/>
          <w:numId w:val="21"/>
        </w:numPr>
        <w:rPr>
          <w:rFonts w:ascii="Arial" w:cs="Arial" w:eastAsia="Arial" w:hAnsi="Arial"/>
          <w:sz w:val="17"/>
          <w:szCs w:val="17"/>
          <w:color w:val="282A32"/>
        </w:rPr>
      </w:pPr>
      <w:r>
        <w:rPr>
          <w:rFonts w:ascii="Arial" w:cs="Arial" w:eastAsia="Arial" w:hAnsi="Arial"/>
          <w:sz w:val="17"/>
          <w:szCs w:val="17"/>
          <w:color w:val="282A32"/>
        </w:rPr>
        <w:t xml:space="preserve">a 15.5% increase (13.3% in constant currency and 13.1% in organic constant currency) in consulting costs primarily related to certain technology projects, </w:t>
      </w:r>
      <w:r>
        <w:rPr>
          <w:rFonts w:ascii="Arial" w:cs="Arial" w:eastAsia="Arial" w:hAnsi="Arial"/>
          <w:sz w:val="17"/>
          <w:szCs w:val="17"/>
          <w:color w:val="000000"/>
        </w:rPr>
        <w:t>delivery model and other front-office centralization and back-office optimization activities</w:t>
      </w:r>
      <w:r>
        <w:rPr>
          <w:rFonts w:ascii="Arial" w:cs="Arial" w:eastAsia="Arial" w:hAnsi="Arial"/>
          <w:sz w:val="17"/>
          <w:szCs w:val="17"/>
          <w:color w:val="282A32"/>
        </w:rPr>
        <w:t>;</w:t>
      </w:r>
    </w:p>
    <w:p>
      <w:pPr>
        <w:jc w:val="both"/>
        <w:ind w:left="600" w:hanging="301"/>
        <w:spacing w:after="0" w:line="244" w:lineRule="auto"/>
        <w:tabs>
          <w:tab w:leader="none" w:pos="600" w:val="left"/>
        </w:tabs>
        <w:numPr>
          <w:ilvl w:val="0"/>
          <w:numId w:val="21"/>
        </w:numPr>
        <w:rPr>
          <w:rFonts w:ascii="Arial" w:cs="Arial" w:eastAsia="Arial" w:hAnsi="Arial"/>
          <w:sz w:val="17"/>
          <w:szCs w:val="17"/>
          <w:color w:val="282A32"/>
        </w:rPr>
      </w:pPr>
      <w:r>
        <w:rPr>
          <w:rFonts w:ascii="Arial" w:cs="Arial" w:eastAsia="Arial" w:hAnsi="Arial"/>
          <w:sz w:val="17"/>
          <w:szCs w:val="17"/>
          <w:color w:val="282A32"/>
        </w:rPr>
        <w:t>restructuring costs of $39.3 million incurred in 2018, comprised of $0.3 million in the Americas, $5.4 million in Southern Europe, $33.3 million in Northern Europe and $0.3 million in Right Management, compared to $34.5 million incurred in 2017, comprised of $6.3 million the Americas, $23.8 million Northern Europe, $1.4 million in APME, $2.0 million in Right Management and $1.0 million in corporate expenses;</w:t>
      </w:r>
    </w:p>
    <w:p>
      <w:pPr>
        <w:spacing w:after="0" w:line="2" w:lineRule="exact"/>
        <w:rPr>
          <w:rFonts w:ascii="Arial" w:cs="Arial" w:eastAsia="Arial" w:hAnsi="Arial"/>
          <w:sz w:val="17"/>
          <w:szCs w:val="17"/>
          <w:color w:val="282A32"/>
        </w:rPr>
      </w:pPr>
    </w:p>
    <w:p>
      <w:pPr>
        <w:ind w:left="600" w:hanging="301"/>
        <w:spacing w:after="0"/>
        <w:tabs>
          <w:tab w:leader="none" w:pos="600" w:val="left"/>
        </w:tabs>
        <w:numPr>
          <w:ilvl w:val="0"/>
          <w:numId w:val="21"/>
        </w:numPr>
        <w:rPr>
          <w:rFonts w:ascii="Arial" w:cs="Arial" w:eastAsia="Arial" w:hAnsi="Arial"/>
          <w:sz w:val="17"/>
          <w:szCs w:val="17"/>
          <w:color w:val="282A32"/>
        </w:rPr>
      </w:pPr>
      <w:r>
        <w:rPr>
          <w:rFonts w:ascii="Arial" w:cs="Arial" w:eastAsia="Arial" w:hAnsi="Arial"/>
          <w:sz w:val="17"/>
          <w:szCs w:val="17"/>
          <w:color w:val="282A32"/>
        </w:rPr>
        <w:t>a 1.9% increase due to the impact of changes in the currency exchange rates; and</w:t>
      </w:r>
    </w:p>
    <w:p>
      <w:pPr>
        <w:spacing w:after="0" w:line="3" w:lineRule="exact"/>
        <w:rPr>
          <w:rFonts w:ascii="Arial" w:cs="Arial" w:eastAsia="Arial" w:hAnsi="Arial"/>
          <w:sz w:val="17"/>
          <w:szCs w:val="17"/>
          <w:color w:val="282A32"/>
        </w:rPr>
      </w:pPr>
    </w:p>
    <w:p>
      <w:pPr>
        <w:ind w:left="600" w:hanging="301"/>
        <w:spacing w:after="0" w:line="244" w:lineRule="auto"/>
        <w:tabs>
          <w:tab w:leader="none" w:pos="600" w:val="left"/>
        </w:tabs>
        <w:numPr>
          <w:ilvl w:val="0"/>
          <w:numId w:val="21"/>
        </w:numPr>
        <w:rPr>
          <w:rFonts w:ascii="Arial" w:cs="Arial" w:eastAsia="Arial" w:hAnsi="Arial"/>
          <w:sz w:val="17"/>
          <w:szCs w:val="17"/>
          <w:color w:val="282A32"/>
        </w:rPr>
      </w:pPr>
      <w:r>
        <w:rPr>
          <w:rFonts w:ascii="Arial" w:cs="Arial" w:eastAsia="Arial" w:hAnsi="Arial"/>
          <w:sz w:val="17"/>
          <w:szCs w:val="17"/>
          <w:color w:val="282A32"/>
        </w:rPr>
        <w:t>the additional recurring selling and administrative costs of $10.0 million incurred as a result of acquisitions in the Americas, Southern Europe and APME; partially offset by</w:t>
      </w:r>
    </w:p>
    <w:p>
      <w:pPr>
        <w:spacing w:after="0" w:line="1" w:lineRule="exact"/>
        <w:rPr>
          <w:rFonts w:ascii="Arial" w:cs="Arial" w:eastAsia="Arial" w:hAnsi="Arial"/>
          <w:sz w:val="17"/>
          <w:szCs w:val="17"/>
          <w:color w:val="282A32"/>
        </w:rPr>
      </w:pPr>
    </w:p>
    <w:p>
      <w:pPr>
        <w:ind w:left="600" w:hanging="301"/>
        <w:spacing w:after="0"/>
        <w:tabs>
          <w:tab w:leader="none" w:pos="600" w:val="left"/>
        </w:tabs>
        <w:numPr>
          <w:ilvl w:val="0"/>
          <w:numId w:val="21"/>
        </w:numPr>
        <w:rPr>
          <w:rFonts w:ascii="Arial" w:cs="Arial" w:eastAsia="Arial" w:hAnsi="Arial"/>
          <w:sz w:val="17"/>
          <w:szCs w:val="17"/>
          <w:color w:val="282A32"/>
        </w:rPr>
      </w:pPr>
      <w:r>
        <w:rPr>
          <w:rFonts w:ascii="Arial" w:cs="Arial" w:eastAsia="Arial" w:hAnsi="Arial"/>
          <w:sz w:val="17"/>
          <w:szCs w:val="17"/>
          <w:color w:val="282A32"/>
        </w:rPr>
        <w:t>an $8.4 million decrease related to a gain from the sale of a non-core language translation business in the Netherlands; and</w:t>
      </w:r>
    </w:p>
    <w:p>
      <w:pPr>
        <w:spacing w:after="0" w:line="3" w:lineRule="exact"/>
        <w:rPr>
          <w:rFonts w:ascii="Arial" w:cs="Arial" w:eastAsia="Arial" w:hAnsi="Arial"/>
          <w:sz w:val="17"/>
          <w:szCs w:val="17"/>
          <w:color w:val="282A32"/>
        </w:rPr>
      </w:pPr>
    </w:p>
    <w:p>
      <w:pPr>
        <w:ind w:left="600" w:hanging="301"/>
        <w:spacing w:after="0"/>
        <w:tabs>
          <w:tab w:leader="none" w:pos="600" w:val="left"/>
        </w:tabs>
        <w:numPr>
          <w:ilvl w:val="0"/>
          <w:numId w:val="21"/>
        </w:numPr>
        <w:rPr>
          <w:rFonts w:ascii="Arial" w:cs="Arial" w:eastAsia="Arial" w:hAnsi="Arial"/>
          <w:sz w:val="15"/>
          <w:szCs w:val="15"/>
          <w:color w:val="282A32"/>
        </w:rPr>
      </w:pPr>
      <w:r>
        <w:rPr>
          <w:rFonts w:ascii="Arial" w:cs="Arial" w:eastAsia="Arial" w:hAnsi="Arial"/>
          <w:sz w:val="15"/>
          <w:szCs w:val="15"/>
          <w:color w:val="auto"/>
        </w:rPr>
        <w:t>a 3.1% decrease (-4.9% in constant currency and -5.2% in organic constant currency) in variable incentive costs due to a decline in profitability in certain markets</w:t>
      </w:r>
      <w:r>
        <w:rPr>
          <w:rFonts w:ascii="Arial" w:cs="Arial" w:eastAsia="Arial" w:hAnsi="Arial"/>
          <w:sz w:val="15"/>
          <w:szCs w:val="15"/>
          <w:color w:val="282A32"/>
        </w:rPr>
        <w:t>.</w:t>
      </w:r>
    </w:p>
    <w:p>
      <w:pPr>
        <w:spacing w:after="0" w:line="214" w:lineRule="exact"/>
        <w:rPr>
          <w:sz w:val="20"/>
          <w:szCs w:val="20"/>
          <w:color w:val="auto"/>
        </w:rPr>
      </w:pPr>
    </w:p>
    <w:p>
      <w:pPr>
        <w:spacing w:after="0" w:line="265" w:lineRule="auto"/>
        <w:rPr>
          <w:sz w:val="20"/>
          <w:szCs w:val="20"/>
          <w:color w:val="auto"/>
        </w:rPr>
      </w:pPr>
      <w:r>
        <w:rPr>
          <w:rFonts w:ascii="Arial" w:cs="Arial" w:eastAsia="Arial" w:hAnsi="Arial"/>
          <w:sz w:val="17"/>
          <w:szCs w:val="17"/>
          <w:color w:val="282A32"/>
        </w:rPr>
        <w:t>Selling and administrative expenses as a percent of revenues decreased 10 basis points (-0.10%) in 2018 compared to 2017. The change in selling and administrative expenses as a percent of revenues consisted of:</w:t>
      </w:r>
    </w:p>
    <w:p>
      <w:pPr>
        <w:spacing w:after="0" w:line="167" w:lineRule="exact"/>
        <w:rPr>
          <w:sz w:val="20"/>
          <w:szCs w:val="20"/>
          <w:color w:val="auto"/>
        </w:rPr>
      </w:pPr>
    </w:p>
    <w:p>
      <w:pPr>
        <w:ind w:left="600" w:hanging="301"/>
        <w:spacing w:after="0"/>
        <w:tabs>
          <w:tab w:leader="none" w:pos="600" w:val="left"/>
        </w:tabs>
        <w:numPr>
          <w:ilvl w:val="0"/>
          <w:numId w:val="22"/>
        </w:numPr>
        <w:rPr>
          <w:rFonts w:ascii="Arial" w:cs="Arial" w:eastAsia="Arial" w:hAnsi="Arial"/>
          <w:sz w:val="17"/>
          <w:szCs w:val="17"/>
          <w:color w:val="282A32"/>
        </w:rPr>
      </w:pPr>
      <w:r>
        <w:rPr>
          <w:rFonts w:ascii="Arial" w:cs="Arial" w:eastAsia="Arial" w:hAnsi="Arial"/>
          <w:sz w:val="17"/>
          <w:szCs w:val="17"/>
          <w:color w:val="282A32"/>
        </w:rPr>
        <w:t>a 10 basis point (-0.10%) favorable impact from better expense leverage as a result of our strong focus on productivity and efficiency; and</w:t>
      </w:r>
    </w:p>
    <w:p>
      <w:pPr>
        <w:spacing w:after="0" w:line="16" w:lineRule="exact"/>
        <w:rPr>
          <w:rFonts w:ascii="Arial" w:cs="Arial" w:eastAsia="Arial" w:hAnsi="Arial"/>
          <w:sz w:val="17"/>
          <w:szCs w:val="17"/>
          <w:color w:val="282A32"/>
        </w:rPr>
      </w:pPr>
    </w:p>
    <w:p>
      <w:pPr>
        <w:ind w:left="600" w:hanging="301"/>
        <w:spacing w:after="0"/>
        <w:tabs>
          <w:tab w:leader="none" w:pos="600" w:val="left"/>
        </w:tabs>
        <w:numPr>
          <w:ilvl w:val="0"/>
          <w:numId w:val="22"/>
        </w:numPr>
        <w:rPr>
          <w:rFonts w:ascii="Arial" w:cs="Arial" w:eastAsia="Arial" w:hAnsi="Arial"/>
          <w:sz w:val="17"/>
          <w:szCs w:val="17"/>
          <w:color w:val="282A32"/>
        </w:rPr>
      </w:pPr>
      <w:r>
        <w:rPr>
          <w:rFonts w:ascii="Arial" w:cs="Arial" w:eastAsia="Arial" w:hAnsi="Arial"/>
          <w:sz w:val="17"/>
          <w:szCs w:val="17"/>
          <w:color w:val="282A32"/>
        </w:rPr>
        <w:t>a 10 basis point (-0.10%) favorable impact due to the decrease in variable incentive costs; partially offset by</w:t>
      </w:r>
    </w:p>
    <w:p>
      <w:pPr>
        <w:spacing w:after="0" w:line="3" w:lineRule="exact"/>
        <w:rPr>
          <w:rFonts w:ascii="Arial" w:cs="Arial" w:eastAsia="Arial" w:hAnsi="Arial"/>
          <w:sz w:val="17"/>
          <w:szCs w:val="17"/>
          <w:color w:val="282A32"/>
        </w:rPr>
      </w:pPr>
    </w:p>
    <w:p>
      <w:pPr>
        <w:ind w:left="600" w:hanging="301"/>
        <w:spacing w:after="0"/>
        <w:tabs>
          <w:tab w:leader="none" w:pos="600" w:val="left"/>
        </w:tabs>
        <w:numPr>
          <w:ilvl w:val="0"/>
          <w:numId w:val="22"/>
        </w:numPr>
        <w:rPr>
          <w:rFonts w:ascii="Arial" w:cs="Arial" w:eastAsia="Arial" w:hAnsi="Arial"/>
          <w:sz w:val="17"/>
          <w:szCs w:val="17"/>
          <w:color w:val="282A32"/>
        </w:rPr>
      </w:pPr>
      <w:r>
        <w:rPr>
          <w:rFonts w:ascii="Arial" w:cs="Arial" w:eastAsia="Arial" w:hAnsi="Arial"/>
          <w:sz w:val="17"/>
          <w:szCs w:val="17"/>
          <w:color w:val="282A32"/>
        </w:rPr>
        <w:t xml:space="preserve">a 10 basis point (0.10%) </w:t>
      </w:r>
      <w:r>
        <w:rPr>
          <w:rFonts w:ascii="Arial" w:cs="Arial" w:eastAsia="Arial" w:hAnsi="Arial"/>
          <w:sz w:val="17"/>
          <w:szCs w:val="17"/>
          <w:color w:val="000000"/>
        </w:rPr>
        <w:t>unfavorable impact due to the consulting costs incurred in 2018.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351" w:right="239" w:bottom="1440" w:gutter="0" w:footer="0" w:header="0"/>
        </w:sectPr>
      </w:pPr>
    </w:p>
    <w:bookmarkStart w:id="29" w:name="page30"/>
    <w:bookmarkEnd w:id="29"/>
    <w:p>
      <w:pPr>
        <w:jc w:val="both"/>
        <w:spacing w:after="0" w:line="284" w:lineRule="auto"/>
        <w:rPr>
          <w:sz w:val="20"/>
          <w:szCs w:val="20"/>
          <w:color w:val="auto"/>
        </w:rPr>
      </w:pPr>
      <w:r>
        <w:rPr>
          <w:rFonts w:ascii="Arial" w:cs="Arial" w:eastAsia="Arial" w:hAnsi="Arial"/>
          <w:sz w:val="15"/>
          <w:szCs w:val="15"/>
          <w:color w:val="282A32"/>
        </w:rPr>
        <w:t>Interest and other expenses are comprised of interest, foreign exchange gains and losses and other miscellaneous non-operating income and expenses. Interest and other expenses were $42.0 million in 2018 compared to $51.9 million in 2017. Net interest expense decreased $3.6 million in 2018 to $41.0 million from $44.6 million in 2017 due to the lower interest rate on our €500.0 million notes offered and sold in June 2018 compared to the interest rate on the €350.0 million notes due June 22, 2018 that were repaid in June 2018. Foreign exchange losses in 2018 were $1.4 million compared to $0.8 million in 2017. The increase in foreign exchange losses in 2018 compared to 2017 was primarily due to the $2.5 million translation loss in Argentina as a result of the highly-inflationary designation of its economy as of July 1, 2018, partially offset by favorable foreign currency impacts from translation of amounts denominated in currencies other than functional currencies in a few of our reporting units and translation gains resulting from intercompany transactions between our foreign subsidiaries and the United States in 2018. Miscellaneous income was $0.4 million in 2018 compared to miscellaneous expense of $6.5 million in 2017. The variance is primarily due to a decrease in expenses related to net earnings attributable to noncontrolling interests, partially offset by a decrease in gains on the sale of investments by our minority-owned Swiss Franchise.</w:t>
      </w:r>
    </w:p>
    <w:p>
      <w:pPr>
        <w:spacing w:after="0" w:line="15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282A32"/>
        </w:rPr>
        <w:t>We recorded income tax expense at an effective rate of 26.2% in 2018, as compared to an effective rate of 26.0% in 2017. The 26.2% effective tax rate for 2018 was higher than the United States federal statutory rate of 21% due primarily to the French business tax. In 2019, we expect our effective tax rate to increase to approximately 34% due primarily to the transition of the French CICE subsidy, which was non-taxable, to new subsidies in January 2019 that are taxable.</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282A32"/>
        </w:rPr>
        <w:t>Net earnings per share - diluted was $8.56 in 2018 compared to $8.04 in 2017. Foreign currency exchange rates favorably impacted net earnings per share - diluted by approximately $0.08 in 2018. Restructuring costs recorded in 2018 and 2017 negatively impacted net earnings per share - diluted by approximately $0.46 and $0.41 per share, net of tax, for 2018 and 2017, respectively. The gain from the sale of the Netherlands' language translation business favorably impacted net earnings per share - diluted by approximately $0.06 per share, net of tax, for 2018. The translation loss from the Argentina highly-inflationary designation recorded in 2018 negatively impacted net earnings per share- diluted by approximately $0.04 per share, net of tax, for 2018. The net tax benefits related to the United States Tax Cuts and Jobs Act of 2017 (the "Tax Act") and the French tax reform positively impacted net earnings per share - diluted by approximately $1.09 per share in 2017.</w:t>
      </w:r>
    </w:p>
    <w:p>
      <w:pPr>
        <w:spacing w:after="0" w:line="154"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282A32"/>
        </w:rPr>
        <w:t>Weighted average shares - diluted decreased 4.1% to 65.1 million in 2018 from 67.9 million in 2017. This decrease was due to the impact of share repurchases completed in 2018 and the full weighting of the repurchases completed in 2017, partially offset by shares issued as a result of exercises and vesting of share-based awards in 2018.</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35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5"/>
        </w:trPr>
        <w:tc>
          <w:tcPr>
            <w:tcW w:w="3120" w:type="dxa"/>
            <w:vAlign w:val="bottom"/>
            <w:tcBorders>
              <w:bottom w:val="single" w:sz="8" w:color="282A32"/>
            </w:tcBorders>
          </w:tcPr>
          <w:p>
            <w:pPr>
              <w:spacing w:after="0"/>
              <w:rPr>
                <w:sz w:val="20"/>
                <w:szCs w:val="20"/>
                <w:color w:val="auto"/>
              </w:rPr>
            </w:pPr>
            <w:r>
              <w:rPr>
                <w:rFonts w:ascii="Arial" w:cs="Arial" w:eastAsia="Arial" w:hAnsi="Arial"/>
                <w:sz w:val="17"/>
                <w:szCs w:val="17"/>
                <w:color w:val="282A32"/>
                <w:w w:val="87"/>
              </w:rPr>
              <w:t>Consolidated Results - 2017 compared to 2016</w:t>
            </w:r>
          </w:p>
        </w:tc>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416"/>
        </w:trPr>
        <w:tc>
          <w:tcPr>
            <w:tcW w:w="6520" w:type="dxa"/>
            <w:vAlign w:val="bottom"/>
            <w:gridSpan w:val="4"/>
          </w:tcPr>
          <w:p>
            <w:pPr>
              <w:spacing w:after="0"/>
              <w:rPr>
                <w:sz w:val="20"/>
                <w:szCs w:val="20"/>
                <w:color w:val="auto"/>
              </w:rPr>
            </w:pPr>
            <w:r>
              <w:rPr>
                <w:rFonts w:ascii="Arial" w:cs="Arial" w:eastAsia="Arial" w:hAnsi="Arial"/>
                <w:sz w:val="17"/>
                <w:szCs w:val="17"/>
                <w:color w:val="282A32"/>
                <w:w w:val="90"/>
              </w:rPr>
              <w:t>The following table presents selected consolidated financial data for 2017 as compared to 2016.</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3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jc w:val="right"/>
              <w:ind w:right="77"/>
              <w:spacing w:after="0"/>
              <w:rPr>
                <w:sz w:val="20"/>
                <w:szCs w:val="20"/>
                <w:color w:val="auto"/>
              </w:rPr>
            </w:pPr>
            <w:r>
              <w:rPr>
                <w:rFonts w:ascii="Arial" w:cs="Arial" w:eastAsia="Arial" w:hAnsi="Arial"/>
                <w:sz w:val="17"/>
                <w:szCs w:val="17"/>
                <w:color w:val="282A32"/>
              </w:rPr>
              <w:t>Variance in</w:t>
            </w:r>
          </w:p>
        </w:tc>
      </w:tr>
      <w:tr>
        <w:trPr>
          <w:trHeight w:val="199"/>
        </w:trPr>
        <w:tc>
          <w:tcPr>
            <w:tcW w:w="3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jc w:val="right"/>
              <w:ind w:right="217"/>
              <w:spacing w:after="0"/>
              <w:rPr>
                <w:sz w:val="20"/>
                <w:szCs w:val="20"/>
                <w:color w:val="auto"/>
              </w:rPr>
            </w:pPr>
            <w:r>
              <w:rPr>
                <w:rFonts w:ascii="Arial" w:cs="Arial" w:eastAsia="Arial" w:hAnsi="Arial"/>
                <w:sz w:val="17"/>
                <w:szCs w:val="17"/>
                <w:color w:val="282A32"/>
              </w:rPr>
              <w:t>Variance in</w:t>
            </w:r>
          </w:p>
        </w:tc>
        <w:tc>
          <w:tcPr>
            <w:tcW w:w="1060" w:type="dxa"/>
            <w:vAlign w:val="bottom"/>
          </w:tcPr>
          <w:p>
            <w:pPr>
              <w:jc w:val="right"/>
              <w:ind w:right="77"/>
              <w:spacing w:after="0"/>
              <w:rPr>
                <w:sz w:val="20"/>
                <w:szCs w:val="20"/>
                <w:color w:val="auto"/>
              </w:rPr>
            </w:pPr>
            <w:r>
              <w:rPr>
                <w:rFonts w:ascii="Arial" w:cs="Arial" w:eastAsia="Arial" w:hAnsi="Arial"/>
                <w:sz w:val="17"/>
                <w:szCs w:val="17"/>
                <w:color w:val="282A32"/>
              </w:rPr>
              <w:t>Organic</w:t>
            </w:r>
          </w:p>
        </w:tc>
      </w:tr>
      <w:tr>
        <w:trPr>
          <w:trHeight w:val="199"/>
        </w:trPr>
        <w:tc>
          <w:tcPr>
            <w:tcW w:w="3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80" w:type="dxa"/>
            <w:vAlign w:val="bottom"/>
          </w:tcPr>
          <w:p>
            <w:pPr>
              <w:jc w:val="right"/>
              <w:ind w:right="257"/>
              <w:spacing w:after="0"/>
              <w:rPr>
                <w:sz w:val="20"/>
                <w:szCs w:val="20"/>
                <w:color w:val="auto"/>
              </w:rPr>
            </w:pPr>
            <w:r>
              <w:rPr>
                <w:rFonts w:ascii="Arial" w:cs="Arial" w:eastAsia="Arial" w:hAnsi="Arial"/>
                <w:sz w:val="17"/>
                <w:szCs w:val="17"/>
                <w:color w:val="282A32"/>
              </w:rPr>
              <w:t>Reported</w:t>
            </w:r>
          </w:p>
        </w:tc>
        <w:tc>
          <w:tcPr>
            <w:tcW w:w="1180" w:type="dxa"/>
            <w:vAlign w:val="bottom"/>
          </w:tcPr>
          <w:p>
            <w:pPr>
              <w:jc w:val="right"/>
              <w:ind w:right="197"/>
              <w:spacing w:after="0"/>
              <w:rPr>
                <w:sz w:val="20"/>
                <w:szCs w:val="20"/>
                <w:color w:val="auto"/>
              </w:rPr>
            </w:pPr>
            <w:r>
              <w:rPr>
                <w:rFonts w:ascii="Arial" w:cs="Arial" w:eastAsia="Arial" w:hAnsi="Arial"/>
                <w:sz w:val="17"/>
                <w:szCs w:val="17"/>
                <w:color w:val="282A32"/>
              </w:rPr>
              <w:t>Constant</w:t>
            </w:r>
          </w:p>
        </w:tc>
        <w:tc>
          <w:tcPr>
            <w:tcW w:w="1060" w:type="dxa"/>
            <w:vAlign w:val="bottom"/>
          </w:tcPr>
          <w:p>
            <w:pPr>
              <w:jc w:val="right"/>
              <w:ind w:right="77"/>
              <w:spacing w:after="0"/>
              <w:rPr>
                <w:sz w:val="20"/>
                <w:szCs w:val="20"/>
                <w:color w:val="auto"/>
              </w:rPr>
            </w:pPr>
            <w:r>
              <w:rPr>
                <w:rFonts w:ascii="Arial" w:cs="Arial" w:eastAsia="Arial" w:hAnsi="Arial"/>
                <w:sz w:val="17"/>
                <w:szCs w:val="17"/>
                <w:color w:val="282A32"/>
              </w:rPr>
              <w:t>Constant</w:t>
            </w:r>
          </w:p>
        </w:tc>
      </w:tr>
      <w:tr>
        <w:trPr>
          <w:trHeight w:val="212"/>
        </w:trPr>
        <w:tc>
          <w:tcPr>
            <w:tcW w:w="4480" w:type="dxa"/>
            <w:vAlign w:val="bottom"/>
            <w:gridSpan w:val="2"/>
          </w:tcPr>
          <w:p>
            <w:pPr>
              <w:ind w:left="20"/>
              <w:spacing w:after="0"/>
              <w:rPr>
                <w:sz w:val="20"/>
                <w:szCs w:val="20"/>
                <w:color w:val="auto"/>
              </w:rPr>
            </w:pPr>
            <w:r>
              <w:rPr>
                <w:rFonts w:ascii="Arial" w:cs="Arial" w:eastAsia="Arial" w:hAnsi="Arial"/>
                <w:sz w:val="17"/>
                <w:szCs w:val="17"/>
                <w:i w:val="1"/>
                <w:iCs w:val="1"/>
                <w:color w:val="282A32"/>
              </w:rPr>
              <w:t>(in millions, except per share data)</w:t>
            </w:r>
          </w:p>
        </w:tc>
        <w:tc>
          <w:tcPr>
            <w:tcW w:w="1080" w:type="dxa"/>
            <w:vAlign w:val="bottom"/>
          </w:tcPr>
          <w:p>
            <w:pPr>
              <w:spacing w:after="0"/>
              <w:rPr>
                <w:sz w:val="18"/>
                <w:szCs w:val="18"/>
                <w:color w:val="auto"/>
              </w:rPr>
            </w:pPr>
          </w:p>
        </w:tc>
        <w:tc>
          <w:tcPr>
            <w:tcW w:w="960" w:type="dxa"/>
            <w:vAlign w:val="bottom"/>
          </w:tcPr>
          <w:p>
            <w:pPr>
              <w:jc w:val="right"/>
              <w:ind w:right="77"/>
              <w:spacing w:after="0"/>
              <w:rPr>
                <w:sz w:val="20"/>
                <w:szCs w:val="20"/>
                <w:color w:val="auto"/>
              </w:rPr>
            </w:pPr>
            <w:r>
              <w:rPr>
                <w:rFonts w:ascii="Arial" w:cs="Arial" w:eastAsia="Arial" w:hAnsi="Arial"/>
                <w:sz w:val="17"/>
                <w:szCs w:val="17"/>
                <w:color w:val="282A32"/>
              </w:rPr>
              <w:t>2017</w:t>
            </w:r>
          </w:p>
        </w:tc>
        <w:tc>
          <w:tcPr>
            <w:tcW w:w="340" w:type="dxa"/>
            <w:vAlign w:val="bottom"/>
          </w:tcPr>
          <w:p>
            <w:pPr>
              <w:spacing w:after="0"/>
              <w:rPr>
                <w:sz w:val="18"/>
                <w:szCs w:val="18"/>
                <w:color w:val="auto"/>
              </w:rPr>
            </w:pPr>
          </w:p>
        </w:tc>
        <w:tc>
          <w:tcPr>
            <w:tcW w:w="1140" w:type="dxa"/>
            <w:vAlign w:val="bottom"/>
          </w:tcPr>
          <w:p>
            <w:pPr>
              <w:jc w:val="right"/>
              <w:ind w:right="257"/>
              <w:spacing w:after="0"/>
              <w:rPr>
                <w:sz w:val="20"/>
                <w:szCs w:val="20"/>
                <w:color w:val="auto"/>
              </w:rPr>
            </w:pPr>
            <w:r>
              <w:rPr>
                <w:rFonts w:ascii="Arial" w:cs="Arial" w:eastAsia="Arial" w:hAnsi="Arial"/>
                <w:sz w:val="17"/>
                <w:szCs w:val="17"/>
                <w:color w:val="282A32"/>
              </w:rPr>
              <w:t>2016</w:t>
            </w:r>
          </w:p>
        </w:tc>
        <w:tc>
          <w:tcPr>
            <w:tcW w:w="1180" w:type="dxa"/>
            <w:vAlign w:val="bottom"/>
          </w:tcPr>
          <w:p>
            <w:pPr>
              <w:jc w:val="right"/>
              <w:ind w:right="257"/>
              <w:spacing w:after="0"/>
              <w:rPr>
                <w:sz w:val="20"/>
                <w:szCs w:val="20"/>
                <w:color w:val="auto"/>
              </w:rPr>
            </w:pPr>
            <w:r>
              <w:rPr>
                <w:rFonts w:ascii="Arial" w:cs="Arial" w:eastAsia="Arial" w:hAnsi="Arial"/>
                <w:sz w:val="17"/>
                <w:szCs w:val="17"/>
                <w:color w:val="282A32"/>
              </w:rPr>
              <w:t>Variance</w:t>
            </w:r>
          </w:p>
        </w:tc>
        <w:tc>
          <w:tcPr>
            <w:tcW w:w="1180" w:type="dxa"/>
            <w:vAlign w:val="bottom"/>
          </w:tcPr>
          <w:p>
            <w:pPr>
              <w:jc w:val="right"/>
              <w:ind w:right="217"/>
              <w:spacing w:after="0"/>
              <w:rPr>
                <w:sz w:val="20"/>
                <w:szCs w:val="20"/>
                <w:color w:val="auto"/>
              </w:rPr>
            </w:pPr>
            <w:r>
              <w:rPr>
                <w:rFonts w:ascii="Arial" w:cs="Arial" w:eastAsia="Arial" w:hAnsi="Arial"/>
                <w:sz w:val="17"/>
                <w:szCs w:val="17"/>
                <w:color w:val="282A32"/>
              </w:rPr>
              <w:t>Currency</w:t>
            </w:r>
          </w:p>
        </w:tc>
        <w:tc>
          <w:tcPr>
            <w:tcW w:w="1060" w:type="dxa"/>
            <w:vAlign w:val="bottom"/>
          </w:tcPr>
          <w:p>
            <w:pPr>
              <w:jc w:val="right"/>
              <w:ind w:right="77"/>
              <w:spacing w:after="0"/>
              <w:rPr>
                <w:sz w:val="20"/>
                <w:szCs w:val="20"/>
                <w:color w:val="auto"/>
              </w:rPr>
            </w:pPr>
            <w:r>
              <w:rPr>
                <w:rFonts w:ascii="Arial" w:cs="Arial" w:eastAsia="Arial" w:hAnsi="Arial"/>
                <w:sz w:val="17"/>
                <w:szCs w:val="17"/>
                <w:color w:val="282A32"/>
              </w:rPr>
              <w:t>Currency</w:t>
            </w:r>
          </w:p>
        </w:tc>
      </w:tr>
      <w:tr>
        <w:trPr>
          <w:trHeight w:val="25"/>
        </w:trPr>
        <w:tc>
          <w:tcPr>
            <w:tcW w:w="3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282A32"/>
              </w:rPr>
              <w:t>Revenues from services</w:t>
            </w:r>
          </w:p>
        </w:tc>
        <w:tc>
          <w:tcPr>
            <w:tcW w:w="10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w:t>
            </w: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21,034.3</w:t>
            </w: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w:t>
            </w:r>
          </w:p>
        </w:tc>
        <w:tc>
          <w:tcPr>
            <w:tcW w:w="11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19,654.1</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7.0 %</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6.0%</w:t>
            </w:r>
          </w:p>
        </w:tc>
        <w:tc>
          <w:tcPr>
            <w:tcW w:w="1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282A32"/>
                <w:w w:val="92"/>
              </w:rPr>
              <w:t>5.5%</w:t>
            </w:r>
          </w:p>
        </w:tc>
      </w:tr>
      <w:tr>
        <w:trPr>
          <w:trHeight w:val="224"/>
        </w:trPr>
        <w:tc>
          <w:tcPr>
            <w:tcW w:w="4480" w:type="dxa"/>
            <w:vAlign w:val="bottom"/>
            <w:gridSpan w:val="2"/>
          </w:tcPr>
          <w:p>
            <w:pPr>
              <w:ind w:left="20"/>
              <w:spacing w:after="0"/>
              <w:rPr>
                <w:sz w:val="20"/>
                <w:szCs w:val="20"/>
                <w:color w:val="auto"/>
              </w:rPr>
            </w:pPr>
            <w:r>
              <w:rPr>
                <w:rFonts w:ascii="Arial" w:cs="Arial" w:eastAsia="Arial" w:hAnsi="Arial"/>
                <w:sz w:val="17"/>
                <w:szCs w:val="17"/>
                <w:color w:val="282A32"/>
              </w:rPr>
              <w:t>Cost of services</w:t>
            </w:r>
          </w:p>
        </w:tc>
        <w:tc>
          <w:tcPr>
            <w:tcW w:w="108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Arial" w:cs="Arial" w:eastAsia="Arial" w:hAnsi="Arial"/>
                <w:sz w:val="17"/>
                <w:szCs w:val="17"/>
                <w:color w:val="282A32"/>
              </w:rPr>
              <w:t>17,549.7</w:t>
            </w:r>
          </w:p>
        </w:tc>
        <w:tc>
          <w:tcPr>
            <w:tcW w:w="340" w:type="dxa"/>
            <w:vAlign w:val="bottom"/>
          </w:tcPr>
          <w:p>
            <w:pPr>
              <w:spacing w:after="0"/>
              <w:rPr>
                <w:sz w:val="19"/>
                <w:szCs w:val="19"/>
                <w:color w:val="auto"/>
              </w:rPr>
            </w:pPr>
          </w:p>
        </w:tc>
        <w:tc>
          <w:tcPr>
            <w:tcW w:w="1140" w:type="dxa"/>
            <w:vAlign w:val="bottom"/>
          </w:tcPr>
          <w:p>
            <w:pPr>
              <w:jc w:val="right"/>
              <w:ind w:right="257"/>
              <w:spacing w:after="0"/>
              <w:rPr>
                <w:sz w:val="20"/>
                <w:szCs w:val="20"/>
                <w:color w:val="auto"/>
              </w:rPr>
            </w:pPr>
            <w:r>
              <w:rPr>
                <w:rFonts w:ascii="Arial" w:cs="Arial" w:eastAsia="Arial" w:hAnsi="Arial"/>
                <w:sz w:val="17"/>
                <w:szCs w:val="17"/>
                <w:color w:val="282A32"/>
              </w:rPr>
              <w:t>16,320.3</w:t>
            </w:r>
          </w:p>
        </w:tc>
        <w:tc>
          <w:tcPr>
            <w:tcW w:w="1180" w:type="dxa"/>
            <w:vAlign w:val="bottom"/>
          </w:tcPr>
          <w:p>
            <w:pPr>
              <w:jc w:val="right"/>
              <w:ind w:right="257"/>
              <w:spacing w:after="0"/>
              <w:rPr>
                <w:sz w:val="20"/>
                <w:szCs w:val="20"/>
                <w:color w:val="auto"/>
              </w:rPr>
            </w:pPr>
            <w:r>
              <w:rPr>
                <w:rFonts w:ascii="Arial" w:cs="Arial" w:eastAsia="Arial" w:hAnsi="Arial"/>
                <w:sz w:val="17"/>
                <w:szCs w:val="17"/>
                <w:color w:val="282A32"/>
              </w:rPr>
              <w:t>7.5</w:t>
            </w:r>
          </w:p>
        </w:tc>
        <w:tc>
          <w:tcPr>
            <w:tcW w:w="1180" w:type="dxa"/>
            <w:vAlign w:val="bottom"/>
          </w:tcPr>
          <w:p>
            <w:pPr>
              <w:jc w:val="right"/>
              <w:ind w:right="217"/>
              <w:spacing w:after="0"/>
              <w:rPr>
                <w:sz w:val="20"/>
                <w:szCs w:val="20"/>
                <w:color w:val="auto"/>
              </w:rPr>
            </w:pPr>
            <w:r>
              <w:rPr>
                <w:rFonts w:ascii="Arial" w:cs="Arial" w:eastAsia="Arial" w:hAnsi="Arial"/>
                <w:sz w:val="17"/>
                <w:szCs w:val="17"/>
                <w:color w:val="282A32"/>
              </w:rPr>
              <w:t>6.4</w:t>
            </w:r>
          </w:p>
        </w:tc>
        <w:tc>
          <w:tcPr>
            <w:tcW w:w="1060" w:type="dxa"/>
            <w:vAlign w:val="bottom"/>
          </w:tcPr>
          <w:p>
            <w:pPr>
              <w:spacing w:after="0"/>
              <w:rPr>
                <w:sz w:val="19"/>
                <w:szCs w:val="19"/>
                <w:color w:val="auto"/>
              </w:rPr>
            </w:pPr>
          </w:p>
        </w:tc>
      </w:tr>
      <w:tr>
        <w:trPr>
          <w:trHeight w:val="25"/>
        </w:trPr>
        <w:tc>
          <w:tcPr>
            <w:tcW w:w="3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282A32"/>
              </w:rPr>
              <w:t>Gross profit</w:t>
            </w:r>
          </w:p>
        </w:tc>
        <w:tc>
          <w:tcPr>
            <w:tcW w:w="10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3,484.6</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3,333.8</w:t>
            </w:r>
          </w:p>
        </w:tc>
        <w:tc>
          <w:tcPr>
            <w:tcW w:w="11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4.5</w:t>
            </w:r>
          </w:p>
        </w:tc>
        <w:tc>
          <w:tcPr>
            <w:tcW w:w="11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3.6</w:t>
            </w:r>
          </w:p>
        </w:tc>
        <w:tc>
          <w:tcPr>
            <w:tcW w:w="1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282A32"/>
              </w:rPr>
              <w:t>3.1</w:t>
            </w:r>
          </w:p>
        </w:tc>
      </w:tr>
      <w:tr>
        <w:trPr>
          <w:trHeight w:val="224"/>
        </w:trPr>
        <w:tc>
          <w:tcPr>
            <w:tcW w:w="4480" w:type="dxa"/>
            <w:vAlign w:val="bottom"/>
            <w:gridSpan w:val="2"/>
          </w:tcPr>
          <w:p>
            <w:pPr>
              <w:ind w:left="20"/>
              <w:spacing w:after="0"/>
              <w:rPr>
                <w:sz w:val="20"/>
                <w:szCs w:val="20"/>
                <w:color w:val="auto"/>
              </w:rPr>
            </w:pPr>
            <w:r>
              <w:rPr>
                <w:rFonts w:ascii="Arial" w:cs="Arial" w:eastAsia="Arial" w:hAnsi="Arial"/>
                <w:sz w:val="17"/>
                <w:szCs w:val="17"/>
                <w:i w:val="1"/>
                <w:iCs w:val="1"/>
                <w:color w:val="282A32"/>
              </w:rPr>
              <w:t>Gross profit margin</w:t>
            </w:r>
          </w:p>
        </w:tc>
        <w:tc>
          <w:tcPr>
            <w:tcW w:w="10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282A32"/>
              </w:rPr>
              <w:t>16.6%</w:t>
            </w:r>
          </w:p>
        </w:tc>
        <w:tc>
          <w:tcPr>
            <w:tcW w:w="340" w:type="dxa"/>
            <w:vAlign w:val="bottom"/>
          </w:tcPr>
          <w:p>
            <w:pPr>
              <w:spacing w:after="0"/>
              <w:rPr>
                <w:sz w:val="19"/>
                <w:szCs w:val="19"/>
                <w:color w:val="auto"/>
              </w:rPr>
            </w:pPr>
          </w:p>
        </w:tc>
        <w:tc>
          <w:tcPr>
            <w:tcW w:w="1140" w:type="dxa"/>
            <w:vAlign w:val="bottom"/>
          </w:tcPr>
          <w:p>
            <w:pPr>
              <w:jc w:val="right"/>
              <w:ind w:right="117"/>
              <w:spacing w:after="0"/>
              <w:rPr>
                <w:sz w:val="20"/>
                <w:szCs w:val="20"/>
                <w:color w:val="auto"/>
              </w:rPr>
            </w:pPr>
            <w:r>
              <w:rPr>
                <w:rFonts w:ascii="Arial" w:cs="Arial" w:eastAsia="Arial" w:hAnsi="Arial"/>
                <w:sz w:val="17"/>
                <w:szCs w:val="17"/>
                <w:i w:val="1"/>
                <w:iCs w:val="1"/>
                <w:color w:val="282A32"/>
              </w:rPr>
              <w:t>17.0%</w:t>
            </w: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
        </w:trPr>
        <w:tc>
          <w:tcPr>
            <w:tcW w:w="3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282A32"/>
              </w:rPr>
              <w:t>Selling and administrative expenses</w:t>
            </w:r>
          </w:p>
        </w:tc>
        <w:tc>
          <w:tcPr>
            <w:tcW w:w="10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2,695.4</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2,588.3</w:t>
            </w:r>
          </w:p>
        </w:tc>
        <w:tc>
          <w:tcPr>
            <w:tcW w:w="11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4.1</w:t>
            </w:r>
          </w:p>
        </w:tc>
        <w:tc>
          <w:tcPr>
            <w:tcW w:w="11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3.5</w:t>
            </w:r>
          </w:p>
        </w:tc>
        <w:tc>
          <w:tcPr>
            <w:tcW w:w="1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282A32"/>
              </w:rPr>
              <w:t>2.9</w:t>
            </w:r>
          </w:p>
        </w:tc>
      </w:tr>
      <w:tr>
        <w:trPr>
          <w:trHeight w:val="224"/>
        </w:trPr>
        <w:tc>
          <w:tcPr>
            <w:tcW w:w="4480" w:type="dxa"/>
            <w:vAlign w:val="bottom"/>
            <w:gridSpan w:val="2"/>
          </w:tcPr>
          <w:p>
            <w:pPr>
              <w:ind w:left="20"/>
              <w:spacing w:after="0"/>
              <w:rPr>
                <w:sz w:val="20"/>
                <w:szCs w:val="20"/>
                <w:color w:val="auto"/>
              </w:rPr>
            </w:pPr>
            <w:r>
              <w:rPr>
                <w:rFonts w:ascii="Arial" w:cs="Arial" w:eastAsia="Arial" w:hAnsi="Arial"/>
                <w:sz w:val="17"/>
                <w:szCs w:val="17"/>
                <w:i w:val="1"/>
                <w:iCs w:val="1"/>
                <w:color w:val="282A32"/>
              </w:rPr>
              <w:t>Selling and administrative expenses as a % of revenues</w:t>
            </w:r>
          </w:p>
        </w:tc>
        <w:tc>
          <w:tcPr>
            <w:tcW w:w="10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282A32"/>
              </w:rPr>
              <w:t>12.8%</w:t>
            </w:r>
          </w:p>
        </w:tc>
        <w:tc>
          <w:tcPr>
            <w:tcW w:w="340" w:type="dxa"/>
            <w:vAlign w:val="bottom"/>
          </w:tcPr>
          <w:p>
            <w:pPr>
              <w:spacing w:after="0"/>
              <w:rPr>
                <w:sz w:val="19"/>
                <w:szCs w:val="19"/>
                <w:color w:val="auto"/>
              </w:rPr>
            </w:pPr>
          </w:p>
        </w:tc>
        <w:tc>
          <w:tcPr>
            <w:tcW w:w="1140" w:type="dxa"/>
            <w:vAlign w:val="bottom"/>
          </w:tcPr>
          <w:p>
            <w:pPr>
              <w:jc w:val="right"/>
              <w:ind w:right="117"/>
              <w:spacing w:after="0"/>
              <w:rPr>
                <w:sz w:val="20"/>
                <w:szCs w:val="20"/>
                <w:color w:val="auto"/>
              </w:rPr>
            </w:pPr>
            <w:r>
              <w:rPr>
                <w:rFonts w:ascii="Arial" w:cs="Arial" w:eastAsia="Arial" w:hAnsi="Arial"/>
                <w:sz w:val="17"/>
                <w:szCs w:val="17"/>
                <w:i w:val="1"/>
                <w:iCs w:val="1"/>
                <w:color w:val="282A32"/>
              </w:rPr>
              <w:t>13.2%</w:t>
            </w: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
        </w:trPr>
        <w:tc>
          <w:tcPr>
            <w:tcW w:w="3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282A32"/>
              </w:rPr>
              <w:t>Operating profit</w:t>
            </w:r>
          </w:p>
        </w:tc>
        <w:tc>
          <w:tcPr>
            <w:tcW w:w="10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789.2</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745.5</w:t>
            </w:r>
          </w:p>
        </w:tc>
        <w:tc>
          <w:tcPr>
            <w:tcW w:w="11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5.9</w:t>
            </w:r>
          </w:p>
        </w:tc>
        <w:tc>
          <w:tcPr>
            <w:tcW w:w="11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4.0</w:t>
            </w:r>
          </w:p>
        </w:tc>
        <w:tc>
          <w:tcPr>
            <w:tcW w:w="1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7"/>
                <w:szCs w:val="17"/>
                <w:color w:val="282A32"/>
              </w:rPr>
              <w:t>4.2</w:t>
            </w:r>
          </w:p>
        </w:tc>
      </w:tr>
      <w:tr>
        <w:trPr>
          <w:trHeight w:val="224"/>
        </w:trPr>
        <w:tc>
          <w:tcPr>
            <w:tcW w:w="4480" w:type="dxa"/>
            <w:vAlign w:val="bottom"/>
            <w:gridSpan w:val="2"/>
          </w:tcPr>
          <w:p>
            <w:pPr>
              <w:ind w:left="20"/>
              <w:spacing w:after="0"/>
              <w:rPr>
                <w:sz w:val="20"/>
                <w:szCs w:val="20"/>
                <w:color w:val="auto"/>
              </w:rPr>
            </w:pPr>
            <w:r>
              <w:rPr>
                <w:rFonts w:ascii="Arial" w:cs="Arial" w:eastAsia="Arial" w:hAnsi="Arial"/>
                <w:sz w:val="17"/>
                <w:szCs w:val="17"/>
                <w:i w:val="1"/>
                <w:iCs w:val="1"/>
                <w:color w:val="282A32"/>
              </w:rPr>
              <w:t>Operating profit margin</w:t>
            </w:r>
          </w:p>
        </w:tc>
        <w:tc>
          <w:tcPr>
            <w:tcW w:w="10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282A32"/>
              </w:rPr>
              <w:t>3.8%</w:t>
            </w:r>
          </w:p>
        </w:tc>
        <w:tc>
          <w:tcPr>
            <w:tcW w:w="340" w:type="dxa"/>
            <w:vAlign w:val="bottom"/>
          </w:tcPr>
          <w:p>
            <w:pPr>
              <w:spacing w:after="0"/>
              <w:rPr>
                <w:sz w:val="19"/>
                <w:szCs w:val="19"/>
                <w:color w:val="auto"/>
              </w:rPr>
            </w:pPr>
          </w:p>
        </w:tc>
        <w:tc>
          <w:tcPr>
            <w:tcW w:w="1140" w:type="dxa"/>
            <w:vAlign w:val="bottom"/>
          </w:tcPr>
          <w:p>
            <w:pPr>
              <w:jc w:val="right"/>
              <w:ind w:right="117"/>
              <w:spacing w:after="0"/>
              <w:rPr>
                <w:sz w:val="20"/>
                <w:szCs w:val="20"/>
                <w:color w:val="auto"/>
              </w:rPr>
            </w:pPr>
            <w:r>
              <w:rPr>
                <w:rFonts w:ascii="Arial" w:cs="Arial" w:eastAsia="Arial" w:hAnsi="Arial"/>
                <w:sz w:val="17"/>
                <w:szCs w:val="17"/>
                <w:i w:val="1"/>
                <w:iCs w:val="1"/>
                <w:color w:val="282A32"/>
              </w:rPr>
              <w:t>3.8%</w:t>
            </w: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
        </w:trPr>
        <w:tc>
          <w:tcPr>
            <w:tcW w:w="3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282A32"/>
              </w:rPr>
              <w:t>Net interest expense</w:t>
            </w:r>
          </w:p>
        </w:tc>
        <w:tc>
          <w:tcPr>
            <w:tcW w:w="10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44.6</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45.9</w:t>
            </w:r>
          </w:p>
        </w:tc>
        <w:tc>
          <w:tcPr>
            <w:tcW w:w="1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24"/>
        </w:trPr>
        <w:tc>
          <w:tcPr>
            <w:tcW w:w="4480" w:type="dxa"/>
            <w:vAlign w:val="bottom"/>
            <w:gridSpan w:val="2"/>
          </w:tcPr>
          <w:p>
            <w:pPr>
              <w:ind w:left="280"/>
              <w:spacing w:after="0"/>
              <w:rPr>
                <w:sz w:val="20"/>
                <w:szCs w:val="20"/>
                <w:color w:val="auto"/>
              </w:rPr>
            </w:pPr>
            <w:r>
              <w:rPr>
                <w:rFonts w:ascii="Arial" w:cs="Arial" w:eastAsia="Arial" w:hAnsi="Arial"/>
                <w:sz w:val="17"/>
                <w:szCs w:val="17"/>
                <w:color w:val="282A32"/>
              </w:rPr>
              <w:t>Other expense (income)</w:t>
            </w:r>
          </w:p>
        </w:tc>
        <w:tc>
          <w:tcPr>
            <w:tcW w:w="108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Arial" w:cs="Arial" w:eastAsia="Arial" w:hAnsi="Arial"/>
                <w:sz w:val="17"/>
                <w:szCs w:val="17"/>
                <w:color w:val="282A32"/>
              </w:rPr>
              <w:t>7.3</w:t>
            </w:r>
          </w:p>
        </w:tc>
        <w:tc>
          <w:tcPr>
            <w:tcW w:w="340" w:type="dxa"/>
            <w:vAlign w:val="bottom"/>
          </w:tcPr>
          <w:p>
            <w:pPr>
              <w:spacing w:after="0"/>
              <w:rPr>
                <w:sz w:val="19"/>
                <w:szCs w:val="19"/>
                <w:color w:val="auto"/>
              </w:rPr>
            </w:pPr>
          </w:p>
        </w:tc>
        <w:tc>
          <w:tcPr>
            <w:tcW w:w="1140" w:type="dxa"/>
            <w:vAlign w:val="bottom"/>
          </w:tcPr>
          <w:p>
            <w:pPr>
              <w:jc w:val="right"/>
              <w:ind w:right="217"/>
              <w:spacing w:after="0"/>
              <w:rPr>
                <w:sz w:val="20"/>
                <w:szCs w:val="20"/>
                <w:color w:val="auto"/>
              </w:rPr>
            </w:pPr>
            <w:r>
              <w:rPr>
                <w:rFonts w:ascii="Arial" w:cs="Arial" w:eastAsia="Arial" w:hAnsi="Arial"/>
                <w:sz w:val="17"/>
                <w:szCs w:val="17"/>
                <w:color w:val="282A32"/>
              </w:rPr>
              <w:t>(1.7)</w:t>
            </w:r>
          </w:p>
        </w:tc>
        <w:tc>
          <w:tcPr>
            <w:tcW w:w="1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
        </w:trPr>
        <w:tc>
          <w:tcPr>
            <w:tcW w:w="3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282A32"/>
              </w:rPr>
              <w:t>Earnings before income taxes</w:t>
            </w:r>
          </w:p>
        </w:tc>
        <w:tc>
          <w:tcPr>
            <w:tcW w:w="10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737.3</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701.3</w:t>
            </w:r>
          </w:p>
        </w:tc>
        <w:tc>
          <w:tcPr>
            <w:tcW w:w="11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5.1</w:t>
            </w:r>
          </w:p>
        </w:tc>
        <w:tc>
          <w:tcPr>
            <w:tcW w:w="11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3.5</w:t>
            </w:r>
          </w:p>
        </w:tc>
        <w:tc>
          <w:tcPr>
            <w:tcW w:w="1060" w:type="dxa"/>
            <w:vAlign w:val="bottom"/>
            <w:tcBorders>
              <w:bottom w:val="single" w:sz="8" w:color="CCEEFF"/>
            </w:tcBorders>
            <w:shd w:val="clear" w:color="auto" w:fill="CCEEFF"/>
          </w:tcPr>
          <w:p>
            <w:pPr>
              <w:spacing w:after="0"/>
              <w:rPr>
                <w:sz w:val="19"/>
                <w:szCs w:val="19"/>
                <w:color w:val="auto"/>
              </w:rPr>
            </w:pPr>
          </w:p>
        </w:tc>
      </w:tr>
      <w:tr>
        <w:trPr>
          <w:trHeight w:val="224"/>
        </w:trPr>
        <w:tc>
          <w:tcPr>
            <w:tcW w:w="4480" w:type="dxa"/>
            <w:vAlign w:val="bottom"/>
            <w:gridSpan w:val="2"/>
          </w:tcPr>
          <w:p>
            <w:pPr>
              <w:ind w:left="280"/>
              <w:spacing w:after="0"/>
              <w:rPr>
                <w:sz w:val="20"/>
                <w:szCs w:val="20"/>
                <w:color w:val="auto"/>
              </w:rPr>
            </w:pPr>
            <w:r>
              <w:rPr>
                <w:rFonts w:ascii="Arial" w:cs="Arial" w:eastAsia="Arial" w:hAnsi="Arial"/>
                <w:sz w:val="17"/>
                <w:szCs w:val="17"/>
                <w:color w:val="282A32"/>
              </w:rPr>
              <w:t>Provision for income taxes</w:t>
            </w:r>
          </w:p>
        </w:tc>
        <w:tc>
          <w:tcPr>
            <w:tcW w:w="108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Arial" w:cs="Arial" w:eastAsia="Arial" w:hAnsi="Arial"/>
                <w:sz w:val="17"/>
                <w:szCs w:val="17"/>
                <w:color w:val="282A32"/>
              </w:rPr>
              <w:t>191.9</w:t>
            </w:r>
          </w:p>
        </w:tc>
        <w:tc>
          <w:tcPr>
            <w:tcW w:w="340" w:type="dxa"/>
            <w:vAlign w:val="bottom"/>
          </w:tcPr>
          <w:p>
            <w:pPr>
              <w:spacing w:after="0"/>
              <w:rPr>
                <w:sz w:val="19"/>
                <w:szCs w:val="19"/>
                <w:color w:val="auto"/>
              </w:rPr>
            </w:pPr>
          </w:p>
        </w:tc>
        <w:tc>
          <w:tcPr>
            <w:tcW w:w="1140" w:type="dxa"/>
            <w:vAlign w:val="bottom"/>
          </w:tcPr>
          <w:p>
            <w:pPr>
              <w:jc w:val="right"/>
              <w:ind w:right="257"/>
              <w:spacing w:after="0"/>
              <w:rPr>
                <w:sz w:val="20"/>
                <w:szCs w:val="20"/>
                <w:color w:val="auto"/>
              </w:rPr>
            </w:pPr>
            <w:r>
              <w:rPr>
                <w:rFonts w:ascii="Arial" w:cs="Arial" w:eastAsia="Arial" w:hAnsi="Arial"/>
                <w:sz w:val="17"/>
                <w:szCs w:val="17"/>
                <w:color w:val="282A32"/>
              </w:rPr>
              <w:t>257.6</w:t>
            </w:r>
          </w:p>
        </w:tc>
        <w:tc>
          <w:tcPr>
            <w:tcW w:w="1180" w:type="dxa"/>
            <w:vAlign w:val="bottom"/>
          </w:tcPr>
          <w:p>
            <w:pPr>
              <w:jc w:val="right"/>
              <w:ind w:right="197"/>
              <w:spacing w:after="0"/>
              <w:rPr>
                <w:sz w:val="20"/>
                <w:szCs w:val="20"/>
                <w:color w:val="auto"/>
              </w:rPr>
            </w:pPr>
            <w:r>
              <w:rPr>
                <w:rFonts w:ascii="Arial" w:cs="Arial" w:eastAsia="Arial" w:hAnsi="Arial"/>
                <w:sz w:val="17"/>
                <w:szCs w:val="17"/>
                <w:color w:val="282A32"/>
              </w:rPr>
              <w:t>(25.5)</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
        </w:trPr>
        <w:tc>
          <w:tcPr>
            <w:tcW w:w="3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4"/>
        </w:trPr>
        <w:tc>
          <w:tcPr>
            <w:tcW w:w="4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i w:val="1"/>
                <w:iCs w:val="1"/>
                <w:color w:val="282A32"/>
              </w:rPr>
              <w:t>Effective income tax rate</w:t>
            </w:r>
          </w:p>
        </w:tc>
        <w:tc>
          <w:tcPr>
            <w:tcW w:w="10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i w:val="1"/>
                <w:iCs w:val="1"/>
                <w:color w:val="282A32"/>
              </w:rPr>
              <w:t>26.0%</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i w:val="1"/>
                <w:iCs w:val="1"/>
                <w:color w:val="282A32"/>
              </w:rPr>
              <w:t>36.7%</w:t>
            </w:r>
          </w:p>
        </w:tc>
        <w:tc>
          <w:tcPr>
            <w:tcW w:w="1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17"/>
        </w:trPr>
        <w:tc>
          <w:tcPr>
            <w:tcW w:w="448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282A32"/>
              </w:rPr>
              <w:t>Net earnings</w:t>
            </w:r>
          </w:p>
        </w:tc>
        <w:tc>
          <w:tcPr>
            <w:tcW w:w="108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282A32"/>
              </w:rPr>
              <w:t>$</w:t>
            </w:r>
          </w:p>
        </w:tc>
        <w:tc>
          <w:tcPr>
            <w:tcW w:w="9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282A32"/>
              </w:rPr>
              <w:t>545.4</w:t>
            </w:r>
          </w:p>
        </w:tc>
        <w:tc>
          <w:tcPr>
            <w:tcW w:w="34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282A32"/>
              </w:rPr>
              <w:t>$</w:t>
            </w:r>
          </w:p>
        </w:tc>
        <w:tc>
          <w:tcPr>
            <w:tcW w:w="114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282A32"/>
              </w:rPr>
              <w:t>443.7</w:t>
            </w:r>
          </w:p>
        </w:tc>
        <w:tc>
          <w:tcPr>
            <w:tcW w:w="118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282A32"/>
              </w:rPr>
              <w:t>22.9</w:t>
            </w:r>
          </w:p>
        </w:tc>
        <w:tc>
          <w:tcPr>
            <w:tcW w:w="11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282A32"/>
              </w:rPr>
              <w:t>21.3</w:t>
            </w:r>
          </w:p>
        </w:tc>
        <w:tc>
          <w:tcPr>
            <w:tcW w:w="1060" w:type="dxa"/>
            <w:vAlign w:val="bottom"/>
            <w:tcBorders>
              <w:top w:val="single" w:sz="8" w:color="auto"/>
            </w:tcBorders>
          </w:tcPr>
          <w:p>
            <w:pPr>
              <w:spacing w:after="0"/>
              <w:rPr>
                <w:sz w:val="18"/>
                <w:szCs w:val="18"/>
                <w:color w:val="auto"/>
              </w:rPr>
            </w:pPr>
          </w:p>
        </w:tc>
      </w:tr>
      <w:tr>
        <w:trPr>
          <w:trHeight w:val="25"/>
        </w:trPr>
        <w:tc>
          <w:tcPr>
            <w:tcW w:w="3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7"/>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282A32"/>
              </w:rPr>
              <w:t>Net earnings per share — diluted</w:t>
            </w:r>
          </w:p>
        </w:tc>
        <w:tc>
          <w:tcPr>
            <w:tcW w:w="10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w:t>
            </w:r>
          </w:p>
        </w:tc>
        <w:tc>
          <w:tcPr>
            <w:tcW w:w="9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8.04</w:t>
            </w: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w:t>
            </w:r>
          </w:p>
        </w:tc>
        <w:tc>
          <w:tcPr>
            <w:tcW w:w="11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6.27</w:t>
            </w:r>
          </w:p>
        </w:tc>
        <w:tc>
          <w:tcPr>
            <w:tcW w:w="11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28.2</w:t>
            </w:r>
          </w:p>
        </w:tc>
        <w:tc>
          <w:tcPr>
            <w:tcW w:w="11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26.6</w:t>
            </w:r>
          </w:p>
        </w:tc>
        <w:tc>
          <w:tcPr>
            <w:tcW w:w="1060" w:type="dxa"/>
            <w:vAlign w:val="bottom"/>
            <w:tcBorders>
              <w:bottom w:val="single" w:sz="8" w:color="CCEEFF"/>
            </w:tcBorders>
            <w:shd w:val="clear" w:color="auto" w:fill="CCEEFF"/>
          </w:tcPr>
          <w:p>
            <w:pPr>
              <w:spacing w:after="0"/>
              <w:rPr>
                <w:sz w:val="21"/>
                <w:szCs w:val="21"/>
                <w:color w:val="auto"/>
              </w:rPr>
            </w:pPr>
          </w:p>
        </w:tc>
      </w:tr>
      <w:tr>
        <w:trPr>
          <w:trHeight w:val="217"/>
        </w:trPr>
        <w:tc>
          <w:tcPr>
            <w:tcW w:w="448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282A32"/>
              </w:rPr>
              <w:t>Weighted average shares — diluted</w:t>
            </w:r>
          </w:p>
        </w:tc>
        <w:tc>
          <w:tcPr>
            <w:tcW w:w="10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282A32"/>
              </w:rPr>
              <w:t>67.9</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282A32"/>
              </w:rPr>
              <w:t>70.8</w:t>
            </w:r>
          </w:p>
        </w:tc>
        <w:tc>
          <w:tcPr>
            <w:tcW w:w="11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282A32"/>
              </w:rPr>
              <w:t>(4.2)%</w:t>
            </w:r>
          </w:p>
        </w:tc>
        <w:tc>
          <w:tcPr>
            <w:tcW w:w="1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5"/>
        </w:trPr>
        <w:tc>
          <w:tcPr>
            <w:tcW w:w="3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282A32"/>
        </w:rPr>
        <w:t>The year-over-year increase in revenues from services of 7.0% (6.0% in constant currency and 5.5% in organic constant currency) was attributed to:</w:t>
      </w:r>
    </w:p>
    <w:p>
      <w:pPr>
        <w:spacing w:after="0" w:line="203" w:lineRule="exact"/>
        <w:rPr>
          <w:sz w:val="20"/>
          <w:szCs w:val="20"/>
          <w:color w:val="auto"/>
        </w:rPr>
      </w:pPr>
    </w:p>
    <w:p>
      <w:pPr>
        <w:jc w:val="both"/>
        <w:ind w:left="600" w:hanging="301"/>
        <w:spacing w:after="0" w:line="265"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demand for services in several of our markets within Southern Europe and Northern Europe, where in constant currency revenues increased 12.7% (15.5% as reported) and 3.4% (3.5% as reported; 2.6% in organic constant currency), respectively. This included a constant currency revenue increase in France of 10.6% (13.2% as reported), primarily due to strong growth in our large client accounts within the staffing market and growth in our Proservia business, and an 8.3% constant currency increase (10.5% as reported) in the permanent recruitment business. This increase also included a constant currency revenue increase in Italy of 23.3% (26.4% as reported) due to increased demand for our Manpower staffing services and a 23.7% constant currency increase (26.0% as reported) in the permanent recruitment business. We also experienced constant currency revenue growth in Germany, the Netherlands, the Nordics, Spain and Belgium of 10.1%, 12.6%, 6.6%, 12.3%, and 4.5%, respectively (12.5%, 15.2%, 7.6%, 15.1% and 6.8%, respectively, as reported; 8.4%, 5.1% and 5.2%, in organic constant currency in the Netherlands, the Nordics and Spain, respectively);</w:t>
      </w:r>
    </w:p>
    <w:p>
      <w:pPr>
        <w:spacing w:after="0" w:line="169" w:lineRule="exact"/>
        <w:rPr>
          <w:rFonts w:ascii="Arial" w:cs="Arial" w:eastAsia="Arial" w:hAnsi="Arial"/>
          <w:sz w:val="16"/>
          <w:szCs w:val="16"/>
          <w:color w:val="auto"/>
        </w:rPr>
      </w:pPr>
    </w:p>
    <w:p>
      <w:pPr>
        <w:jc w:val="both"/>
        <w:ind w:left="600" w:hanging="301"/>
        <w:spacing w:after="0" w:line="254" w:lineRule="auto"/>
        <w:tabs>
          <w:tab w:leader="none" w:pos="6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revenue increase in APME of 6.4% in constant currency (6.7% as reported; 6.1% in organic constant currency) primarily due to an increase in our staffing/interim revenues, an increase in our ManpowerGroup Solutions business and a 10.8% constant currency increase (12.1% as reported) in our permanent recruitment business; and</w:t>
      </w:r>
    </w:p>
    <w:p>
      <w:pPr>
        <w:spacing w:after="0" w:line="177" w:lineRule="exact"/>
        <w:rPr>
          <w:rFonts w:ascii="Arial" w:cs="Arial" w:eastAsia="Arial" w:hAnsi="Arial"/>
          <w:sz w:val="17"/>
          <w:szCs w:val="17"/>
          <w:color w:val="auto"/>
        </w:rPr>
      </w:pPr>
    </w:p>
    <w:p>
      <w:pPr>
        <w:ind w:left="600" w:hanging="301"/>
        <w:spacing w:after="0" w:line="265" w:lineRule="auto"/>
        <w:tabs>
          <w:tab w:leader="none" w:pos="600" w:val="left"/>
        </w:tabs>
        <w:numPr>
          <w:ilvl w:val="0"/>
          <w:numId w:val="23"/>
        </w:numPr>
        <w:rPr>
          <w:rFonts w:ascii="Arial" w:cs="Arial" w:eastAsia="Arial" w:hAnsi="Arial"/>
          <w:sz w:val="17"/>
          <w:szCs w:val="17"/>
          <w:color w:val="282A32"/>
        </w:rPr>
      </w:pPr>
      <w:r>
        <w:rPr>
          <w:rFonts w:ascii="Arial" w:cs="Arial" w:eastAsia="Arial" w:hAnsi="Arial"/>
          <w:sz w:val="17"/>
          <w:szCs w:val="17"/>
          <w:color w:val="282A32"/>
        </w:rPr>
        <w:t>our acquisitions in Southern Europe, Northern Europe and APME, which added approximately 0.5% revenue growth to our consolidated results on a constant currency basis; partially offset by</w:t>
      </w:r>
    </w:p>
    <w:p>
      <w:pPr>
        <w:spacing w:after="0" w:line="166" w:lineRule="exact"/>
        <w:rPr>
          <w:rFonts w:ascii="Arial" w:cs="Arial" w:eastAsia="Arial" w:hAnsi="Arial"/>
          <w:sz w:val="17"/>
          <w:szCs w:val="17"/>
          <w:color w:val="282A32"/>
        </w:rPr>
      </w:pPr>
    </w:p>
    <w:p>
      <w:pPr>
        <w:jc w:val="both"/>
        <w:ind w:left="600" w:hanging="301"/>
        <w:spacing w:after="0" w:line="304" w:lineRule="auto"/>
        <w:tabs>
          <w:tab w:leader="none" w:pos="600" w:val="left"/>
        </w:tabs>
        <w:numPr>
          <w:ilvl w:val="0"/>
          <w:numId w:val="23"/>
        </w:numPr>
        <w:rPr>
          <w:rFonts w:ascii="Arial" w:cs="Arial" w:eastAsia="Arial" w:hAnsi="Arial"/>
          <w:sz w:val="15"/>
          <w:szCs w:val="15"/>
          <w:color w:val="282A32"/>
        </w:rPr>
      </w:pPr>
      <w:r>
        <w:rPr>
          <w:rFonts w:ascii="Arial" w:cs="Arial" w:eastAsia="Arial" w:hAnsi="Arial"/>
          <w:sz w:val="15"/>
          <w:szCs w:val="15"/>
          <w:color w:val="282A32"/>
        </w:rPr>
        <w:t>a revenue decrease in the United States of 6.3% primarily driven by a decline in demand for our Manpower staffing services, mainly due to the prolonged weakness in the manufacturing sector of the economy, a decrease in our Experis interim services, specifically within the IT sector due to decreased demand at several large clients, and a decrease in our ManpowerGroup Solutions business, due to a specific client loss and roll off of certain project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330" w:right="239" w:bottom="1440" w:gutter="0" w:footer="0" w:header="0"/>
        </w:sectPr>
      </w:pPr>
    </w:p>
    <w:bookmarkStart w:id="31" w:name="page32"/>
    <w:bookmarkEnd w:id="31"/>
    <w:p>
      <w:pPr>
        <w:jc w:val="both"/>
        <w:ind w:left="600" w:hanging="301"/>
        <w:spacing w:after="0" w:line="254" w:lineRule="auto"/>
        <w:tabs>
          <w:tab w:leader="none" w:pos="600" w:val="left"/>
        </w:tabs>
        <w:numPr>
          <w:ilvl w:val="0"/>
          <w:numId w:val="24"/>
        </w:numPr>
        <w:rPr>
          <w:rFonts w:ascii="Arial" w:cs="Arial" w:eastAsia="Arial" w:hAnsi="Arial"/>
          <w:sz w:val="17"/>
          <w:szCs w:val="17"/>
          <w:color w:val="282A32"/>
        </w:rPr>
      </w:pPr>
      <w:r>
        <w:rPr>
          <w:rFonts w:ascii="Arial" w:cs="Arial" w:eastAsia="Arial" w:hAnsi="Arial"/>
          <w:sz w:val="17"/>
          <w:szCs w:val="17"/>
          <w:color w:val="282A32"/>
        </w:rPr>
        <w:t>decreased demand for services at Right Management, where revenues decreased 15.6% in constant currency (-15.8% as reported), including a 14.9% constant currency decrease (-15.3% as reported) in our outplacement services as well as an 18.0% constant currency decline (-17.6% as reported) in our talent management business;</w:t>
      </w:r>
    </w:p>
    <w:p>
      <w:pPr>
        <w:spacing w:after="0" w:line="177" w:lineRule="exact"/>
        <w:rPr>
          <w:rFonts w:ascii="Arial" w:cs="Arial" w:eastAsia="Arial" w:hAnsi="Arial"/>
          <w:sz w:val="17"/>
          <w:szCs w:val="17"/>
          <w:color w:val="282A32"/>
        </w:rPr>
      </w:pPr>
    </w:p>
    <w:p>
      <w:pPr>
        <w:ind w:left="600" w:hanging="301"/>
        <w:spacing w:after="0"/>
        <w:tabs>
          <w:tab w:leader="none" w:pos="600" w:val="left"/>
        </w:tabs>
        <w:numPr>
          <w:ilvl w:val="0"/>
          <w:numId w:val="24"/>
        </w:numPr>
        <w:rPr>
          <w:rFonts w:ascii="Arial" w:cs="Arial" w:eastAsia="Arial" w:hAnsi="Arial"/>
          <w:sz w:val="17"/>
          <w:szCs w:val="17"/>
          <w:color w:val="282A32"/>
        </w:rPr>
      </w:pPr>
      <w:r>
        <w:rPr>
          <w:rFonts w:ascii="Arial" w:cs="Arial" w:eastAsia="Arial" w:hAnsi="Arial"/>
          <w:sz w:val="17"/>
          <w:szCs w:val="17"/>
          <w:color w:val="282A32"/>
        </w:rPr>
        <w:t>a 1.0% decrease due to the impact of changes in currency exchange rates; and</w:t>
      </w:r>
    </w:p>
    <w:p>
      <w:pPr>
        <w:spacing w:after="0" w:line="203" w:lineRule="exact"/>
        <w:rPr>
          <w:rFonts w:ascii="Arial" w:cs="Arial" w:eastAsia="Arial" w:hAnsi="Arial"/>
          <w:sz w:val="17"/>
          <w:szCs w:val="17"/>
          <w:color w:val="282A32"/>
        </w:rPr>
      </w:pPr>
    </w:p>
    <w:p>
      <w:pPr>
        <w:ind w:left="600" w:hanging="301"/>
        <w:spacing w:after="0"/>
        <w:tabs>
          <w:tab w:leader="none" w:pos="600" w:val="left"/>
        </w:tabs>
        <w:numPr>
          <w:ilvl w:val="0"/>
          <w:numId w:val="24"/>
        </w:numPr>
        <w:rPr>
          <w:rFonts w:ascii="Arial" w:cs="Arial" w:eastAsia="Arial" w:hAnsi="Arial"/>
          <w:sz w:val="17"/>
          <w:szCs w:val="17"/>
          <w:color w:val="282A32"/>
        </w:rPr>
      </w:pPr>
      <w:r>
        <w:rPr>
          <w:rFonts w:ascii="Arial" w:cs="Arial" w:eastAsia="Arial" w:hAnsi="Arial"/>
          <w:sz w:val="17"/>
          <w:szCs w:val="17"/>
          <w:color w:val="282A32"/>
        </w:rPr>
        <w:t>the unfavorable impact of approximately 0.4% in constant currency due to one fewer billing day in the year.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282A32"/>
        </w:rPr>
        <w:t>The year-over-year 40 basis point (-0.40%) decrease in gross profit margin was primarily attributed to:</w:t>
      </w:r>
    </w:p>
    <w:p>
      <w:pPr>
        <w:spacing w:after="0" w:line="203" w:lineRule="exact"/>
        <w:rPr>
          <w:sz w:val="20"/>
          <w:szCs w:val="20"/>
          <w:color w:val="auto"/>
        </w:rPr>
      </w:pPr>
    </w:p>
    <w:p>
      <w:pPr>
        <w:ind w:left="600" w:hanging="301"/>
        <w:spacing w:after="0" w:line="265" w:lineRule="auto"/>
        <w:tabs>
          <w:tab w:leader="none" w:pos="600" w:val="left"/>
        </w:tabs>
        <w:numPr>
          <w:ilvl w:val="0"/>
          <w:numId w:val="25"/>
        </w:numPr>
        <w:rPr>
          <w:rFonts w:ascii="Arial" w:cs="Arial" w:eastAsia="Arial" w:hAnsi="Arial"/>
          <w:sz w:val="17"/>
          <w:szCs w:val="17"/>
          <w:color w:val="282A32"/>
        </w:rPr>
      </w:pPr>
      <w:r>
        <w:rPr>
          <w:rFonts w:ascii="Arial" w:cs="Arial" w:eastAsia="Arial" w:hAnsi="Arial"/>
          <w:sz w:val="17"/>
          <w:szCs w:val="17"/>
          <w:color w:val="282A32"/>
        </w:rPr>
        <w:t>a 30 basis point (-0.30%) unfavorable impact from the decline in our Manpower staffing margin, particularly in France, Italy, Germany, and the Nordics, due primarily to changes in business mix; and</w:t>
      </w:r>
    </w:p>
    <w:p>
      <w:pPr>
        <w:spacing w:after="0" w:line="166" w:lineRule="exact"/>
        <w:rPr>
          <w:rFonts w:ascii="Arial" w:cs="Arial" w:eastAsia="Arial" w:hAnsi="Arial"/>
          <w:sz w:val="17"/>
          <w:szCs w:val="17"/>
          <w:color w:val="282A32"/>
        </w:rPr>
      </w:pPr>
    </w:p>
    <w:p>
      <w:pPr>
        <w:ind w:left="600" w:hanging="301"/>
        <w:spacing w:after="0"/>
        <w:tabs>
          <w:tab w:leader="none" w:pos="600" w:val="left"/>
        </w:tabs>
        <w:numPr>
          <w:ilvl w:val="0"/>
          <w:numId w:val="25"/>
        </w:numPr>
        <w:rPr>
          <w:rFonts w:ascii="Arial" w:cs="Arial" w:eastAsia="Arial" w:hAnsi="Arial"/>
          <w:sz w:val="17"/>
          <w:szCs w:val="17"/>
          <w:color w:val="282A32"/>
        </w:rPr>
      </w:pPr>
      <w:r>
        <w:rPr>
          <w:rFonts w:ascii="Arial" w:cs="Arial" w:eastAsia="Arial" w:hAnsi="Arial"/>
          <w:sz w:val="17"/>
          <w:szCs w:val="17"/>
          <w:color w:val="282A32"/>
        </w:rPr>
        <w:t>a 10 basis point (-0.10%) unfavorable impact from decreased demand in our outplacement business at Right Management.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282A32"/>
        </w:rPr>
        <w:t>The 4.1% increase in selling and administrative expenses in 2017 (3.5% in constant currency; 2.9% in organic constant currency) was primarily attributed to:</w:t>
      </w:r>
    </w:p>
    <w:p>
      <w:pPr>
        <w:spacing w:after="0" w:line="215" w:lineRule="exact"/>
        <w:rPr>
          <w:sz w:val="20"/>
          <w:szCs w:val="20"/>
          <w:color w:val="auto"/>
        </w:rPr>
      </w:pPr>
    </w:p>
    <w:p>
      <w:pPr>
        <w:ind w:left="600" w:hanging="301"/>
        <w:spacing w:after="0" w:line="265" w:lineRule="auto"/>
        <w:tabs>
          <w:tab w:leader="none" w:pos="600" w:val="left"/>
        </w:tabs>
        <w:numPr>
          <w:ilvl w:val="0"/>
          <w:numId w:val="26"/>
        </w:numPr>
        <w:rPr>
          <w:rFonts w:ascii="Arial" w:cs="Arial" w:eastAsia="Arial" w:hAnsi="Arial"/>
          <w:sz w:val="17"/>
          <w:szCs w:val="17"/>
          <w:color w:val="282A32"/>
        </w:rPr>
      </w:pPr>
      <w:r>
        <w:rPr>
          <w:rFonts w:ascii="Arial" w:cs="Arial" w:eastAsia="Arial" w:hAnsi="Arial"/>
          <w:sz w:val="17"/>
          <w:szCs w:val="17"/>
          <w:color w:val="282A32"/>
        </w:rPr>
        <w:t>restructuring costs of $34.5 million incurred in 2017, comprised of $6.3 million in the Americas, $23.8 million in Northern Europe, $1.4 million in APME, $2.0 million in Right Management and $1.0 million in corporate expenses;</w:t>
      </w:r>
    </w:p>
    <w:p>
      <w:pPr>
        <w:spacing w:after="0" w:line="166" w:lineRule="exact"/>
        <w:rPr>
          <w:rFonts w:ascii="Arial" w:cs="Arial" w:eastAsia="Arial" w:hAnsi="Arial"/>
          <w:sz w:val="17"/>
          <w:szCs w:val="17"/>
          <w:color w:val="282A32"/>
        </w:rPr>
      </w:pPr>
    </w:p>
    <w:p>
      <w:pPr>
        <w:ind w:left="600" w:hanging="301"/>
        <w:spacing w:after="0" w:line="265" w:lineRule="auto"/>
        <w:tabs>
          <w:tab w:leader="none" w:pos="600" w:val="left"/>
        </w:tabs>
        <w:numPr>
          <w:ilvl w:val="0"/>
          <w:numId w:val="26"/>
        </w:numPr>
        <w:rPr>
          <w:rFonts w:ascii="Arial" w:cs="Arial" w:eastAsia="Arial" w:hAnsi="Arial"/>
          <w:sz w:val="17"/>
          <w:szCs w:val="17"/>
          <w:color w:val="282A32"/>
        </w:rPr>
      </w:pPr>
      <w:r>
        <w:rPr>
          <w:rFonts w:ascii="Arial" w:cs="Arial" w:eastAsia="Arial" w:hAnsi="Arial"/>
          <w:sz w:val="17"/>
          <w:szCs w:val="17"/>
          <w:color w:val="282A32"/>
        </w:rPr>
        <w:t>a 15.8% increase in constant currency (16.8% as reported; 14.6% in organic constant currency) in consulting costs primarily related to certain technology projects and back-office and delivery-model optimization activities;</w:t>
      </w:r>
    </w:p>
    <w:p>
      <w:pPr>
        <w:spacing w:after="0" w:line="166" w:lineRule="exact"/>
        <w:rPr>
          <w:rFonts w:ascii="Arial" w:cs="Arial" w:eastAsia="Arial" w:hAnsi="Arial"/>
          <w:sz w:val="17"/>
          <w:szCs w:val="17"/>
          <w:color w:val="282A32"/>
        </w:rPr>
      </w:pPr>
    </w:p>
    <w:p>
      <w:pPr>
        <w:ind w:left="600" w:hanging="301"/>
        <w:spacing w:after="0" w:line="265" w:lineRule="auto"/>
        <w:tabs>
          <w:tab w:leader="none" w:pos="600" w:val="left"/>
        </w:tabs>
        <w:numPr>
          <w:ilvl w:val="0"/>
          <w:numId w:val="26"/>
        </w:numPr>
        <w:rPr>
          <w:rFonts w:ascii="Arial" w:cs="Arial" w:eastAsia="Arial" w:hAnsi="Arial"/>
          <w:sz w:val="17"/>
          <w:szCs w:val="17"/>
          <w:color w:val="282A32"/>
        </w:rPr>
      </w:pPr>
      <w:r>
        <w:rPr>
          <w:rFonts w:ascii="Arial" w:cs="Arial" w:eastAsia="Arial" w:hAnsi="Arial"/>
          <w:sz w:val="17"/>
          <w:szCs w:val="17"/>
          <w:color w:val="282A32"/>
        </w:rPr>
        <w:t>a 0.8% increase in constant currency (1.5% as reported) in organic salary-related costs, primarily because of additional headcount to support the increased demand for our services specifically in Southern Europe, Northern Europe and APME;</w:t>
      </w:r>
    </w:p>
    <w:p>
      <w:pPr>
        <w:spacing w:after="0" w:line="166" w:lineRule="exact"/>
        <w:rPr>
          <w:rFonts w:ascii="Arial" w:cs="Arial" w:eastAsia="Arial" w:hAnsi="Arial"/>
          <w:sz w:val="17"/>
          <w:szCs w:val="17"/>
          <w:color w:val="282A32"/>
        </w:rPr>
      </w:pPr>
    </w:p>
    <w:p>
      <w:pPr>
        <w:ind w:left="600" w:hanging="301"/>
        <w:spacing w:after="0"/>
        <w:tabs>
          <w:tab w:leader="none" w:pos="600" w:val="left"/>
        </w:tabs>
        <w:numPr>
          <w:ilvl w:val="0"/>
          <w:numId w:val="26"/>
        </w:numPr>
        <w:rPr>
          <w:rFonts w:ascii="Arial" w:cs="Arial" w:eastAsia="Arial" w:hAnsi="Arial"/>
          <w:sz w:val="15"/>
          <w:szCs w:val="15"/>
          <w:color w:val="282A32"/>
        </w:rPr>
      </w:pPr>
      <w:r>
        <w:rPr>
          <w:rFonts w:ascii="Arial" w:cs="Arial" w:eastAsia="Arial" w:hAnsi="Arial"/>
          <w:sz w:val="15"/>
          <w:szCs w:val="15"/>
          <w:color w:val="282A32"/>
        </w:rPr>
        <w:t>the additional recurring selling and administrative costs of $16.6 million incurred as a result of acquisitions in Southern Europe, Northern Europe and APME; and</w:t>
      </w:r>
    </w:p>
    <w:p>
      <w:pPr>
        <w:spacing w:after="0" w:line="226" w:lineRule="exact"/>
        <w:rPr>
          <w:rFonts w:ascii="Arial" w:cs="Arial" w:eastAsia="Arial" w:hAnsi="Arial"/>
          <w:sz w:val="15"/>
          <w:szCs w:val="15"/>
          <w:color w:val="282A32"/>
        </w:rPr>
      </w:pPr>
    </w:p>
    <w:p>
      <w:pPr>
        <w:ind w:left="600" w:hanging="301"/>
        <w:spacing w:after="0"/>
        <w:tabs>
          <w:tab w:leader="none" w:pos="600" w:val="left"/>
        </w:tabs>
        <w:numPr>
          <w:ilvl w:val="0"/>
          <w:numId w:val="26"/>
        </w:numPr>
        <w:rPr>
          <w:rFonts w:ascii="Arial" w:cs="Arial" w:eastAsia="Arial" w:hAnsi="Arial"/>
          <w:sz w:val="17"/>
          <w:szCs w:val="17"/>
          <w:color w:val="282A32"/>
        </w:rPr>
      </w:pPr>
      <w:r>
        <w:rPr>
          <w:rFonts w:ascii="Arial" w:cs="Arial" w:eastAsia="Arial" w:hAnsi="Arial"/>
          <w:sz w:val="17"/>
          <w:szCs w:val="17"/>
          <w:color w:val="282A32"/>
        </w:rPr>
        <w:t>a 0.6% increase due to the impact of changes in the currency exchange rates; partially offset by</w:t>
      </w:r>
    </w:p>
    <w:p>
      <w:pPr>
        <w:spacing w:after="0" w:line="203" w:lineRule="exact"/>
        <w:rPr>
          <w:rFonts w:ascii="Arial" w:cs="Arial" w:eastAsia="Arial" w:hAnsi="Arial"/>
          <w:sz w:val="17"/>
          <w:szCs w:val="17"/>
          <w:color w:val="282A32"/>
        </w:rPr>
      </w:pPr>
    </w:p>
    <w:p>
      <w:pPr>
        <w:ind w:left="600" w:hanging="301"/>
        <w:spacing w:after="0"/>
        <w:tabs>
          <w:tab w:leader="none" w:pos="600" w:val="left"/>
        </w:tabs>
        <w:numPr>
          <w:ilvl w:val="0"/>
          <w:numId w:val="26"/>
        </w:numPr>
        <w:rPr>
          <w:rFonts w:ascii="Arial" w:cs="Arial" w:eastAsia="Arial" w:hAnsi="Arial"/>
          <w:sz w:val="15"/>
          <w:szCs w:val="15"/>
          <w:color w:val="282A32"/>
        </w:rPr>
      </w:pPr>
      <w:r>
        <w:rPr>
          <w:rFonts w:ascii="Arial" w:cs="Arial" w:eastAsia="Arial" w:hAnsi="Arial"/>
          <w:sz w:val="15"/>
          <w:szCs w:val="15"/>
          <w:color w:val="282A32"/>
        </w:rPr>
        <w:t>a 1.1% constant currency decrease (-0.4% as reported) in other organic non-personnel related costs as a result of our strong focus on productivity and efficiency.</w:t>
      </w:r>
    </w:p>
    <w:p>
      <w:pPr>
        <w:spacing w:after="0" w:line="226" w:lineRule="exact"/>
        <w:rPr>
          <w:sz w:val="20"/>
          <w:szCs w:val="20"/>
          <w:color w:val="auto"/>
        </w:rPr>
      </w:pPr>
    </w:p>
    <w:p>
      <w:pPr>
        <w:spacing w:after="0" w:line="265" w:lineRule="auto"/>
        <w:rPr>
          <w:sz w:val="20"/>
          <w:szCs w:val="20"/>
          <w:color w:val="auto"/>
        </w:rPr>
      </w:pPr>
      <w:r>
        <w:rPr>
          <w:rFonts w:ascii="Arial" w:cs="Arial" w:eastAsia="Arial" w:hAnsi="Arial"/>
          <w:sz w:val="17"/>
          <w:szCs w:val="17"/>
          <w:color w:val="282A32"/>
        </w:rPr>
        <w:t>Selling and administrative expenses as a percent of revenues decreased 40 basis points (-0.40%) in 2017 compared to 2016. The change in selling and administrative expenses as a percent of revenues consisted of:</w:t>
      </w:r>
    </w:p>
    <w:p>
      <w:pPr>
        <w:spacing w:after="0" w:line="167" w:lineRule="exact"/>
        <w:rPr>
          <w:sz w:val="20"/>
          <w:szCs w:val="20"/>
          <w:color w:val="auto"/>
        </w:rPr>
      </w:pPr>
    </w:p>
    <w:p>
      <w:pPr>
        <w:ind w:left="600" w:hanging="301"/>
        <w:spacing w:after="0"/>
        <w:tabs>
          <w:tab w:leader="none" w:pos="600" w:val="left"/>
        </w:tabs>
        <w:numPr>
          <w:ilvl w:val="0"/>
          <w:numId w:val="27"/>
        </w:numPr>
        <w:rPr>
          <w:rFonts w:ascii="Arial" w:cs="Arial" w:eastAsia="Arial" w:hAnsi="Arial"/>
          <w:sz w:val="17"/>
          <w:szCs w:val="17"/>
          <w:color w:val="282A32"/>
        </w:rPr>
      </w:pPr>
      <w:r>
        <w:rPr>
          <w:rFonts w:ascii="Arial" w:cs="Arial" w:eastAsia="Arial" w:hAnsi="Arial"/>
          <w:sz w:val="17"/>
          <w:szCs w:val="17"/>
          <w:color w:val="282A32"/>
        </w:rPr>
        <w:t>a 50 basis point (-0.50%) favorable impact from better expense leverage as a result of our strong focus on productivity and efficiency; and</w:t>
      </w:r>
    </w:p>
    <w:p>
      <w:pPr>
        <w:spacing w:after="0" w:line="16" w:lineRule="exact"/>
        <w:rPr>
          <w:rFonts w:ascii="Arial" w:cs="Arial" w:eastAsia="Arial" w:hAnsi="Arial"/>
          <w:sz w:val="17"/>
          <w:szCs w:val="17"/>
          <w:color w:val="282A32"/>
        </w:rPr>
      </w:pPr>
    </w:p>
    <w:p>
      <w:pPr>
        <w:ind w:left="600" w:hanging="301"/>
        <w:spacing w:after="0"/>
        <w:tabs>
          <w:tab w:leader="none" w:pos="600" w:val="left"/>
        </w:tabs>
        <w:numPr>
          <w:ilvl w:val="0"/>
          <w:numId w:val="27"/>
        </w:numPr>
        <w:rPr>
          <w:rFonts w:ascii="Arial" w:cs="Arial" w:eastAsia="Arial" w:hAnsi="Arial"/>
          <w:sz w:val="17"/>
          <w:szCs w:val="17"/>
          <w:color w:val="282A32"/>
        </w:rPr>
      </w:pPr>
      <w:r>
        <w:rPr>
          <w:rFonts w:ascii="Arial" w:cs="Arial" w:eastAsia="Arial" w:hAnsi="Arial"/>
          <w:sz w:val="17"/>
          <w:szCs w:val="17"/>
          <w:color w:val="282A32"/>
        </w:rPr>
        <w:t>a 10 basis point (-0.10%) decrease due to the impact on business mix of changes in currency exchange rates; partially offset by</w:t>
      </w:r>
    </w:p>
    <w:p>
      <w:pPr>
        <w:spacing w:after="0" w:line="3" w:lineRule="exact"/>
        <w:rPr>
          <w:rFonts w:ascii="Arial" w:cs="Arial" w:eastAsia="Arial" w:hAnsi="Arial"/>
          <w:sz w:val="17"/>
          <w:szCs w:val="17"/>
          <w:color w:val="282A32"/>
        </w:rPr>
      </w:pPr>
    </w:p>
    <w:p>
      <w:pPr>
        <w:ind w:left="600" w:hanging="301"/>
        <w:spacing w:after="0"/>
        <w:tabs>
          <w:tab w:leader="none" w:pos="600" w:val="left"/>
        </w:tabs>
        <w:numPr>
          <w:ilvl w:val="0"/>
          <w:numId w:val="27"/>
        </w:numPr>
        <w:rPr>
          <w:rFonts w:ascii="Arial" w:cs="Arial" w:eastAsia="Arial" w:hAnsi="Arial"/>
          <w:sz w:val="17"/>
          <w:szCs w:val="17"/>
          <w:color w:val="282A32"/>
        </w:rPr>
      </w:pPr>
      <w:r>
        <w:rPr>
          <w:rFonts w:ascii="Arial" w:cs="Arial" w:eastAsia="Arial" w:hAnsi="Arial"/>
          <w:sz w:val="17"/>
          <w:szCs w:val="17"/>
          <w:color w:val="282A32"/>
        </w:rPr>
        <w:t xml:space="preserve">a 20 basis point (0.20%) </w:t>
      </w:r>
      <w:r>
        <w:rPr>
          <w:rFonts w:ascii="Arial" w:cs="Arial" w:eastAsia="Arial" w:hAnsi="Arial"/>
          <w:sz w:val="17"/>
          <w:szCs w:val="17"/>
          <w:color w:val="000000"/>
        </w:rPr>
        <w:t>unfavorable impact due to the restructuring costs noted above.</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282A32"/>
        </w:rPr>
        <w:t>Interest and other expenses are comprised of interest, foreign exchange gains and losses and other miscellaneous non-operating income and expenses. Interest and other expenses were $51.9 million in 2017 compared to $44.2 million in 2016. Net interest expense decreased $1.3 million in 2017 to $44.6 million from $45.9 million in 2016 due to an increase in interest income as a result of higher interest rates on investments. Foreign exchange losses in 2017 were $0.8 million compared to $2.8 million in 2016. The foreign exchange losses in 2017 were primarily due to unfavorable foreign currency impacts from translation of amounts denominated in currencies other than functional currencies in a few of our reporting units, partially offset by translation gains resulting from intercompany transactions between our foreign subsidiaries and the United States. The foreign exchange losses in 2016 were primarily due to unfavorable foreign currency impacts from translation of amounts denominated in currencies other than functional currencies in a few of our reporting units, translation losses resulting from intercompany transactions between our foreign subsidiaries and the United States, and a foreign currency loss as a result of the change in the exchange rate in our Venezuela reporting unit. Miscellaneous expense was $6.5 million in 2017 compared to miscellaneous income of $4.5 million in 2016. The variance between 2017 and 2016 was primarily due to a $6.9 million pension curtailment gain in 2016 and an increase in expenses related to net earnings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351" w:right="239" w:bottom="1440" w:gutter="0" w:footer="0" w:header="0"/>
        </w:sectPr>
      </w:pPr>
    </w:p>
    <w:bookmarkStart w:id="32" w:name="page33"/>
    <w:bookmarkEnd w:id="32"/>
    <w:p>
      <w:pPr>
        <w:jc w:val="both"/>
        <w:spacing w:after="0" w:line="265" w:lineRule="auto"/>
        <w:rPr>
          <w:sz w:val="20"/>
          <w:szCs w:val="20"/>
          <w:color w:val="auto"/>
        </w:rPr>
      </w:pPr>
      <w:r>
        <w:rPr>
          <w:rFonts w:ascii="Arial" w:cs="Arial" w:eastAsia="Arial" w:hAnsi="Arial"/>
          <w:sz w:val="17"/>
          <w:szCs w:val="17"/>
          <w:color w:val="282A32"/>
        </w:rPr>
        <w:t>attributable to noncontrolling interests in 2017 compared to 2016, partially offset by a gain on the sale of investments by our minority-owned Swiss Franchise recorded in 2017.</w:t>
      </w:r>
    </w:p>
    <w:p>
      <w:pPr>
        <w:spacing w:after="0" w:line="16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282A32"/>
        </w:rPr>
        <w:t>We recorded income tax expense at an effective rate of 26.0% in 2017, as compared to an effective rate of 36.7% in 2016. This decrease was primarily due to the $73.7 million net discrete tax benefit recorded in 2017 as a result of the tax benefit from the enactment of the Tax Act, offset by the tax expense from French tax reform. These enactments resulted in the net reduction of United States tax liabilities of $247.4 million offset by the United States transition tax expense of $170.2 million and a decrease in the French deferred tax assets of $3.5 million. Excluding the impact of these enactments, our rate would have been 36.0%. This is higher than the United States federal statutory rate of 35%, the rate in effect prior to the Tax Act, due primarily to the French business tax and other permanent items, offset by the favorable impact from the adoption of the new accounting guidance for share-based payments effective January 1, 2017, the favorable settlement of an audit and the net release of valuation allowances.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82A32"/>
        </w:rPr>
        <w:t>Net earnings per share - diluted was $8.04 in 2017 compared to $6.27 in 2016. Foreign currency exchange rates favorably impacted net earnings per share - diluted by approximately $0.10 in 2017. The net tax benefits related to the Tax Act and the French tax reform positively impacted net earnings per share - diluted by approximately $1.09 per share in 2017. Restructuring costs recorded in 2017 negatively impacted net earnings per share - diluted by approximately $0.41 per share, net of tax. The tax benefit related to the favorable settlement of an audit and the adoption of new accounting guidance for share-based payments positively impacted net earnings per share - diluted by approximately $0.13 and $0.09, respectively, in 2017. We adopted the new accounting guidance for share-based payments in January 2017 and it required all excess tax benefits and tax deficiencies from share-based compensation to be recognized as income tax expense or benefit in the income statement rather than capital in excess of par value on a prospective basis.</w:t>
      </w:r>
    </w:p>
    <w:p>
      <w:pPr>
        <w:spacing w:after="0" w:line="168"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282A32"/>
        </w:rPr>
        <w:t>Weighted average shares - diluted decreased 4.2% to 67.9 million in 2017 from 70.8 million in 2016. This decrease was due to the impact of share repurchases completed in 2017 and the full weighting of the repurchases completed in 2016, partially offset by shares issued as a result of exercises and vesting of share-based awards in 2017.</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u w:val="single" w:color="auto"/>
          <w:color w:val="282A32"/>
        </w:rPr>
        <w:t>Segment Results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Americas</w:t>
      </w:r>
    </w:p>
    <w:p>
      <w:pPr>
        <w:spacing w:after="0" w:line="20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82A32"/>
        </w:rPr>
        <w:t>In the Americas, revenues from services decreased 1.4% (increase of 1.3% in constant currency and 0.4% in organic constant currency) in 2018 compared to 2017. In the United States, revenues from services decreased 5.1% in 2018 compared to 2017, primarily driven by a decline in our Experis interim services, specifically within the IT sector because of decreased demand from larger clients, a decline in our Manpower staffing services due to reduced demand from certain clients, and a 3.2% decrease in the permanent recruitment business. In Other Americas, revenues from services increased 5.1% (12.4% in constant currency; 9.9% in organic constant currency) in 2018 compared to 2017. We experienced constant currency revenue growth in Mexico, Canada, Argentina, Colombia, Peru and Brazil of 8.3%, 9.5%, 15.2%, 14.9%, 4.5%, and 14.0% (6.2%, 9.3%, -27.6%, 14.6%, 3.6%, and -0.1%, respectively, as reported). The constant currency increase in Argentina was primarily due to inflation. There has been a steady devaluation of the Argentine peso relative to the United States dollar in the last few years. As of July 1, 2018, the Argentina economy was designated as highly-inflationary and was treated as such for accounting purposes starting in the third quarter of 2018.</w:t>
      </w:r>
    </w:p>
    <w:p>
      <w:pPr>
        <w:spacing w:after="0" w:line="156"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282A32"/>
        </w:rPr>
        <w:t>In 2017, revenues from services decreased 1.9% (-1.7% in constant currency) compared to 2016. In the United States, revenues from services decreased 6.3% in 2017 compared to 2016, primarily driven by a decline in demand for our Manpower staffing services, mainly due to the reduced staffing volumes in the manufacturing sector of the economy, a decrease in our Experis interim services, specifically within the IT sector because of decreased demand by several large clients, a decrease in ManpowerGroup Solutions business due to a specific client loss and roll off of certain project work, and an unfavorable impact from one fewer billing day. In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351" w:right="239" w:bottom="1440" w:gutter="0" w:footer="0" w:header="0"/>
        </w:sectPr>
      </w:pPr>
    </w:p>
    <w:bookmarkStart w:id="33" w:name="page34"/>
    <w:bookmarkEnd w:id="33"/>
    <w:p>
      <w:pPr>
        <w:spacing w:after="0" w:line="251" w:lineRule="auto"/>
        <w:rPr>
          <w:sz w:val="20"/>
          <w:szCs w:val="20"/>
          <w:color w:val="auto"/>
        </w:rPr>
      </w:pPr>
      <w:r>
        <w:rPr>
          <w:rFonts w:ascii="Arial" w:cs="Arial" w:eastAsia="Arial" w:hAnsi="Arial"/>
          <w:sz w:val="17"/>
          <w:szCs w:val="17"/>
          <w:color w:val="282A32"/>
        </w:rPr>
        <w:t>Americas, revenues from services increased 6.6% (7.1% in constant currency) in 2017 compared to 2016. We experienced revenue growth in Mexico, Canada, Argentina, Colombia and Peru of 11.1%, 4.4%, 4.9%, 6.9%, and 10.9%, respectively (12.0%, 2.3%, 17.5%, 3.7%, and 7.1%, respectively, in constant currency). The constant currency increase in Argentina was primarily due to inflation. These increases were partially offset by the decrease in Brazil of 10.4% (-17.0 in constant currency) due to the non-recurrence of the business associated with the Rio Olympics in 2016.</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282A32"/>
        </w:rPr>
        <w:t>Gross profit margin decreased in 2018 compared to 2017 due to business mix changes within our staffing/interim business, as revenue growth came from our lower-margin entities within Other Americas as well as a decline in the United States' staffing/interim margin due to the non-recurrence of certain prior year favorable reductions related to workers' compensation and health care costs in the United States. In 2017, gross profit margin increased compared to 2016 as a result of improved staffing/interim margin in the United States due to lower direct costs primarily related to workers' compensation and health care costs, partially offset by decreases in our staffing/interim margins within some of our markets in Other Americas because of business mix changes.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282A32"/>
        </w:rPr>
        <w:t>In 2018, selling and administrative expenses decreased 2.8% (-0.7% in constant currency; -1.4% in organic constant currency), due primarily to strong cost management and a decline in salary-related expenses as a result of lower headcount in the United States and a decrease in restructuring costs to $0.3 million in 2018 from $6.3 million in 2017. These decreases were partially offset by increased costs related to certain technology projects and back-office and delivery-model optimization activities and the additional recurring selling and administrative costs incurred as a result of an acquisition in Other Americas. In 2017, selling and administrative expenses decreased 4.1% (-3.8% in constant currency), due primarily to strong cost management and a decline in salary-related expenses as a result of lower headcount. These decreases were partially offset by $6.3 million of restructuring costs incurred in 2017 primarily related to severance costs incurred in connection with United States back-office optimization and an increase in consulting costs primarily related to certain technology projects and back-office and delivery-model optimization activities.</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82A32"/>
        </w:rPr>
        <w:t>OUP margin in the Americas was 4.9%, 5.1% and 4.6% for 2018, 2017 and 2016, respectively. In the United States, OUP margin was 5.2%, 5.7% and 5.0% in 2018, 2017 and 2016, respectively. The margin decrease in 2018 in the United States was primarily due to the increased costs as a result of investment in certain technology and back-office and delivery model optimization activities and the decline in the gross profit margin, partially offset by the decrease in restructuring costs. Other Americas OUP margin was 4.5%, 3.9% and 3.7% in 2018, 2017 and 2016, respectively. The margin increased in Other Americas in 2018 compared to 2017 due to improved operational leverage, as we were able to support an increase in revenues without a similar increase in expenses, partially offset by the restructuring costs incurred in 2018 and a decrease in the gross profit margin. The margin increase in the Americas in 2017 was primarily due to the United States as a result of the improvement in the gross profit margin and strong cost management, partially offset by the restructuring costs incurred in 2017.</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Southern Europe</w:t>
      </w:r>
    </w:p>
    <w:p>
      <w:pPr>
        <w:spacing w:after="0" w:line="20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282A32"/>
        </w:rPr>
        <w:t>In 2018, revenues from services in Southern Europe, which includes operations in France and Italy, increased 8.3% (4.0% in constant currency) compared to 2017. In 2018, revenues from services increased 6.4% (1.9% in constant currency) in France (which represents 62% of Southern Europe’s revenues) and increased 13.2% (8.3% in constant currency) in Italy (which represents 18% of Southern Europe’s revenues). The increase in France is primarily due to the strong growth in our large client accounts within the staffing market in the first half of the year and an increase in our permanent recruitment business of 14.5% (9.1% in constant currency). The increase in Italy is due to increased demand for our Manpower staffing services and a 15.9% increase (10.6% in constant currency) in the permanent recruitment business. In Other Southern Europe, revenues from services increased 9.9% (6.8% in constant currency, 6.1% in organic constant currency) in 2018 compared to 2017, primarily due to increased demand for our Manpower staffing services, the 9.0% increase (4.4% in constant currency; 2.5% in organic constant currency) in Spain, the increase in our permanent recruitment business of 21.9% (19.1% in constant currency) and an increase in our ManpowerGroup Solutions business.</w:t>
      </w:r>
    </w:p>
    <w:p>
      <w:pPr>
        <w:spacing w:after="0" w:line="156"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282A32"/>
        </w:rPr>
        <w:t>In 2017, revenues from services in Southern Europe increased 15.5% (12.7% in constant currency) compared to 2016. In 2017, revenues from services increased 13.2% (10.6% in constant currency) in France and increased 26.4% (23.3% in constant currency) in Italy. The increase in France was primarily due to the strong growth in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351" w:right="239" w:bottom="1440" w:gutter="0" w:footer="0" w:header="0"/>
        </w:sectPr>
      </w:pPr>
    </w:p>
    <w:bookmarkStart w:id="34" w:name="page35"/>
    <w:bookmarkEnd w:id="34"/>
    <w:p>
      <w:pPr>
        <w:jc w:val="both"/>
        <w:spacing w:after="0" w:line="266" w:lineRule="auto"/>
        <w:rPr>
          <w:sz w:val="20"/>
          <w:szCs w:val="20"/>
          <w:color w:val="auto"/>
        </w:rPr>
      </w:pPr>
      <w:r>
        <w:rPr>
          <w:rFonts w:ascii="Arial" w:cs="Arial" w:eastAsia="Arial" w:hAnsi="Arial"/>
          <w:sz w:val="16"/>
          <w:szCs w:val="16"/>
          <w:color w:val="282A32"/>
        </w:rPr>
        <w:t>large client accounts within the staffing market, growth in our Proservia business and an increase in our permanent recruitment business of 10.5% (8.3% in constant currency), partially offset by the unfavorable impact of one fewer billing day. The increase in Italy was mostly due to increased demand for our Manpower staffing services and an increase of 26.0% (23.7% in constant currency) in the permanent recruitment business, partially offset by the unfavorable impact of two fewer billing days. In Other Southern Europe, revenues from services increased 14.2% (10.8% in constant currency) in 2017 compared to 2016, primarily due to increased demand for our Manpower staffing services, an increase of 15.1% (12.3% in constant currency; 5.2% in organic constant currency) in Spain primarily due to the increase in our Experis business, an increase in our ManpowerGroup Solutions business and an increase in our permanent recruitment business of 27.5% (23.9% in constant currency), partially offset by the unfavorable impact of two fewer billing days.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282A32"/>
        </w:rPr>
        <w:t>Gross profit margin decreased in 2018 compared to 2017 primarily due to a decrease in Italy's Manpower staffing margin as a result of business mix changes and pricing pressures, while France's staffing/interim margin was flat as the decrease in the CICE payroll tax credit rate and the loss of the December 2018 CICE subsidy as a result of the transition from the CICE program to a new subsidy program in January 2019 were offset by various initiatives as well as favorable direct costs adjustments in 2018. This decrease was partially offset by an increase of 17.5% (13.1% in constant currency) in our permanent recruitment business. In 2017, gross profit margin decreased compared to 2016 primarily due to a decrease in France's staffing margin, as a result of business mix changes in a competitive pricing environment as we have experienced growth in our lower-margin large client accounts and pricing pressures, partially offset by the increase in the CICE subsidy effective January 1, 2017, and decreases in Italy's Manpower staffing margin primarily due to pricing pressures and business mix changes. These decreases were partially offset by an increase of 19.9% (17.3% in constant currency) in our permanent recruitment business.</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282A32"/>
        </w:rPr>
        <w:t>In 2018, selling and administrative expenses increased 9.4% (4.9% in constant currency; 4.8% in organic constant currency) compared to 2017, primarily due to an increase in organic salary-related expenses, as a result of higher headcount, restructuring costs of $5.4 million incurred in 2018, and an increase in non-personnel related costs to support the increase in revenues. In 2017, selling and administrative expenses increased 8.9% (6.4% in constant currency; 5.7% in organic constant currency) compared to 2016, primarily due to an increase in organic salary-related expenses as a result of higher headcount to support the increase in revenues, and the additional recurring selling and administrative costs incurred as a result of the acquisitions in Spain.</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282A32"/>
        </w:rPr>
        <w:t>OUP margin in Southern Europe was 5.0%, 5.1% and 5.1% in 2018, 2017 and 2016, respectively. France's OUP margin was 5.0%, 5.1% and 5.2% in 2018, 2017 and 2016, respectively. France's margin decrease in 2018 was primarily due an increase in expenses as we invest to support higher growth. Italy’s OUP margin was 6.7%, 7.1% and 6.8% in 2018, 2017 and 2016, respectively. Italy’s margin decrease in 2018 was due to the decline in the gross profit margin and the restructuring costs incurred in 2018, partially offset by improved operational leverage, as we were able to support an increase in revenues without a similar increase in expenses. Other Southern Europe’s OUP margin was 3.5%, 3.5% and 3.2% in 2018, 2017 and 2016, respectively. The margin in Southern Europe in 2017 was flat compared to 2016 as improved operational leverage on increased revenues was offset by the decrease in the gross profit margin.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Northern Europe</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282A32"/>
        </w:rPr>
        <w:t>In Northern Europe, which includes operations in the United Kingdom, Germany, the Nordics, the Netherlands and Belgium (comprising 31%, 20%, 20%, 14% and 8%, respectively, of Northern Europe’s revenues), revenues from services increased 1.2% (-2.0% in constant currency) in 2018 as compared to 2017. We experienced revenue growth in the United Kingdom, the Nordics, the Netherlands and Belgium of 3.2%, 0.3%, 0.4% and 6.5%, respectively (-0.4%, 0.1%, -4.2%, and 2.0%, respectively, in constant currency) and a decline in Germany of 3.6% (-8.3% in constant currency). The Northern Europe constant currency revenue decrease is due to reduced demand for our Manpower staffing services, primarily because of the decrease in Germany resulting from challenges with the implementation of new systems and actions taken to optimize our delivery channels that caused some client disruption, as well as softer demand from the manufacturing sector in that market. This decrease was partially offset by growth in our Proservia business, a 6.6% increase (3.3% in constant currency) in our permanent recruitment business, and increased demand for our Experis interim services, primarily within the IT sector in the United Kingdom.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351" w:right="239" w:bottom="1440" w:gutter="0" w:footer="0" w:header="0"/>
        </w:sectPr>
      </w:pPr>
    </w:p>
    <w:bookmarkStart w:id="35" w:name="page36"/>
    <w:bookmarkEnd w:id="35"/>
    <w:p>
      <w:pPr>
        <w:jc w:val="both"/>
        <w:spacing w:after="0" w:line="267" w:lineRule="auto"/>
        <w:rPr>
          <w:sz w:val="20"/>
          <w:szCs w:val="20"/>
          <w:color w:val="auto"/>
        </w:rPr>
      </w:pPr>
      <w:r>
        <w:rPr>
          <w:rFonts w:ascii="Arial" w:cs="Arial" w:eastAsia="Arial" w:hAnsi="Arial"/>
          <w:sz w:val="16"/>
          <w:szCs w:val="16"/>
          <w:color w:val="282A32"/>
        </w:rPr>
        <w:t>In 2017, revenues from services increased 3.5% (3.4% in constant currency; 2.6% in organic constant currency) as compared to 2016. We experienced revenue growth in Germany, the Nordics, the Netherlands and Belgium of 12.5%, 7.6%, 15.2% and 6.8% , respectively (10.1%, 6.6%, 12.6%, and 4.5%, respectively, in constant currency; 5.1% and 8.4% in organic constant currency in the Nordics and the Netherlands) and a decline in the United Kingdom of 11.1% (-6.5% in constant currency). The Northern Europe revenue increase is due to growth in our ManpowerGroup Solutions business, mostly within our Proservia business, increased demand for our Manpower staffing services and a 4.6% increase (5.7% in constant currency) in our permanent recruitment business. These increases were partially offset by reduced demand within our largest client accounts in the United Kingdom and the unfavorable impact of one fewer billing day.</w:t>
      </w:r>
    </w:p>
    <w:p>
      <w:pPr>
        <w:spacing w:after="0" w:line="16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282A32"/>
        </w:rPr>
        <w:t>Gross profit margin decreased in 2018 compared to 2017 due to the decline in our staffing/interim margin, primarily as a result of business mix changes and lower associate utilization in Germany, partially offset by the increase in our higher-margin ManpowerGroup Solutions business and increase in our permanent recruitment business. In 2017, gross profit margin was flat compared to 2016 as the increase in our higher-margin ManpowerGroup Solutions business and increase in our permanent recruitment business was offset by the decline in our staffing/interim margin, primarily as a result of business mix changes.</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282A32"/>
        </w:rPr>
        <w:t>Selling and administrative expenses increased 2.0% (-1.8% in constant currency) in 2018 compared to 2017 due primarily to the increase in restructuring costs of $33.3 million in 2018 from $23.8 million in 2017. The 2018 restructuring costs related to delivery model and other front-office centralization activities as well as back-office optimization activities primarily in the United Kingdom, Germany, the Netherlands, Norway and Belgium. The 2017 restructuring costs were primarily related to severance costs incurred in connection with the further integration of 7S Group GmbH ("7S") in Germany, branch and back-office optimization in the United Kingdom and management and back-office optimization along with the integration of an Experis acquisition in the Netherlands. Excluding the restructuring costs, selling and administrative expenses decreased 2.7% in constant currency (increase of 0.8% as reported) primarily due to a $8.4 million gain from the sale of a non-core language translation business in the Netherlands and a decrease in salary-related expenses as a result of a reduction of headcount, partially offset by an increase in consulting costs related to certain technology projects, front-office centralization and back-office optimization activities. In 2017, selling and administrative expenses increased 8.4% (8.3% in constant currency; 7.0% in organic constant currency) compared to 2016 due primarily to the restructuring costs incurred in 2017. Excluding the restructuring costs, selling and administrative expenses increased 4.9% (4.5% in constant currency; 3.3% in organic constant currency), primarily due to an increase in organic salary-related expenses as a result of higher headcount in certain countries to support the increase in revenues, the additional recurring selling and administrative costs incurred as a result of the acquisitions in the Nordics and the Netherlands and an increase in consulting costs primarily related to certain technology projects and back-office and delivery-model optimization activities.</w:t>
      </w:r>
    </w:p>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282A32"/>
        </w:rPr>
        <w:t>OUP margin for Northern Europe was 2.3%, 2.6% and 3.2% in 2018, 2017 and 2016, respectively. The decrease in 2018 was primarily due to a decrease in the gross profit margin, the increased costs related to certain technology projects, front-office centralization and back-office optimization activities, and an increase in restructuring costs in 2018 compared to 2017. The OUP margin decreased in 2017 primarily due to the restructuring costs incurred in 2017 and the increase in consulting costs.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APME</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282A32"/>
        </w:rPr>
        <w:t>Revenues from services increased 9.6% (9.4% in constant currency; 8.7% in organic constant currency) in 2018 compared to 2017. In Japan (which represents 31% of APME’s revenues), revenues from services increased 4.7% (3.1% in constant currency) due to the increased demand for our Manpower staffing services and a 16.1% increase (14.3% in constant currency) in our permanent recruitment business. In Australia (which represents 20% of APME’s revenues), revenue from services increased 2.4% (5.1% in constant currency) due to the increase in our Manpower staffing business and a 4.6% increase (6.9% in constant currency) in our permanent recruitment business. The revenue increase in the remaining markets in APME is due to increased demand for our Manpower staffing services, mostly in India, Greater China, Thailand, Singapore and Malaysia and an increase in our permanent recruitment businesses.</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In 2017, revenues from services for APME increased 6.7% (6.4% in constant currency; 6.1% in organic constant currency) compared to 2016. In Japan, revenues from services increased 1.0% (4.4% in constant currency) due to</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501" w:right="239" w:bottom="1440" w:gutter="0" w:footer="0" w:header="0"/>
        </w:sectPr>
      </w:pPr>
    </w:p>
    <w:bookmarkStart w:id="36" w:name="page37"/>
    <w:bookmarkEnd w:id="36"/>
    <w:p>
      <w:pPr>
        <w:jc w:val="both"/>
        <w:spacing w:after="0" w:line="291" w:lineRule="auto"/>
        <w:rPr>
          <w:sz w:val="20"/>
          <w:szCs w:val="20"/>
          <w:color w:val="auto"/>
        </w:rPr>
      </w:pPr>
      <w:r>
        <w:rPr>
          <w:rFonts w:ascii="Arial" w:cs="Arial" w:eastAsia="Arial" w:hAnsi="Arial"/>
          <w:sz w:val="15"/>
          <w:szCs w:val="15"/>
          <w:color w:val="282A32"/>
        </w:rPr>
        <w:t>the increase in our staffing/interim business and a 10.7% increase (14.5% in constant currency) in our permanent recruitment business. In Australia, revenue from services decreased 1.0% in constant currency (increase of 2.1% as reported) due to the decrease in demand for our Manpower staffing services in constant currency as we saw a slowing of new business and the unfavorable impact of one fewer billing day, partially offset by a 7.2% increase in constant currency (10.7% as reported) in our permanent recruitment business. The revenue increase in the remaining markets in APME is due to increased demand for our Manpower staffing services, mostly in Greater China, India, Singapore and Thailand, and growth in our ManpowerGroup Solutions and permanent recruitment businesses.</w:t>
      </w:r>
    </w:p>
    <w:p>
      <w:pPr>
        <w:spacing w:after="0" w:line="151"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82A32"/>
        </w:rPr>
        <w:t>Gross profit margin increased in 2018 compared to 2017 due to the improvement in our staffing/interim margin as a result of favorable direct costs adjustments in 2018 in Japan, increase in our permanent recruitment business of 9.9% (10.2% in constant currency), and a margin increase in our ManpowerGroup Solutions business. In 2017, gross profit margin increased compared to 2016 due to an increase in our permanent recruitment business of 12.1% (10.8% in constant currency) and growth in our higher-margin ManpowerGroup Solutions business, partially offset by a decrease in our staffing/interim margins as a result of direct cost increases in certain markets and changes in business mix.</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282A32"/>
        </w:rPr>
        <w:t>Selling and administrative expenses increased 8.4% (8.2% in constant currency; 6.9% in organic constant currency) in 2018 compared to 2017. The increase is due to the increase in salary-related costs because of higher headcount to support the increase in revenues and the additional recurring selling and administrative costs incurred as a result of an acquisition, partially offset by the decrease in restructuring costs to zero in 2018 from $1.4 million incurred in 2017 in Australia related to branch and back-office optimization. In 2017, selling and administrative expenses increased 6.0% (5.9% in constant currency; 5.5% in organic constant currency) compared to 2016. The increase is primarily due to the increase in salary-related costs because of higher headcount to support the increases in revenues and due to the restructuring costs incurred in 2017.</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OUP margin for APME was 4.0%, 3.8% and 3.6% in 2018, 2017 and 2016, respectively. The OUP margin increased in 2018 due to improved operating leverage on increased revenues and the improvement in the gross profit margin. The OUP margin increase in 2017 was due to the increase in our gross profit margin and better operational leverage, because we were able to support an increase in revenues without a similar increase in expenses, partially offset by the restructuring costs incurred in 2017.</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Right Management</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282A32"/>
        </w:rPr>
        <w:t>In 2018, revenues from services for Right Management decreased 8.5% (-9.4% in constant currency). The decrease was primarily due to the decrease of 10.3% (-11.3% in constant currency) in our outplacement services as we experienced reduced demand in most of our markets due to the counter-cyclical nature of this business. Our talent management business decreased 2.9% (-3.3% in constant currency) in 2018 compared to 2017 primarily due to a decline in our Americas markets.</w:t>
      </w:r>
    </w:p>
    <w:p>
      <w:pPr>
        <w:spacing w:after="0" w:line="14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In 2017, revenues from services decreased 15.8% (-15.6% in constant currency). The decrease was primarily due to the decrease of 15.3% (-14.9% in constant currency) in our outplacement services as we experienced softer demand in many of our markets due to the counter-cyclical nature of this business and the non-recurrence of certain client activity within the United States. Our talent management business decreased 17.6% (-18.0% in constant currency) in 2017 compared to 2016 mostly due to softening demand in our Asian markets.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Gross profit margin decreased in 2018 compared to 2017 due to the decreases in both our outplacement and talent management business gross profit margins and the change in business mix as the higher-margin outplacement business represented a lower percentage of the revenues mix. In 2017, gross profit margin decreased due to decreases in both our outplacement and talent management business gross profit margins.</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82A32"/>
        </w:rPr>
        <w:t>In 2018, selling and administrative expenses decreased 9.7% (-10.6% in constant currency) compared to 2017 primarily due to reduced compensation-related expenses, such as salaries and variable-incentive costs, due to lower headcount, and the decrease in restructuring costs incurred in 2018 compared to 2017. In 2017, selling and administrative expenses decreased 15.4% (-15.1% in constant currency) compared to 2016 due to reduced compensation-related expenses such as salaries and variable-incentive costs due to lower headcount and a decrease in office-related costs related to a decrease in the number of offices. These items were partially offset by the restructuring costs incurred in 2017.</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351" w:right="239" w:bottom="1440" w:gutter="0" w:footer="0" w:header="0"/>
        </w:sectPr>
      </w:pPr>
    </w:p>
    <w:bookmarkStart w:id="37" w:name="page38"/>
    <w:bookmarkEnd w:id="37"/>
    <w:p>
      <w:pPr>
        <w:jc w:val="both"/>
        <w:spacing w:after="0" w:line="254" w:lineRule="auto"/>
        <w:rPr>
          <w:sz w:val="20"/>
          <w:szCs w:val="20"/>
          <w:color w:val="auto"/>
        </w:rPr>
      </w:pPr>
      <w:r>
        <w:rPr>
          <w:rFonts w:ascii="Arial" w:cs="Arial" w:eastAsia="Arial" w:hAnsi="Arial"/>
          <w:sz w:val="17"/>
          <w:szCs w:val="17"/>
          <w:color w:val="282A32"/>
        </w:rPr>
        <w:t>OUP margin for Right Management was 16.4%, 16.5% and 17.3% for 2018, 2017 and 2016, respectively. The OUP margin for 2018 decreased due to the decline in our gross profit margin, partially offset by improved operational leverage and the decrease of restructuring costs incurred in 2018 compared to 2017. The OUP margin for 2017 decreased due to the decline in our gross profit margin and the restructuring costs incurred in 2017.</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282A32"/>
        </w:rPr>
        <w:t>Financial Measures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Constant Currency And Organic Constant Currency Reconciliation</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Certain constant currency and organic constant currency percent variances are discussed throughout this report. A reconciliation of these Non-GAAP percent variances to the percent variances calculated based on our annual GAAP financial results is provided below. (See Constant Currency and Organic Constant Currency on pages 26 and 27 for information.)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jc w:val="right"/>
              <w:ind w:right="197"/>
              <w:spacing w:after="0"/>
              <w:rPr>
                <w:sz w:val="20"/>
                <w:szCs w:val="20"/>
                <w:color w:val="auto"/>
              </w:rPr>
            </w:pPr>
            <w:r>
              <w:rPr>
                <w:rFonts w:ascii="Arial" w:cs="Arial" w:eastAsia="Arial" w:hAnsi="Arial"/>
                <w:sz w:val="17"/>
                <w:szCs w:val="17"/>
                <w:color w:val="282A32"/>
              </w:rPr>
              <w:t>Impact of</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Amounts represent 2018</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jc w:val="right"/>
              <w:ind w:right="197"/>
              <w:spacing w:after="0"/>
              <w:rPr>
                <w:sz w:val="20"/>
                <w:szCs w:val="20"/>
                <w:color w:val="auto"/>
              </w:rPr>
            </w:pPr>
            <w:r>
              <w:rPr>
                <w:rFonts w:ascii="Arial" w:cs="Arial" w:eastAsia="Arial" w:hAnsi="Arial"/>
                <w:sz w:val="17"/>
                <w:szCs w:val="17"/>
                <w:color w:val="282A32"/>
              </w:rPr>
              <w:t>Acquisitions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jc w:val="right"/>
              <w:ind w:right="197"/>
              <w:spacing w:after="0"/>
              <w:rPr>
                <w:sz w:val="20"/>
                <w:szCs w:val="20"/>
                <w:color w:val="auto"/>
              </w:rPr>
            </w:pPr>
            <w:r>
              <w:rPr>
                <w:rFonts w:ascii="Arial" w:cs="Arial" w:eastAsia="Arial" w:hAnsi="Arial"/>
                <w:sz w:val="17"/>
                <w:szCs w:val="17"/>
                <w:color w:val="282A32"/>
              </w:rPr>
              <w:t>and</w:t>
            </w:r>
          </w:p>
        </w:tc>
        <w:tc>
          <w:tcPr>
            <w:tcW w:w="1000" w:type="dxa"/>
            <w:vAlign w:val="bottom"/>
          </w:tcPr>
          <w:p>
            <w:pPr>
              <w:jc w:val="right"/>
              <w:ind w:right="137"/>
              <w:spacing w:after="0"/>
              <w:rPr>
                <w:sz w:val="20"/>
                <w:szCs w:val="20"/>
                <w:color w:val="auto"/>
              </w:rPr>
            </w:pPr>
            <w:r>
              <w:rPr>
                <w:rFonts w:ascii="Arial" w:cs="Arial" w:eastAsia="Arial" w:hAnsi="Arial"/>
                <w:sz w:val="17"/>
                <w:szCs w:val="17"/>
                <w:color w:val="282A32"/>
              </w:rPr>
              <w:t>Organic</w:t>
            </w:r>
          </w:p>
        </w:tc>
        <w:tc>
          <w:tcPr>
            <w:tcW w:w="0" w:type="dxa"/>
            <w:vAlign w:val="bottom"/>
          </w:tcPr>
          <w:p>
            <w:pPr>
              <w:spacing w:after="0"/>
              <w:rPr>
                <w:sz w:val="1"/>
                <w:szCs w:val="1"/>
                <w:color w:val="auto"/>
              </w:rPr>
            </w:pPr>
          </w:p>
        </w:tc>
      </w:tr>
      <w:tr>
        <w:trPr>
          <w:trHeight w:val="199"/>
        </w:trPr>
        <w:tc>
          <w:tcPr>
            <w:tcW w:w="41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Percentages represent 2018 compared to 2017</w:t>
            </w:r>
          </w:p>
        </w:tc>
        <w:tc>
          <w:tcPr>
            <w:tcW w:w="240" w:type="dxa"/>
            <w:vAlign w:val="bottom"/>
          </w:tcPr>
          <w:p>
            <w:pPr>
              <w:spacing w:after="0"/>
              <w:rPr>
                <w:sz w:val="17"/>
                <w:szCs w:val="17"/>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282A32"/>
              </w:rPr>
              <w:t>Reported</w:t>
            </w: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jc w:val="right"/>
              <w:ind w:right="277"/>
              <w:spacing w:after="0"/>
              <w:rPr>
                <w:sz w:val="20"/>
                <w:szCs w:val="20"/>
                <w:color w:val="auto"/>
              </w:rPr>
            </w:pPr>
            <w:r>
              <w:rPr>
                <w:rFonts w:ascii="Arial" w:cs="Arial" w:eastAsia="Arial" w:hAnsi="Arial"/>
                <w:sz w:val="17"/>
                <w:szCs w:val="17"/>
                <w:color w:val="282A32"/>
              </w:rPr>
              <w:t>Variance in</w:t>
            </w:r>
          </w:p>
        </w:tc>
        <w:tc>
          <w:tcPr>
            <w:tcW w:w="1280" w:type="dxa"/>
            <w:vAlign w:val="bottom"/>
          </w:tcPr>
          <w:p>
            <w:pPr>
              <w:jc w:val="right"/>
              <w:ind w:right="197"/>
              <w:spacing w:after="0"/>
              <w:rPr>
                <w:sz w:val="20"/>
                <w:szCs w:val="20"/>
                <w:color w:val="auto"/>
              </w:rPr>
            </w:pPr>
            <w:r>
              <w:rPr>
                <w:rFonts w:ascii="Arial" w:cs="Arial" w:eastAsia="Arial" w:hAnsi="Arial"/>
                <w:sz w:val="17"/>
                <w:szCs w:val="17"/>
                <w:color w:val="282A32"/>
              </w:rPr>
              <w:t>Dispositions</w:t>
            </w:r>
          </w:p>
        </w:tc>
        <w:tc>
          <w:tcPr>
            <w:tcW w:w="1000" w:type="dxa"/>
            <w:vAlign w:val="bottom"/>
          </w:tcPr>
          <w:p>
            <w:pPr>
              <w:jc w:val="right"/>
              <w:ind w:right="137"/>
              <w:spacing w:after="0"/>
              <w:rPr>
                <w:sz w:val="20"/>
                <w:szCs w:val="20"/>
                <w:color w:val="auto"/>
              </w:rPr>
            </w:pPr>
            <w:r>
              <w:rPr>
                <w:rFonts w:ascii="Arial" w:cs="Arial" w:eastAsia="Arial" w:hAnsi="Arial"/>
                <w:sz w:val="17"/>
                <w:szCs w:val="17"/>
                <w:color w:val="282A32"/>
              </w:rPr>
              <w:t>Constant</w:t>
            </w:r>
          </w:p>
        </w:tc>
        <w:tc>
          <w:tcPr>
            <w:tcW w:w="0" w:type="dxa"/>
            <w:vAlign w:val="bottom"/>
          </w:tcPr>
          <w:p>
            <w:pPr>
              <w:spacing w:after="0"/>
              <w:rPr>
                <w:sz w:val="1"/>
                <w:szCs w:val="1"/>
                <w:color w:val="auto"/>
              </w:rPr>
            </w:pPr>
          </w:p>
        </w:tc>
      </w:tr>
      <w:tr>
        <w:trPr>
          <w:trHeight w:val="199"/>
        </w:trPr>
        <w:tc>
          <w:tcPr>
            <w:tcW w:w="41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282A32"/>
              </w:rPr>
              <w:t>Amount</w:t>
            </w:r>
          </w:p>
        </w:tc>
        <w:tc>
          <w:tcPr>
            <w:tcW w:w="1220" w:type="dxa"/>
            <w:vAlign w:val="bottom"/>
          </w:tcPr>
          <w:p>
            <w:pPr>
              <w:jc w:val="right"/>
              <w:ind w:right="257"/>
              <w:spacing w:after="0"/>
              <w:rPr>
                <w:sz w:val="20"/>
                <w:szCs w:val="20"/>
                <w:color w:val="auto"/>
              </w:rPr>
            </w:pPr>
            <w:r>
              <w:rPr>
                <w:rFonts w:ascii="Arial" w:cs="Arial" w:eastAsia="Arial" w:hAnsi="Arial"/>
                <w:sz w:val="17"/>
                <w:szCs w:val="17"/>
                <w:color w:val="282A32"/>
              </w:rPr>
              <w:t>Reported</w:t>
            </w:r>
          </w:p>
        </w:tc>
        <w:tc>
          <w:tcPr>
            <w:tcW w:w="1140" w:type="dxa"/>
            <w:vAlign w:val="bottom"/>
          </w:tcPr>
          <w:p>
            <w:pPr>
              <w:jc w:val="right"/>
              <w:ind w:right="277"/>
              <w:spacing w:after="0"/>
              <w:rPr>
                <w:sz w:val="20"/>
                <w:szCs w:val="20"/>
                <w:color w:val="auto"/>
              </w:rPr>
            </w:pPr>
            <w:r>
              <w:rPr>
                <w:rFonts w:ascii="Arial" w:cs="Arial" w:eastAsia="Arial" w:hAnsi="Arial"/>
                <w:sz w:val="17"/>
                <w:szCs w:val="17"/>
                <w:color w:val="282A32"/>
              </w:rPr>
              <w:t>Impact of</w:t>
            </w:r>
          </w:p>
        </w:tc>
        <w:tc>
          <w:tcPr>
            <w:tcW w:w="1300" w:type="dxa"/>
            <w:vAlign w:val="bottom"/>
          </w:tcPr>
          <w:p>
            <w:pPr>
              <w:jc w:val="right"/>
              <w:ind w:right="277"/>
              <w:spacing w:after="0"/>
              <w:rPr>
                <w:sz w:val="20"/>
                <w:szCs w:val="20"/>
                <w:color w:val="auto"/>
              </w:rPr>
            </w:pPr>
            <w:r>
              <w:rPr>
                <w:rFonts w:ascii="Arial" w:cs="Arial" w:eastAsia="Arial" w:hAnsi="Arial"/>
                <w:sz w:val="17"/>
                <w:szCs w:val="17"/>
                <w:color w:val="282A32"/>
              </w:rPr>
              <w:t>Constant</w:t>
            </w:r>
          </w:p>
        </w:tc>
        <w:tc>
          <w:tcPr>
            <w:tcW w:w="1280" w:type="dxa"/>
            <w:vAlign w:val="bottom"/>
          </w:tcPr>
          <w:p>
            <w:pPr>
              <w:jc w:val="right"/>
              <w:ind w:right="197"/>
              <w:spacing w:after="0"/>
              <w:rPr>
                <w:sz w:val="20"/>
                <w:szCs w:val="20"/>
                <w:color w:val="auto"/>
              </w:rPr>
            </w:pPr>
            <w:r>
              <w:rPr>
                <w:rFonts w:ascii="Arial" w:cs="Arial" w:eastAsia="Arial" w:hAnsi="Arial"/>
                <w:sz w:val="17"/>
                <w:szCs w:val="17"/>
                <w:color w:val="282A32"/>
              </w:rPr>
              <w:t>(in Constant</w:t>
            </w:r>
          </w:p>
        </w:tc>
        <w:tc>
          <w:tcPr>
            <w:tcW w:w="1000" w:type="dxa"/>
            <w:vAlign w:val="bottom"/>
          </w:tcPr>
          <w:p>
            <w:pPr>
              <w:jc w:val="right"/>
              <w:ind w:right="137"/>
              <w:spacing w:after="0"/>
              <w:rPr>
                <w:sz w:val="20"/>
                <w:szCs w:val="20"/>
                <w:color w:val="auto"/>
              </w:rPr>
            </w:pPr>
            <w:r>
              <w:rPr>
                <w:rFonts w:ascii="Arial" w:cs="Arial" w:eastAsia="Arial" w:hAnsi="Arial"/>
                <w:sz w:val="17"/>
                <w:szCs w:val="17"/>
                <w:color w:val="282A32"/>
              </w:rPr>
              <w:t>Currency</w:t>
            </w:r>
          </w:p>
        </w:tc>
        <w:tc>
          <w:tcPr>
            <w:tcW w:w="0" w:type="dxa"/>
            <w:vAlign w:val="bottom"/>
          </w:tcPr>
          <w:p>
            <w:pPr>
              <w:spacing w:after="0"/>
              <w:rPr>
                <w:sz w:val="1"/>
                <w:szCs w:val="1"/>
                <w:color w:val="auto"/>
              </w:rPr>
            </w:pPr>
          </w:p>
        </w:tc>
      </w:tr>
      <w:tr>
        <w:trPr>
          <w:trHeight w:val="212"/>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282A32"/>
              </w:rPr>
              <w:t>(in millions)</w:t>
            </w:r>
          </w:p>
        </w:tc>
        <w:tc>
          <w:tcPr>
            <w:tcW w:w="1220" w:type="dxa"/>
            <w:vAlign w:val="bottom"/>
          </w:tcPr>
          <w:p>
            <w:pPr>
              <w:jc w:val="right"/>
              <w:ind w:right="257"/>
              <w:spacing w:after="0"/>
              <w:rPr>
                <w:sz w:val="20"/>
                <w:szCs w:val="20"/>
                <w:color w:val="auto"/>
              </w:rPr>
            </w:pPr>
            <w:r>
              <w:rPr>
                <w:rFonts w:ascii="Arial" w:cs="Arial" w:eastAsia="Arial" w:hAnsi="Arial"/>
                <w:sz w:val="17"/>
                <w:szCs w:val="17"/>
                <w:color w:val="282A32"/>
              </w:rPr>
              <w:t>Variance</w:t>
            </w:r>
          </w:p>
        </w:tc>
        <w:tc>
          <w:tcPr>
            <w:tcW w:w="1140" w:type="dxa"/>
            <w:vAlign w:val="bottom"/>
          </w:tcPr>
          <w:p>
            <w:pPr>
              <w:jc w:val="right"/>
              <w:ind w:right="277"/>
              <w:spacing w:after="0"/>
              <w:rPr>
                <w:sz w:val="20"/>
                <w:szCs w:val="20"/>
                <w:color w:val="auto"/>
              </w:rPr>
            </w:pPr>
            <w:r>
              <w:rPr>
                <w:rFonts w:ascii="Arial" w:cs="Arial" w:eastAsia="Arial" w:hAnsi="Arial"/>
                <w:sz w:val="17"/>
                <w:szCs w:val="17"/>
                <w:color w:val="282A32"/>
              </w:rPr>
              <w:t>Currency</w:t>
            </w:r>
          </w:p>
        </w:tc>
        <w:tc>
          <w:tcPr>
            <w:tcW w:w="1300" w:type="dxa"/>
            <w:vAlign w:val="bottom"/>
          </w:tcPr>
          <w:p>
            <w:pPr>
              <w:jc w:val="right"/>
              <w:ind w:right="277"/>
              <w:spacing w:after="0"/>
              <w:rPr>
                <w:sz w:val="20"/>
                <w:szCs w:val="20"/>
                <w:color w:val="auto"/>
              </w:rPr>
            </w:pPr>
            <w:r>
              <w:rPr>
                <w:rFonts w:ascii="Arial" w:cs="Arial" w:eastAsia="Arial" w:hAnsi="Arial"/>
                <w:sz w:val="17"/>
                <w:szCs w:val="17"/>
                <w:color w:val="282A32"/>
              </w:rPr>
              <w:t>Currency</w:t>
            </w:r>
          </w:p>
        </w:tc>
        <w:tc>
          <w:tcPr>
            <w:tcW w:w="1280" w:type="dxa"/>
            <w:vAlign w:val="bottom"/>
          </w:tcPr>
          <w:p>
            <w:pPr>
              <w:jc w:val="right"/>
              <w:ind w:right="197"/>
              <w:spacing w:after="0"/>
              <w:rPr>
                <w:sz w:val="20"/>
                <w:szCs w:val="20"/>
                <w:color w:val="auto"/>
              </w:rPr>
            </w:pPr>
            <w:r>
              <w:rPr>
                <w:rFonts w:ascii="Arial" w:cs="Arial" w:eastAsia="Arial" w:hAnsi="Arial"/>
                <w:sz w:val="17"/>
                <w:szCs w:val="17"/>
                <w:color w:val="282A32"/>
              </w:rPr>
              <w:t>Currency)</w:t>
            </w:r>
          </w:p>
        </w:tc>
        <w:tc>
          <w:tcPr>
            <w:tcW w:w="1000" w:type="dxa"/>
            <w:vAlign w:val="bottom"/>
          </w:tcPr>
          <w:p>
            <w:pPr>
              <w:jc w:val="right"/>
              <w:ind w:right="137"/>
              <w:spacing w:after="0"/>
              <w:rPr>
                <w:sz w:val="20"/>
                <w:szCs w:val="20"/>
                <w:color w:val="auto"/>
              </w:rPr>
            </w:pPr>
            <w:r>
              <w:rPr>
                <w:rFonts w:ascii="Arial" w:cs="Arial" w:eastAsia="Arial" w:hAnsi="Arial"/>
                <w:sz w:val="17"/>
                <w:szCs w:val="17"/>
                <w:color w:val="282A32"/>
              </w:rPr>
              <w:t>Variance</w:t>
            </w:r>
          </w:p>
        </w:tc>
        <w:tc>
          <w:tcPr>
            <w:tcW w:w="0" w:type="dxa"/>
            <w:vAlign w:val="bottom"/>
          </w:tcPr>
          <w:p>
            <w:pPr>
              <w:spacing w:after="0"/>
              <w:rPr>
                <w:sz w:val="1"/>
                <w:szCs w:val="1"/>
                <w:color w:val="auto"/>
              </w:rPr>
            </w:pPr>
          </w:p>
        </w:tc>
      </w:tr>
      <w:tr>
        <w:trPr>
          <w:trHeight w:val="25"/>
        </w:trPr>
        <w:tc>
          <w:tcPr>
            <w:tcW w:w="4140" w:type="dxa"/>
            <w:vAlign w:val="bottom"/>
            <w:tcBorders>
              <w:bottom w:val="single" w:sz="8" w:color="55565A"/>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Revenues from Services</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140"/>
              <w:spacing w:after="0"/>
              <w:rPr>
                <w:sz w:val="20"/>
                <w:szCs w:val="20"/>
                <w:color w:val="auto"/>
              </w:rPr>
            </w:pPr>
            <w:r>
              <w:rPr>
                <w:rFonts w:ascii="Arial" w:cs="Arial" w:eastAsia="Arial" w:hAnsi="Arial"/>
                <w:sz w:val="17"/>
                <w:szCs w:val="17"/>
                <w:color w:val="282A32"/>
              </w:rPr>
              <w:t>Americas: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282A32"/>
              </w:rPr>
              <w:t>United States</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2,522.3</w:t>
            </w: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(5.1)%</w:t>
            </w:r>
          </w:p>
        </w:tc>
        <w:tc>
          <w:tcPr>
            <w:tcW w:w="11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282A32"/>
              </w:rPr>
              <w:t>— %</w:t>
            </w: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(5.1)%</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(5.1)%</w:t>
            </w:r>
          </w:p>
        </w:tc>
        <w:tc>
          <w:tcPr>
            <w:tcW w:w="0" w:type="dxa"/>
            <w:vAlign w:val="bottom"/>
          </w:tcPr>
          <w:p>
            <w:pPr>
              <w:spacing w:after="0"/>
              <w:rPr>
                <w:sz w:val="1"/>
                <w:szCs w:val="1"/>
                <w:color w:val="auto"/>
              </w:rPr>
            </w:pPr>
          </w:p>
        </w:tc>
      </w:tr>
      <w:tr>
        <w:trPr>
          <w:trHeight w:val="224"/>
        </w:trPr>
        <w:tc>
          <w:tcPr>
            <w:tcW w:w="4140" w:type="dxa"/>
            <w:vAlign w:val="bottom"/>
          </w:tcPr>
          <w:p>
            <w:pPr>
              <w:ind w:left="240"/>
              <w:spacing w:after="0"/>
              <w:rPr>
                <w:sz w:val="20"/>
                <w:szCs w:val="20"/>
                <w:color w:val="auto"/>
              </w:rPr>
            </w:pPr>
            <w:r>
              <w:rPr>
                <w:rFonts w:ascii="Arial" w:cs="Arial" w:eastAsia="Arial" w:hAnsi="Arial"/>
                <w:sz w:val="17"/>
                <w:szCs w:val="17"/>
                <w:color w:val="282A32"/>
              </w:rPr>
              <w:t>Other Americas</w:t>
            </w:r>
          </w:p>
        </w:tc>
        <w:tc>
          <w:tcPr>
            <w:tcW w:w="24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282A32"/>
              </w:rPr>
              <w:t>1,637.0</w:t>
            </w:r>
          </w:p>
        </w:tc>
        <w:tc>
          <w:tcPr>
            <w:tcW w:w="1220" w:type="dxa"/>
            <w:vAlign w:val="bottom"/>
          </w:tcPr>
          <w:p>
            <w:pPr>
              <w:jc w:val="right"/>
              <w:ind w:right="257"/>
              <w:spacing w:after="0"/>
              <w:rPr>
                <w:sz w:val="20"/>
                <w:szCs w:val="20"/>
                <w:color w:val="auto"/>
              </w:rPr>
            </w:pPr>
            <w:r>
              <w:rPr>
                <w:rFonts w:ascii="Arial" w:cs="Arial" w:eastAsia="Arial" w:hAnsi="Arial"/>
                <w:sz w:val="17"/>
                <w:szCs w:val="17"/>
                <w:color w:val="282A32"/>
              </w:rPr>
              <w:t>5.1</w:t>
            </w:r>
          </w:p>
        </w:tc>
        <w:tc>
          <w:tcPr>
            <w:tcW w:w="1140" w:type="dxa"/>
            <w:vAlign w:val="bottom"/>
          </w:tcPr>
          <w:p>
            <w:pPr>
              <w:jc w:val="right"/>
              <w:ind w:right="217"/>
              <w:spacing w:after="0"/>
              <w:rPr>
                <w:sz w:val="20"/>
                <w:szCs w:val="20"/>
                <w:color w:val="auto"/>
              </w:rPr>
            </w:pPr>
            <w:r>
              <w:rPr>
                <w:rFonts w:ascii="Arial" w:cs="Arial" w:eastAsia="Arial" w:hAnsi="Arial"/>
                <w:sz w:val="17"/>
                <w:szCs w:val="17"/>
                <w:color w:val="282A32"/>
              </w:rPr>
              <w:t>(7.3)</w:t>
            </w:r>
          </w:p>
        </w:tc>
        <w:tc>
          <w:tcPr>
            <w:tcW w:w="1300" w:type="dxa"/>
            <w:vAlign w:val="bottom"/>
          </w:tcPr>
          <w:p>
            <w:pPr>
              <w:jc w:val="right"/>
              <w:ind w:right="277"/>
              <w:spacing w:after="0"/>
              <w:rPr>
                <w:sz w:val="20"/>
                <w:szCs w:val="20"/>
                <w:color w:val="auto"/>
              </w:rPr>
            </w:pPr>
            <w:r>
              <w:rPr>
                <w:rFonts w:ascii="Arial" w:cs="Arial" w:eastAsia="Arial" w:hAnsi="Arial"/>
                <w:sz w:val="17"/>
                <w:szCs w:val="17"/>
                <w:color w:val="282A32"/>
              </w:rPr>
              <w:t>12.4</w:t>
            </w:r>
          </w:p>
        </w:tc>
        <w:tc>
          <w:tcPr>
            <w:tcW w:w="1280" w:type="dxa"/>
            <w:vAlign w:val="bottom"/>
          </w:tcPr>
          <w:p>
            <w:pPr>
              <w:jc w:val="right"/>
              <w:ind w:right="197"/>
              <w:spacing w:after="0"/>
              <w:rPr>
                <w:sz w:val="20"/>
                <w:szCs w:val="20"/>
                <w:color w:val="auto"/>
              </w:rPr>
            </w:pPr>
            <w:r>
              <w:rPr>
                <w:rFonts w:ascii="Arial" w:cs="Arial" w:eastAsia="Arial" w:hAnsi="Arial"/>
                <w:sz w:val="17"/>
                <w:szCs w:val="17"/>
                <w:color w:val="282A32"/>
              </w:rPr>
              <w:t>2.5</w:t>
            </w:r>
          </w:p>
        </w:tc>
        <w:tc>
          <w:tcPr>
            <w:tcW w:w="1000" w:type="dxa"/>
            <w:vAlign w:val="bottom"/>
          </w:tcPr>
          <w:p>
            <w:pPr>
              <w:jc w:val="right"/>
              <w:ind w:right="137"/>
              <w:spacing w:after="0"/>
              <w:rPr>
                <w:sz w:val="20"/>
                <w:szCs w:val="20"/>
                <w:color w:val="auto"/>
              </w:rPr>
            </w:pPr>
            <w:r>
              <w:rPr>
                <w:rFonts w:ascii="Arial" w:cs="Arial" w:eastAsia="Arial" w:hAnsi="Arial"/>
                <w:sz w:val="17"/>
                <w:szCs w:val="17"/>
                <w:color w:val="282A32"/>
              </w:rPr>
              <w:t>9.9</w:t>
            </w:r>
          </w:p>
        </w:tc>
        <w:tc>
          <w:tcPr>
            <w:tcW w:w="0" w:type="dxa"/>
            <w:vAlign w:val="bottom"/>
          </w:tcPr>
          <w:p>
            <w:pPr>
              <w:spacing w:after="0"/>
              <w:rPr>
                <w:sz w:val="1"/>
                <w:szCs w:val="1"/>
                <w:color w:val="auto"/>
              </w:rPr>
            </w:pPr>
          </w:p>
        </w:tc>
      </w:tr>
      <w:tr>
        <w:trPr>
          <w:trHeight w:val="25"/>
        </w:trPr>
        <w:tc>
          <w:tcPr>
            <w:tcW w:w="4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4,159.3</w:t>
            </w:r>
          </w:p>
        </w:tc>
        <w:tc>
          <w:tcPr>
            <w:tcW w:w="12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(1.4)</w:t>
            </w:r>
          </w:p>
        </w:tc>
        <w:tc>
          <w:tcPr>
            <w:tcW w:w="11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(2.7)</w:t>
            </w:r>
          </w:p>
        </w:tc>
        <w:tc>
          <w:tcPr>
            <w:tcW w:w="13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1.3</w:t>
            </w:r>
          </w:p>
        </w:tc>
        <w:tc>
          <w:tcPr>
            <w:tcW w:w="12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0.9</w:t>
            </w:r>
          </w:p>
        </w:tc>
        <w:tc>
          <w:tcPr>
            <w:tcW w:w="10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0.4</w:t>
            </w:r>
          </w:p>
        </w:tc>
        <w:tc>
          <w:tcPr>
            <w:tcW w:w="0" w:type="dxa"/>
            <w:vAlign w:val="bottom"/>
          </w:tcPr>
          <w:p>
            <w:pPr>
              <w:spacing w:after="0"/>
              <w:rPr>
                <w:sz w:val="1"/>
                <w:szCs w:val="1"/>
                <w:color w:val="auto"/>
              </w:rPr>
            </w:pPr>
          </w:p>
        </w:tc>
      </w:tr>
      <w:tr>
        <w:trPr>
          <w:trHeight w:val="217"/>
        </w:trPr>
        <w:tc>
          <w:tcPr>
            <w:tcW w:w="414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282A32"/>
              </w:rPr>
              <w:t>Southern Europe:</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282A32"/>
              </w:rPr>
              <w:t>France</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5,827.7</w:t>
            </w:r>
          </w:p>
        </w:tc>
        <w:tc>
          <w:tcPr>
            <w:tcW w:w="12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6.4</w:t>
            </w:r>
          </w:p>
        </w:tc>
        <w:tc>
          <w:tcPr>
            <w:tcW w:w="114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4.5</w:t>
            </w:r>
          </w:p>
        </w:tc>
        <w:tc>
          <w:tcPr>
            <w:tcW w:w="13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1.9</w:t>
            </w:r>
          </w:p>
        </w:tc>
        <w:tc>
          <w:tcPr>
            <w:tcW w:w="12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w:t>
            </w:r>
          </w:p>
        </w:tc>
        <w:tc>
          <w:tcPr>
            <w:tcW w:w="10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1.9</w:t>
            </w:r>
          </w:p>
        </w:tc>
        <w:tc>
          <w:tcPr>
            <w:tcW w:w="0" w:type="dxa"/>
            <w:vAlign w:val="bottom"/>
          </w:tcPr>
          <w:p>
            <w:pPr>
              <w:spacing w:after="0"/>
              <w:rPr>
                <w:sz w:val="1"/>
                <w:szCs w:val="1"/>
                <w:color w:val="auto"/>
              </w:rPr>
            </w:pPr>
          </w:p>
        </w:tc>
      </w:tr>
      <w:tr>
        <w:trPr>
          <w:trHeight w:val="224"/>
        </w:trPr>
        <w:tc>
          <w:tcPr>
            <w:tcW w:w="4140" w:type="dxa"/>
            <w:vAlign w:val="bottom"/>
          </w:tcPr>
          <w:p>
            <w:pPr>
              <w:ind w:left="240"/>
              <w:spacing w:after="0"/>
              <w:rPr>
                <w:sz w:val="20"/>
                <w:szCs w:val="20"/>
                <w:color w:val="auto"/>
              </w:rPr>
            </w:pPr>
            <w:r>
              <w:rPr>
                <w:rFonts w:ascii="Arial" w:cs="Arial" w:eastAsia="Arial" w:hAnsi="Arial"/>
                <w:sz w:val="17"/>
                <w:szCs w:val="17"/>
                <w:color w:val="282A32"/>
              </w:rPr>
              <w:t>Italy</w:t>
            </w:r>
          </w:p>
        </w:tc>
        <w:tc>
          <w:tcPr>
            <w:tcW w:w="24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282A32"/>
              </w:rPr>
              <w:t>1,670.6</w:t>
            </w:r>
          </w:p>
        </w:tc>
        <w:tc>
          <w:tcPr>
            <w:tcW w:w="1220" w:type="dxa"/>
            <w:vAlign w:val="bottom"/>
          </w:tcPr>
          <w:p>
            <w:pPr>
              <w:jc w:val="right"/>
              <w:ind w:right="257"/>
              <w:spacing w:after="0"/>
              <w:rPr>
                <w:sz w:val="20"/>
                <w:szCs w:val="20"/>
                <w:color w:val="auto"/>
              </w:rPr>
            </w:pPr>
            <w:r>
              <w:rPr>
                <w:rFonts w:ascii="Arial" w:cs="Arial" w:eastAsia="Arial" w:hAnsi="Arial"/>
                <w:sz w:val="17"/>
                <w:szCs w:val="17"/>
                <w:color w:val="282A32"/>
              </w:rPr>
              <w:t>13.2</w:t>
            </w:r>
          </w:p>
        </w:tc>
        <w:tc>
          <w:tcPr>
            <w:tcW w:w="1140" w:type="dxa"/>
            <w:vAlign w:val="bottom"/>
          </w:tcPr>
          <w:p>
            <w:pPr>
              <w:jc w:val="right"/>
              <w:ind w:right="277"/>
              <w:spacing w:after="0"/>
              <w:rPr>
                <w:sz w:val="20"/>
                <w:szCs w:val="20"/>
                <w:color w:val="auto"/>
              </w:rPr>
            </w:pPr>
            <w:r>
              <w:rPr>
                <w:rFonts w:ascii="Arial" w:cs="Arial" w:eastAsia="Arial" w:hAnsi="Arial"/>
                <w:sz w:val="17"/>
                <w:szCs w:val="17"/>
                <w:color w:val="282A32"/>
              </w:rPr>
              <w:t>4.9</w:t>
            </w:r>
          </w:p>
        </w:tc>
        <w:tc>
          <w:tcPr>
            <w:tcW w:w="1300" w:type="dxa"/>
            <w:vAlign w:val="bottom"/>
          </w:tcPr>
          <w:p>
            <w:pPr>
              <w:jc w:val="right"/>
              <w:ind w:right="277"/>
              <w:spacing w:after="0"/>
              <w:rPr>
                <w:sz w:val="20"/>
                <w:szCs w:val="20"/>
                <w:color w:val="auto"/>
              </w:rPr>
            </w:pPr>
            <w:r>
              <w:rPr>
                <w:rFonts w:ascii="Arial" w:cs="Arial" w:eastAsia="Arial" w:hAnsi="Arial"/>
                <w:sz w:val="17"/>
                <w:szCs w:val="17"/>
                <w:color w:val="282A32"/>
              </w:rPr>
              <w:t>8.3</w:t>
            </w:r>
          </w:p>
        </w:tc>
        <w:tc>
          <w:tcPr>
            <w:tcW w:w="1280" w:type="dxa"/>
            <w:vAlign w:val="bottom"/>
          </w:tcPr>
          <w:p>
            <w:pPr>
              <w:jc w:val="right"/>
              <w:ind w:right="197"/>
              <w:spacing w:after="0"/>
              <w:rPr>
                <w:sz w:val="20"/>
                <w:szCs w:val="20"/>
                <w:color w:val="auto"/>
              </w:rPr>
            </w:pPr>
            <w:r>
              <w:rPr>
                <w:rFonts w:ascii="Arial" w:cs="Arial" w:eastAsia="Arial" w:hAnsi="Arial"/>
                <w:sz w:val="17"/>
                <w:szCs w:val="17"/>
                <w:color w:val="282A32"/>
              </w:rPr>
              <w:t>—</w:t>
            </w:r>
          </w:p>
        </w:tc>
        <w:tc>
          <w:tcPr>
            <w:tcW w:w="1000" w:type="dxa"/>
            <w:vAlign w:val="bottom"/>
          </w:tcPr>
          <w:p>
            <w:pPr>
              <w:jc w:val="right"/>
              <w:ind w:right="137"/>
              <w:spacing w:after="0"/>
              <w:rPr>
                <w:sz w:val="20"/>
                <w:szCs w:val="20"/>
                <w:color w:val="auto"/>
              </w:rPr>
            </w:pPr>
            <w:r>
              <w:rPr>
                <w:rFonts w:ascii="Arial" w:cs="Arial" w:eastAsia="Arial" w:hAnsi="Arial"/>
                <w:sz w:val="17"/>
                <w:szCs w:val="17"/>
                <w:color w:val="282A32"/>
              </w:rPr>
              <w:t>8.3</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282A32"/>
              </w:rPr>
              <w:t>Other Southern Europe</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1,873.3</w:t>
            </w:r>
          </w:p>
        </w:tc>
        <w:tc>
          <w:tcPr>
            <w:tcW w:w="12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9.9</w:t>
            </w:r>
          </w:p>
        </w:tc>
        <w:tc>
          <w:tcPr>
            <w:tcW w:w="114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3.1</w:t>
            </w:r>
          </w:p>
        </w:tc>
        <w:tc>
          <w:tcPr>
            <w:tcW w:w="13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6.8</w:t>
            </w:r>
          </w:p>
        </w:tc>
        <w:tc>
          <w:tcPr>
            <w:tcW w:w="12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0.7</w:t>
            </w:r>
          </w:p>
        </w:tc>
        <w:tc>
          <w:tcPr>
            <w:tcW w:w="10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6.1</w:t>
            </w:r>
          </w:p>
        </w:tc>
        <w:tc>
          <w:tcPr>
            <w:tcW w:w="0" w:type="dxa"/>
            <w:vAlign w:val="bottom"/>
          </w:tcPr>
          <w:p>
            <w:pPr>
              <w:spacing w:after="0"/>
              <w:rPr>
                <w:sz w:val="1"/>
                <w:szCs w:val="1"/>
                <w:color w:val="auto"/>
              </w:rPr>
            </w:pPr>
          </w:p>
        </w:tc>
      </w:tr>
      <w:tr>
        <w:trPr>
          <w:trHeight w:val="217"/>
        </w:trPr>
        <w:tc>
          <w:tcPr>
            <w:tcW w:w="4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282A32"/>
              </w:rPr>
              <w:t>9,371.6</w:t>
            </w:r>
          </w:p>
        </w:tc>
        <w:tc>
          <w:tcPr>
            <w:tcW w:w="122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282A32"/>
              </w:rPr>
              <w:t>8.3</w:t>
            </w:r>
          </w:p>
        </w:tc>
        <w:tc>
          <w:tcPr>
            <w:tcW w:w="114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282A32"/>
              </w:rPr>
              <w:t>4.3</w:t>
            </w:r>
          </w:p>
        </w:tc>
        <w:tc>
          <w:tcPr>
            <w:tcW w:w="130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282A32"/>
              </w:rPr>
              <w:t>4.0</w:t>
            </w:r>
          </w:p>
        </w:tc>
        <w:tc>
          <w:tcPr>
            <w:tcW w:w="12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282A32"/>
              </w:rPr>
              <w:t>0.2</w:t>
            </w:r>
          </w:p>
        </w:tc>
        <w:tc>
          <w:tcPr>
            <w:tcW w:w="100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282A32"/>
              </w:rPr>
              <w:t>3.8</w:t>
            </w:r>
          </w:p>
        </w:tc>
        <w:tc>
          <w:tcPr>
            <w:tcW w:w="0" w:type="dxa"/>
            <w:vAlign w:val="bottom"/>
          </w:tcPr>
          <w:p>
            <w:pPr>
              <w:spacing w:after="0"/>
              <w:rPr>
                <w:sz w:val="1"/>
                <w:szCs w:val="1"/>
                <w:color w:val="auto"/>
              </w:rPr>
            </w:pPr>
          </w:p>
        </w:tc>
      </w:tr>
      <w:tr>
        <w:trPr>
          <w:trHeight w:val="25"/>
        </w:trPr>
        <w:tc>
          <w:tcPr>
            <w:tcW w:w="4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Northern Europe</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5,370.5</w:t>
            </w:r>
          </w:p>
        </w:tc>
        <w:tc>
          <w:tcPr>
            <w:tcW w:w="12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1.2</w:t>
            </w:r>
          </w:p>
        </w:tc>
        <w:tc>
          <w:tcPr>
            <w:tcW w:w="114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3.2</w:t>
            </w:r>
          </w:p>
        </w:tc>
        <w:tc>
          <w:tcPr>
            <w:tcW w:w="13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(2.0)</w:t>
            </w:r>
          </w:p>
        </w:tc>
        <w:tc>
          <w:tcPr>
            <w:tcW w:w="12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(2.0)</w:t>
            </w:r>
          </w:p>
        </w:tc>
        <w:tc>
          <w:tcPr>
            <w:tcW w:w="0" w:type="dxa"/>
            <w:vAlign w:val="bottom"/>
          </w:tcPr>
          <w:p>
            <w:pPr>
              <w:spacing w:after="0"/>
              <w:rPr>
                <w:sz w:val="1"/>
                <w:szCs w:val="1"/>
                <w:color w:val="auto"/>
              </w:rPr>
            </w:pPr>
          </w:p>
        </w:tc>
      </w:tr>
      <w:tr>
        <w:trPr>
          <w:trHeight w:val="224"/>
        </w:trPr>
        <w:tc>
          <w:tcPr>
            <w:tcW w:w="4140" w:type="dxa"/>
            <w:vAlign w:val="bottom"/>
          </w:tcPr>
          <w:p>
            <w:pPr>
              <w:ind w:left="140"/>
              <w:spacing w:after="0"/>
              <w:rPr>
                <w:sz w:val="20"/>
                <w:szCs w:val="20"/>
                <w:color w:val="auto"/>
              </w:rPr>
            </w:pPr>
            <w:r>
              <w:rPr>
                <w:rFonts w:ascii="Arial" w:cs="Arial" w:eastAsia="Arial" w:hAnsi="Arial"/>
                <w:sz w:val="17"/>
                <w:szCs w:val="17"/>
                <w:color w:val="282A32"/>
              </w:rPr>
              <w:t>APME</w:t>
            </w:r>
          </w:p>
        </w:tc>
        <w:tc>
          <w:tcPr>
            <w:tcW w:w="24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282A32"/>
              </w:rPr>
              <w:t>2,890.3</w:t>
            </w:r>
          </w:p>
        </w:tc>
        <w:tc>
          <w:tcPr>
            <w:tcW w:w="1220" w:type="dxa"/>
            <w:vAlign w:val="bottom"/>
          </w:tcPr>
          <w:p>
            <w:pPr>
              <w:jc w:val="right"/>
              <w:ind w:right="257"/>
              <w:spacing w:after="0"/>
              <w:rPr>
                <w:sz w:val="20"/>
                <w:szCs w:val="20"/>
                <w:color w:val="auto"/>
              </w:rPr>
            </w:pPr>
            <w:r>
              <w:rPr>
                <w:rFonts w:ascii="Arial" w:cs="Arial" w:eastAsia="Arial" w:hAnsi="Arial"/>
                <w:sz w:val="17"/>
                <w:szCs w:val="17"/>
                <w:color w:val="282A32"/>
              </w:rPr>
              <w:t>9.6</w:t>
            </w:r>
          </w:p>
        </w:tc>
        <w:tc>
          <w:tcPr>
            <w:tcW w:w="1140" w:type="dxa"/>
            <w:vAlign w:val="bottom"/>
          </w:tcPr>
          <w:p>
            <w:pPr>
              <w:jc w:val="right"/>
              <w:ind w:right="277"/>
              <w:spacing w:after="0"/>
              <w:rPr>
                <w:sz w:val="20"/>
                <w:szCs w:val="20"/>
                <w:color w:val="auto"/>
              </w:rPr>
            </w:pPr>
            <w:r>
              <w:rPr>
                <w:rFonts w:ascii="Arial" w:cs="Arial" w:eastAsia="Arial" w:hAnsi="Arial"/>
                <w:sz w:val="17"/>
                <w:szCs w:val="17"/>
                <w:color w:val="282A32"/>
              </w:rPr>
              <w:t>0.2</w:t>
            </w:r>
          </w:p>
        </w:tc>
        <w:tc>
          <w:tcPr>
            <w:tcW w:w="1300" w:type="dxa"/>
            <w:vAlign w:val="bottom"/>
          </w:tcPr>
          <w:p>
            <w:pPr>
              <w:jc w:val="right"/>
              <w:ind w:right="277"/>
              <w:spacing w:after="0"/>
              <w:rPr>
                <w:sz w:val="20"/>
                <w:szCs w:val="20"/>
                <w:color w:val="auto"/>
              </w:rPr>
            </w:pPr>
            <w:r>
              <w:rPr>
                <w:rFonts w:ascii="Arial" w:cs="Arial" w:eastAsia="Arial" w:hAnsi="Arial"/>
                <w:sz w:val="17"/>
                <w:szCs w:val="17"/>
                <w:color w:val="282A32"/>
              </w:rPr>
              <w:t>9.4</w:t>
            </w:r>
          </w:p>
        </w:tc>
        <w:tc>
          <w:tcPr>
            <w:tcW w:w="1280" w:type="dxa"/>
            <w:vAlign w:val="bottom"/>
          </w:tcPr>
          <w:p>
            <w:pPr>
              <w:jc w:val="right"/>
              <w:ind w:right="197"/>
              <w:spacing w:after="0"/>
              <w:rPr>
                <w:sz w:val="20"/>
                <w:szCs w:val="20"/>
                <w:color w:val="auto"/>
              </w:rPr>
            </w:pPr>
            <w:r>
              <w:rPr>
                <w:rFonts w:ascii="Arial" w:cs="Arial" w:eastAsia="Arial" w:hAnsi="Arial"/>
                <w:sz w:val="17"/>
                <w:szCs w:val="17"/>
                <w:color w:val="282A32"/>
              </w:rPr>
              <w:t>0.7</w:t>
            </w:r>
          </w:p>
        </w:tc>
        <w:tc>
          <w:tcPr>
            <w:tcW w:w="1000" w:type="dxa"/>
            <w:vAlign w:val="bottom"/>
          </w:tcPr>
          <w:p>
            <w:pPr>
              <w:jc w:val="right"/>
              <w:ind w:right="137"/>
              <w:spacing w:after="0"/>
              <w:rPr>
                <w:sz w:val="20"/>
                <w:szCs w:val="20"/>
                <w:color w:val="auto"/>
              </w:rPr>
            </w:pPr>
            <w:r>
              <w:rPr>
                <w:rFonts w:ascii="Arial" w:cs="Arial" w:eastAsia="Arial" w:hAnsi="Arial"/>
                <w:sz w:val="17"/>
                <w:szCs w:val="17"/>
                <w:color w:val="282A32"/>
              </w:rPr>
              <w:t>8.7</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Right Management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199.5</w:t>
            </w:r>
          </w:p>
        </w:tc>
        <w:tc>
          <w:tcPr>
            <w:tcW w:w="12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(8.5)</w:t>
            </w:r>
          </w:p>
        </w:tc>
        <w:tc>
          <w:tcPr>
            <w:tcW w:w="114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0.9</w:t>
            </w:r>
          </w:p>
        </w:tc>
        <w:tc>
          <w:tcPr>
            <w:tcW w:w="13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(9.4)</w:t>
            </w:r>
          </w:p>
        </w:tc>
        <w:tc>
          <w:tcPr>
            <w:tcW w:w="12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w:t>
            </w: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(9.4)</w:t>
            </w:r>
          </w:p>
        </w:tc>
        <w:tc>
          <w:tcPr>
            <w:tcW w:w="0" w:type="dxa"/>
            <w:vAlign w:val="bottom"/>
          </w:tcPr>
          <w:p>
            <w:pPr>
              <w:spacing w:after="0"/>
              <w:rPr>
                <w:sz w:val="1"/>
                <w:szCs w:val="1"/>
                <w:color w:val="auto"/>
              </w:rPr>
            </w:pPr>
          </w:p>
        </w:tc>
      </w:tr>
      <w:tr>
        <w:trPr>
          <w:trHeight w:val="217"/>
        </w:trPr>
        <w:tc>
          <w:tcPr>
            <w:tcW w:w="41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ManpowerGroup</w:t>
            </w: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282A32"/>
              </w:rPr>
              <w:t>$</w:t>
            </w: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282A32"/>
              </w:rPr>
              <w:t>21,991.2</w:t>
            </w:r>
          </w:p>
        </w:tc>
        <w:tc>
          <w:tcPr>
            <w:tcW w:w="122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4.5%</w:t>
            </w:r>
          </w:p>
        </w:tc>
        <w:tc>
          <w:tcPr>
            <w:tcW w:w="114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282A32"/>
              </w:rPr>
              <w:t>2.0 %</w:t>
            </w:r>
          </w:p>
        </w:tc>
        <w:tc>
          <w:tcPr>
            <w:tcW w:w="130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282A32"/>
              </w:rPr>
              <w:t>2.5%</w:t>
            </w:r>
          </w:p>
        </w:tc>
        <w:tc>
          <w:tcPr>
            <w:tcW w:w="128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282A32"/>
              </w:rPr>
              <w:t>0.3%</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2.2%</w:t>
            </w:r>
          </w:p>
        </w:tc>
        <w:tc>
          <w:tcPr>
            <w:tcW w:w="0" w:type="dxa"/>
            <w:vAlign w:val="bottom"/>
          </w:tcPr>
          <w:p>
            <w:pPr>
              <w:spacing w:after="0"/>
              <w:rPr>
                <w:sz w:val="1"/>
                <w:szCs w:val="1"/>
                <w:color w:val="auto"/>
              </w:rPr>
            </w:pPr>
          </w:p>
        </w:tc>
      </w:tr>
      <w:tr>
        <w:trPr>
          <w:trHeight w:val="25"/>
        </w:trPr>
        <w:tc>
          <w:tcPr>
            <w:tcW w:w="4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 - ManpowerGroup</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3,579.0</w:t>
            </w: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2.7%</w:t>
            </w:r>
          </w:p>
        </w:tc>
        <w:tc>
          <w:tcPr>
            <w:tcW w:w="11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1.8 %</w:t>
            </w:r>
          </w:p>
        </w:tc>
        <w:tc>
          <w:tcPr>
            <w:tcW w:w="13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0.9%</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0.4%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24"/>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Operating Unit Profit</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Americas:</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240"/>
              <w:spacing w:after="0"/>
              <w:rPr>
                <w:sz w:val="20"/>
                <w:szCs w:val="20"/>
                <w:color w:val="auto"/>
              </w:rPr>
            </w:pPr>
            <w:r>
              <w:rPr>
                <w:rFonts w:ascii="Arial" w:cs="Arial" w:eastAsia="Arial" w:hAnsi="Arial"/>
                <w:sz w:val="17"/>
                <w:szCs w:val="17"/>
                <w:color w:val="282A32"/>
              </w:rPr>
              <w:t>United States</w:t>
            </w:r>
          </w:p>
        </w:tc>
        <w:tc>
          <w:tcPr>
            <w:tcW w:w="240" w:type="dxa"/>
            <w:vAlign w:val="bottom"/>
          </w:tcPr>
          <w:p>
            <w:pPr>
              <w:jc w:val="right"/>
              <w:ind w:right="37"/>
              <w:spacing w:after="0"/>
              <w:rPr>
                <w:sz w:val="20"/>
                <w:szCs w:val="20"/>
                <w:color w:val="auto"/>
              </w:rPr>
            </w:pPr>
            <w:r>
              <w:rPr>
                <w:rFonts w:ascii="Arial" w:cs="Arial" w:eastAsia="Arial" w:hAnsi="Arial"/>
                <w:sz w:val="17"/>
                <w:szCs w:val="17"/>
                <w:color w:val="282A32"/>
              </w:rPr>
              <w:t>$</w:t>
            </w:r>
          </w:p>
        </w:tc>
        <w:tc>
          <w:tcPr>
            <w:tcW w:w="1100" w:type="dxa"/>
            <w:vAlign w:val="bottom"/>
          </w:tcPr>
          <w:p>
            <w:pPr>
              <w:jc w:val="right"/>
              <w:ind w:right="57"/>
              <w:spacing w:after="0"/>
              <w:rPr>
                <w:sz w:val="20"/>
                <w:szCs w:val="20"/>
                <w:color w:val="auto"/>
              </w:rPr>
            </w:pPr>
            <w:r>
              <w:rPr>
                <w:rFonts w:ascii="Arial" w:cs="Arial" w:eastAsia="Arial" w:hAnsi="Arial"/>
                <w:sz w:val="17"/>
                <w:szCs w:val="17"/>
                <w:color w:val="282A32"/>
              </w:rPr>
              <w:t>130.8</w:t>
            </w:r>
          </w:p>
        </w:tc>
        <w:tc>
          <w:tcPr>
            <w:tcW w:w="1220" w:type="dxa"/>
            <w:vAlign w:val="bottom"/>
          </w:tcPr>
          <w:p>
            <w:pPr>
              <w:jc w:val="right"/>
              <w:ind w:right="77"/>
              <w:spacing w:after="0"/>
              <w:rPr>
                <w:sz w:val="20"/>
                <w:szCs w:val="20"/>
                <w:color w:val="auto"/>
              </w:rPr>
            </w:pPr>
            <w:r>
              <w:rPr>
                <w:rFonts w:ascii="Arial" w:cs="Arial" w:eastAsia="Arial" w:hAnsi="Arial"/>
                <w:sz w:val="17"/>
                <w:szCs w:val="17"/>
                <w:color w:val="282A32"/>
              </w:rPr>
              <w:t>(14.0)%</w:t>
            </w:r>
          </w:p>
        </w:tc>
        <w:tc>
          <w:tcPr>
            <w:tcW w:w="1140" w:type="dxa"/>
            <w:vAlign w:val="bottom"/>
          </w:tcPr>
          <w:p>
            <w:pPr>
              <w:jc w:val="right"/>
              <w:ind w:right="97"/>
              <w:spacing w:after="0"/>
              <w:rPr>
                <w:sz w:val="20"/>
                <w:szCs w:val="20"/>
                <w:color w:val="auto"/>
              </w:rPr>
            </w:pPr>
            <w:r>
              <w:rPr>
                <w:rFonts w:ascii="Arial" w:cs="Arial" w:eastAsia="Arial" w:hAnsi="Arial"/>
                <w:sz w:val="17"/>
                <w:szCs w:val="17"/>
                <w:color w:val="282A32"/>
              </w:rPr>
              <w:t>— %</w:t>
            </w:r>
          </w:p>
        </w:tc>
        <w:tc>
          <w:tcPr>
            <w:tcW w:w="1300" w:type="dxa"/>
            <w:vAlign w:val="bottom"/>
          </w:tcPr>
          <w:p>
            <w:pPr>
              <w:jc w:val="right"/>
              <w:ind w:right="77"/>
              <w:spacing w:after="0"/>
              <w:rPr>
                <w:sz w:val="20"/>
                <w:szCs w:val="20"/>
                <w:color w:val="auto"/>
              </w:rPr>
            </w:pPr>
            <w:r>
              <w:rPr>
                <w:rFonts w:ascii="Arial" w:cs="Arial" w:eastAsia="Arial" w:hAnsi="Arial"/>
                <w:sz w:val="17"/>
                <w:szCs w:val="17"/>
                <w:color w:val="282A32"/>
              </w:rPr>
              <w:t>(14.0)%</w:t>
            </w:r>
          </w:p>
        </w:tc>
        <w:tc>
          <w:tcPr>
            <w:tcW w:w="1280" w:type="dxa"/>
            <w:vAlign w:val="bottom"/>
          </w:tcPr>
          <w:p>
            <w:pPr>
              <w:jc w:val="right"/>
              <w:ind w:right="57"/>
              <w:spacing w:after="0"/>
              <w:rPr>
                <w:sz w:val="20"/>
                <w:szCs w:val="20"/>
                <w:color w:val="auto"/>
              </w:rPr>
            </w:pPr>
            <w:r>
              <w:rPr>
                <w:rFonts w:ascii="Arial" w:cs="Arial" w:eastAsia="Arial" w:hAnsi="Arial"/>
                <w:sz w:val="17"/>
                <w:szCs w:val="17"/>
                <w:color w:val="282A32"/>
              </w:rPr>
              <w:t>—%</w:t>
            </w:r>
          </w:p>
        </w:tc>
        <w:tc>
          <w:tcPr>
            <w:tcW w:w="1000" w:type="dxa"/>
            <w:vAlign w:val="bottom"/>
          </w:tcPr>
          <w:p>
            <w:pPr>
              <w:jc w:val="right"/>
              <w:spacing w:after="0"/>
              <w:rPr>
                <w:sz w:val="20"/>
                <w:szCs w:val="20"/>
                <w:color w:val="auto"/>
              </w:rPr>
            </w:pPr>
            <w:r>
              <w:rPr>
                <w:rFonts w:ascii="Arial" w:cs="Arial" w:eastAsia="Arial" w:hAnsi="Arial"/>
                <w:sz w:val="17"/>
                <w:szCs w:val="17"/>
                <w:color w:val="282A32"/>
              </w:rPr>
              <w:t>(14.0)%</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282A32"/>
              </w:rPr>
              <w:t>Other Americas</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73.1</w:t>
            </w:r>
          </w:p>
        </w:tc>
        <w:tc>
          <w:tcPr>
            <w:tcW w:w="12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19.6</w:t>
            </w:r>
          </w:p>
        </w:tc>
        <w:tc>
          <w:tcPr>
            <w:tcW w:w="11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(8.3)</w:t>
            </w:r>
          </w:p>
        </w:tc>
        <w:tc>
          <w:tcPr>
            <w:tcW w:w="13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27.9</w:t>
            </w:r>
          </w:p>
        </w:tc>
        <w:tc>
          <w:tcPr>
            <w:tcW w:w="12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3.3</w:t>
            </w:r>
          </w:p>
        </w:tc>
        <w:tc>
          <w:tcPr>
            <w:tcW w:w="10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24.6</w:t>
            </w:r>
          </w:p>
        </w:tc>
        <w:tc>
          <w:tcPr>
            <w:tcW w:w="0" w:type="dxa"/>
            <w:vAlign w:val="bottom"/>
          </w:tcPr>
          <w:p>
            <w:pPr>
              <w:spacing w:after="0"/>
              <w:rPr>
                <w:sz w:val="1"/>
                <w:szCs w:val="1"/>
                <w:color w:val="auto"/>
              </w:rPr>
            </w:pPr>
          </w:p>
        </w:tc>
      </w:tr>
      <w:tr>
        <w:trPr>
          <w:trHeight w:val="217"/>
        </w:trPr>
        <w:tc>
          <w:tcPr>
            <w:tcW w:w="4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282A32"/>
              </w:rPr>
              <w:t>203.9</w:t>
            </w:r>
          </w:p>
        </w:tc>
        <w:tc>
          <w:tcPr>
            <w:tcW w:w="122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282A32"/>
              </w:rPr>
              <w:t>(4.4)</w:t>
            </w:r>
          </w:p>
        </w:tc>
        <w:tc>
          <w:tcPr>
            <w:tcW w:w="114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(2.4)</w:t>
            </w:r>
          </w:p>
        </w:tc>
        <w:tc>
          <w:tcPr>
            <w:tcW w:w="130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(2.0)</w:t>
            </w:r>
          </w:p>
        </w:tc>
        <w:tc>
          <w:tcPr>
            <w:tcW w:w="12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282A32"/>
              </w:rPr>
              <w:t>0.9</w:t>
            </w:r>
          </w:p>
        </w:tc>
        <w:tc>
          <w:tcPr>
            <w:tcW w:w="100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282A32"/>
              </w:rPr>
              <w:t>(2.9)</w:t>
            </w:r>
          </w:p>
        </w:tc>
        <w:tc>
          <w:tcPr>
            <w:tcW w:w="0" w:type="dxa"/>
            <w:vAlign w:val="bottom"/>
          </w:tcPr>
          <w:p>
            <w:pPr>
              <w:spacing w:after="0"/>
              <w:rPr>
                <w:sz w:val="1"/>
                <w:szCs w:val="1"/>
                <w:color w:val="auto"/>
              </w:rPr>
            </w:pPr>
          </w:p>
        </w:tc>
      </w:tr>
      <w:tr>
        <w:trPr>
          <w:trHeight w:val="25"/>
        </w:trPr>
        <w:tc>
          <w:tcPr>
            <w:tcW w:w="4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Southern Europe:</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40" w:type="dxa"/>
            <w:vAlign w:val="bottom"/>
          </w:tcPr>
          <w:p>
            <w:pPr>
              <w:ind w:left="240"/>
              <w:spacing w:after="0"/>
              <w:rPr>
                <w:sz w:val="20"/>
                <w:szCs w:val="20"/>
                <w:color w:val="auto"/>
              </w:rPr>
            </w:pPr>
            <w:r>
              <w:rPr>
                <w:rFonts w:ascii="Arial" w:cs="Arial" w:eastAsia="Arial" w:hAnsi="Arial"/>
                <w:sz w:val="17"/>
                <w:szCs w:val="17"/>
                <w:color w:val="282A32"/>
              </w:rPr>
              <w:t>France</w:t>
            </w:r>
          </w:p>
        </w:tc>
        <w:tc>
          <w:tcPr>
            <w:tcW w:w="24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282A32"/>
              </w:rPr>
              <w:t>290.4</w:t>
            </w:r>
          </w:p>
        </w:tc>
        <w:tc>
          <w:tcPr>
            <w:tcW w:w="1220" w:type="dxa"/>
            <w:vAlign w:val="bottom"/>
          </w:tcPr>
          <w:p>
            <w:pPr>
              <w:jc w:val="right"/>
              <w:ind w:right="257"/>
              <w:spacing w:after="0"/>
              <w:rPr>
                <w:sz w:val="20"/>
                <w:szCs w:val="20"/>
                <w:color w:val="auto"/>
              </w:rPr>
            </w:pPr>
            <w:r>
              <w:rPr>
                <w:rFonts w:ascii="Arial" w:cs="Arial" w:eastAsia="Arial" w:hAnsi="Arial"/>
                <w:sz w:val="17"/>
                <w:szCs w:val="17"/>
                <w:color w:val="282A32"/>
              </w:rPr>
              <w:t>3.7</w:t>
            </w:r>
          </w:p>
        </w:tc>
        <w:tc>
          <w:tcPr>
            <w:tcW w:w="1140" w:type="dxa"/>
            <w:vAlign w:val="bottom"/>
          </w:tcPr>
          <w:p>
            <w:pPr>
              <w:jc w:val="right"/>
              <w:ind w:right="277"/>
              <w:spacing w:after="0"/>
              <w:rPr>
                <w:sz w:val="20"/>
                <w:szCs w:val="20"/>
                <w:color w:val="auto"/>
              </w:rPr>
            </w:pPr>
            <w:r>
              <w:rPr>
                <w:rFonts w:ascii="Arial" w:cs="Arial" w:eastAsia="Arial" w:hAnsi="Arial"/>
                <w:sz w:val="17"/>
                <w:szCs w:val="17"/>
                <w:color w:val="282A32"/>
              </w:rPr>
              <w:t>3.5</w:t>
            </w:r>
          </w:p>
        </w:tc>
        <w:tc>
          <w:tcPr>
            <w:tcW w:w="1300" w:type="dxa"/>
            <w:vAlign w:val="bottom"/>
          </w:tcPr>
          <w:p>
            <w:pPr>
              <w:jc w:val="right"/>
              <w:ind w:right="277"/>
              <w:spacing w:after="0"/>
              <w:rPr>
                <w:sz w:val="20"/>
                <w:szCs w:val="20"/>
                <w:color w:val="auto"/>
              </w:rPr>
            </w:pPr>
            <w:r>
              <w:rPr>
                <w:rFonts w:ascii="Arial" w:cs="Arial" w:eastAsia="Arial" w:hAnsi="Arial"/>
                <w:sz w:val="17"/>
                <w:szCs w:val="17"/>
                <w:color w:val="282A32"/>
              </w:rPr>
              <w:t>0.2</w:t>
            </w:r>
          </w:p>
        </w:tc>
        <w:tc>
          <w:tcPr>
            <w:tcW w:w="1280" w:type="dxa"/>
            <w:vAlign w:val="bottom"/>
          </w:tcPr>
          <w:p>
            <w:pPr>
              <w:jc w:val="right"/>
              <w:ind w:right="197"/>
              <w:spacing w:after="0"/>
              <w:rPr>
                <w:sz w:val="20"/>
                <w:szCs w:val="20"/>
                <w:color w:val="auto"/>
              </w:rPr>
            </w:pPr>
            <w:r>
              <w:rPr>
                <w:rFonts w:ascii="Arial" w:cs="Arial" w:eastAsia="Arial" w:hAnsi="Arial"/>
                <w:sz w:val="17"/>
                <w:szCs w:val="17"/>
                <w:color w:val="282A32"/>
              </w:rPr>
              <w:t>—</w:t>
            </w:r>
          </w:p>
        </w:tc>
        <w:tc>
          <w:tcPr>
            <w:tcW w:w="1000" w:type="dxa"/>
            <w:vAlign w:val="bottom"/>
          </w:tcPr>
          <w:p>
            <w:pPr>
              <w:jc w:val="right"/>
              <w:ind w:right="137"/>
              <w:spacing w:after="0"/>
              <w:rPr>
                <w:sz w:val="20"/>
                <w:szCs w:val="20"/>
                <w:color w:val="auto"/>
              </w:rPr>
            </w:pPr>
            <w:r>
              <w:rPr>
                <w:rFonts w:ascii="Arial" w:cs="Arial" w:eastAsia="Arial" w:hAnsi="Arial"/>
                <w:sz w:val="17"/>
                <w:szCs w:val="17"/>
                <w:color w:val="282A32"/>
              </w:rPr>
              <w:t>0.2</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282A32"/>
              </w:rPr>
              <w:t>Italy</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111.1</w:t>
            </w:r>
          </w:p>
        </w:tc>
        <w:tc>
          <w:tcPr>
            <w:tcW w:w="12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6.3</w:t>
            </w:r>
          </w:p>
        </w:tc>
        <w:tc>
          <w:tcPr>
            <w:tcW w:w="114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4.4</w:t>
            </w:r>
          </w:p>
        </w:tc>
        <w:tc>
          <w:tcPr>
            <w:tcW w:w="13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1.9</w:t>
            </w:r>
          </w:p>
        </w:tc>
        <w:tc>
          <w:tcPr>
            <w:tcW w:w="12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w:t>
            </w:r>
          </w:p>
        </w:tc>
        <w:tc>
          <w:tcPr>
            <w:tcW w:w="10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1.9</w:t>
            </w:r>
          </w:p>
        </w:tc>
        <w:tc>
          <w:tcPr>
            <w:tcW w:w="0" w:type="dxa"/>
            <w:vAlign w:val="bottom"/>
          </w:tcPr>
          <w:p>
            <w:pPr>
              <w:spacing w:after="0"/>
              <w:rPr>
                <w:sz w:val="1"/>
                <w:szCs w:val="1"/>
                <w:color w:val="auto"/>
              </w:rPr>
            </w:pPr>
          </w:p>
        </w:tc>
      </w:tr>
      <w:tr>
        <w:trPr>
          <w:trHeight w:val="224"/>
        </w:trPr>
        <w:tc>
          <w:tcPr>
            <w:tcW w:w="4140" w:type="dxa"/>
            <w:vAlign w:val="bottom"/>
          </w:tcPr>
          <w:p>
            <w:pPr>
              <w:ind w:left="240"/>
              <w:spacing w:after="0"/>
              <w:rPr>
                <w:sz w:val="20"/>
                <w:szCs w:val="20"/>
                <w:color w:val="auto"/>
              </w:rPr>
            </w:pPr>
            <w:r>
              <w:rPr>
                <w:rFonts w:ascii="Arial" w:cs="Arial" w:eastAsia="Arial" w:hAnsi="Arial"/>
                <w:sz w:val="17"/>
                <w:szCs w:val="17"/>
                <w:color w:val="282A32"/>
              </w:rPr>
              <w:t>Other Southern Europe</w:t>
            </w:r>
          </w:p>
        </w:tc>
        <w:tc>
          <w:tcPr>
            <w:tcW w:w="24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282A32"/>
              </w:rPr>
              <w:t>66.1</w:t>
            </w:r>
          </w:p>
        </w:tc>
        <w:tc>
          <w:tcPr>
            <w:tcW w:w="1220" w:type="dxa"/>
            <w:vAlign w:val="bottom"/>
          </w:tcPr>
          <w:p>
            <w:pPr>
              <w:jc w:val="right"/>
              <w:ind w:right="257"/>
              <w:spacing w:after="0"/>
              <w:rPr>
                <w:sz w:val="20"/>
                <w:szCs w:val="20"/>
                <w:color w:val="auto"/>
              </w:rPr>
            </w:pPr>
            <w:r>
              <w:rPr>
                <w:rFonts w:ascii="Arial" w:cs="Arial" w:eastAsia="Arial" w:hAnsi="Arial"/>
                <w:sz w:val="17"/>
                <w:szCs w:val="17"/>
                <w:color w:val="282A32"/>
              </w:rPr>
              <w:t>11.1</w:t>
            </w:r>
          </w:p>
        </w:tc>
        <w:tc>
          <w:tcPr>
            <w:tcW w:w="1140" w:type="dxa"/>
            <w:vAlign w:val="bottom"/>
          </w:tcPr>
          <w:p>
            <w:pPr>
              <w:jc w:val="right"/>
              <w:ind w:right="277"/>
              <w:spacing w:after="0"/>
              <w:rPr>
                <w:sz w:val="20"/>
                <w:szCs w:val="20"/>
                <w:color w:val="auto"/>
              </w:rPr>
            </w:pPr>
            <w:r>
              <w:rPr>
                <w:rFonts w:ascii="Arial" w:cs="Arial" w:eastAsia="Arial" w:hAnsi="Arial"/>
                <w:sz w:val="17"/>
                <w:szCs w:val="17"/>
                <w:color w:val="282A32"/>
              </w:rPr>
              <w:t>1.2</w:t>
            </w:r>
          </w:p>
        </w:tc>
        <w:tc>
          <w:tcPr>
            <w:tcW w:w="1300" w:type="dxa"/>
            <w:vAlign w:val="bottom"/>
          </w:tcPr>
          <w:p>
            <w:pPr>
              <w:jc w:val="right"/>
              <w:ind w:right="277"/>
              <w:spacing w:after="0"/>
              <w:rPr>
                <w:sz w:val="20"/>
                <w:szCs w:val="20"/>
                <w:color w:val="auto"/>
              </w:rPr>
            </w:pPr>
            <w:r>
              <w:rPr>
                <w:rFonts w:ascii="Arial" w:cs="Arial" w:eastAsia="Arial" w:hAnsi="Arial"/>
                <w:sz w:val="17"/>
                <w:szCs w:val="17"/>
                <w:color w:val="282A32"/>
              </w:rPr>
              <w:t>9.9</w:t>
            </w:r>
          </w:p>
        </w:tc>
        <w:tc>
          <w:tcPr>
            <w:tcW w:w="1280" w:type="dxa"/>
            <w:vAlign w:val="bottom"/>
          </w:tcPr>
          <w:p>
            <w:pPr>
              <w:jc w:val="right"/>
              <w:ind w:right="197"/>
              <w:spacing w:after="0"/>
              <w:rPr>
                <w:sz w:val="20"/>
                <w:szCs w:val="20"/>
                <w:color w:val="auto"/>
              </w:rPr>
            </w:pPr>
            <w:r>
              <w:rPr>
                <w:rFonts w:ascii="Arial" w:cs="Arial" w:eastAsia="Arial" w:hAnsi="Arial"/>
                <w:sz w:val="17"/>
                <w:szCs w:val="17"/>
                <w:color w:val="282A32"/>
              </w:rPr>
              <w:t>2.1</w:t>
            </w:r>
          </w:p>
        </w:tc>
        <w:tc>
          <w:tcPr>
            <w:tcW w:w="1000" w:type="dxa"/>
            <w:vAlign w:val="bottom"/>
          </w:tcPr>
          <w:p>
            <w:pPr>
              <w:jc w:val="right"/>
              <w:ind w:right="137"/>
              <w:spacing w:after="0"/>
              <w:rPr>
                <w:sz w:val="20"/>
                <w:szCs w:val="20"/>
                <w:color w:val="auto"/>
              </w:rPr>
            </w:pPr>
            <w:r>
              <w:rPr>
                <w:rFonts w:ascii="Arial" w:cs="Arial" w:eastAsia="Arial" w:hAnsi="Arial"/>
                <w:sz w:val="17"/>
                <w:szCs w:val="17"/>
                <w:color w:val="282A32"/>
              </w:rPr>
              <w:t>7.8</w:t>
            </w:r>
          </w:p>
        </w:tc>
        <w:tc>
          <w:tcPr>
            <w:tcW w:w="0" w:type="dxa"/>
            <w:vAlign w:val="bottom"/>
          </w:tcPr>
          <w:p>
            <w:pPr>
              <w:spacing w:after="0"/>
              <w:rPr>
                <w:sz w:val="1"/>
                <w:szCs w:val="1"/>
                <w:color w:val="auto"/>
              </w:rPr>
            </w:pPr>
          </w:p>
        </w:tc>
      </w:tr>
      <w:tr>
        <w:trPr>
          <w:trHeight w:val="25"/>
        </w:trPr>
        <w:tc>
          <w:tcPr>
            <w:tcW w:w="4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467.6</w:t>
            </w:r>
          </w:p>
        </w:tc>
        <w:tc>
          <w:tcPr>
            <w:tcW w:w="12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5.3</w:t>
            </w:r>
          </w:p>
        </w:tc>
        <w:tc>
          <w:tcPr>
            <w:tcW w:w="114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3.4</w:t>
            </w:r>
          </w:p>
        </w:tc>
        <w:tc>
          <w:tcPr>
            <w:tcW w:w="13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1.9</w:t>
            </w:r>
          </w:p>
        </w:tc>
        <w:tc>
          <w:tcPr>
            <w:tcW w:w="12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0.3</w:t>
            </w:r>
          </w:p>
        </w:tc>
        <w:tc>
          <w:tcPr>
            <w:tcW w:w="10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1.6</w:t>
            </w:r>
          </w:p>
        </w:tc>
        <w:tc>
          <w:tcPr>
            <w:tcW w:w="0" w:type="dxa"/>
            <w:vAlign w:val="bottom"/>
          </w:tcPr>
          <w:p>
            <w:pPr>
              <w:spacing w:after="0"/>
              <w:rPr>
                <w:sz w:val="1"/>
                <w:szCs w:val="1"/>
                <w:color w:val="auto"/>
              </w:rPr>
            </w:pPr>
          </w:p>
        </w:tc>
      </w:tr>
      <w:tr>
        <w:trPr>
          <w:trHeight w:val="217"/>
        </w:trPr>
        <w:tc>
          <w:tcPr>
            <w:tcW w:w="414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282A32"/>
              </w:rPr>
              <w:t>Northern Europe</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282A32"/>
              </w:rPr>
              <w:t>122.7</w:t>
            </w:r>
          </w:p>
        </w:tc>
        <w:tc>
          <w:tcPr>
            <w:tcW w:w="122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282A32"/>
              </w:rPr>
              <w:t>(12.4)</w:t>
            </w:r>
          </w:p>
        </w:tc>
        <w:tc>
          <w:tcPr>
            <w:tcW w:w="114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282A32"/>
              </w:rPr>
              <w:t>0.4</w:t>
            </w:r>
          </w:p>
        </w:tc>
        <w:tc>
          <w:tcPr>
            <w:tcW w:w="130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(12.8)</w:t>
            </w:r>
          </w:p>
        </w:tc>
        <w:tc>
          <w:tcPr>
            <w:tcW w:w="12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282A32"/>
              </w:rPr>
              <w:t>—</w:t>
            </w:r>
          </w:p>
        </w:tc>
        <w:tc>
          <w:tcPr>
            <w:tcW w:w="100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282A32"/>
              </w:rPr>
              <w:t>(12.8)</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APME</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114.8</w:t>
            </w:r>
          </w:p>
        </w:tc>
        <w:tc>
          <w:tcPr>
            <w:tcW w:w="12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16.0</w:t>
            </w:r>
          </w:p>
        </w:tc>
        <w:tc>
          <w:tcPr>
            <w:tcW w:w="114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0.4</w:t>
            </w:r>
          </w:p>
        </w:tc>
        <w:tc>
          <w:tcPr>
            <w:tcW w:w="13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15.6</w:t>
            </w:r>
          </w:p>
        </w:tc>
        <w:tc>
          <w:tcPr>
            <w:tcW w:w="12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3.3</w:t>
            </w:r>
          </w:p>
        </w:tc>
        <w:tc>
          <w:tcPr>
            <w:tcW w:w="10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12.3</w:t>
            </w:r>
          </w:p>
        </w:tc>
        <w:tc>
          <w:tcPr>
            <w:tcW w:w="0" w:type="dxa"/>
            <w:vAlign w:val="bottom"/>
          </w:tcPr>
          <w:p>
            <w:pPr>
              <w:spacing w:after="0"/>
              <w:rPr>
                <w:sz w:val="1"/>
                <w:szCs w:val="1"/>
                <w:color w:val="auto"/>
              </w:rPr>
            </w:pPr>
          </w:p>
        </w:tc>
      </w:tr>
      <w:tr>
        <w:trPr>
          <w:trHeight w:val="224"/>
        </w:trPr>
        <w:tc>
          <w:tcPr>
            <w:tcW w:w="4140" w:type="dxa"/>
            <w:vAlign w:val="bottom"/>
          </w:tcPr>
          <w:p>
            <w:pPr>
              <w:ind w:left="140"/>
              <w:spacing w:after="0"/>
              <w:rPr>
                <w:sz w:val="20"/>
                <w:szCs w:val="20"/>
                <w:color w:val="auto"/>
              </w:rPr>
            </w:pPr>
            <w:r>
              <w:rPr>
                <w:rFonts w:ascii="Arial" w:cs="Arial" w:eastAsia="Arial" w:hAnsi="Arial"/>
                <w:sz w:val="17"/>
                <w:szCs w:val="17"/>
                <w:color w:val="282A32"/>
              </w:rPr>
              <w:t>Right Management</w:t>
            </w:r>
          </w:p>
        </w:tc>
        <w:tc>
          <w:tcPr>
            <w:tcW w:w="240" w:type="dxa"/>
            <w:vAlign w:val="bottom"/>
          </w:tcPr>
          <w:p>
            <w:pPr>
              <w:spacing w:after="0"/>
              <w:rPr>
                <w:sz w:val="19"/>
                <w:szCs w:val="19"/>
                <w:color w:val="auto"/>
              </w:rPr>
            </w:pPr>
          </w:p>
        </w:tc>
        <w:tc>
          <w:tcPr>
            <w:tcW w:w="1100" w:type="dxa"/>
            <w:vAlign w:val="bottom"/>
          </w:tcPr>
          <w:p>
            <w:pPr>
              <w:jc w:val="right"/>
              <w:ind w:right="57"/>
              <w:spacing w:after="0"/>
              <w:rPr>
                <w:sz w:val="20"/>
                <w:szCs w:val="20"/>
                <w:color w:val="auto"/>
              </w:rPr>
            </w:pPr>
            <w:r>
              <w:rPr>
                <w:rFonts w:ascii="Arial" w:cs="Arial" w:eastAsia="Arial" w:hAnsi="Arial"/>
                <w:sz w:val="17"/>
                <w:szCs w:val="17"/>
                <w:color w:val="282A32"/>
              </w:rPr>
              <w:t>32.8</w:t>
            </w:r>
          </w:p>
        </w:tc>
        <w:tc>
          <w:tcPr>
            <w:tcW w:w="1220" w:type="dxa"/>
            <w:vAlign w:val="bottom"/>
          </w:tcPr>
          <w:p>
            <w:pPr>
              <w:jc w:val="right"/>
              <w:ind w:right="197"/>
              <w:spacing w:after="0"/>
              <w:rPr>
                <w:sz w:val="20"/>
                <w:szCs w:val="20"/>
                <w:color w:val="auto"/>
              </w:rPr>
            </w:pPr>
            <w:r>
              <w:rPr>
                <w:rFonts w:ascii="Arial" w:cs="Arial" w:eastAsia="Arial" w:hAnsi="Arial"/>
                <w:sz w:val="17"/>
                <w:szCs w:val="17"/>
                <w:color w:val="282A32"/>
              </w:rPr>
              <w:t>(9.1)</w:t>
            </w:r>
          </w:p>
        </w:tc>
        <w:tc>
          <w:tcPr>
            <w:tcW w:w="1140" w:type="dxa"/>
            <w:vAlign w:val="bottom"/>
          </w:tcPr>
          <w:p>
            <w:pPr>
              <w:jc w:val="right"/>
              <w:ind w:right="277"/>
              <w:spacing w:after="0"/>
              <w:rPr>
                <w:sz w:val="20"/>
                <w:szCs w:val="20"/>
                <w:color w:val="auto"/>
              </w:rPr>
            </w:pPr>
            <w:r>
              <w:rPr>
                <w:rFonts w:ascii="Arial" w:cs="Arial" w:eastAsia="Arial" w:hAnsi="Arial"/>
                <w:sz w:val="17"/>
                <w:szCs w:val="17"/>
                <w:color w:val="282A32"/>
              </w:rPr>
              <w:t>0.1</w:t>
            </w:r>
          </w:p>
        </w:tc>
        <w:tc>
          <w:tcPr>
            <w:tcW w:w="1300" w:type="dxa"/>
            <w:vAlign w:val="bottom"/>
          </w:tcPr>
          <w:p>
            <w:pPr>
              <w:jc w:val="right"/>
              <w:ind w:right="217"/>
              <w:spacing w:after="0"/>
              <w:rPr>
                <w:sz w:val="20"/>
                <w:szCs w:val="20"/>
                <w:color w:val="auto"/>
              </w:rPr>
            </w:pPr>
            <w:r>
              <w:rPr>
                <w:rFonts w:ascii="Arial" w:cs="Arial" w:eastAsia="Arial" w:hAnsi="Arial"/>
                <w:sz w:val="17"/>
                <w:szCs w:val="17"/>
                <w:color w:val="282A32"/>
              </w:rPr>
              <w:t>(9.2)</w:t>
            </w:r>
          </w:p>
        </w:tc>
        <w:tc>
          <w:tcPr>
            <w:tcW w:w="1280" w:type="dxa"/>
            <w:vAlign w:val="bottom"/>
          </w:tcPr>
          <w:p>
            <w:pPr>
              <w:jc w:val="right"/>
              <w:ind w:right="197"/>
              <w:spacing w:after="0"/>
              <w:rPr>
                <w:sz w:val="20"/>
                <w:szCs w:val="20"/>
                <w:color w:val="auto"/>
              </w:rPr>
            </w:pPr>
            <w:r>
              <w:rPr>
                <w:rFonts w:ascii="Arial" w:cs="Arial" w:eastAsia="Arial" w:hAnsi="Arial"/>
                <w:sz w:val="17"/>
                <w:szCs w:val="17"/>
                <w:color w:val="282A32"/>
              </w:rPr>
              <w:t>—</w:t>
            </w:r>
          </w:p>
        </w:tc>
        <w:tc>
          <w:tcPr>
            <w:tcW w:w="1000" w:type="dxa"/>
            <w:vAlign w:val="bottom"/>
          </w:tcPr>
          <w:p>
            <w:pPr>
              <w:jc w:val="right"/>
              <w:ind w:right="77"/>
              <w:spacing w:after="0"/>
              <w:rPr>
                <w:sz w:val="20"/>
                <w:szCs w:val="20"/>
                <w:color w:val="auto"/>
              </w:rPr>
            </w:pPr>
            <w:r>
              <w:rPr>
                <w:rFonts w:ascii="Arial" w:cs="Arial" w:eastAsia="Arial" w:hAnsi="Arial"/>
                <w:sz w:val="17"/>
                <w:szCs w:val="17"/>
                <w:color w:val="282A32"/>
              </w:rPr>
              <w:t>(9.2)</w:t>
            </w:r>
          </w:p>
        </w:tc>
        <w:tc>
          <w:tcPr>
            <w:tcW w:w="0" w:type="dxa"/>
            <w:vAlign w:val="bottom"/>
          </w:tcPr>
          <w:p>
            <w:pPr>
              <w:spacing w:after="0"/>
              <w:rPr>
                <w:sz w:val="1"/>
                <w:szCs w:val="1"/>
                <w:color w:val="auto"/>
              </w:rPr>
            </w:pPr>
          </w:p>
        </w:tc>
      </w:tr>
      <w:tr>
        <w:trPr>
          <w:trHeight w:val="25"/>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Profit — ManpowerGroup</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796.7</w:t>
            </w: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0.9%</w:t>
            </w:r>
          </w:p>
        </w:tc>
        <w:tc>
          <w:tcPr>
            <w:tcW w:w="114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282A32"/>
              </w:rPr>
              <w:t>1.3 %</w:t>
            </w:r>
          </w:p>
        </w:tc>
        <w:tc>
          <w:tcPr>
            <w:tcW w:w="13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(0.4%)</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0.8%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(1.2%)</w:t>
            </w:r>
          </w:p>
        </w:tc>
        <w:tc>
          <w:tcPr>
            <w:tcW w:w="0" w:type="dxa"/>
            <w:vAlign w:val="bottom"/>
          </w:tcPr>
          <w:p>
            <w:pPr>
              <w:spacing w:after="0"/>
              <w:rPr>
                <w:sz w:val="1"/>
                <w:szCs w:val="1"/>
                <w:color w:val="auto"/>
              </w:rPr>
            </w:pPr>
          </w:p>
        </w:tc>
      </w:tr>
      <w:tr>
        <w:trPr>
          <w:trHeight w:val="416"/>
        </w:trPr>
        <w:tc>
          <w:tcPr>
            <w:tcW w:w="4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817"/>
              <w:spacing w:after="0"/>
              <w:rPr>
                <w:sz w:val="20"/>
                <w:szCs w:val="20"/>
                <w:color w:val="auto"/>
              </w:rPr>
            </w:pPr>
            <w:r>
              <w:rPr>
                <w:rFonts w:ascii="Arial" w:cs="Arial" w:eastAsia="Arial" w:hAnsi="Arial"/>
                <w:sz w:val="17"/>
                <w:szCs w:val="17"/>
                <w:color w:val="auto"/>
              </w:rPr>
              <w:t>38</w:t>
            </w:r>
          </w:p>
        </w:tc>
        <w:tc>
          <w:tcPr>
            <w:tcW w:w="11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1" w:right="239"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jc w:val="right"/>
              <w:ind w:right="277"/>
              <w:spacing w:after="0"/>
              <w:rPr>
                <w:sz w:val="20"/>
                <w:szCs w:val="20"/>
                <w:color w:val="auto"/>
              </w:rPr>
            </w:pPr>
            <w:r>
              <w:rPr>
                <w:rFonts w:ascii="Arial" w:cs="Arial" w:eastAsia="Arial" w:hAnsi="Arial"/>
                <w:sz w:val="17"/>
                <w:szCs w:val="17"/>
                <w:color w:val="auto"/>
              </w:rPr>
              <w:t>Impact of</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Amounts represent 2017</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jc w:val="right"/>
              <w:ind w:right="277"/>
              <w:spacing w:after="0"/>
              <w:rPr>
                <w:sz w:val="20"/>
                <w:szCs w:val="20"/>
                <w:color w:val="auto"/>
              </w:rPr>
            </w:pPr>
            <w:r>
              <w:rPr>
                <w:rFonts w:ascii="Arial" w:cs="Arial" w:eastAsia="Arial" w:hAnsi="Arial"/>
                <w:sz w:val="17"/>
                <w:szCs w:val="17"/>
                <w:color w:val="auto"/>
              </w:rPr>
              <w:t>Acquisitions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jc w:val="right"/>
              <w:ind w:right="277"/>
              <w:spacing w:after="0"/>
              <w:rPr>
                <w:sz w:val="20"/>
                <w:szCs w:val="20"/>
                <w:color w:val="auto"/>
              </w:rPr>
            </w:pPr>
            <w:r>
              <w:rPr>
                <w:rFonts w:ascii="Arial" w:cs="Arial" w:eastAsia="Arial" w:hAnsi="Arial"/>
                <w:sz w:val="17"/>
                <w:szCs w:val="17"/>
                <w:color w:val="auto"/>
              </w:rPr>
              <w:t>and</w:t>
            </w:r>
          </w:p>
        </w:tc>
        <w:tc>
          <w:tcPr>
            <w:tcW w:w="980" w:type="dxa"/>
            <w:vAlign w:val="bottom"/>
          </w:tcPr>
          <w:p>
            <w:pPr>
              <w:jc w:val="right"/>
              <w:ind w:right="137"/>
              <w:spacing w:after="0"/>
              <w:rPr>
                <w:sz w:val="20"/>
                <w:szCs w:val="20"/>
                <w:color w:val="auto"/>
              </w:rPr>
            </w:pPr>
            <w:r>
              <w:rPr>
                <w:rFonts w:ascii="Arial" w:cs="Arial" w:eastAsia="Arial" w:hAnsi="Arial"/>
                <w:sz w:val="17"/>
                <w:szCs w:val="17"/>
                <w:color w:val="auto"/>
              </w:rPr>
              <w:t>Organic</w:t>
            </w:r>
          </w:p>
        </w:tc>
        <w:tc>
          <w:tcPr>
            <w:tcW w:w="0" w:type="dxa"/>
            <w:vAlign w:val="bottom"/>
          </w:tcPr>
          <w:p>
            <w:pPr>
              <w:spacing w:after="0"/>
              <w:rPr>
                <w:sz w:val="1"/>
                <w:szCs w:val="1"/>
                <w:color w:val="auto"/>
              </w:rPr>
            </w:pPr>
          </w:p>
        </w:tc>
      </w:tr>
      <w:tr>
        <w:trPr>
          <w:trHeight w:val="199"/>
        </w:trPr>
        <w:tc>
          <w:tcPr>
            <w:tcW w:w="41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Percentages represent 2017 compared to 2016</w:t>
            </w:r>
          </w:p>
        </w:tc>
        <w:tc>
          <w:tcPr>
            <w:tcW w:w="240" w:type="dxa"/>
            <w:vAlign w:val="bottom"/>
          </w:tcPr>
          <w:p>
            <w:pPr>
              <w:spacing w:after="0"/>
              <w:rPr>
                <w:sz w:val="17"/>
                <w:szCs w:val="17"/>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auto"/>
              </w:rPr>
              <w:t>Reported</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jc w:val="right"/>
              <w:ind w:right="257"/>
              <w:spacing w:after="0"/>
              <w:rPr>
                <w:sz w:val="20"/>
                <w:szCs w:val="20"/>
                <w:color w:val="auto"/>
              </w:rPr>
            </w:pPr>
            <w:r>
              <w:rPr>
                <w:rFonts w:ascii="Arial" w:cs="Arial" w:eastAsia="Arial" w:hAnsi="Arial"/>
                <w:sz w:val="17"/>
                <w:szCs w:val="17"/>
                <w:color w:val="auto"/>
              </w:rPr>
              <w:t>Variance in</w:t>
            </w:r>
          </w:p>
        </w:tc>
        <w:tc>
          <w:tcPr>
            <w:tcW w:w="1360" w:type="dxa"/>
            <w:vAlign w:val="bottom"/>
          </w:tcPr>
          <w:p>
            <w:pPr>
              <w:jc w:val="right"/>
              <w:ind w:right="277"/>
              <w:spacing w:after="0"/>
              <w:rPr>
                <w:sz w:val="20"/>
                <w:szCs w:val="20"/>
                <w:color w:val="auto"/>
              </w:rPr>
            </w:pPr>
            <w:r>
              <w:rPr>
                <w:rFonts w:ascii="Arial" w:cs="Arial" w:eastAsia="Arial" w:hAnsi="Arial"/>
                <w:sz w:val="17"/>
                <w:szCs w:val="17"/>
                <w:color w:val="auto"/>
              </w:rPr>
              <w:t>Dispositions</w:t>
            </w:r>
          </w:p>
        </w:tc>
        <w:tc>
          <w:tcPr>
            <w:tcW w:w="980" w:type="dxa"/>
            <w:vAlign w:val="bottom"/>
          </w:tcPr>
          <w:p>
            <w:pPr>
              <w:jc w:val="right"/>
              <w:ind w:right="137"/>
              <w:spacing w:after="0"/>
              <w:rPr>
                <w:sz w:val="20"/>
                <w:szCs w:val="20"/>
                <w:color w:val="auto"/>
              </w:rPr>
            </w:pPr>
            <w:r>
              <w:rPr>
                <w:rFonts w:ascii="Arial" w:cs="Arial" w:eastAsia="Arial" w:hAnsi="Arial"/>
                <w:sz w:val="17"/>
                <w:szCs w:val="17"/>
                <w:color w:val="auto"/>
              </w:rPr>
              <w:t>Constant</w:t>
            </w:r>
          </w:p>
        </w:tc>
        <w:tc>
          <w:tcPr>
            <w:tcW w:w="0" w:type="dxa"/>
            <w:vAlign w:val="bottom"/>
          </w:tcPr>
          <w:p>
            <w:pPr>
              <w:spacing w:after="0"/>
              <w:rPr>
                <w:sz w:val="1"/>
                <w:szCs w:val="1"/>
                <w:color w:val="auto"/>
              </w:rPr>
            </w:pPr>
          </w:p>
        </w:tc>
      </w:tr>
      <w:tr>
        <w:trPr>
          <w:trHeight w:val="199"/>
        </w:trPr>
        <w:tc>
          <w:tcPr>
            <w:tcW w:w="4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auto"/>
              </w:rPr>
              <w:t>Amount</w:t>
            </w:r>
          </w:p>
        </w:tc>
        <w:tc>
          <w:tcPr>
            <w:tcW w:w="1160" w:type="dxa"/>
            <w:vAlign w:val="bottom"/>
          </w:tcPr>
          <w:p>
            <w:pPr>
              <w:jc w:val="right"/>
              <w:ind w:right="237"/>
              <w:spacing w:after="0"/>
              <w:rPr>
                <w:sz w:val="20"/>
                <w:szCs w:val="20"/>
                <w:color w:val="auto"/>
              </w:rPr>
            </w:pPr>
            <w:r>
              <w:rPr>
                <w:rFonts w:ascii="Arial" w:cs="Arial" w:eastAsia="Arial" w:hAnsi="Arial"/>
                <w:sz w:val="17"/>
                <w:szCs w:val="17"/>
                <w:color w:val="auto"/>
              </w:rPr>
              <w:t>Reported</w:t>
            </w:r>
          </w:p>
        </w:tc>
        <w:tc>
          <w:tcPr>
            <w:tcW w:w="1160" w:type="dxa"/>
            <w:vAlign w:val="bottom"/>
          </w:tcPr>
          <w:p>
            <w:pPr>
              <w:jc w:val="right"/>
              <w:ind w:right="297"/>
              <w:spacing w:after="0"/>
              <w:rPr>
                <w:sz w:val="20"/>
                <w:szCs w:val="20"/>
                <w:color w:val="auto"/>
              </w:rPr>
            </w:pPr>
            <w:r>
              <w:rPr>
                <w:rFonts w:ascii="Arial" w:cs="Arial" w:eastAsia="Arial" w:hAnsi="Arial"/>
                <w:sz w:val="17"/>
                <w:szCs w:val="17"/>
                <w:color w:val="auto"/>
              </w:rPr>
              <w:t>Impact of</w:t>
            </w:r>
          </w:p>
        </w:tc>
        <w:tc>
          <w:tcPr>
            <w:tcW w:w="1280" w:type="dxa"/>
            <w:vAlign w:val="bottom"/>
          </w:tcPr>
          <w:p>
            <w:pPr>
              <w:jc w:val="right"/>
              <w:ind w:right="257"/>
              <w:spacing w:after="0"/>
              <w:rPr>
                <w:sz w:val="20"/>
                <w:szCs w:val="20"/>
                <w:color w:val="auto"/>
              </w:rPr>
            </w:pPr>
            <w:r>
              <w:rPr>
                <w:rFonts w:ascii="Arial" w:cs="Arial" w:eastAsia="Arial" w:hAnsi="Arial"/>
                <w:sz w:val="17"/>
                <w:szCs w:val="17"/>
                <w:color w:val="auto"/>
              </w:rPr>
              <w:t>Constant</w:t>
            </w:r>
          </w:p>
        </w:tc>
        <w:tc>
          <w:tcPr>
            <w:tcW w:w="1360" w:type="dxa"/>
            <w:vAlign w:val="bottom"/>
          </w:tcPr>
          <w:p>
            <w:pPr>
              <w:jc w:val="right"/>
              <w:ind w:right="277"/>
              <w:spacing w:after="0"/>
              <w:rPr>
                <w:sz w:val="20"/>
                <w:szCs w:val="20"/>
                <w:color w:val="auto"/>
              </w:rPr>
            </w:pPr>
            <w:r>
              <w:rPr>
                <w:rFonts w:ascii="Arial" w:cs="Arial" w:eastAsia="Arial" w:hAnsi="Arial"/>
                <w:sz w:val="17"/>
                <w:szCs w:val="17"/>
                <w:color w:val="auto"/>
              </w:rPr>
              <w:t>(in Constant</w:t>
            </w:r>
          </w:p>
        </w:tc>
        <w:tc>
          <w:tcPr>
            <w:tcW w:w="980" w:type="dxa"/>
            <w:vAlign w:val="bottom"/>
          </w:tcPr>
          <w:p>
            <w:pPr>
              <w:jc w:val="right"/>
              <w:ind w:right="137"/>
              <w:spacing w:after="0"/>
              <w:rPr>
                <w:sz w:val="20"/>
                <w:szCs w:val="20"/>
                <w:color w:val="auto"/>
              </w:rPr>
            </w:pPr>
            <w:r>
              <w:rPr>
                <w:rFonts w:ascii="Arial" w:cs="Arial" w:eastAsia="Arial" w:hAnsi="Arial"/>
                <w:sz w:val="17"/>
                <w:szCs w:val="17"/>
                <w:color w:val="auto"/>
              </w:rPr>
              <w:t>Currency</w:t>
            </w: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auto"/>
              </w:rPr>
              <w:t>(in millions)</w:t>
            </w:r>
          </w:p>
        </w:tc>
        <w:tc>
          <w:tcPr>
            <w:tcW w:w="1160" w:type="dxa"/>
            <w:vAlign w:val="bottom"/>
          </w:tcPr>
          <w:p>
            <w:pPr>
              <w:jc w:val="right"/>
              <w:ind w:right="237"/>
              <w:spacing w:after="0"/>
              <w:rPr>
                <w:sz w:val="20"/>
                <w:szCs w:val="20"/>
                <w:color w:val="auto"/>
              </w:rPr>
            </w:pPr>
            <w:r>
              <w:rPr>
                <w:rFonts w:ascii="Arial" w:cs="Arial" w:eastAsia="Arial" w:hAnsi="Arial"/>
                <w:sz w:val="17"/>
                <w:szCs w:val="17"/>
                <w:color w:val="auto"/>
              </w:rPr>
              <w:t>Variance</w:t>
            </w:r>
          </w:p>
        </w:tc>
        <w:tc>
          <w:tcPr>
            <w:tcW w:w="1160" w:type="dxa"/>
            <w:vAlign w:val="bottom"/>
          </w:tcPr>
          <w:p>
            <w:pPr>
              <w:jc w:val="right"/>
              <w:ind w:right="297"/>
              <w:spacing w:after="0"/>
              <w:rPr>
                <w:sz w:val="20"/>
                <w:szCs w:val="20"/>
                <w:color w:val="auto"/>
              </w:rPr>
            </w:pPr>
            <w:r>
              <w:rPr>
                <w:rFonts w:ascii="Arial" w:cs="Arial" w:eastAsia="Arial" w:hAnsi="Arial"/>
                <w:sz w:val="17"/>
                <w:szCs w:val="17"/>
                <w:color w:val="auto"/>
              </w:rPr>
              <w:t>Currency</w:t>
            </w:r>
          </w:p>
        </w:tc>
        <w:tc>
          <w:tcPr>
            <w:tcW w:w="1280" w:type="dxa"/>
            <w:vAlign w:val="bottom"/>
          </w:tcPr>
          <w:p>
            <w:pPr>
              <w:jc w:val="right"/>
              <w:ind w:right="257"/>
              <w:spacing w:after="0"/>
              <w:rPr>
                <w:sz w:val="20"/>
                <w:szCs w:val="20"/>
                <w:color w:val="auto"/>
              </w:rPr>
            </w:pPr>
            <w:r>
              <w:rPr>
                <w:rFonts w:ascii="Arial" w:cs="Arial" w:eastAsia="Arial" w:hAnsi="Arial"/>
                <w:sz w:val="17"/>
                <w:szCs w:val="17"/>
                <w:color w:val="auto"/>
              </w:rPr>
              <w:t>Currency</w:t>
            </w:r>
          </w:p>
        </w:tc>
        <w:tc>
          <w:tcPr>
            <w:tcW w:w="1360" w:type="dxa"/>
            <w:vAlign w:val="bottom"/>
          </w:tcPr>
          <w:p>
            <w:pPr>
              <w:jc w:val="right"/>
              <w:ind w:right="277"/>
              <w:spacing w:after="0"/>
              <w:rPr>
                <w:sz w:val="20"/>
                <w:szCs w:val="20"/>
                <w:color w:val="auto"/>
              </w:rPr>
            </w:pPr>
            <w:r>
              <w:rPr>
                <w:rFonts w:ascii="Arial" w:cs="Arial" w:eastAsia="Arial" w:hAnsi="Arial"/>
                <w:sz w:val="17"/>
                <w:szCs w:val="17"/>
                <w:color w:val="auto"/>
              </w:rPr>
              <w:t>Currency)</w:t>
            </w:r>
          </w:p>
        </w:tc>
        <w:tc>
          <w:tcPr>
            <w:tcW w:w="980" w:type="dxa"/>
            <w:vAlign w:val="bottom"/>
          </w:tcPr>
          <w:p>
            <w:pPr>
              <w:jc w:val="right"/>
              <w:ind w:right="137"/>
              <w:spacing w:after="0"/>
              <w:rPr>
                <w:sz w:val="20"/>
                <w:szCs w:val="20"/>
                <w:color w:val="auto"/>
              </w:rPr>
            </w:pPr>
            <w:r>
              <w:rPr>
                <w:rFonts w:ascii="Arial" w:cs="Arial" w:eastAsia="Arial" w:hAnsi="Arial"/>
                <w:sz w:val="17"/>
                <w:szCs w:val="17"/>
                <w:color w:val="auto"/>
              </w:rPr>
              <w:t>Variance</w:t>
            </w:r>
          </w:p>
        </w:tc>
        <w:tc>
          <w:tcPr>
            <w:tcW w:w="0" w:type="dxa"/>
            <w:vAlign w:val="bottom"/>
          </w:tcPr>
          <w:p>
            <w:pPr>
              <w:spacing w:after="0"/>
              <w:rPr>
                <w:sz w:val="1"/>
                <w:szCs w:val="1"/>
                <w:color w:val="auto"/>
              </w:rPr>
            </w:pPr>
          </w:p>
        </w:tc>
      </w:tr>
      <w:tr>
        <w:trPr>
          <w:trHeight w:val="25"/>
        </w:trPr>
        <w:tc>
          <w:tcPr>
            <w:tcW w:w="4120" w:type="dxa"/>
            <w:vAlign w:val="bottom"/>
            <w:tcBorders>
              <w:bottom w:val="single" w:sz="8" w:color="55565A"/>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282A32"/>
              </w:rPr>
              <w:t>Revenues from Services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40"/>
              <w:spacing w:after="0"/>
              <w:rPr>
                <w:sz w:val="20"/>
                <w:szCs w:val="20"/>
                <w:color w:val="auto"/>
              </w:rPr>
            </w:pPr>
            <w:r>
              <w:rPr>
                <w:rFonts w:ascii="Arial" w:cs="Arial" w:eastAsia="Arial" w:hAnsi="Arial"/>
                <w:sz w:val="17"/>
                <w:szCs w:val="17"/>
                <w:color w:val="282A32"/>
              </w:rPr>
              <w:t>Americas: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282A32"/>
              </w:rPr>
              <w:t>United States</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2,659.0</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(6.3)%</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 %</w:t>
            </w: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(6.3)%</w:t>
            </w:r>
          </w:p>
        </w:tc>
        <w:tc>
          <w:tcPr>
            <w:tcW w:w="13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282A32"/>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(6.3)%</w:t>
            </w:r>
          </w:p>
        </w:tc>
        <w:tc>
          <w:tcPr>
            <w:tcW w:w="0" w:type="dxa"/>
            <w:vAlign w:val="bottom"/>
          </w:tcPr>
          <w:p>
            <w:pPr>
              <w:spacing w:after="0"/>
              <w:rPr>
                <w:sz w:val="1"/>
                <w:szCs w:val="1"/>
                <w:color w:val="auto"/>
              </w:rPr>
            </w:pPr>
          </w:p>
        </w:tc>
      </w:tr>
      <w:tr>
        <w:trPr>
          <w:trHeight w:val="224"/>
        </w:trPr>
        <w:tc>
          <w:tcPr>
            <w:tcW w:w="4120" w:type="dxa"/>
            <w:vAlign w:val="bottom"/>
          </w:tcPr>
          <w:p>
            <w:pPr>
              <w:ind w:left="240"/>
              <w:spacing w:after="0"/>
              <w:rPr>
                <w:sz w:val="20"/>
                <w:szCs w:val="20"/>
                <w:color w:val="auto"/>
              </w:rPr>
            </w:pPr>
            <w:r>
              <w:rPr>
                <w:rFonts w:ascii="Arial" w:cs="Arial" w:eastAsia="Arial" w:hAnsi="Arial"/>
                <w:sz w:val="17"/>
                <w:szCs w:val="17"/>
                <w:color w:val="282A32"/>
              </w:rPr>
              <w:t>Other Americas</w:t>
            </w:r>
          </w:p>
        </w:tc>
        <w:tc>
          <w:tcPr>
            <w:tcW w:w="240" w:type="dxa"/>
            <w:vAlign w:val="bottom"/>
          </w:tcPr>
          <w:p>
            <w:pPr>
              <w:spacing w:after="0"/>
              <w:rPr>
                <w:sz w:val="19"/>
                <w:szCs w:val="19"/>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282A32"/>
              </w:rPr>
              <w:t>1,557.4</w:t>
            </w:r>
          </w:p>
        </w:tc>
        <w:tc>
          <w:tcPr>
            <w:tcW w:w="1160" w:type="dxa"/>
            <w:vAlign w:val="bottom"/>
          </w:tcPr>
          <w:p>
            <w:pPr>
              <w:jc w:val="right"/>
              <w:ind w:right="237"/>
              <w:spacing w:after="0"/>
              <w:rPr>
                <w:sz w:val="20"/>
                <w:szCs w:val="20"/>
                <w:color w:val="auto"/>
              </w:rPr>
            </w:pPr>
            <w:r>
              <w:rPr>
                <w:rFonts w:ascii="Arial" w:cs="Arial" w:eastAsia="Arial" w:hAnsi="Arial"/>
                <w:sz w:val="17"/>
                <w:szCs w:val="17"/>
                <w:color w:val="282A32"/>
              </w:rPr>
              <w:t>6.6</w:t>
            </w:r>
          </w:p>
        </w:tc>
        <w:tc>
          <w:tcPr>
            <w:tcW w:w="1160" w:type="dxa"/>
            <w:vAlign w:val="bottom"/>
          </w:tcPr>
          <w:p>
            <w:pPr>
              <w:jc w:val="right"/>
              <w:ind w:right="237"/>
              <w:spacing w:after="0"/>
              <w:rPr>
                <w:sz w:val="20"/>
                <w:szCs w:val="20"/>
                <w:color w:val="auto"/>
              </w:rPr>
            </w:pPr>
            <w:r>
              <w:rPr>
                <w:rFonts w:ascii="Arial" w:cs="Arial" w:eastAsia="Arial" w:hAnsi="Arial"/>
                <w:sz w:val="17"/>
                <w:szCs w:val="17"/>
                <w:color w:val="282A32"/>
              </w:rPr>
              <w:t>(0.5)</w:t>
            </w:r>
          </w:p>
        </w:tc>
        <w:tc>
          <w:tcPr>
            <w:tcW w:w="1280" w:type="dxa"/>
            <w:vAlign w:val="bottom"/>
          </w:tcPr>
          <w:p>
            <w:pPr>
              <w:jc w:val="right"/>
              <w:ind w:right="257"/>
              <w:spacing w:after="0"/>
              <w:rPr>
                <w:sz w:val="20"/>
                <w:szCs w:val="20"/>
                <w:color w:val="auto"/>
              </w:rPr>
            </w:pPr>
            <w:r>
              <w:rPr>
                <w:rFonts w:ascii="Arial" w:cs="Arial" w:eastAsia="Arial" w:hAnsi="Arial"/>
                <w:sz w:val="17"/>
                <w:szCs w:val="17"/>
                <w:color w:val="282A32"/>
              </w:rPr>
              <w:t>7.1</w:t>
            </w:r>
          </w:p>
        </w:tc>
        <w:tc>
          <w:tcPr>
            <w:tcW w:w="1360" w:type="dxa"/>
            <w:vAlign w:val="bottom"/>
          </w:tcPr>
          <w:p>
            <w:pPr>
              <w:jc w:val="right"/>
              <w:ind w:right="277"/>
              <w:spacing w:after="0"/>
              <w:rPr>
                <w:sz w:val="20"/>
                <w:szCs w:val="20"/>
                <w:color w:val="auto"/>
              </w:rPr>
            </w:pPr>
            <w:r>
              <w:rPr>
                <w:rFonts w:ascii="Arial" w:cs="Arial" w:eastAsia="Arial" w:hAnsi="Arial"/>
                <w:sz w:val="17"/>
                <w:szCs w:val="17"/>
                <w:color w:val="282A32"/>
              </w:rPr>
              <w:t>—</w:t>
            </w:r>
          </w:p>
        </w:tc>
        <w:tc>
          <w:tcPr>
            <w:tcW w:w="980" w:type="dxa"/>
            <w:vAlign w:val="bottom"/>
          </w:tcPr>
          <w:p>
            <w:pPr>
              <w:jc w:val="right"/>
              <w:ind w:right="137"/>
              <w:spacing w:after="0"/>
              <w:rPr>
                <w:sz w:val="20"/>
                <w:szCs w:val="20"/>
                <w:color w:val="auto"/>
              </w:rPr>
            </w:pPr>
            <w:r>
              <w:rPr>
                <w:rFonts w:ascii="Arial" w:cs="Arial" w:eastAsia="Arial" w:hAnsi="Arial"/>
                <w:sz w:val="17"/>
                <w:szCs w:val="17"/>
                <w:color w:val="282A32"/>
              </w:rPr>
              <w:t>7.1</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4,216.4</w:t>
            </w:r>
          </w:p>
        </w:tc>
        <w:tc>
          <w:tcPr>
            <w:tcW w:w="11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(1.9)</w:t>
            </w:r>
          </w:p>
        </w:tc>
        <w:tc>
          <w:tcPr>
            <w:tcW w:w="11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(0.2)</w:t>
            </w:r>
          </w:p>
        </w:tc>
        <w:tc>
          <w:tcPr>
            <w:tcW w:w="12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(1.7)</w:t>
            </w:r>
          </w:p>
        </w:tc>
        <w:tc>
          <w:tcPr>
            <w:tcW w:w="136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(1.7)</w:t>
            </w:r>
          </w:p>
        </w:tc>
        <w:tc>
          <w:tcPr>
            <w:tcW w:w="0" w:type="dxa"/>
            <w:vAlign w:val="bottom"/>
          </w:tcPr>
          <w:p>
            <w:pPr>
              <w:spacing w:after="0"/>
              <w:rPr>
                <w:sz w:val="1"/>
                <w:szCs w:val="1"/>
                <w:color w:val="auto"/>
              </w:rPr>
            </w:pPr>
          </w:p>
        </w:tc>
      </w:tr>
      <w:tr>
        <w:trPr>
          <w:trHeight w:val="217"/>
        </w:trPr>
        <w:tc>
          <w:tcPr>
            <w:tcW w:w="412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282A32"/>
              </w:rPr>
              <w:t>Southern Europe:</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282A32"/>
              </w:rPr>
              <w:t>France</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5,477.2</w:t>
            </w:r>
          </w:p>
        </w:tc>
        <w:tc>
          <w:tcPr>
            <w:tcW w:w="11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13.2</w:t>
            </w:r>
          </w:p>
        </w:tc>
        <w:tc>
          <w:tcPr>
            <w:tcW w:w="11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282A32"/>
              </w:rPr>
              <w:t>2.6</w:t>
            </w:r>
          </w:p>
        </w:tc>
        <w:tc>
          <w:tcPr>
            <w:tcW w:w="12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10.6</w:t>
            </w:r>
          </w:p>
        </w:tc>
        <w:tc>
          <w:tcPr>
            <w:tcW w:w="136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10.6</w:t>
            </w:r>
          </w:p>
        </w:tc>
        <w:tc>
          <w:tcPr>
            <w:tcW w:w="0" w:type="dxa"/>
            <w:vAlign w:val="bottom"/>
          </w:tcPr>
          <w:p>
            <w:pPr>
              <w:spacing w:after="0"/>
              <w:rPr>
                <w:sz w:val="1"/>
                <w:szCs w:val="1"/>
                <w:color w:val="auto"/>
              </w:rPr>
            </w:pPr>
          </w:p>
        </w:tc>
      </w:tr>
      <w:tr>
        <w:trPr>
          <w:trHeight w:val="224"/>
        </w:trPr>
        <w:tc>
          <w:tcPr>
            <w:tcW w:w="4120" w:type="dxa"/>
            <w:vAlign w:val="bottom"/>
          </w:tcPr>
          <w:p>
            <w:pPr>
              <w:ind w:left="240"/>
              <w:spacing w:after="0"/>
              <w:rPr>
                <w:sz w:val="20"/>
                <w:szCs w:val="20"/>
                <w:color w:val="auto"/>
              </w:rPr>
            </w:pPr>
            <w:r>
              <w:rPr>
                <w:rFonts w:ascii="Arial" w:cs="Arial" w:eastAsia="Arial" w:hAnsi="Arial"/>
                <w:sz w:val="17"/>
                <w:szCs w:val="17"/>
                <w:color w:val="282A32"/>
              </w:rPr>
              <w:t>Italy</w:t>
            </w:r>
          </w:p>
        </w:tc>
        <w:tc>
          <w:tcPr>
            <w:tcW w:w="240" w:type="dxa"/>
            <w:vAlign w:val="bottom"/>
          </w:tcPr>
          <w:p>
            <w:pPr>
              <w:spacing w:after="0"/>
              <w:rPr>
                <w:sz w:val="19"/>
                <w:szCs w:val="19"/>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282A32"/>
              </w:rPr>
              <w:t>1,475.9</w:t>
            </w:r>
          </w:p>
        </w:tc>
        <w:tc>
          <w:tcPr>
            <w:tcW w:w="1160" w:type="dxa"/>
            <w:vAlign w:val="bottom"/>
          </w:tcPr>
          <w:p>
            <w:pPr>
              <w:jc w:val="right"/>
              <w:ind w:right="237"/>
              <w:spacing w:after="0"/>
              <w:rPr>
                <w:sz w:val="20"/>
                <w:szCs w:val="20"/>
                <w:color w:val="auto"/>
              </w:rPr>
            </w:pPr>
            <w:r>
              <w:rPr>
                <w:rFonts w:ascii="Arial" w:cs="Arial" w:eastAsia="Arial" w:hAnsi="Arial"/>
                <w:sz w:val="17"/>
                <w:szCs w:val="17"/>
                <w:color w:val="282A32"/>
              </w:rPr>
              <w:t>26.4</w:t>
            </w:r>
          </w:p>
        </w:tc>
        <w:tc>
          <w:tcPr>
            <w:tcW w:w="1160" w:type="dxa"/>
            <w:vAlign w:val="bottom"/>
          </w:tcPr>
          <w:p>
            <w:pPr>
              <w:jc w:val="right"/>
              <w:ind w:right="297"/>
              <w:spacing w:after="0"/>
              <w:rPr>
                <w:sz w:val="20"/>
                <w:szCs w:val="20"/>
                <w:color w:val="auto"/>
              </w:rPr>
            </w:pPr>
            <w:r>
              <w:rPr>
                <w:rFonts w:ascii="Arial" w:cs="Arial" w:eastAsia="Arial" w:hAnsi="Arial"/>
                <w:sz w:val="17"/>
                <w:szCs w:val="17"/>
                <w:color w:val="282A32"/>
              </w:rPr>
              <w:t>3.1</w:t>
            </w:r>
          </w:p>
        </w:tc>
        <w:tc>
          <w:tcPr>
            <w:tcW w:w="1280" w:type="dxa"/>
            <w:vAlign w:val="bottom"/>
          </w:tcPr>
          <w:p>
            <w:pPr>
              <w:jc w:val="right"/>
              <w:ind w:right="257"/>
              <w:spacing w:after="0"/>
              <w:rPr>
                <w:sz w:val="20"/>
                <w:szCs w:val="20"/>
                <w:color w:val="auto"/>
              </w:rPr>
            </w:pPr>
            <w:r>
              <w:rPr>
                <w:rFonts w:ascii="Arial" w:cs="Arial" w:eastAsia="Arial" w:hAnsi="Arial"/>
                <w:sz w:val="17"/>
                <w:szCs w:val="17"/>
                <w:color w:val="282A32"/>
              </w:rPr>
              <w:t>23.3</w:t>
            </w:r>
          </w:p>
        </w:tc>
        <w:tc>
          <w:tcPr>
            <w:tcW w:w="1360" w:type="dxa"/>
            <w:vAlign w:val="bottom"/>
          </w:tcPr>
          <w:p>
            <w:pPr>
              <w:jc w:val="right"/>
              <w:ind w:right="277"/>
              <w:spacing w:after="0"/>
              <w:rPr>
                <w:sz w:val="20"/>
                <w:szCs w:val="20"/>
                <w:color w:val="auto"/>
              </w:rPr>
            </w:pPr>
            <w:r>
              <w:rPr>
                <w:rFonts w:ascii="Arial" w:cs="Arial" w:eastAsia="Arial" w:hAnsi="Arial"/>
                <w:sz w:val="17"/>
                <w:szCs w:val="17"/>
                <w:color w:val="282A32"/>
              </w:rPr>
              <w:t>—</w:t>
            </w:r>
          </w:p>
        </w:tc>
        <w:tc>
          <w:tcPr>
            <w:tcW w:w="980" w:type="dxa"/>
            <w:vAlign w:val="bottom"/>
          </w:tcPr>
          <w:p>
            <w:pPr>
              <w:jc w:val="right"/>
              <w:ind w:right="137"/>
              <w:spacing w:after="0"/>
              <w:rPr>
                <w:sz w:val="20"/>
                <w:szCs w:val="20"/>
                <w:color w:val="auto"/>
              </w:rPr>
            </w:pPr>
            <w:r>
              <w:rPr>
                <w:rFonts w:ascii="Arial" w:cs="Arial" w:eastAsia="Arial" w:hAnsi="Arial"/>
                <w:sz w:val="17"/>
                <w:szCs w:val="17"/>
                <w:color w:val="282A32"/>
              </w:rPr>
              <w:t>23.3</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282A32"/>
              </w:rPr>
              <w:t>Other Southern Europe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1,703.9</w:t>
            </w:r>
          </w:p>
        </w:tc>
        <w:tc>
          <w:tcPr>
            <w:tcW w:w="11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14.2</w:t>
            </w:r>
          </w:p>
        </w:tc>
        <w:tc>
          <w:tcPr>
            <w:tcW w:w="11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282A32"/>
              </w:rPr>
              <w:t>3.4</w:t>
            </w:r>
          </w:p>
        </w:tc>
        <w:tc>
          <w:tcPr>
            <w:tcW w:w="12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10.8</w:t>
            </w:r>
          </w:p>
        </w:tc>
        <w:tc>
          <w:tcPr>
            <w:tcW w:w="136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2.6</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8.2</w:t>
            </w:r>
          </w:p>
        </w:tc>
        <w:tc>
          <w:tcPr>
            <w:tcW w:w="0" w:type="dxa"/>
            <w:vAlign w:val="bottom"/>
          </w:tcPr>
          <w:p>
            <w:pPr>
              <w:spacing w:after="0"/>
              <w:rPr>
                <w:sz w:val="1"/>
                <w:szCs w:val="1"/>
                <w:color w:val="auto"/>
              </w:rPr>
            </w:pPr>
          </w:p>
        </w:tc>
      </w:tr>
      <w:tr>
        <w:trPr>
          <w:trHeight w:val="217"/>
        </w:trPr>
        <w:tc>
          <w:tcPr>
            <w:tcW w:w="4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282A32"/>
              </w:rPr>
              <w:t>8,657.0</w:t>
            </w:r>
          </w:p>
        </w:tc>
        <w:tc>
          <w:tcPr>
            <w:tcW w:w="1160" w:type="dxa"/>
            <w:vAlign w:val="bottom"/>
            <w:tcBorders>
              <w:top w:val="single" w:sz="8" w:color="auto"/>
            </w:tcBorders>
          </w:tcPr>
          <w:p>
            <w:pPr>
              <w:jc w:val="right"/>
              <w:ind w:right="237"/>
              <w:spacing w:after="0"/>
              <w:rPr>
                <w:sz w:val="20"/>
                <w:szCs w:val="20"/>
                <w:color w:val="auto"/>
              </w:rPr>
            </w:pPr>
            <w:r>
              <w:rPr>
                <w:rFonts w:ascii="Arial" w:cs="Arial" w:eastAsia="Arial" w:hAnsi="Arial"/>
                <w:sz w:val="17"/>
                <w:szCs w:val="17"/>
                <w:color w:val="282A32"/>
              </w:rPr>
              <w:t>15.5</w:t>
            </w:r>
          </w:p>
        </w:tc>
        <w:tc>
          <w:tcPr>
            <w:tcW w:w="1160" w:type="dxa"/>
            <w:vAlign w:val="bottom"/>
            <w:tcBorders>
              <w:top w:val="single" w:sz="8" w:color="auto"/>
            </w:tcBorders>
          </w:tcPr>
          <w:p>
            <w:pPr>
              <w:jc w:val="right"/>
              <w:ind w:right="297"/>
              <w:spacing w:after="0"/>
              <w:rPr>
                <w:sz w:val="20"/>
                <w:szCs w:val="20"/>
                <w:color w:val="auto"/>
              </w:rPr>
            </w:pPr>
            <w:r>
              <w:rPr>
                <w:rFonts w:ascii="Arial" w:cs="Arial" w:eastAsia="Arial" w:hAnsi="Arial"/>
                <w:sz w:val="17"/>
                <w:szCs w:val="17"/>
                <w:color w:val="282A32"/>
              </w:rPr>
              <w:t>2.8</w:t>
            </w:r>
          </w:p>
        </w:tc>
        <w:tc>
          <w:tcPr>
            <w:tcW w:w="128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282A32"/>
              </w:rPr>
              <w:t>12.7</w:t>
            </w:r>
          </w:p>
        </w:tc>
        <w:tc>
          <w:tcPr>
            <w:tcW w:w="136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282A32"/>
              </w:rPr>
              <w:t>0.6</w:t>
            </w:r>
          </w:p>
        </w:tc>
        <w:tc>
          <w:tcPr>
            <w:tcW w:w="98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282A32"/>
              </w:rPr>
              <w:t>12.1</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Northern Europe</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5,306.4</w:t>
            </w:r>
          </w:p>
        </w:tc>
        <w:tc>
          <w:tcPr>
            <w:tcW w:w="11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3.5</w:t>
            </w:r>
          </w:p>
        </w:tc>
        <w:tc>
          <w:tcPr>
            <w:tcW w:w="11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282A32"/>
              </w:rPr>
              <w:t>0.1</w:t>
            </w:r>
          </w:p>
        </w:tc>
        <w:tc>
          <w:tcPr>
            <w:tcW w:w="12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3.4</w:t>
            </w:r>
          </w:p>
        </w:tc>
        <w:tc>
          <w:tcPr>
            <w:tcW w:w="136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0.8</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2.6</w:t>
            </w:r>
          </w:p>
        </w:tc>
        <w:tc>
          <w:tcPr>
            <w:tcW w:w="0" w:type="dxa"/>
            <w:vAlign w:val="bottom"/>
          </w:tcPr>
          <w:p>
            <w:pPr>
              <w:spacing w:after="0"/>
              <w:rPr>
                <w:sz w:val="1"/>
                <w:szCs w:val="1"/>
                <w:color w:val="auto"/>
              </w:rPr>
            </w:pPr>
          </w:p>
        </w:tc>
      </w:tr>
      <w:tr>
        <w:trPr>
          <w:trHeight w:val="224"/>
        </w:trPr>
        <w:tc>
          <w:tcPr>
            <w:tcW w:w="4120" w:type="dxa"/>
            <w:vAlign w:val="bottom"/>
          </w:tcPr>
          <w:p>
            <w:pPr>
              <w:ind w:left="140"/>
              <w:spacing w:after="0"/>
              <w:rPr>
                <w:sz w:val="20"/>
                <w:szCs w:val="20"/>
                <w:color w:val="auto"/>
              </w:rPr>
            </w:pPr>
            <w:r>
              <w:rPr>
                <w:rFonts w:ascii="Arial" w:cs="Arial" w:eastAsia="Arial" w:hAnsi="Arial"/>
                <w:sz w:val="17"/>
                <w:szCs w:val="17"/>
                <w:color w:val="282A32"/>
              </w:rPr>
              <w:t>APME</w:t>
            </w:r>
          </w:p>
        </w:tc>
        <w:tc>
          <w:tcPr>
            <w:tcW w:w="240" w:type="dxa"/>
            <w:vAlign w:val="bottom"/>
          </w:tcPr>
          <w:p>
            <w:pPr>
              <w:spacing w:after="0"/>
              <w:rPr>
                <w:sz w:val="19"/>
                <w:szCs w:val="19"/>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282A32"/>
              </w:rPr>
              <w:t>2,636.4</w:t>
            </w:r>
          </w:p>
        </w:tc>
        <w:tc>
          <w:tcPr>
            <w:tcW w:w="1160" w:type="dxa"/>
            <w:vAlign w:val="bottom"/>
          </w:tcPr>
          <w:p>
            <w:pPr>
              <w:jc w:val="right"/>
              <w:ind w:right="237"/>
              <w:spacing w:after="0"/>
              <w:rPr>
                <w:sz w:val="20"/>
                <w:szCs w:val="20"/>
                <w:color w:val="auto"/>
              </w:rPr>
            </w:pPr>
            <w:r>
              <w:rPr>
                <w:rFonts w:ascii="Arial" w:cs="Arial" w:eastAsia="Arial" w:hAnsi="Arial"/>
                <w:sz w:val="17"/>
                <w:szCs w:val="17"/>
                <w:color w:val="282A32"/>
              </w:rPr>
              <w:t>6.7</w:t>
            </w:r>
          </w:p>
        </w:tc>
        <w:tc>
          <w:tcPr>
            <w:tcW w:w="1160" w:type="dxa"/>
            <w:vAlign w:val="bottom"/>
          </w:tcPr>
          <w:p>
            <w:pPr>
              <w:jc w:val="right"/>
              <w:ind w:right="297"/>
              <w:spacing w:after="0"/>
              <w:rPr>
                <w:sz w:val="20"/>
                <w:szCs w:val="20"/>
                <w:color w:val="auto"/>
              </w:rPr>
            </w:pPr>
            <w:r>
              <w:rPr>
                <w:rFonts w:ascii="Arial" w:cs="Arial" w:eastAsia="Arial" w:hAnsi="Arial"/>
                <w:sz w:val="17"/>
                <w:szCs w:val="17"/>
                <w:color w:val="282A32"/>
              </w:rPr>
              <w:t>0.3</w:t>
            </w:r>
          </w:p>
        </w:tc>
        <w:tc>
          <w:tcPr>
            <w:tcW w:w="1280" w:type="dxa"/>
            <w:vAlign w:val="bottom"/>
          </w:tcPr>
          <w:p>
            <w:pPr>
              <w:jc w:val="right"/>
              <w:ind w:right="257"/>
              <w:spacing w:after="0"/>
              <w:rPr>
                <w:sz w:val="20"/>
                <w:szCs w:val="20"/>
                <w:color w:val="auto"/>
              </w:rPr>
            </w:pPr>
            <w:r>
              <w:rPr>
                <w:rFonts w:ascii="Arial" w:cs="Arial" w:eastAsia="Arial" w:hAnsi="Arial"/>
                <w:sz w:val="17"/>
                <w:szCs w:val="17"/>
                <w:color w:val="282A32"/>
              </w:rPr>
              <w:t>6.4</w:t>
            </w:r>
          </w:p>
        </w:tc>
        <w:tc>
          <w:tcPr>
            <w:tcW w:w="1360" w:type="dxa"/>
            <w:vAlign w:val="bottom"/>
          </w:tcPr>
          <w:p>
            <w:pPr>
              <w:jc w:val="right"/>
              <w:ind w:right="277"/>
              <w:spacing w:after="0"/>
              <w:rPr>
                <w:sz w:val="20"/>
                <w:szCs w:val="20"/>
                <w:color w:val="auto"/>
              </w:rPr>
            </w:pPr>
            <w:r>
              <w:rPr>
                <w:rFonts w:ascii="Arial" w:cs="Arial" w:eastAsia="Arial" w:hAnsi="Arial"/>
                <w:sz w:val="17"/>
                <w:szCs w:val="17"/>
                <w:color w:val="282A32"/>
              </w:rPr>
              <w:t>0.3</w:t>
            </w:r>
          </w:p>
        </w:tc>
        <w:tc>
          <w:tcPr>
            <w:tcW w:w="980" w:type="dxa"/>
            <w:vAlign w:val="bottom"/>
          </w:tcPr>
          <w:p>
            <w:pPr>
              <w:jc w:val="right"/>
              <w:ind w:right="137"/>
              <w:spacing w:after="0"/>
              <w:rPr>
                <w:sz w:val="20"/>
                <w:szCs w:val="20"/>
                <w:color w:val="auto"/>
              </w:rPr>
            </w:pPr>
            <w:r>
              <w:rPr>
                <w:rFonts w:ascii="Arial" w:cs="Arial" w:eastAsia="Arial" w:hAnsi="Arial"/>
                <w:sz w:val="17"/>
                <w:szCs w:val="17"/>
                <w:color w:val="282A32"/>
              </w:rPr>
              <w:t>6.1</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Right Management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218.1</w:t>
            </w:r>
          </w:p>
        </w:tc>
        <w:tc>
          <w:tcPr>
            <w:tcW w:w="11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(15.8)</w:t>
            </w:r>
          </w:p>
        </w:tc>
        <w:tc>
          <w:tcPr>
            <w:tcW w:w="11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(0.2)</w:t>
            </w:r>
          </w:p>
        </w:tc>
        <w:tc>
          <w:tcPr>
            <w:tcW w:w="128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(15.6)</w:t>
            </w:r>
          </w:p>
        </w:tc>
        <w:tc>
          <w:tcPr>
            <w:tcW w:w="136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w:t>
            </w:r>
          </w:p>
        </w:tc>
        <w:tc>
          <w:tcPr>
            <w:tcW w:w="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(15.6)</w:t>
            </w:r>
          </w:p>
        </w:tc>
        <w:tc>
          <w:tcPr>
            <w:tcW w:w="0" w:type="dxa"/>
            <w:vAlign w:val="bottom"/>
          </w:tcPr>
          <w:p>
            <w:pPr>
              <w:spacing w:after="0"/>
              <w:rPr>
                <w:sz w:val="1"/>
                <w:szCs w:val="1"/>
                <w:color w:val="auto"/>
              </w:rPr>
            </w:pPr>
          </w:p>
        </w:tc>
      </w:tr>
      <w:tr>
        <w:trPr>
          <w:trHeight w:val="217"/>
        </w:trPr>
        <w:tc>
          <w:tcPr>
            <w:tcW w:w="41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ManpowerGroup</w:t>
            </w: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282A32"/>
              </w:rPr>
              <w:t>$</w:t>
            </w:r>
          </w:p>
        </w:tc>
        <w:tc>
          <w:tcPr>
            <w:tcW w:w="112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282A32"/>
              </w:rPr>
              <w:t>21,034.3</w:t>
            </w:r>
          </w:p>
        </w:tc>
        <w:tc>
          <w:tcPr>
            <w:tcW w:w="116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282A32"/>
              </w:rPr>
              <w:t>7.0 %</w:t>
            </w:r>
          </w:p>
        </w:tc>
        <w:tc>
          <w:tcPr>
            <w:tcW w:w="116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1.0 %</w:t>
            </w:r>
          </w:p>
        </w:tc>
        <w:tc>
          <w:tcPr>
            <w:tcW w:w="128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6.0%</w:t>
            </w:r>
          </w:p>
        </w:tc>
        <w:tc>
          <w:tcPr>
            <w:tcW w:w="136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282A32"/>
              </w:rPr>
              <w:t>0.5 %</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5.5%</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282A32"/>
              </w:rPr>
              <w:t>Gross Profit — ManpowerGroup</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3,484.6</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4.5 %</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0.9 %</w:t>
            </w:r>
          </w:p>
        </w:tc>
        <w:tc>
          <w:tcPr>
            <w:tcW w:w="12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3.6%</w:t>
            </w:r>
          </w:p>
        </w:tc>
        <w:tc>
          <w:tcPr>
            <w:tcW w:w="13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0.5 %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4"/>
        </w:trPr>
        <w:tc>
          <w:tcPr>
            <w:tcW w:w="4120" w:type="dxa"/>
            <w:vAlign w:val="bottom"/>
          </w:tcPr>
          <w:p>
            <w:pPr>
              <w:ind w:left="20"/>
              <w:spacing w:after="0"/>
              <w:rPr>
                <w:sz w:val="20"/>
                <w:szCs w:val="20"/>
                <w:color w:val="auto"/>
              </w:rPr>
            </w:pPr>
            <w:r>
              <w:rPr>
                <w:rFonts w:ascii="Arial" w:cs="Arial" w:eastAsia="Arial" w:hAnsi="Arial"/>
                <w:sz w:val="17"/>
                <w:szCs w:val="17"/>
                <w:b w:val="1"/>
                <w:bCs w:val="1"/>
                <w:color w:val="282A32"/>
              </w:rPr>
              <w:t>Operating Unit Profit</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Americas:</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240"/>
              <w:spacing w:after="0"/>
              <w:rPr>
                <w:sz w:val="20"/>
                <w:szCs w:val="20"/>
                <w:color w:val="auto"/>
              </w:rPr>
            </w:pPr>
            <w:r>
              <w:rPr>
                <w:rFonts w:ascii="Arial" w:cs="Arial" w:eastAsia="Arial" w:hAnsi="Arial"/>
                <w:sz w:val="17"/>
                <w:szCs w:val="17"/>
                <w:color w:val="282A32"/>
              </w:rPr>
              <w:t>United States</w:t>
            </w:r>
          </w:p>
        </w:tc>
        <w:tc>
          <w:tcPr>
            <w:tcW w:w="240" w:type="dxa"/>
            <w:vAlign w:val="bottom"/>
          </w:tcPr>
          <w:p>
            <w:pPr>
              <w:jc w:val="right"/>
              <w:ind w:right="37"/>
              <w:spacing w:after="0"/>
              <w:rPr>
                <w:sz w:val="20"/>
                <w:szCs w:val="20"/>
                <w:color w:val="auto"/>
              </w:rPr>
            </w:pPr>
            <w:r>
              <w:rPr>
                <w:rFonts w:ascii="Arial" w:cs="Arial" w:eastAsia="Arial" w:hAnsi="Arial"/>
                <w:sz w:val="17"/>
                <w:szCs w:val="17"/>
                <w:color w:val="282A32"/>
              </w:rPr>
              <w:t>$</w:t>
            </w:r>
          </w:p>
        </w:tc>
        <w:tc>
          <w:tcPr>
            <w:tcW w:w="1120" w:type="dxa"/>
            <w:vAlign w:val="bottom"/>
          </w:tcPr>
          <w:p>
            <w:pPr>
              <w:jc w:val="right"/>
              <w:ind w:right="77"/>
              <w:spacing w:after="0"/>
              <w:rPr>
                <w:sz w:val="20"/>
                <w:szCs w:val="20"/>
                <w:color w:val="auto"/>
              </w:rPr>
            </w:pPr>
            <w:r>
              <w:rPr>
                <w:rFonts w:ascii="Arial" w:cs="Arial" w:eastAsia="Arial" w:hAnsi="Arial"/>
                <w:sz w:val="17"/>
                <w:szCs w:val="17"/>
                <w:color w:val="282A32"/>
              </w:rPr>
              <w:t>152.1</w:t>
            </w:r>
          </w:p>
        </w:tc>
        <w:tc>
          <w:tcPr>
            <w:tcW w:w="1160" w:type="dxa"/>
            <w:vAlign w:val="bottom"/>
          </w:tcPr>
          <w:p>
            <w:pPr>
              <w:jc w:val="right"/>
              <w:ind w:right="57"/>
              <w:spacing w:after="0"/>
              <w:rPr>
                <w:sz w:val="20"/>
                <w:szCs w:val="20"/>
                <w:color w:val="auto"/>
              </w:rPr>
            </w:pPr>
            <w:r>
              <w:rPr>
                <w:rFonts w:ascii="Arial" w:cs="Arial" w:eastAsia="Arial" w:hAnsi="Arial"/>
                <w:sz w:val="17"/>
                <w:szCs w:val="17"/>
                <w:color w:val="282A32"/>
              </w:rPr>
              <w:t>6.9 %</w:t>
            </w:r>
          </w:p>
        </w:tc>
        <w:tc>
          <w:tcPr>
            <w:tcW w:w="1160" w:type="dxa"/>
            <w:vAlign w:val="bottom"/>
          </w:tcPr>
          <w:p>
            <w:pPr>
              <w:jc w:val="right"/>
              <w:ind w:right="117"/>
              <w:spacing w:after="0"/>
              <w:rPr>
                <w:sz w:val="20"/>
                <w:szCs w:val="20"/>
                <w:color w:val="auto"/>
              </w:rPr>
            </w:pPr>
            <w:r>
              <w:rPr>
                <w:rFonts w:ascii="Arial" w:cs="Arial" w:eastAsia="Arial" w:hAnsi="Arial"/>
                <w:sz w:val="17"/>
                <w:szCs w:val="17"/>
                <w:color w:val="282A32"/>
              </w:rPr>
              <w:t>— %</w:t>
            </w:r>
          </w:p>
        </w:tc>
        <w:tc>
          <w:tcPr>
            <w:tcW w:w="1280" w:type="dxa"/>
            <w:vAlign w:val="bottom"/>
          </w:tcPr>
          <w:p>
            <w:pPr>
              <w:jc w:val="right"/>
              <w:ind w:right="77"/>
              <w:spacing w:after="0"/>
              <w:rPr>
                <w:sz w:val="20"/>
                <w:szCs w:val="20"/>
                <w:color w:val="auto"/>
              </w:rPr>
            </w:pPr>
            <w:r>
              <w:rPr>
                <w:rFonts w:ascii="Arial" w:cs="Arial" w:eastAsia="Arial" w:hAnsi="Arial"/>
                <w:sz w:val="17"/>
                <w:szCs w:val="17"/>
                <w:color w:val="282A32"/>
              </w:rPr>
              <w:t>6.9 %</w:t>
            </w:r>
          </w:p>
        </w:tc>
        <w:tc>
          <w:tcPr>
            <w:tcW w:w="1360" w:type="dxa"/>
            <w:vAlign w:val="bottom"/>
          </w:tcPr>
          <w:p>
            <w:pPr>
              <w:jc w:val="right"/>
              <w:ind w:right="97"/>
              <w:spacing w:after="0"/>
              <w:rPr>
                <w:sz w:val="20"/>
                <w:szCs w:val="20"/>
                <w:color w:val="auto"/>
              </w:rPr>
            </w:pPr>
            <w:r>
              <w:rPr>
                <w:rFonts w:ascii="Arial" w:cs="Arial" w:eastAsia="Arial" w:hAnsi="Arial"/>
                <w:sz w:val="17"/>
                <w:szCs w:val="17"/>
                <w:color w:val="282A32"/>
              </w:rPr>
              <w:t>— %</w:t>
            </w:r>
          </w:p>
        </w:tc>
        <w:tc>
          <w:tcPr>
            <w:tcW w:w="980" w:type="dxa"/>
            <w:vAlign w:val="bottom"/>
          </w:tcPr>
          <w:p>
            <w:pPr>
              <w:jc w:val="right"/>
              <w:spacing w:after="0"/>
              <w:rPr>
                <w:sz w:val="20"/>
                <w:szCs w:val="20"/>
                <w:color w:val="auto"/>
              </w:rPr>
            </w:pPr>
            <w:r>
              <w:rPr>
                <w:rFonts w:ascii="Arial" w:cs="Arial" w:eastAsia="Arial" w:hAnsi="Arial"/>
                <w:sz w:val="17"/>
                <w:szCs w:val="17"/>
                <w:color w:val="282A32"/>
              </w:rPr>
              <w:t>6.9 %</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282A32"/>
              </w:rPr>
              <w:t>Other Americas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61.2</w:t>
            </w:r>
          </w:p>
        </w:tc>
        <w:tc>
          <w:tcPr>
            <w:tcW w:w="11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14.1</w:t>
            </w:r>
          </w:p>
        </w:tc>
        <w:tc>
          <w:tcPr>
            <w:tcW w:w="11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(0.6)</w:t>
            </w:r>
          </w:p>
        </w:tc>
        <w:tc>
          <w:tcPr>
            <w:tcW w:w="12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14.7</w:t>
            </w:r>
          </w:p>
        </w:tc>
        <w:tc>
          <w:tcPr>
            <w:tcW w:w="136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14.7</w:t>
            </w:r>
          </w:p>
        </w:tc>
        <w:tc>
          <w:tcPr>
            <w:tcW w:w="0" w:type="dxa"/>
            <w:vAlign w:val="bottom"/>
          </w:tcPr>
          <w:p>
            <w:pPr>
              <w:spacing w:after="0"/>
              <w:rPr>
                <w:sz w:val="1"/>
                <w:szCs w:val="1"/>
                <w:color w:val="auto"/>
              </w:rPr>
            </w:pPr>
          </w:p>
        </w:tc>
      </w:tr>
      <w:tr>
        <w:trPr>
          <w:trHeight w:val="217"/>
        </w:trPr>
        <w:tc>
          <w:tcPr>
            <w:tcW w:w="4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282A32"/>
              </w:rPr>
              <w:t>213.3</w:t>
            </w:r>
          </w:p>
        </w:tc>
        <w:tc>
          <w:tcPr>
            <w:tcW w:w="1160" w:type="dxa"/>
            <w:vAlign w:val="bottom"/>
            <w:tcBorders>
              <w:top w:val="single" w:sz="8" w:color="auto"/>
            </w:tcBorders>
          </w:tcPr>
          <w:p>
            <w:pPr>
              <w:jc w:val="right"/>
              <w:ind w:right="237"/>
              <w:spacing w:after="0"/>
              <w:rPr>
                <w:sz w:val="20"/>
                <w:szCs w:val="20"/>
                <w:color w:val="auto"/>
              </w:rPr>
            </w:pPr>
            <w:r>
              <w:rPr>
                <w:rFonts w:ascii="Arial" w:cs="Arial" w:eastAsia="Arial" w:hAnsi="Arial"/>
                <w:sz w:val="17"/>
                <w:szCs w:val="17"/>
                <w:color w:val="282A32"/>
              </w:rPr>
              <w:t>8.9</w:t>
            </w:r>
          </w:p>
        </w:tc>
        <w:tc>
          <w:tcPr>
            <w:tcW w:w="1160" w:type="dxa"/>
            <w:vAlign w:val="bottom"/>
            <w:tcBorders>
              <w:top w:val="single" w:sz="8" w:color="auto"/>
            </w:tcBorders>
          </w:tcPr>
          <w:p>
            <w:pPr>
              <w:jc w:val="right"/>
              <w:ind w:right="237"/>
              <w:spacing w:after="0"/>
              <w:rPr>
                <w:sz w:val="20"/>
                <w:szCs w:val="20"/>
                <w:color w:val="auto"/>
              </w:rPr>
            </w:pPr>
            <w:r>
              <w:rPr>
                <w:rFonts w:ascii="Arial" w:cs="Arial" w:eastAsia="Arial" w:hAnsi="Arial"/>
                <w:sz w:val="17"/>
                <w:szCs w:val="17"/>
                <w:color w:val="282A32"/>
              </w:rPr>
              <w:t>(0.1)</w:t>
            </w:r>
          </w:p>
        </w:tc>
        <w:tc>
          <w:tcPr>
            <w:tcW w:w="128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282A32"/>
              </w:rPr>
              <w:t>9.0</w:t>
            </w:r>
          </w:p>
        </w:tc>
        <w:tc>
          <w:tcPr>
            <w:tcW w:w="136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282A32"/>
              </w:rPr>
              <w:t>—</w:t>
            </w:r>
          </w:p>
        </w:tc>
        <w:tc>
          <w:tcPr>
            <w:tcW w:w="98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282A32"/>
              </w:rPr>
              <w:t>9.0</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Southern Europe:</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240"/>
              <w:spacing w:after="0"/>
              <w:rPr>
                <w:sz w:val="20"/>
                <w:szCs w:val="20"/>
                <w:color w:val="auto"/>
              </w:rPr>
            </w:pPr>
            <w:r>
              <w:rPr>
                <w:rFonts w:ascii="Arial" w:cs="Arial" w:eastAsia="Arial" w:hAnsi="Arial"/>
                <w:sz w:val="17"/>
                <w:szCs w:val="17"/>
                <w:color w:val="282A32"/>
              </w:rPr>
              <w:t>France</w:t>
            </w:r>
          </w:p>
        </w:tc>
        <w:tc>
          <w:tcPr>
            <w:tcW w:w="240" w:type="dxa"/>
            <w:vAlign w:val="bottom"/>
          </w:tcPr>
          <w:p>
            <w:pPr>
              <w:spacing w:after="0"/>
              <w:rPr>
                <w:sz w:val="19"/>
                <w:szCs w:val="19"/>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282A32"/>
              </w:rPr>
              <w:t>280.0</w:t>
            </w:r>
          </w:p>
        </w:tc>
        <w:tc>
          <w:tcPr>
            <w:tcW w:w="1160" w:type="dxa"/>
            <w:vAlign w:val="bottom"/>
          </w:tcPr>
          <w:p>
            <w:pPr>
              <w:jc w:val="right"/>
              <w:ind w:right="237"/>
              <w:spacing w:after="0"/>
              <w:rPr>
                <w:sz w:val="20"/>
                <w:szCs w:val="20"/>
                <w:color w:val="auto"/>
              </w:rPr>
            </w:pPr>
            <w:r>
              <w:rPr>
                <w:rFonts w:ascii="Arial" w:cs="Arial" w:eastAsia="Arial" w:hAnsi="Arial"/>
                <w:sz w:val="17"/>
                <w:szCs w:val="17"/>
                <w:color w:val="282A32"/>
              </w:rPr>
              <w:t>10.9</w:t>
            </w:r>
          </w:p>
        </w:tc>
        <w:tc>
          <w:tcPr>
            <w:tcW w:w="1160" w:type="dxa"/>
            <w:vAlign w:val="bottom"/>
          </w:tcPr>
          <w:p>
            <w:pPr>
              <w:jc w:val="right"/>
              <w:ind w:right="297"/>
              <w:spacing w:after="0"/>
              <w:rPr>
                <w:sz w:val="20"/>
                <w:szCs w:val="20"/>
                <w:color w:val="auto"/>
              </w:rPr>
            </w:pPr>
            <w:r>
              <w:rPr>
                <w:rFonts w:ascii="Arial" w:cs="Arial" w:eastAsia="Arial" w:hAnsi="Arial"/>
                <w:sz w:val="17"/>
                <w:szCs w:val="17"/>
                <w:color w:val="282A32"/>
              </w:rPr>
              <w:t>2.9</w:t>
            </w:r>
          </w:p>
        </w:tc>
        <w:tc>
          <w:tcPr>
            <w:tcW w:w="1280" w:type="dxa"/>
            <w:vAlign w:val="bottom"/>
          </w:tcPr>
          <w:p>
            <w:pPr>
              <w:jc w:val="right"/>
              <w:ind w:right="257"/>
              <w:spacing w:after="0"/>
              <w:rPr>
                <w:sz w:val="20"/>
                <w:szCs w:val="20"/>
                <w:color w:val="auto"/>
              </w:rPr>
            </w:pPr>
            <w:r>
              <w:rPr>
                <w:rFonts w:ascii="Arial" w:cs="Arial" w:eastAsia="Arial" w:hAnsi="Arial"/>
                <w:sz w:val="17"/>
                <w:szCs w:val="17"/>
                <w:color w:val="282A32"/>
              </w:rPr>
              <w:t>8.0</w:t>
            </w:r>
          </w:p>
        </w:tc>
        <w:tc>
          <w:tcPr>
            <w:tcW w:w="1360" w:type="dxa"/>
            <w:vAlign w:val="bottom"/>
          </w:tcPr>
          <w:p>
            <w:pPr>
              <w:jc w:val="right"/>
              <w:ind w:right="277"/>
              <w:spacing w:after="0"/>
              <w:rPr>
                <w:sz w:val="20"/>
                <w:szCs w:val="20"/>
                <w:color w:val="auto"/>
              </w:rPr>
            </w:pPr>
            <w:r>
              <w:rPr>
                <w:rFonts w:ascii="Arial" w:cs="Arial" w:eastAsia="Arial" w:hAnsi="Arial"/>
                <w:sz w:val="17"/>
                <w:szCs w:val="17"/>
                <w:color w:val="282A32"/>
              </w:rPr>
              <w:t>—</w:t>
            </w:r>
          </w:p>
        </w:tc>
        <w:tc>
          <w:tcPr>
            <w:tcW w:w="980" w:type="dxa"/>
            <w:vAlign w:val="bottom"/>
          </w:tcPr>
          <w:p>
            <w:pPr>
              <w:jc w:val="right"/>
              <w:ind w:right="137"/>
              <w:spacing w:after="0"/>
              <w:rPr>
                <w:sz w:val="20"/>
                <w:szCs w:val="20"/>
                <w:color w:val="auto"/>
              </w:rPr>
            </w:pPr>
            <w:r>
              <w:rPr>
                <w:rFonts w:ascii="Arial" w:cs="Arial" w:eastAsia="Arial" w:hAnsi="Arial"/>
                <w:sz w:val="17"/>
                <w:szCs w:val="17"/>
                <w:color w:val="282A32"/>
              </w:rPr>
              <w:t>8.0</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282A32"/>
              </w:rPr>
              <w:t>Italy</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104.5</w:t>
            </w:r>
          </w:p>
        </w:tc>
        <w:tc>
          <w:tcPr>
            <w:tcW w:w="11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32.1</w:t>
            </w:r>
          </w:p>
        </w:tc>
        <w:tc>
          <w:tcPr>
            <w:tcW w:w="11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282A32"/>
              </w:rPr>
              <w:t>3.5</w:t>
            </w:r>
          </w:p>
        </w:tc>
        <w:tc>
          <w:tcPr>
            <w:tcW w:w="12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28.6</w:t>
            </w:r>
          </w:p>
        </w:tc>
        <w:tc>
          <w:tcPr>
            <w:tcW w:w="136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28.6</w:t>
            </w:r>
          </w:p>
        </w:tc>
        <w:tc>
          <w:tcPr>
            <w:tcW w:w="0" w:type="dxa"/>
            <w:vAlign w:val="bottom"/>
          </w:tcPr>
          <w:p>
            <w:pPr>
              <w:spacing w:after="0"/>
              <w:rPr>
                <w:sz w:val="1"/>
                <w:szCs w:val="1"/>
                <w:color w:val="auto"/>
              </w:rPr>
            </w:pPr>
          </w:p>
        </w:tc>
      </w:tr>
      <w:tr>
        <w:trPr>
          <w:trHeight w:val="224"/>
        </w:trPr>
        <w:tc>
          <w:tcPr>
            <w:tcW w:w="4120" w:type="dxa"/>
            <w:vAlign w:val="bottom"/>
          </w:tcPr>
          <w:p>
            <w:pPr>
              <w:ind w:left="240"/>
              <w:spacing w:after="0"/>
              <w:rPr>
                <w:sz w:val="20"/>
                <w:szCs w:val="20"/>
                <w:color w:val="auto"/>
              </w:rPr>
            </w:pPr>
            <w:r>
              <w:rPr>
                <w:rFonts w:ascii="Arial" w:cs="Arial" w:eastAsia="Arial" w:hAnsi="Arial"/>
                <w:sz w:val="17"/>
                <w:szCs w:val="17"/>
                <w:color w:val="282A32"/>
              </w:rPr>
              <w:t>Other Southern Europe</w:t>
            </w:r>
          </w:p>
        </w:tc>
        <w:tc>
          <w:tcPr>
            <w:tcW w:w="240" w:type="dxa"/>
            <w:vAlign w:val="bottom"/>
          </w:tcPr>
          <w:p>
            <w:pPr>
              <w:spacing w:after="0"/>
              <w:rPr>
                <w:sz w:val="19"/>
                <w:szCs w:val="19"/>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282A32"/>
              </w:rPr>
              <w:t>59.4</w:t>
            </w:r>
          </w:p>
        </w:tc>
        <w:tc>
          <w:tcPr>
            <w:tcW w:w="1160" w:type="dxa"/>
            <w:vAlign w:val="bottom"/>
          </w:tcPr>
          <w:p>
            <w:pPr>
              <w:jc w:val="right"/>
              <w:ind w:right="237"/>
              <w:spacing w:after="0"/>
              <w:rPr>
                <w:sz w:val="20"/>
                <w:szCs w:val="20"/>
                <w:color w:val="auto"/>
              </w:rPr>
            </w:pPr>
            <w:r>
              <w:rPr>
                <w:rFonts w:ascii="Arial" w:cs="Arial" w:eastAsia="Arial" w:hAnsi="Arial"/>
                <w:sz w:val="17"/>
                <w:szCs w:val="17"/>
                <w:color w:val="282A32"/>
              </w:rPr>
              <w:t>26.0</w:t>
            </w:r>
          </w:p>
        </w:tc>
        <w:tc>
          <w:tcPr>
            <w:tcW w:w="1160" w:type="dxa"/>
            <w:vAlign w:val="bottom"/>
          </w:tcPr>
          <w:p>
            <w:pPr>
              <w:jc w:val="right"/>
              <w:ind w:right="297"/>
              <w:spacing w:after="0"/>
              <w:rPr>
                <w:sz w:val="20"/>
                <w:szCs w:val="20"/>
                <w:color w:val="auto"/>
              </w:rPr>
            </w:pPr>
            <w:r>
              <w:rPr>
                <w:rFonts w:ascii="Arial" w:cs="Arial" w:eastAsia="Arial" w:hAnsi="Arial"/>
                <w:sz w:val="17"/>
                <w:szCs w:val="17"/>
                <w:color w:val="282A32"/>
              </w:rPr>
              <w:t>3.1</w:t>
            </w:r>
          </w:p>
        </w:tc>
        <w:tc>
          <w:tcPr>
            <w:tcW w:w="1280" w:type="dxa"/>
            <w:vAlign w:val="bottom"/>
          </w:tcPr>
          <w:p>
            <w:pPr>
              <w:jc w:val="right"/>
              <w:ind w:right="257"/>
              <w:spacing w:after="0"/>
              <w:rPr>
                <w:sz w:val="20"/>
                <w:szCs w:val="20"/>
                <w:color w:val="auto"/>
              </w:rPr>
            </w:pPr>
            <w:r>
              <w:rPr>
                <w:rFonts w:ascii="Arial" w:cs="Arial" w:eastAsia="Arial" w:hAnsi="Arial"/>
                <w:sz w:val="17"/>
                <w:szCs w:val="17"/>
                <w:color w:val="282A32"/>
              </w:rPr>
              <w:t>22.9</w:t>
            </w:r>
          </w:p>
        </w:tc>
        <w:tc>
          <w:tcPr>
            <w:tcW w:w="1360" w:type="dxa"/>
            <w:vAlign w:val="bottom"/>
          </w:tcPr>
          <w:p>
            <w:pPr>
              <w:jc w:val="right"/>
              <w:ind w:right="277"/>
              <w:spacing w:after="0"/>
              <w:rPr>
                <w:sz w:val="20"/>
                <w:szCs w:val="20"/>
                <w:color w:val="auto"/>
              </w:rPr>
            </w:pPr>
            <w:r>
              <w:rPr>
                <w:rFonts w:ascii="Arial" w:cs="Arial" w:eastAsia="Arial" w:hAnsi="Arial"/>
                <w:sz w:val="17"/>
                <w:szCs w:val="17"/>
                <w:color w:val="282A32"/>
              </w:rPr>
              <w:t>5.2</w:t>
            </w:r>
          </w:p>
        </w:tc>
        <w:tc>
          <w:tcPr>
            <w:tcW w:w="980" w:type="dxa"/>
            <w:vAlign w:val="bottom"/>
          </w:tcPr>
          <w:p>
            <w:pPr>
              <w:jc w:val="right"/>
              <w:ind w:right="137"/>
              <w:spacing w:after="0"/>
              <w:rPr>
                <w:sz w:val="20"/>
                <w:szCs w:val="20"/>
                <w:color w:val="auto"/>
              </w:rPr>
            </w:pPr>
            <w:r>
              <w:rPr>
                <w:rFonts w:ascii="Arial" w:cs="Arial" w:eastAsia="Arial" w:hAnsi="Arial"/>
                <w:sz w:val="17"/>
                <w:szCs w:val="17"/>
                <w:color w:val="282A32"/>
              </w:rPr>
              <w:t>17.7</w:t>
            </w:r>
          </w:p>
        </w:tc>
        <w:tc>
          <w:tcPr>
            <w:tcW w:w="0" w:type="dxa"/>
            <w:vAlign w:val="bottom"/>
          </w:tcPr>
          <w:p>
            <w:pPr>
              <w:spacing w:after="0"/>
              <w:rPr>
                <w:sz w:val="1"/>
                <w:szCs w:val="1"/>
                <w:color w:val="auto"/>
              </w:rPr>
            </w:pPr>
          </w:p>
        </w:tc>
      </w:tr>
      <w:tr>
        <w:trPr>
          <w:trHeight w:val="25"/>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443.9</w:t>
            </w:r>
          </w:p>
        </w:tc>
        <w:tc>
          <w:tcPr>
            <w:tcW w:w="11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17.2</w:t>
            </w:r>
          </w:p>
        </w:tc>
        <w:tc>
          <w:tcPr>
            <w:tcW w:w="11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282A32"/>
              </w:rPr>
              <w:t>3.0</w:t>
            </w:r>
          </w:p>
        </w:tc>
        <w:tc>
          <w:tcPr>
            <w:tcW w:w="12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14.2</w:t>
            </w:r>
          </w:p>
        </w:tc>
        <w:tc>
          <w:tcPr>
            <w:tcW w:w="136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0.7</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13.5</w:t>
            </w:r>
          </w:p>
        </w:tc>
        <w:tc>
          <w:tcPr>
            <w:tcW w:w="0" w:type="dxa"/>
            <w:vAlign w:val="bottom"/>
          </w:tcPr>
          <w:p>
            <w:pPr>
              <w:spacing w:after="0"/>
              <w:rPr>
                <w:sz w:val="1"/>
                <w:szCs w:val="1"/>
                <w:color w:val="auto"/>
              </w:rPr>
            </w:pPr>
          </w:p>
        </w:tc>
      </w:tr>
      <w:tr>
        <w:trPr>
          <w:trHeight w:val="217"/>
        </w:trPr>
        <w:tc>
          <w:tcPr>
            <w:tcW w:w="412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282A32"/>
              </w:rPr>
              <w:t>Northern Europe</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282A32"/>
              </w:rPr>
              <w:t>140.1</w:t>
            </w:r>
          </w:p>
        </w:tc>
        <w:tc>
          <w:tcPr>
            <w:tcW w:w="116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282A32"/>
              </w:rPr>
              <w:t>(15.8)</w:t>
            </w:r>
          </w:p>
        </w:tc>
        <w:tc>
          <w:tcPr>
            <w:tcW w:w="1160" w:type="dxa"/>
            <w:vAlign w:val="bottom"/>
            <w:tcBorders>
              <w:top w:val="single" w:sz="8" w:color="auto"/>
            </w:tcBorders>
          </w:tcPr>
          <w:p>
            <w:pPr>
              <w:jc w:val="right"/>
              <w:ind w:right="297"/>
              <w:spacing w:after="0"/>
              <w:rPr>
                <w:sz w:val="20"/>
                <w:szCs w:val="20"/>
                <w:color w:val="auto"/>
              </w:rPr>
            </w:pPr>
            <w:r>
              <w:rPr>
                <w:rFonts w:ascii="Arial" w:cs="Arial" w:eastAsia="Arial" w:hAnsi="Arial"/>
                <w:sz w:val="17"/>
                <w:szCs w:val="17"/>
                <w:color w:val="282A32"/>
              </w:rPr>
              <w:t>1.9</w:t>
            </w:r>
          </w:p>
        </w:tc>
        <w:tc>
          <w:tcPr>
            <w:tcW w:w="128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282A32"/>
              </w:rPr>
              <w:t>(17.7)</w:t>
            </w:r>
          </w:p>
        </w:tc>
        <w:tc>
          <w:tcPr>
            <w:tcW w:w="136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(1.9)</w:t>
            </w:r>
          </w:p>
        </w:tc>
        <w:tc>
          <w:tcPr>
            <w:tcW w:w="9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282A32"/>
              </w:rPr>
              <w:t>(15.8)</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APME</w:t>
            </w:r>
          </w:p>
        </w:tc>
        <w:tc>
          <w:tcPr>
            <w:tcW w:w="2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282A32"/>
              </w:rPr>
              <w:t>98.9</w:t>
            </w:r>
          </w:p>
        </w:tc>
        <w:tc>
          <w:tcPr>
            <w:tcW w:w="11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11.8</w:t>
            </w:r>
          </w:p>
        </w:tc>
        <w:tc>
          <w:tcPr>
            <w:tcW w:w="116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(0.1)</w:t>
            </w:r>
          </w:p>
        </w:tc>
        <w:tc>
          <w:tcPr>
            <w:tcW w:w="12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11.9</w:t>
            </w:r>
          </w:p>
        </w:tc>
        <w:tc>
          <w:tcPr>
            <w:tcW w:w="136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1.2</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10.7</w:t>
            </w:r>
          </w:p>
        </w:tc>
        <w:tc>
          <w:tcPr>
            <w:tcW w:w="0" w:type="dxa"/>
            <w:vAlign w:val="bottom"/>
          </w:tcPr>
          <w:p>
            <w:pPr>
              <w:spacing w:after="0"/>
              <w:rPr>
                <w:sz w:val="1"/>
                <w:szCs w:val="1"/>
                <w:color w:val="auto"/>
              </w:rPr>
            </w:pPr>
          </w:p>
        </w:tc>
      </w:tr>
      <w:tr>
        <w:trPr>
          <w:trHeight w:val="224"/>
        </w:trPr>
        <w:tc>
          <w:tcPr>
            <w:tcW w:w="4120" w:type="dxa"/>
            <w:vAlign w:val="bottom"/>
          </w:tcPr>
          <w:p>
            <w:pPr>
              <w:ind w:left="140"/>
              <w:spacing w:after="0"/>
              <w:rPr>
                <w:sz w:val="20"/>
                <w:szCs w:val="20"/>
                <w:color w:val="auto"/>
              </w:rPr>
            </w:pPr>
            <w:r>
              <w:rPr>
                <w:rFonts w:ascii="Arial" w:cs="Arial" w:eastAsia="Arial" w:hAnsi="Arial"/>
                <w:sz w:val="17"/>
                <w:szCs w:val="17"/>
                <w:color w:val="282A32"/>
              </w:rPr>
              <w:t>Right Management</w:t>
            </w:r>
          </w:p>
        </w:tc>
        <w:tc>
          <w:tcPr>
            <w:tcW w:w="240" w:type="dxa"/>
            <w:vAlign w:val="bottom"/>
          </w:tcPr>
          <w:p>
            <w:pPr>
              <w:spacing w:after="0"/>
              <w:rPr>
                <w:sz w:val="19"/>
                <w:szCs w:val="19"/>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282A32"/>
              </w:rPr>
              <w:t>36.0</w:t>
            </w:r>
          </w:p>
        </w:tc>
        <w:tc>
          <w:tcPr>
            <w:tcW w:w="1160" w:type="dxa"/>
            <w:vAlign w:val="bottom"/>
          </w:tcPr>
          <w:p>
            <w:pPr>
              <w:jc w:val="right"/>
              <w:ind w:right="177"/>
              <w:spacing w:after="0"/>
              <w:rPr>
                <w:sz w:val="20"/>
                <w:szCs w:val="20"/>
                <w:color w:val="auto"/>
              </w:rPr>
            </w:pPr>
            <w:r>
              <w:rPr>
                <w:rFonts w:ascii="Arial" w:cs="Arial" w:eastAsia="Arial" w:hAnsi="Arial"/>
                <w:sz w:val="17"/>
                <w:szCs w:val="17"/>
                <w:color w:val="282A32"/>
              </w:rPr>
              <w:t>(19.4)</w:t>
            </w:r>
          </w:p>
        </w:tc>
        <w:tc>
          <w:tcPr>
            <w:tcW w:w="1160" w:type="dxa"/>
            <w:vAlign w:val="bottom"/>
          </w:tcPr>
          <w:p>
            <w:pPr>
              <w:jc w:val="right"/>
              <w:ind w:right="297"/>
              <w:spacing w:after="0"/>
              <w:rPr>
                <w:sz w:val="20"/>
                <w:szCs w:val="20"/>
                <w:color w:val="auto"/>
              </w:rPr>
            </w:pPr>
            <w:r>
              <w:rPr>
                <w:rFonts w:ascii="Arial" w:cs="Arial" w:eastAsia="Arial" w:hAnsi="Arial"/>
                <w:sz w:val="17"/>
                <w:szCs w:val="17"/>
                <w:color w:val="282A32"/>
              </w:rPr>
              <w:t>0.3</w:t>
            </w:r>
          </w:p>
        </w:tc>
        <w:tc>
          <w:tcPr>
            <w:tcW w:w="1280" w:type="dxa"/>
            <w:vAlign w:val="bottom"/>
          </w:tcPr>
          <w:p>
            <w:pPr>
              <w:jc w:val="right"/>
              <w:ind w:right="197"/>
              <w:spacing w:after="0"/>
              <w:rPr>
                <w:sz w:val="20"/>
                <w:szCs w:val="20"/>
                <w:color w:val="auto"/>
              </w:rPr>
            </w:pPr>
            <w:r>
              <w:rPr>
                <w:rFonts w:ascii="Arial" w:cs="Arial" w:eastAsia="Arial" w:hAnsi="Arial"/>
                <w:sz w:val="17"/>
                <w:szCs w:val="17"/>
                <w:color w:val="282A32"/>
              </w:rPr>
              <w:t>(19.7)</w:t>
            </w:r>
          </w:p>
        </w:tc>
        <w:tc>
          <w:tcPr>
            <w:tcW w:w="1360" w:type="dxa"/>
            <w:vAlign w:val="bottom"/>
          </w:tcPr>
          <w:p>
            <w:pPr>
              <w:jc w:val="right"/>
              <w:ind w:right="277"/>
              <w:spacing w:after="0"/>
              <w:rPr>
                <w:sz w:val="20"/>
                <w:szCs w:val="20"/>
                <w:color w:val="auto"/>
              </w:rPr>
            </w:pPr>
            <w:r>
              <w:rPr>
                <w:rFonts w:ascii="Arial" w:cs="Arial" w:eastAsia="Arial" w:hAnsi="Arial"/>
                <w:sz w:val="17"/>
                <w:szCs w:val="17"/>
                <w:color w:val="282A32"/>
              </w:rPr>
              <w:t>—</w:t>
            </w:r>
          </w:p>
        </w:tc>
        <w:tc>
          <w:tcPr>
            <w:tcW w:w="980" w:type="dxa"/>
            <w:vAlign w:val="bottom"/>
          </w:tcPr>
          <w:p>
            <w:pPr>
              <w:jc w:val="right"/>
              <w:ind w:right="77"/>
              <w:spacing w:after="0"/>
              <w:rPr>
                <w:sz w:val="20"/>
                <w:szCs w:val="20"/>
                <w:color w:val="auto"/>
              </w:rPr>
            </w:pPr>
            <w:r>
              <w:rPr>
                <w:rFonts w:ascii="Arial" w:cs="Arial" w:eastAsia="Arial" w:hAnsi="Arial"/>
                <w:sz w:val="17"/>
                <w:szCs w:val="17"/>
                <w:color w:val="282A32"/>
              </w:rPr>
              <w:t>(19.7)</w:t>
            </w:r>
          </w:p>
        </w:tc>
        <w:tc>
          <w:tcPr>
            <w:tcW w:w="0" w:type="dxa"/>
            <w:vAlign w:val="bottom"/>
          </w:tcPr>
          <w:p>
            <w:pPr>
              <w:spacing w:after="0"/>
              <w:rPr>
                <w:sz w:val="1"/>
                <w:szCs w:val="1"/>
                <w:color w:val="auto"/>
              </w:rPr>
            </w:pPr>
          </w:p>
        </w:tc>
      </w:tr>
      <w:tr>
        <w:trPr>
          <w:trHeight w:val="25"/>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Profit — ManpowerGroup</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789.2</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5.9 %</w:t>
            </w:r>
          </w:p>
        </w:tc>
        <w:tc>
          <w:tcPr>
            <w:tcW w:w="116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1.9 %</w:t>
            </w:r>
          </w:p>
        </w:tc>
        <w:tc>
          <w:tcPr>
            <w:tcW w:w="12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4.0%</w:t>
            </w:r>
          </w:p>
        </w:tc>
        <w:tc>
          <w:tcPr>
            <w:tcW w:w="13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(0.2)%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815"/>
        </w:trPr>
        <w:tc>
          <w:tcPr>
            <w:tcW w:w="4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757"/>
              <w:spacing w:after="0"/>
              <w:rPr>
                <w:sz w:val="20"/>
                <w:szCs w:val="20"/>
                <w:color w:val="auto"/>
              </w:rPr>
            </w:pPr>
            <w:r>
              <w:rPr>
                <w:rFonts w:ascii="Arial" w:cs="Arial" w:eastAsia="Arial" w:hAnsi="Arial"/>
                <w:sz w:val="17"/>
                <w:szCs w:val="17"/>
                <w:color w:val="auto"/>
              </w:rPr>
              <w:t>39</w:t>
            </w:r>
          </w:p>
        </w:tc>
        <w:tc>
          <w:tcPr>
            <w:tcW w:w="116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1"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auto"/>
        </w:rPr>
        <w:t>Cash Sources and Uses</w:t>
      </w:r>
    </w:p>
    <w:p>
      <w:pPr>
        <w:spacing w:after="0" w:line="203"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282A32"/>
        </w:rPr>
        <w:t xml:space="preserve">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As of December 31, 2018, we had $331.2 million of cash held by foreign subsidiaries. We have historically made and anticipate future cash repatriations to the United States from certain foreign subsidiaries to fund domestic operations. </w:t>
      </w:r>
      <w:r>
        <w:rPr>
          <w:rFonts w:ascii="Arial" w:cs="Arial" w:eastAsia="Arial" w:hAnsi="Arial"/>
          <w:sz w:val="15"/>
          <w:szCs w:val="15"/>
          <w:color w:val="000000"/>
        </w:rPr>
        <w:t>With the enactment of the Tax Act in December 2017, we have no longer recorded United States federal</w:t>
      </w:r>
      <w:r>
        <w:rPr>
          <w:rFonts w:ascii="Arial" w:cs="Arial" w:eastAsia="Arial" w:hAnsi="Arial"/>
          <w:sz w:val="15"/>
          <w:szCs w:val="15"/>
          <w:color w:val="282A32"/>
        </w:rPr>
        <w:t xml:space="preserve"> </w:t>
      </w:r>
      <w:r>
        <w:rPr>
          <w:rFonts w:ascii="Arial" w:cs="Arial" w:eastAsia="Arial" w:hAnsi="Arial"/>
          <w:sz w:val="15"/>
          <w:szCs w:val="15"/>
          <w:color w:val="000000"/>
        </w:rPr>
        <w:t xml:space="preserve">income taxes on unremitted earnings of non-United States subsidiaries. However, we do record deferred tax liabilities related to non-United States withholding and other taxes on unremitted earnings that are not considered permanently invested. </w:t>
      </w:r>
      <w:r>
        <w:rPr>
          <w:rFonts w:ascii="Arial" w:cs="Arial" w:eastAsia="Arial" w:hAnsi="Arial"/>
          <w:sz w:val="15"/>
          <w:szCs w:val="15"/>
          <w:color w:val="282A32"/>
        </w:rPr>
        <w:t>As of December 31, 2018, deferred taxes related to non-United States withholding and other</w:t>
      </w:r>
      <w:r>
        <w:rPr>
          <w:rFonts w:ascii="Arial" w:cs="Arial" w:eastAsia="Arial" w:hAnsi="Arial"/>
          <w:sz w:val="15"/>
          <w:szCs w:val="15"/>
          <w:color w:val="000000"/>
        </w:rPr>
        <w:t xml:space="preserve"> </w:t>
      </w:r>
      <w:r>
        <w:rPr>
          <w:rFonts w:ascii="Arial" w:cs="Arial" w:eastAsia="Arial" w:hAnsi="Arial"/>
          <w:sz w:val="15"/>
          <w:szCs w:val="15"/>
          <w:color w:val="282A32"/>
        </w:rPr>
        <w:t>taxes were provided on $1,729.3 million of unremitted earnings of non-United States subsidiaries that may be remitted to the United States. As of December 31, 2018 and 2017, we have recorded a deferred tax liability of $15.3 million and $5.5 million, respectively, related to these non-United States earnings that may be remitted. We have an additional $292.5 million of unremitted earnings of non-United States subsidiaries for which we have not currently provided deferred taxes.</w:t>
      </w:r>
    </w:p>
    <w:p>
      <w:pPr>
        <w:spacing w:after="0" w:line="16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Our principal ongoing cash needs are to finance working capital, capital expenditures, debt payments, interest expense, dividends, share repurchases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82A32"/>
        </w:rPr>
        <w:t xml:space="preserve">Cash provided by operating activities was </w:t>
      </w:r>
      <w:r>
        <w:rPr>
          <w:rFonts w:ascii="Arial" w:cs="Arial" w:eastAsia="Arial" w:hAnsi="Arial"/>
          <w:sz w:val="17"/>
          <w:szCs w:val="17"/>
          <w:color w:val="000000"/>
        </w:rPr>
        <w:t>$483.1 ,</w:t>
      </w:r>
      <w:r>
        <w:rPr>
          <w:rFonts w:ascii="Arial" w:cs="Arial" w:eastAsia="Arial" w:hAnsi="Arial"/>
          <w:sz w:val="17"/>
          <w:szCs w:val="17"/>
          <w:color w:val="282A32"/>
        </w:rPr>
        <w:t xml:space="preserve"> $400.9 and $600.0 for 2018, 2017 and 2016, respectively. Changes in operating assets and liabilities utilized $198.3 million of cash in 2018, as compared to $78.9 million and $49.7 million in 2017 and 2016, respectively. The change in 2018 from 2017 was primarily attributable to the timing of collections and payments and the contingent consideration of $24.1 million paid in 2018 in excess of the contingent consideration liabilities initially recognized on the acquisition date. The change in 2017 from 2016 was primarily attributable to an increase in accounts receivable due to the growth in the business and changes in business mix, partially offset by the timing of collections and payments.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The CICE payroll tax credit is creditable against our current French income tax payable, with any remaining amount being paid after three years. </w:t>
      </w:r>
      <w:r>
        <w:rPr>
          <w:rFonts w:ascii="Arial" w:cs="Arial" w:eastAsia="Arial" w:hAnsi="Arial"/>
          <w:sz w:val="16"/>
          <w:szCs w:val="16"/>
          <w:color w:val="282A32"/>
        </w:rPr>
        <w:t>In April 2018, March</w:t>
      </w:r>
      <w:r>
        <w:rPr>
          <w:rFonts w:ascii="Arial" w:cs="Arial" w:eastAsia="Arial" w:hAnsi="Arial"/>
          <w:sz w:val="16"/>
          <w:szCs w:val="16"/>
          <w:color w:val="auto"/>
        </w:rPr>
        <w:t xml:space="preserve"> </w:t>
      </w:r>
      <w:r>
        <w:rPr>
          <w:rFonts w:ascii="Arial" w:cs="Arial" w:eastAsia="Arial" w:hAnsi="Arial"/>
          <w:sz w:val="16"/>
          <w:szCs w:val="16"/>
          <w:color w:val="282A32"/>
        </w:rPr>
        <w:t xml:space="preserve">2017 and March 2016, we sold substantially all of our CICE earned in 2017, 2016 and 2015, respectively, for net proceeds of $234.5 million (€190.9 million), $143.5 million (€133.0 million) and $143.1 million (€129.9 million), respectively. </w:t>
      </w:r>
      <w:r>
        <w:rPr>
          <w:rFonts w:ascii="Arial" w:cs="Arial" w:eastAsia="Arial" w:hAnsi="Arial"/>
          <w:sz w:val="16"/>
          <w:szCs w:val="16"/>
          <w:color w:val="000000"/>
        </w:rPr>
        <w:t>We derecognized these receivables upon the sale as the terms of the agreement are such that the</w:t>
      </w:r>
      <w:r>
        <w:rPr>
          <w:rFonts w:ascii="Arial" w:cs="Arial" w:eastAsia="Arial" w:hAnsi="Arial"/>
          <w:sz w:val="16"/>
          <w:szCs w:val="16"/>
          <w:color w:val="282A32"/>
        </w:rPr>
        <w:t xml:space="preserve"> </w:t>
      </w:r>
      <w:r>
        <w:rPr>
          <w:rFonts w:ascii="Arial" w:cs="Arial" w:eastAsia="Arial" w:hAnsi="Arial"/>
          <w:sz w:val="16"/>
          <w:szCs w:val="16"/>
          <w:color w:val="000000"/>
        </w:rPr>
        <w:t>transaction qualifies for sale treatment according to the accounting guidance on the transfer and servicing of assets. The discount on the sale of these receivables was recorded as a reduction of the payroll tax credits earned in the respective years in cost of services.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Accounts receivable decreased to $5,276.1 million as of December 31, 2018 from $5,370.5 million as of December 31, 2017. This decrease is due to changes in currency exchange rates, partially offset by higher Days Sales Outstanding ("DSO"). DSO increased by approximately two days from December 31, 2017, due primarily to unfavorable mix changes, with higher growth in countries with a higher average DSO.</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Capital expenditures were $64.7 million, $54.7 million and $56.9 million during 2018, 2017 and 2016, respectively. These expenditures were primarily comprised of purchases of computer equipment, office furniture and other costs related to office openings and refurbishments, as well as capitalized software costs of $5.6 million in 2018, $1.7 million in 2017 and $0.9 million in 2016.</w:t>
      </w:r>
    </w:p>
    <w:p>
      <w:pPr>
        <w:spacing w:after="0" w:line="177"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282A32"/>
        </w:rPr>
        <w:t>From time to time, we acquire and invest in companies throughout the world, including franchises. The total cash consideration paid for acquisitions, net of cash acquired, for the years ended December 31, 2018, 2017 and 2016 was $51.8 million, $45.7 million and $60.5 million, respectively. The 2018 balance includes initial acquisition payments of $9.1 million and contingent consideration payments of $42.7 million ($18.6 million had been recognized as a liability at the acquisition date). The 2017 balance includes initial acquisition payments of $32.7 million and contingent consideration related to previous acquisitions of $13.0 million, of which $10.3 million was related to our 2015 acquisition of 7S in Germany. The 2016 balance includes initial acquisition payments of $57.6 million and contingent consideration payments of $2.9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351" w:right="239" w:bottom="1440" w:gutter="0" w:footer="0" w:header="0"/>
        </w:sectPr>
      </w:pPr>
    </w:p>
    <w:bookmarkStart w:id="40" w:name="page41"/>
    <w:bookmarkEnd w:id="40"/>
    <w:p>
      <w:pPr>
        <w:ind w:right="160"/>
        <w:spacing w:after="0" w:line="296" w:lineRule="auto"/>
        <w:rPr>
          <w:sz w:val="20"/>
          <w:szCs w:val="20"/>
          <w:color w:val="auto"/>
        </w:rPr>
      </w:pPr>
      <w:r>
        <w:rPr>
          <w:rFonts w:ascii="Arial" w:cs="Arial" w:eastAsia="Arial" w:hAnsi="Arial"/>
          <w:sz w:val="16"/>
          <w:szCs w:val="16"/>
          <w:color w:val="282A32"/>
        </w:rPr>
        <w:t>Occasionally, we dispose of parts of our operations to optimize our global strategic positioning and synergies. In December 2018, we sold one of our business units in the Netherlands for net cash proceeds of $13.2 million and divested a majority interest in a consolidated entity in China with an immaterial cash impact.</w:t>
      </w:r>
    </w:p>
    <w:p>
      <w:pPr>
        <w:spacing w:after="0" w:line="14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82A32"/>
        </w:rPr>
        <w:t>As of December 31, 2018, goodwill and intangible assets resulting from the 2018 acquisitions were $6.1 and $0.7, respectively. As of December 31, 2017, goodwill and intangible assets resulting from the 2017 acquisitions were $35.0 and $13.3, respectively, the majority of which took place in India and Hong Kong.</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282A32"/>
        </w:rPr>
        <w:t>Cash provided by net debt borrowings was $178.2 million and $5.2 million in 2018 and 2017, respectively, compared to net debt repayments of $6.7 million in 2016. In June 2018, we offered and sold €500.0 million aggregate principal amount of the Company’s 1.750% notes due June 22, 2026, with the net proceeds of €495.7 million predominantly used to repay our €350.0 million notes due June 22, 2018. (See the "Euro Notes" section below for further information.)</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282A32"/>
        </w:rPr>
        <w:t>The Board of Directors authorized the repurchase of 6.0 million shares of our common stock in each of August 2018, July 2016 and October 2015. Share repurchases may be made from time to time through a variety of methods, including open market purchases, block transactions, privately negotiated transactions or similar facilities. In 2018, we repurchased a total of 5.7 million shares, comprised of 2.9 million shares under the 2018 authorization and 2.8 million shares under the 2016 authorization, at a total cost of $500.7 million. In 2017, we repurchased a total of 1.9 million shares at a total cost of $203.9 million under the 2016 authorization. In 2016, we repurchased a total of 6.6 million shares, comprised of 1.3 million shares under the 2016 authorization and 5.3 million shares under the 2015 authorization, at a total cost of $482.2 million. As of December 31, 2018, there were 3.1 million shares remaining authorized for repurchase under the 2018 authorization and no shares remaining under the 2016 and 2015 authorizations.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We have aggregate commitments of $2,202.2 million related to debt, operating leases, severances and office closure costs, transition tax resulting from the Tax Act and certain other commitments,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ind w:left="20"/>
              <w:spacing w:after="0"/>
              <w:rPr>
                <w:sz w:val="20"/>
                <w:szCs w:val="20"/>
                <w:color w:val="auto"/>
              </w:rPr>
            </w:pPr>
            <w:r>
              <w:rPr>
                <w:rFonts w:ascii="Arial" w:cs="Arial" w:eastAsia="Arial" w:hAnsi="Arial"/>
                <w:sz w:val="17"/>
                <w:szCs w:val="17"/>
                <w:i w:val="1"/>
                <w:iCs w:val="1"/>
                <w:color w:val="282A32"/>
              </w:rPr>
              <w:t>(in millions)</w:t>
            </w:r>
          </w:p>
        </w:tc>
        <w:tc>
          <w:tcPr>
            <w:tcW w:w="2340" w:type="dxa"/>
            <w:vAlign w:val="bottom"/>
          </w:tcPr>
          <w:p>
            <w:pPr>
              <w:jc w:val="right"/>
              <w:ind w:right="197"/>
              <w:spacing w:after="0"/>
              <w:rPr>
                <w:sz w:val="20"/>
                <w:szCs w:val="20"/>
                <w:color w:val="auto"/>
              </w:rPr>
            </w:pPr>
            <w:r>
              <w:rPr>
                <w:rFonts w:ascii="Arial" w:cs="Arial" w:eastAsia="Arial" w:hAnsi="Arial"/>
                <w:sz w:val="17"/>
                <w:szCs w:val="17"/>
                <w:color w:val="282A32"/>
              </w:rPr>
              <w:t>Total</w:t>
            </w:r>
          </w:p>
        </w:tc>
        <w:tc>
          <w:tcPr>
            <w:tcW w:w="1040" w:type="dxa"/>
            <w:vAlign w:val="bottom"/>
          </w:tcPr>
          <w:p>
            <w:pPr>
              <w:jc w:val="right"/>
              <w:ind w:right="217"/>
              <w:spacing w:after="0"/>
              <w:rPr>
                <w:sz w:val="20"/>
                <w:szCs w:val="20"/>
                <w:color w:val="auto"/>
              </w:rPr>
            </w:pPr>
            <w:r>
              <w:rPr>
                <w:rFonts w:ascii="Arial" w:cs="Arial" w:eastAsia="Arial" w:hAnsi="Arial"/>
                <w:sz w:val="17"/>
                <w:szCs w:val="17"/>
                <w:color w:val="282A32"/>
              </w:rPr>
              <w:t>2019</w:t>
            </w:r>
          </w:p>
        </w:tc>
        <w:tc>
          <w:tcPr>
            <w:tcW w:w="1340" w:type="dxa"/>
            <w:vAlign w:val="bottom"/>
          </w:tcPr>
          <w:p>
            <w:pPr>
              <w:jc w:val="right"/>
              <w:ind w:right="217"/>
              <w:spacing w:after="0"/>
              <w:rPr>
                <w:sz w:val="20"/>
                <w:szCs w:val="20"/>
                <w:color w:val="auto"/>
              </w:rPr>
            </w:pPr>
            <w:r>
              <w:rPr>
                <w:rFonts w:ascii="Arial" w:cs="Arial" w:eastAsia="Arial" w:hAnsi="Arial"/>
                <w:sz w:val="17"/>
                <w:szCs w:val="17"/>
                <w:color w:val="282A32"/>
              </w:rPr>
              <w:t>2020–2021</w:t>
            </w:r>
          </w:p>
        </w:tc>
        <w:tc>
          <w:tcPr>
            <w:tcW w:w="1260" w:type="dxa"/>
            <w:vAlign w:val="bottom"/>
          </w:tcPr>
          <w:p>
            <w:pPr>
              <w:jc w:val="right"/>
              <w:ind w:right="137"/>
              <w:spacing w:after="0"/>
              <w:rPr>
                <w:sz w:val="20"/>
                <w:szCs w:val="20"/>
                <w:color w:val="auto"/>
              </w:rPr>
            </w:pPr>
            <w:r>
              <w:rPr>
                <w:rFonts w:ascii="Arial" w:cs="Arial" w:eastAsia="Arial" w:hAnsi="Arial"/>
                <w:sz w:val="17"/>
                <w:szCs w:val="17"/>
                <w:color w:val="282A32"/>
              </w:rPr>
              <w:t>2022–2023</w:t>
            </w:r>
          </w:p>
        </w:tc>
        <w:tc>
          <w:tcPr>
            <w:tcW w:w="1000" w:type="dxa"/>
            <w:vAlign w:val="bottom"/>
          </w:tcPr>
          <w:p>
            <w:pPr>
              <w:jc w:val="right"/>
              <w:ind w:right="17"/>
              <w:spacing w:after="0"/>
              <w:rPr>
                <w:sz w:val="20"/>
                <w:szCs w:val="20"/>
                <w:color w:val="auto"/>
              </w:rPr>
            </w:pPr>
            <w:r>
              <w:rPr>
                <w:rFonts w:ascii="Arial" w:cs="Arial" w:eastAsia="Arial" w:hAnsi="Arial"/>
                <w:sz w:val="17"/>
                <w:szCs w:val="17"/>
                <w:color w:val="282A32"/>
              </w:rPr>
              <w:t>Thereafter</w:t>
            </w:r>
          </w:p>
        </w:tc>
      </w:tr>
      <w:tr>
        <w:trPr>
          <w:trHeight w:val="25"/>
        </w:trPr>
        <w:tc>
          <w:tcPr>
            <w:tcW w:w="4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2"/>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Long-term debt including interest</w:t>
            </w:r>
          </w:p>
        </w:tc>
        <w:tc>
          <w:tcPr>
            <w:tcW w:w="23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$1,140.2</w:t>
            </w:r>
          </w:p>
        </w:tc>
        <w:tc>
          <w:tcPr>
            <w:tcW w:w="10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$18.8</w:t>
            </w:r>
          </w:p>
        </w:tc>
        <w:tc>
          <w:tcPr>
            <w:tcW w:w="13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$37.5</w:t>
            </w:r>
          </w:p>
        </w:tc>
        <w:tc>
          <w:tcPr>
            <w:tcW w:w="12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$486.0</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$597.9</w:t>
            </w:r>
          </w:p>
        </w:tc>
      </w:tr>
      <w:tr>
        <w:trPr>
          <w:trHeight w:val="224"/>
        </w:trPr>
        <w:tc>
          <w:tcPr>
            <w:tcW w:w="4220" w:type="dxa"/>
            <w:vAlign w:val="bottom"/>
          </w:tcPr>
          <w:p>
            <w:pPr>
              <w:ind w:left="20"/>
              <w:spacing w:after="0"/>
              <w:rPr>
                <w:sz w:val="20"/>
                <w:szCs w:val="20"/>
                <w:color w:val="auto"/>
              </w:rPr>
            </w:pPr>
            <w:r>
              <w:rPr>
                <w:rFonts w:ascii="Arial" w:cs="Arial" w:eastAsia="Arial" w:hAnsi="Arial"/>
                <w:sz w:val="17"/>
                <w:szCs w:val="17"/>
                <w:color w:val="282A32"/>
              </w:rPr>
              <w:t>Short-term borrowings</w:t>
            </w:r>
          </w:p>
        </w:tc>
        <w:tc>
          <w:tcPr>
            <w:tcW w:w="2340" w:type="dxa"/>
            <w:vAlign w:val="bottom"/>
          </w:tcPr>
          <w:p>
            <w:pPr>
              <w:jc w:val="right"/>
              <w:ind w:right="197"/>
              <w:spacing w:after="0"/>
              <w:rPr>
                <w:sz w:val="20"/>
                <w:szCs w:val="20"/>
                <w:color w:val="auto"/>
              </w:rPr>
            </w:pPr>
            <w:r>
              <w:rPr>
                <w:rFonts w:ascii="Arial" w:cs="Arial" w:eastAsia="Arial" w:hAnsi="Arial"/>
                <w:sz w:val="17"/>
                <w:szCs w:val="17"/>
                <w:color w:val="282A32"/>
              </w:rPr>
              <w:t>49.9</w:t>
            </w:r>
          </w:p>
        </w:tc>
        <w:tc>
          <w:tcPr>
            <w:tcW w:w="1040" w:type="dxa"/>
            <w:vAlign w:val="bottom"/>
          </w:tcPr>
          <w:p>
            <w:pPr>
              <w:jc w:val="right"/>
              <w:ind w:right="217"/>
              <w:spacing w:after="0"/>
              <w:rPr>
                <w:sz w:val="20"/>
                <w:szCs w:val="20"/>
                <w:color w:val="auto"/>
              </w:rPr>
            </w:pPr>
            <w:r>
              <w:rPr>
                <w:rFonts w:ascii="Arial" w:cs="Arial" w:eastAsia="Arial" w:hAnsi="Arial"/>
                <w:sz w:val="17"/>
                <w:szCs w:val="17"/>
                <w:color w:val="282A32"/>
              </w:rPr>
              <w:t>49.9</w:t>
            </w:r>
          </w:p>
        </w:tc>
        <w:tc>
          <w:tcPr>
            <w:tcW w:w="1340" w:type="dxa"/>
            <w:vAlign w:val="bottom"/>
          </w:tcPr>
          <w:p>
            <w:pPr>
              <w:jc w:val="right"/>
              <w:ind w:right="217"/>
              <w:spacing w:after="0"/>
              <w:rPr>
                <w:sz w:val="20"/>
                <w:szCs w:val="20"/>
                <w:color w:val="auto"/>
              </w:rPr>
            </w:pPr>
            <w:r>
              <w:rPr>
                <w:rFonts w:ascii="Arial" w:cs="Arial" w:eastAsia="Arial" w:hAnsi="Arial"/>
                <w:sz w:val="17"/>
                <w:szCs w:val="17"/>
                <w:color w:val="282A32"/>
              </w:rPr>
              <w:t>—</w:t>
            </w:r>
          </w:p>
        </w:tc>
        <w:tc>
          <w:tcPr>
            <w:tcW w:w="1260" w:type="dxa"/>
            <w:vAlign w:val="bottom"/>
          </w:tcPr>
          <w:p>
            <w:pPr>
              <w:jc w:val="right"/>
              <w:ind w:right="137"/>
              <w:spacing w:after="0"/>
              <w:rPr>
                <w:sz w:val="20"/>
                <w:szCs w:val="20"/>
                <w:color w:val="auto"/>
              </w:rPr>
            </w:pPr>
            <w:r>
              <w:rPr>
                <w:rFonts w:ascii="Arial" w:cs="Arial" w:eastAsia="Arial" w:hAnsi="Arial"/>
                <w:sz w:val="17"/>
                <w:szCs w:val="17"/>
                <w:color w:val="282A32"/>
              </w:rPr>
              <w:t>—</w:t>
            </w:r>
          </w:p>
        </w:tc>
        <w:tc>
          <w:tcPr>
            <w:tcW w:w="1000" w:type="dxa"/>
            <w:vAlign w:val="bottom"/>
          </w:tcPr>
          <w:p>
            <w:pPr>
              <w:jc w:val="right"/>
              <w:ind w:right="17"/>
              <w:spacing w:after="0"/>
              <w:rPr>
                <w:sz w:val="20"/>
                <w:szCs w:val="20"/>
                <w:color w:val="auto"/>
              </w:rPr>
            </w:pPr>
            <w:r>
              <w:rPr>
                <w:rFonts w:ascii="Arial" w:cs="Arial" w:eastAsia="Arial" w:hAnsi="Arial"/>
                <w:sz w:val="17"/>
                <w:szCs w:val="17"/>
                <w:color w:val="282A32"/>
              </w:rPr>
              <w:t>—</w:t>
            </w:r>
          </w:p>
        </w:tc>
      </w:tr>
      <w:tr>
        <w:trPr>
          <w:trHeight w:val="25"/>
        </w:trPr>
        <w:tc>
          <w:tcPr>
            <w:tcW w:w="4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Operating leases</w:t>
            </w:r>
          </w:p>
        </w:tc>
        <w:tc>
          <w:tcPr>
            <w:tcW w:w="23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566.8</w:t>
            </w:r>
          </w:p>
        </w:tc>
        <w:tc>
          <w:tcPr>
            <w:tcW w:w="10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151.4</w:t>
            </w:r>
          </w:p>
        </w:tc>
        <w:tc>
          <w:tcPr>
            <w:tcW w:w="13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200.7</w:t>
            </w:r>
          </w:p>
        </w:tc>
        <w:tc>
          <w:tcPr>
            <w:tcW w:w="12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109.1</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105.6</w:t>
            </w:r>
          </w:p>
        </w:tc>
      </w:tr>
      <w:tr>
        <w:trPr>
          <w:trHeight w:val="224"/>
        </w:trPr>
        <w:tc>
          <w:tcPr>
            <w:tcW w:w="4220" w:type="dxa"/>
            <w:vAlign w:val="bottom"/>
          </w:tcPr>
          <w:p>
            <w:pPr>
              <w:ind w:left="20"/>
              <w:spacing w:after="0"/>
              <w:rPr>
                <w:sz w:val="20"/>
                <w:szCs w:val="20"/>
                <w:color w:val="auto"/>
              </w:rPr>
            </w:pPr>
            <w:r>
              <w:rPr>
                <w:rFonts w:ascii="Arial" w:cs="Arial" w:eastAsia="Arial" w:hAnsi="Arial"/>
                <w:sz w:val="17"/>
                <w:szCs w:val="17"/>
                <w:color w:val="282A32"/>
              </w:rPr>
              <w:t>Severances and other office closure costs</w:t>
            </w:r>
          </w:p>
        </w:tc>
        <w:tc>
          <w:tcPr>
            <w:tcW w:w="2340" w:type="dxa"/>
            <w:vAlign w:val="bottom"/>
          </w:tcPr>
          <w:p>
            <w:pPr>
              <w:jc w:val="right"/>
              <w:ind w:right="197"/>
              <w:spacing w:after="0"/>
              <w:rPr>
                <w:sz w:val="20"/>
                <w:szCs w:val="20"/>
                <w:color w:val="auto"/>
              </w:rPr>
            </w:pPr>
            <w:r>
              <w:rPr>
                <w:rFonts w:ascii="Arial" w:cs="Arial" w:eastAsia="Arial" w:hAnsi="Arial"/>
                <w:sz w:val="17"/>
                <w:szCs w:val="17"/>
                <w:color w:val="282A32"/>
              </w:rPr>
              <w:t>15.5</w:t>
            </w:r>
          </w:p>
        </w:tc>
        <w:tc>
          <w:tcPr>
            <w:tcW w:w="1040" w:type="dxa"/>
            <w:vAlign w:val="bottom"/>
          </w:tcPr>
          <w:p>
            <w:pPr>
              <w:jc w:val="right"/>
              <w:ind w:right="217"/>
              <w:spacing w:after="0"/>
              <w:rPr>
                <w:sz w:val="20"/>
                <w:szCs w:val="20"/>
                <w:color w:val="auto"/>
              </w:rPr>
            </w:pPr>
            <w:r>
              <w:rPr>
                <w:rFonts w:ascii="Arial" w:cs="Arial" w:eastAsia="Arial" w:hAnsi="Arial"/>
                <w:sz w:val="17"/>
                <w:szCs w:val="17"/>
                <w:color w:val="282A32"/>
              </w:rPr>
              <w:t>13.8</w:t>
            </w:r>
          </w:p>
        </w:tc>
        <w:tc>
          <w:tcPr>
            <w:tcW w:w="1340" w:type="dxa"/>
            <w:vAlign w:val="bottom"/>
          </w:tcPr>
          <w:p>
            <w:pPr>
              <w:jc w:val="right"/>
              <w:ind w:right="217"/>
              <w:spacing w:after="0"/>
              <w:rPr>
                <w:sz w:val="20"/>
                <w:szCs w:val="20"/>
                <w:color w:val="auto"/>
              </w:rPr>
            </w:pPr>
            <w:r>
              <w:rPr>
                <w:rFonts w:ascii="Arial" w:cs="Arial" w:eastAsia="Arial" w:hAnsi="Arial"/>
                <w:sz w:val="17"/>
                <w:szCs w:val="17"/>
                <w:color w:val="282A32"/>
              </w:rPr>
              <w:t>1.2</w:t>
            </w:r>
          </w:p>
        </w:tc>
        <w:tc>
          <w:tcPr>
            <w:tcW w:w="1260" w:type="dxa"/>
            <w:vAlign w:val="bottom"/>
          </w:tcPr>
          <w:p>
            <w:pPr>
              <w:jc w:val="right"/>
              <w:ind w:right="137"/>
              <w:spacing w:after="0"/>
              <w:rPr>
                <w:sz w:val="20"/>
                <w:szCs w:val="20"/>
                <w:color w:val="auto"/>
              </w:rPr>
            </w:pPr>
            <w:r>
              <w:rPr>
                <w:rFonts w:ascii="Arial" w:cs="Arial" w:eastAsia="Arial" w:hAnsi="Arial"/>
                <w:sz w:val="17"/>
                <w:szCs w:val="17"/>
                <w:color w:val="282A32"/>
              </w:rPr>
              <w:t>0.5</w:t>
            </w:r>
          </w:p>
        </w:tc>
        <w:tc>
          <w:tcPr>
            <w:tcW w:w="1000" w:type="dxa"/>
            <w:vAlign w:val="bottom"/>
          </w:tcPr>
          <w:p>
            <w:pPr>
              <w:jc w:val="right"/>
              <w:ind w:right="17"/>
              <w:spacing w:after="0"/>
              <w:rPr>
                <w:sz w:val="20"/>
                <w:szCs w:val="20"/>
                <w:color w:val="auto"/>
              </w:rPr>
            </w:pPr>
            <w:r>
              <w:rPr>
                <w:rFonts w:ascii="Arial" w:cs="Arial" w:eastAsia="Arial" w:hAnsi="Arial"/>
                <w:sz w:val="17"/>
                <w:szCs w:val="17"/>
                <w:color w:val="282A32"/>
              </w:rPr>
              <w:t>—</w:t>
            </w:r>
          </w:p>
        </w:tc>
      </w:tr>
      <w:tr>
        <w:trPr>
          <w:trHeight w:val="25"/>
        </w:trPr>
        <w:tc>
          <w:tcPr>
            <w:tcW w:w="4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Transition tax resulting from the Tax Act</w:t>
            </w:r>
          </w:p>
        </w:tc>
        <w:tc>
          <w:tcPr>
            <w:tcW w:w="23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128.6</w:t>
            </w:r>
          </w:p>
        </w:tc>
        <w:tc>
          <w:tcPr>
            <w:tcW w:w="10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0.3</w:t>
            </w:r>
          </w:p>
        </w:tc>
        <w:tc>
          <w:tcPr>
            <w:tcW w:w="13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24.3</w:t>
            </w:r>
          </w:p>
        </w:tc>
        <w:tc>
          <w:tcPr>
            <w:tcW w:w="12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34.9</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69.1</w:t>
            </w:r>
          </w:p>
        </w:tc>
      </w:tr>
      <w:tr>
        <w:trPr>
          <w:trHeight w:val="224"/>
        </w:trPr>
        <w:tc>
          <w:tcPr>
            <w:tcW w:w="4220" w:type="dxa"/>
            <w:vAlign w:val="bottom"/>
          </w:tcPr>
          <w:p>
            <w:pPr>
              <w:ind w:left="20"/>
              <w:spacing w:after="0"/>
              <w:rPr>
                <w:sz w:val="20"/>
                <w:szCs w:val="20"/>
                <w:color w:val="auto"/>
              </w:rPr>
            </w:pPr>
            <w:r>
              <w:rPr>
                <w:rFonts w:ascii="Arial" w:cs="Arial" w:eastAsia="Arial" w:hAnsi="Arial"/>
                <w:sz w:val="17"/>
                <w:szCs w:val="17"/>
                <w:color w:val="282A32"/>
              </w:rPr>
              <w:t>Other</w:t>
            </w:r>
          </w:p>
        </w:tc>
        <w:tc>
          <w:tcPr>
            <w:tcW w:w="2340" w:type="dxa"/>
            <w:vAlign w:val="bottom"/>
          </w:tcPr>
          <w:p>
            <w:pPr>
              <w:jc w:val="right"/>
              <w:ind w:right="197"/>
              <w:spacing w:after="0"/>
              <w:rPr>
                <w:sz w:val="20"/>
                <w:szCs w:val="20"/>
                <w:color w:val="auto"/>
              </w:rPr>
            </w:pPr>
            <w:r>
              <w:rPr>
                <w:rFonts w:ascii="Arial" w:cs="Arial" w:eastAsia="Arial" w:hAnsi="Arial"/>
                <w:sz w:val="17"/>
                <w:szCs w:val="17"/>
                <w:color w:val="282A32"/>
              </w:rPr>
              <w:t>301.2</w:t>
            </w:r>
          </w:p>
        </w:tc>
        <w:tc>
          <w:tcPr>
            <w:tcW w:w="1040" w:type="dxa"/>
            <w:vAlign w:val="bottom"/>
          </w:tcPr>
          <w:p>
            <w:pPr>
              <w:jc w:val="right"/>
              <w:ind w:right="217"/>
              <w:spacing w:after="0"/>
              <w:rPr>
                <w:sz w:val="20"/>
                <w:szCs w:val="20"/>
                <w:color w:val="auto"/>
              </w:rPr>
            </w:pPr>
            <w:r>
              <w:rPr>
                <w:rFonts w:ascii="Arial" w:cs="Arial" w:eastAsia="Arial" w:hAnsi="Arial"/>
                <w:sz w:val="17"/>
                <w:szCs w:val="17"/>
                <w:color w:val="282A32"/>
              </w:rPr>
              <w:t>112.8</w:t>
            </w:r>
          </w:p>
        </w:tc>
        <w:tc>
          <w:tcPr>
            <w:tcW w:w="1340" w:type="dxa"/>
            <w:vAlign w:val="bottom"/>
          </w:tcPr>
          <w:p>
            <w:pPr>
              <w:jc w:val="right"/>
              <w:ind w:right="217"/>
              <w:spacing w:after="0"/>
              <w:rPr>
                <w:sz w:val="20"/>
                <w:szCs w:val="20"/>
                <w:color w:val="auto"/>
              </w:rPr>
            </w:pPr>
            <w:r>
              <w:rPr>
                <w:rFonts w:ascii="Arial" w:cs="Arial" w:eastAsia="Arial" w:hAnsi="Arial"/>
                <w:sz w:val="17"/>
                <w:szCs w:val="17"/>
                <w:color w:val="282A32"/>
              </w:rPr>
              <w:t>117.2</w:t>
            </w:r>
          </w:p>
        </w:tc>
        <w:tc>
          <w:tcPr>
            <w:tcW w:w="1260" w:type="dxa"/>
            <w:vAlign w:val="bottom"/>
          </w:tcPr>
          <w:p>
            <w:pPr>
              <w:jc w:val="right"/>
              <w:ind w:right="137"/>
              <w:spacing w:after="0"/>
              <w:rPr>
                <w:sz w:val="20"/>
                <w:szCs w:val="20"/>
                <w:color w:val="auto"/>
              </w:rPr>
            </w:pPr>
            <w:r>
              <w:rPr>
                <w:rFonts w:ascii="Arial" w:cs="Arial" w:eastAsia="Arial" w:hAnsi="Arial"/>
                <w:sz w:val="17"/>
                <w:szCs w:val="17"/>
                <w:color w:val="282A32"/>
              </w:rPr>
              <w:t>36.8</w:t>
            </w:r>
          </w:p>
        </w:tc>
        <w:tc>
          <w:tcPr>
            <w:tcW w:w="1000" w:type="dxa"/>
            <w:vAlign w:val="bottom"/>
          </w:tcPr>
          <w:p>
            <w:pPr>
              <w:jc w:val="right"/>
              <w:ind w:right="17"/>
              <w:spacing w:after="0"/>
              <w:rPr>
                <w:sz w:val="20"/>
                <w:szCs w:val="20"/>
                <w:color w:val="auto"/>
              </w:rPr>
            </w:pPr>
            <w:r>
              <w:rPr>
                <w:rFonts w:ascii="Arial" w:cs="Arial" w:eastAsia="Arial" w:hAnsi="Arial"/>
                <w:sz w:val="17"/>
                <w:szCs w:val="17"/>
                <w:color w:val="282A32"/>
              </w:rPr>
              <w:t>34.4</w:t>
            </w:r>
          </w:p>
        </w:tc>
      </w:tr>
      <w:tr>
        <w:trPr>
          <w:trHeight w:val="25"/>
        </w:trPr>
        <w:tc>
          <w:tcPr>
            <w:tcW w:w="42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2"/>
        </w:trPr>
        <w:tc>
          <w:tcPr>
            <w:tcW w:w="4220" w:type="dxa"/>
            <w:vAlign w:val="bottom"/>
            <w:tcBorders>
              <w:bottom w:val="single" w:sz="8" w:color="CCEEFF"/>
            </w:tcBorders>
            <w:shd w:val="clear" w:color="auto" w:fill="CCEEFF"/>
          </w:tcPr>
          <w:p>
            <w:pPr>
              <w:spacing w:after="0"/>
              <w:rPr>
                <w:sz w:val="19"/>
                <w:szCs w:val="19"/>
                <w:color w:val="auto"/>
              </w:rPr>
            </w:pPr>
          </w:p>
        </w:tc>
        <w:tc>
          <w:tcPr>
            <w:tcW w:w="23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$2,202.2</w:t>
            </w:r>
          </w:p>
        </w:tc>
        <w:tc>
          <w:tcPr>
            <w:tcW w:w="10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$347.0</w:t>
            </w:r>
          </w:p>
        </w:tc>
        <w:tc>
          <w:tcPr>
            <w:tcW w:w="13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$380.9</w:t>
            </w:r>
          </w:p>
        </w:tc>
        <w:tc>
          <w:tcPr>
            <w:tcW w:w="12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$667.3</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$807.0</w:t>
            </w:r>
          </w:p>
        </w:tc>
      </w:tr>
      <w:tr>
        <w:trPr>
          <w:trHeight w:val="20"/>
        </w:trPr>
        <w:tc>
          <w:tcPr>
            <w:tcW w:w="422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Our liability for gross unrecognized tax benefits, including related interest and penalties, of $34.2 million is excluded from the commitments above as we cannot determine the years in which these positions might ultimately be settled.</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We recorded net restructuring costs of $39.3 million and $34.5 million in 2018 and 2017, respectively, in selling and administrative expenses, primarily related to severances and office closures and consolidations in multiple countries. During 2018 and 2017, we made payments of $37.3 million and $25.5 million, respectively, out of our restructuring reserve. We expect a majority of the remaining $15.5 million reserve will be paid by the end of 2019.</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282A32"/>
        </w:rPr>
        <w:t>We have entered into guarantee contracts and stand-by letters of credit that total approximately $190.3 million and $201.9 million as of December 31, 2018 and 2017, respectively ($139.0 million and $149.3 million for guarantees, respectively, and $51.3 million and $52.6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$1.9 million for both 2018 and 2017.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351" w:right="239" w:bottom="1440" w:gutter="0" w:footer="0" w:header="0"/>
        </w:sectPr>
      </w:pPr>
    </w:p>
    <w:bookmarkStart w:id="41" w:name="page42"/>
    <w:bookmarkEnd w:id="41"/>
    <w:p>
      <w:pPr>
        <w:spacing w:after="0" w:line="265" w:lineRule="auto"/>
        <w:rPr>
          <w:sz w:val="20"/>
          <w:szCs w:val="20"/>
          <w:color w:val="auto"/>
        </w:rPr>
      </w:pPr>
      <w:r>
        <w:rPr>
          <w:rFonts w:ascii="Arial" w:cs="Arial" w:eastAsia="Arial" w:hAnsi="Arial"/>
          <w:sz w:val="17"/>
          <w:szCs w:val="17"/>
          <w:color w:val="282A32"/>
        </w:rPr>
        <w:t>Total capitalization as of December 31, 2018 was $3,773.9 million, comprised of $1,075.4 million in debt and $2,698.5 million in equity. Debt as a percentage of total capitalization was 28% as of December 31, 2018 and 25% as of both December 31, 2017 and 2016.</w:t>
      </w:r>
    </w:p>
    <w:p>
      <w:pPr>
        <w:spacing w:after="0" w:line="3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Euro Notes</w:t>
      </w:r>
    </w:p>
    <w:p>
      <w:pPr>
        <w:spacing w:after="0" w:line="203"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On June 22, 2018, we offered and sold €500.0 million aggregate principal amount of the Company’s 1.750% notes due June 22, 2026 (the “€500.0 million notes”). The net proceeds from the €500.0 million notes of €495.7 million were used to repay our €350.0 million notes due June 22, 2018, with the remaining balance used for general corporate purposes, which included share repurchases. The €500.0 million notes were issued at a price of 99.564% to yield an effective interest rate of 1.809%. Interest on the €500.0 million notes is payable in arrears on June 22 of each year. The €500.0 million notes are unsecured senior obligations and will rank equally with all of the Company’s existing and future senior unsecured debt and other liabilities.</w:t>
      </w:r>
    </w:p>
    <w:p>
      <w:pPr>
        <w:spacing w:after="0" w:line="165"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color w:val="282A32"/>
        </w:rPr>
        <w:t>€400.0</w:t>
      </w:r>
      <w:r>
        <w:rPr>
          <w:rFonts w:ascii="Arial" w:cs="Arial" w:eastAsia="Arial" w:hAnsi="Arial"/>
          <w:sz w:val="17"/>
          <w:szCs w:val="17"/>
          <w:color w:val="auto"/>
        </w:rPr>
        <w:t xml:space="preserve"> million aggregate principal amount 1.875% notes (the "€400.0 million notes") are due September 2022. When the notes mature, we plan to repay the amounts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€500.0 million notes or the €400.0 million notes.</w:t>
      </w:r>
    </w:p>
    <w:p>
      <w:pPr>
        <w:spacing w:after="0" w:line="179" w:lineRule="exact"/>
        <w:rPr>
          <w:sz w:val="20"/>
          <w:szCs w:val="20"/>
          <w:color w:val="auto"/>
        </w:rPr>
      </w:pPr>
    </w:p>
    <w:p>
      <w:pPr>
        <w:ind w:right="220"/>
        <w:spacing w:after="0" w:line="288" w:lineRule="auto"/>
        <w:rPr>
          <w:sz w:val="20"/>
          <w:szCs w:val="20"/>
          <w:color w:val="auto"/>
        </w:rPr>
      </w:pPr>
      <w:r>
        <w:rPr>
          <w:rFonts w:ascii="Arial" w:cs="Arial" w:eastAsia="Arial" w:hAnsi="Arial"/>
          <w:sz w:val="15"/>
          <w:szCs w:val="15"/>
          <w:color w:val="282A32"/>
        </w:rPr>
        <w:t xml:space="preserve">Both the </w:t>
      </w:r>
      <w:r>
        <w:rPr>
          <w:rFonts w:ascii="Arial" w:cs="Arial" w:eastAsia="Arial" w:hAnsi="Arial"/>
          <w:sz w:val="15"/>
          <w:szCs w:val="15"/>
          <w:color w:val="000000"/>
        </w:rPr>
        <w:t>€500.0</w:t>
      </w:r>
      <w:r>
        <w:rPr>
          <w:rFonts w:ascii="Arial" w:cs="Arial" w:eastAsia="Arial" w:hAnsi="Arial"/>
          <w:sz w:val="15"/>
          <w:szCs w:val="15"/>
          <w:color w:val="282A32"/>
        </w:rPr>
        <w:t xml:space="preserve"> million notes and €400.0 million notes contain certain customary non-financial restrictive covenants and events of default and are unsecured senior obligations and rank equally with all of our existing and future senior unsecured debt and other liabilities. A portion of these notes has been designated as a hedge of our net investment in our foreign subsidiaries with a Euro-functional currency as of December 31, 2018. For this portion of the Euro-denominated notes, since our net investment in these subsidiaries exceeds the respective amount of the designated borrowings, both net of taxes, the related translation gains or losses are included as a component of accumulated other comprehensive loss. (See the Significant Matters Affecting Results of Operations section and Notes 8 and 13 to the Consolidated Financial Statements found </w:t>
      </w:r>
      <w:r>
        <w:rPr>
          <w:rFonts w:ascii="Arial" w:cs="Arial" w:eastAsia="Arial" w:hAnsi="Arial"/>
          <w:sz w:val="15"/>
          <w:szCs w:val="15"/>
          <w:color w:val="000000"/>
        </w:rPr>
        <w:t>in Item 8. "Financial Statements and Supplementary Data"</w:t>
      </w:r>
      <w:r>
        <w:rPr>
          <w:rFonts w:ascii="Arial" w:cs="Arial" w:eastAsia="Arial" w:hAnsi="Arial"/>
          <w:sz w:val="15"/>
          <w:szCs w:val="15"/>
          <w:color w:val="282A32"/>
        </w:rPr>
        <w:t xml:space="preserve"> for further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Revolving Credit Agreement</w:t>
      </w:r>
    </w:p>
    <w:p>
      <w:pPr>
        <w:spacing w:after="0" w:line="203" w:lineRule="exact"/>
        <w:rPr>
          <w:sz w:val="20"/>
          <w:szCs w:val="20"/>
          <w:color w:val="auto"/>
        </w:rPr>
      </w:pPr>
    </w:p>
    <w:p>
      <w:pPr>
        <w:ind w:right="40"/>
        <w:spacing w:after="0" w:line="248" w:lineRule="auto"/>
        <w:rPr>
          <w:sz w:val="20"/>
          <w:szCs w:val="20"/>
          <w:color w:val="auto"/>
        </w:rPr>
      </w:pPr>
      <w:r>
        <w:rPr>
          <w:rFonts w:ascii="Arial" w:cs="Arial" w:eastAsia="Arial" w:hAnsi="Arial"/>
          <w:sz w:val="17"/>
          <w:szCs w:val="17"/>
          <w:color w:val="auto"/>
        </w:rPr>
        <w:t xml:space="preserve">On June 18, 2018, we amended and restated our Five Year Credit Agreement with a syndicate of commercial banks, principally to revise the termination date of the facility from September 16, 2020 to June 18, 2023. The remaining material terms and conditions of the Agreement are substantially similar to the previous agreement. </w:t>
      </w:r>
      <w:r>
        <w:rPr>
          <w:rFonts w:ascii="Arial" w:cs="Arial" w:eastAsia="Arial" w:hAnsi="Arial"/>
          <w:sz w:val="17"/>
          <w:szCs w:val="17"/>
          <w:color w:val="282A32"/>
        </w:rPr>
        <w:t>The Credit</w:t>
      </w:r>
      <w:r>
        <w:rPr>
          <w:rFonts w:ascii="Arial" w:cs="Arial" w:eastAsia="Arial" w:hAnsi="Arial"/>
          <w:sz w:val="17"/>
          <w:szCs w:val="17"/>
          <w:color w:val="auto"/>
        </w:rPr>
        <w:t xml:space="preserve"> </w:t>
      </w:r>
      <w:r>
        <w:rPr>
          <w:rFonts w:ascii="Arial" w:cs="Arial" w:eastAsia="Arial" w:hAnsi="Arial"/>
          <w:sz w:val="17"/>
          <w:szCs w:val="17"/>
          <w:color w:val="282A32"/>
        </w:rPr>
        <w:t xml:space="preserve">Agreement allows for borrowing of $600.0 million in various currencies, and up to $150.0 million may be used for the issuance of stand-by letters of credit. We had </w:t>
      </w:r>
      <w:r>
        <w:rPr>
          <w:rFonts w:ascii="Arial" w:cs="Arial" w:eastAsia="Arial" w:hAnsi="Arial"/>
          <w:sz w:val="17"/>
          <w:szCs w:val="17"/>
          <w:color w:val="000000"/>
        </w:rPr>
        <w:t>no</w:t>
      </w:r>
      <w:r>
        <w:rPr>
          <w:rFonts w:ascii="Arial" w:cs="Arial" w:eastAsia="Arial" w:hAnsi="Arial"/>
          <w:sz w:val="17"/>
          <w:szCs w:val="17"/>
          <w:color w:val="282A32"/>
        </w:rPr>
        <w:t xml:space="preserve"> borrowings under this facility as of both December 31, 2018 and 2017. Outstanding letters of credit issued under the Credit Agreement totaled $0.5 million and $0.8 million as of December 31, 2018 and 2017, respectively. Additional borrowings of $599.5 million and $599.2 million were available to us under the facility as of December 31, 2018 and 2017, respectively.</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Under the Credit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100.0 basis points on any borrowings. A downgrade from both credit agencies would unfavorably impact our facility fees and result in additional costs ranging from approximately $0.2 million to $0.8 million annually.</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282A32"/>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20"/>
          </w:cols>
          <w:pgMar w:left="240" w:top="351" w:right="239" w:bottom="1440" w:gutter="0" w:footer="0" w:header="0"/>
        </w:sectPr>
      </w:pPr>
    </w:p>
    <w:bookmarkStart w:id="42" w:name="page43"/>
    <w:bookmarkEnd w:id="42"/>
    <w:p>
      <w:pPr>
        <w:jc w:val="both"/>
        <w:spacing w:after="0" w:line="265" w:lineRule="auto"/>
        <w:rPr>
          <w:sz w:val="20"/>
          <w:szCs w:val="20"/>
          <w:color w:val="auto"/>
        </w:rPr>
      </w:pPr>
      <w:r>
        <w:rPr>
          <w:rFonts w:ascii="Arial" w:cs="Arial" w:eastAsia="Arial" w:hAnsi="Arial"/>
          <w:sz w:val="17"/>
          <w:szCs w:val="17"/>
          <w:color w:val="282A32"/>
        </w:rPr>
        <w:t>As defined in the Credit Agreement, we had a net Debt-to-EBITDA ratio of 0.97 to 1 (compared to the maximum allowable ratio of 3.5 to 1) and a Fixed Charge Coverage ratio of 5.35 to 1 (compared to the minimum required ratio of 1.5 to 1) as of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Other</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282A32"/>
        </w:rPr>
        <w:t>In addition to the previously mentioned facilities, we maintain separate bank credit lines with financial institutions to meet working capital needs of our subsidiary operations. As of December 31, 2018, such uncommitted credit lines totaled $319.9 million, of which $269.1 million was unused. Under the Credit Agreement, total subsidiary borrowings cannot exceed $300.0 million in the first, second and fourth quarters, and $600.0 million in the third quarter of each year. Due to these limitations, additional borrowings of $249.2 million could have been made under these lines as of December 31, 2018.</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Our long-term debt has a rating of Baa1 from Moody's Investor Services and BBB from Standard and Poor's, both with a stable outlook. Both of the credit ratings are investment grade. Rating agencies use proprietary methodology in determining their ratings and outlook which includes, among other things, financial ratios based upon debt levels and earnings performance.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282A32"/>
        </w:rPr>
        <w:t>Application of Critical Accounting Policies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Employment-Related Items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The employment of contingent workers and permanent staff throughout the world results in the recognition of liabilities related to defined benefit pension plans, social program remittances and payroll tax audit exposures that require us to make estimates and assumptions in determining the proper reserve levels. These reserves involve significant estimates or judgments that are material to our financial statements.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Defined Benefit Pension Plans</w:t>
      </w:r>
    </w:p>
    <w:p>
      <w:pPr>
        <w:spacing w:after="0" w:line="203"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282A32"/>
        </w:rPr>
        <w:t>We sponsor several qualified and nonqualified pension plans covering permanent employees. The most significant plans are located in the United Kingdom, the Netherlands, Germany and France. Annual expense relating to these plans was $13.9 million, $11.2 million and $3.4 million in 2018, 2017 and 2016, respectively, and is estimated to be approximately $15.1 million in 2019. As of January 1, 2018, we adopted the new guidance on the presentation of net periodic pension and postretirement benefit cost ("net benefit cost"). The new guidance requires bifurcation of net benefit cost, which used to be reported as an employee cost within operating income under the old guidance. The service cost component is still presented with other employee compensation cost in operating income or capitalized in assets in rare circumstances. The other components are now reported separately outside of operations, and are not eligible for capitalization. We have reclassified the prior year non-service cost components of net benefit cost to interest and other expenses from selling and administrative expenses to conform to the current period presentation. The non-service cost components related to our defined benefit pension plans were a net cost of $3.0 million and $1.1 million and a net credit of $5.3 million for the years ended December 31, 2018, 2017 and 2016, respectively. (See Note 9 to the Consolidated Financial Statements found in Item 8. "Financial Statements and Supplementary Data" for further information.)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282A32"/>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the level of annual expense recorded related to the plans.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351" w:right="239" w:bottom="1440" w:gutter="0" w:footer="0" w:header="0"/>
        </w:sectPr>
      </w:pPr>
    </w:p>
    <w:bookmarkStart w:id="43" w:name="page44"/>
    <w:bookmarkEnd w:id="43"/>
    <w:p>
      <w:pPr>
        <w:jc w:val="both"/>
        <w:spacing w:after="0" w:line="285" w:lineRule="auto"/>
        <w:rPr>
          <w:sz w:val="20"/>
          <w:szCs w:val="20"/>
          <w:color w:val="auto"/>
        </w:rPr>
      </w:pPr>
      <w:r>
        <w:rPr>
          <w:rFonts w:ascii="Arial" w:cs="Arial" w:eastAsia="Arial" w:hAnsi="Arial"/>
          <w:sz w:val="15"/>
          <w:szCs w:val="15"/>
          <w:color w:val="282A32"/>
        </w:rPr>
        <w:t>In determining the estimated 2019 pension expense for non-United States plans, we used a weighted-average discount rate of 2.4% compared to 2.1% for 2018, reflecting the current interest rate environment. We have selected a weighted-average expected return on plan assets of 2.4% for the non-United States plans in determining the 2019 estimated pension expense compared to 2.7% used for the calculation of the 2018 pension expense. Absent any other changes, a 25 basis point increase and decrease in the weighted-average discount rate would impact our 2019 consolidated pension expense by a decrease of approximately $0.5 million and an increase of approximately $0.3 million, respectively. Absent any other changes, a 25 basis point increase or decrease in the weighted-average expected return on plan assets would correspondingly decrease or increase our 2019 consolidated pension expense by approximately $0.9 million. Changes to these assumptions have historically not been significant in any jurisdiction for any reporting period, and no significant adjustments to the amounts recorded have been required in the past or are expected in the future. (See Note 9 to the Consolidated Financial Statements found in Item 8. "Financial Statements and Supplementary Data" for further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Social Program Remittances and Payroll Tax Audit Exposure</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On a routine basis, various governmental agencies in some of the countries and territories in which we operate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282A32"/>
        </w:rPr>
        <w:t>We make an estimate of the additional remittances that may be required on a country-by-country basis, and record the estimate as a component of cost of services or selling and administrative expenses, as appropriate. Each country’s estimate is based on the results of past audits and the number of years that have not yet been audited,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 Other than France, we have not had any significant adjustments to the amounts recorded as a result of any payroll tax audits, and we do not expect any significant adjustments to the recorded amounts in the near term.</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Income Taxes</w:t>
      </w:r>
    </w:p>
    <w:p>
      <w:pPr>
        <w:spacing w:after="0" w:line="203"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4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based on cumulative probability, that is greater than 50% likely of being realized upon settlement is recognized. An uncertain tax position, one which does not meet the 50% threshold, will not be recognized in the financial statements.</w:t>
      </w:r>
    </w:p>
    <w:p>
      <w:pPr>
        <w:spacing w:after="0" w:line="179"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estimates of future taxable income change. We have unrecognized tax benefits related to items in various countries and territories. To the extent these items are settled for an amount different than we currently expect, the unrecognized tax benefit will be adjusted.</w:t>
      </w:r>
    </w:p>
    <w:p>
      <w:pPr>
        <w:spacing w:after="0" w:line="182"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We provide for income taxes on a quarterly basis based on an estimated annual tax rate. In determining this rate, we make estimates about taxable income for each of our largest locations worldwide, as well as the tax rate that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351" w:right="239" w:bottom="1440" w:gutter="0" w:footer="0" w:header="0"/>
        </w:sectPr>
      </w:pPr>
    </w:p>
    <w:bookmarkStart w:id="44" w:name="page45"/>
    <w:bookmarkEnd w:id="44"/>
    <w:p>
      <w:pPr>
        <w:ind w:right="400"/>
        <w:spacing w:after="0" w:line="265" w:lineRule="auto"/>
        <w:rPr>
          <w:sz w:val="20"/>
          <w:szCs w:val="20"/>
          <w:color w:val="auto"/>
        </w:rPr>
      </w:pPr>
      <w:r>
        <w:rPr>
          <w:rFonts w:ascii="Arial" w:cs="Arial" w:eastAsia="Arial" w:hAnsi="Arial"/>
          <w:sz w:val="17"/>
          <w:szCs w:val="17"/>
          <w:color w:val="auto"/>
        </w:rPr>
        <w:t>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6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December 2017, the Tax Act made broad changes to the United States tax code, including a reduction of the United States federal corporate income tax rate from 35% to 21% effective January 1, 2018 and a transition to a Territorial Tax regime resulting in a one-time transition tax on the mandatory deemed repatriation of unremitted post-1986 non-United States earnings. The Tax Act also established new provisions related to Global Intangible Low-Taxed Income ("GILTI"), Foreign-Derived Intangible Income (“FDII”) and a Base Erosion and Anti-abuse Tax (“BEAT”). The computation of these new provisions is highly complex, and our estimates could significantly change as a result of new rules or guidance from the various standard-setting bodies.</w:t>
      </w:r>
    </w:p>
    <w:p>
      <w:pPr>
        <w:spacing w:after="0" w:line="165" w:lineRule="exact"/>
        <w:rPr>
          <w:sz w:val="20"/>
          <w:szCs w:val="20"/>
          <w:color w:val="auto"/>
        </w:rPr>
      </w:pPr>
    </w:p>
    <w:p>
      <w:pPr>
        <w:ind w:right="220"/>
        <w:spacing w:after="0" w:line="304" w:lineRule="auto"/>
        <w:rPr>
          <w:sz w:val="20"/>
          <w:szCs w:val="20"/>
          <w:color w:val="auto"/>
        </w:rPr>
      </w:pPr>
      <w:r>
        <w:rPr>
          <w:rFonts w:ascii="Arial" w:cs="Arial" w:eastAsia="Arial" w:hAnsi="Arial"/>
          <w:sz w:val="15"/>
          <w:szCs w:val="15"/>
          <w:color w:val="auto"/>
        </w:rPr>
        <w:t>During 2018, the Internal Revenue Service issued new guidance affecting the computation of our 2017 transition tax liability. As a result of the new guidance and additional analysis of the impacts of the Tax Act, we revised our provisional estimates recorded during the year ended December 31, 2017 and as a result, recorded a tax expense of $3.2 million for the year ended December 31, 2018. Our accounting for the effects of the Tax Act was completed in the fourth quarter of 2018.</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See Note 6 to our Consolidated Financial Statements for further information on the impacts of the Tax Act. Such note is found in Item 8. “Financial Statements and Supplementary Data.”</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Goodwill Impairment</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82A32"/>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We performed our annual impairment test of our goodwill during the third quarter of 2018, 2017 and 2016, and there was no impairment of our goodwill as a result of our annual tests.</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Significant assumptions used in our annual goodwill impairment test during the third quarter of 2018 included: expected future revenue growth rates, operating unit profit margins, working capital levels, discount rates ranging from 10.6% to 14.2%,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The table below provides our reporting units’ estimated fair values and carrying values, determined as part of our annual goodwill impairment test performed in the third quarter, representing approximately 77% of our consolidated goodwill balance as of September 30, 2018.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8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40" w:type="dxa"/>
            <w:vAlign w:val="bottom"/>
          </w:tcPr>
          <w:p>
            <w:pPr>
              <w:jc w:val="right"/>
              <w:ind w:right="237"/>
              <w:spacing w:after="0"/>
              <w:rPr>
                <w:sz w:val="20"/>
                <w:szCs w:val="20"/>
                <w:color w:val="auto"/>
              </w:rPr>
            </w:pPr>
            <w:r>
              <w:rPr>
                <w:rFonts w:ascii="Arial" w:cs="Arial" w:eastAsia="Arial" w:hAnsi="Arial"/>
                <w:sz w:val="17"/>
                <w:szCs w:val="17"/>
                <w:color w:val="auto"/>
              </w:rPr>
              <w:t>United</w:t>
            </w:r>
          </w:p>
        </w:tc>
        <w:tc>
          <w:tcPr>
            <w:tcW w:w="1160" w:type="dxa"/>
            <w:vAlign w:val="bottom"/>
          </w:tcPr>
          <w:p>
            <w:pPr>
              <w:spacing w:after="0"/>
              <w:rPr>
                <w:sz w:val="17"/>
                <w:szCs w:val="17"/>
                <w:color w:val="auto"/>
              </w:rPr>
            </w:pPr>
          </w:p>
        </w:tc>
        <w:tc>
          <w:tcPr>
            <w:tcW w:w="1320" w:type="dxa"/>
            <w:vAlign w:val="bottom"/>
          </w:tcPr>
          <w:p>
            <w:pPr>
              <w:jc w:val="right"/>
              <w:ind w:right="137"/>
              <w:spacing w:after="0"/>
              <w:rPr>
                <w:sz w:val="20"/>
                <w:szCs w:val="20"/>
                <w:color w:val="auto"/>
              </w:rPr>
            </w:pPr>
            <w:r>
              <w:rPr>
                <w:rFonts w:ascii="Arial" w:cs="Arial" w:eastAsia="Arial" w:hAnsi="Arial"/>
                <w:sz w:val="17"/>
                <w:szCs w:val="17"/>
                <w:color w:val="auto"/>
              </w:rPr>
              <w:t>Right</w:t>
            </w:r>
          </w:p>
        </w:tc>
        <w:tc>
          <w:tcPr>
            <w:tcW w:w="1140" w:type="dxa"/>
            <w:vAlign w:val="bottom"/>
          </w:tcPr>
          <w:p>
            <w:pPr>
              <w:spacing w:after="0"/>
              <w:rPr>
                <w:sz w:val="17"/>
                <w:szCs w:val="17"/>
                <w:color w:val="auto"/>
              </w:rPr>
            </w:pPr>
          </w:p>
        </w:tc>
      </w:tr>
      <w:tr>
        <w:trPr>
          <w:trHeight w:val="212"/>
        </w:trPr>
        <w:tc>
          <w:tcPr>
            <w:tcW w:w="2840" w:type="dxa"/>
            <w:vAlign w:val="bottom"/>
          </w:tcPr>
          <w:p>
            <w:pPr>
              <w:ind w:left="20"/>
              <w:spacing w:after="0"/>
              <w:rPr>
                <w:sz w:val="20"/>
                <w:szCs w:val="20"/>
                <w:color w:val="auto"/>
              </w:rPr>
            </w:pPr>
            <w:r>
              <w:rPr>
                <w:rFonts w:ascii="Arial" w:cs="Arial" w:eastAsia="Arial" w:hAnsi="Arial"/>
                <w:sz w:val="17"/>
                <w:szCs w:val="17"/>
                <w:i w:val="1"/>
                <w:iCs w:val="1"/>
                <w:color w:val="auto"/>
              </w:rPr>
              <w:t>(in millions)</w:t>
            </w:r>
          </w:p>
        </w:tc>
        <w:tc>
          <w:tcPr>
            <w:tcW w:w="2220" w:type="dxa"/>
            <w:vAlign w:val="bottom"/>
          </w:tcPr>
          <w:p>
            <w:pPr>
              <w:jc w:val="right"/>
              <w:ind w:right="97"/>
              <w:spacing w:after="0"/>
              <w:rPr>
                <w:sz w:val="20"/>
                <w:szCs w:val="20"/>
                <w:color w:val="auto"/>
              </w:rPr>
            </w:pPr>
            <w:r>
              <w:rPr>
                <w:rFonts w:ascii="Arial" w:cs="Arial" w:eastAsia="Arial" w:hAnsi="Arial"/>
                <w:sz w:val="17"/>
                <w:szCs w:val="17"/>
                <w:color w:val="auto"/>
              </w:rPr>
              <w:t>France</w:t>
            </w:r>
          </w:p>
        </w:tc>
        <w:tc>
          <w:tcPr>
            <w:tcW w:w="1380" w:type="dxa"/>
            <w:vAlign w:val="bottom"/>
          </w:tcPr>
          <w:p>
            <w:pPr>
              <w:jc w:val="right"/>
              <w:ind w:right="217"/>
              <w:spacing w:after="0"/>
              <w:rPr>
                <w:sz w:val="20"/>
                <w:szCs w:val="20"/>
                <w:color w:val="auto"/>
              </w:rPr>
            </w:pPr>
            <w:r>
              <w:rPr>
                <w:rFonts w:ascii="Arial" w:cs="Arial" w:eastAsia="Arial" w:hAnsi="Arial"/>
                <w:sz w:val="17"/>
                <w:szCs w:val="17"/>
                <w:color w:val="auto"/>
              </w:rPr>
              <w:t>United States</w:t>
            </w:r>
          </w:p>
        </w:tc>
        <w:tc>
          <w:tcPr>
            <w:tcW w:w="1240" w:type="dxa"/>
            <w:vAlign w:val="bottom"/>
          </w:tcPr>
          <w:p>
            <w:pPr>
              <w:jc w:val="right"/>
              <w:ind w:right="237"/>
              <w:spacing w:after="0"/>
              <w:rPr>
                <w:sz w:val="20"/>
                <w:szCs w:val="20"/>
                <w:color w:val="auto"/>
              </w:rPr>
            </w:pPr>
            <w:r>
              <w:rPr>
                <w:rFonts w:ascii="Arial" w:cs="Arial" w:eastAsia="Arial" w:hAnsi="Arial"/>
                <w:sz w:val="17"/>
                <w:szCs w:val="17"/>
                <w:color w:val="auto"/>
              </w:rPr>
              <w:t>Kingdom</w:t>
            </w:r>
          </w:p>
        </w:tc>
        <w:tc>
          <w:tcPr>
            <w:tcW w:w="1160" w:type="dxa"/>
            <w:vAlign w:val="bottom"/>
          </w:tcPr>
          <w:p>
            <w:pPr>
              <w:jc w:val="right"/>
              <w:ind w:right="157"/>
              <w:spacing w:after="0"/>
              <w:rPr>
                <w:sz w:val="20"/>
                <w:szCs w:val="20"/>
                <w:color w:val="auto"/>
              </w:rPr>
            </w:pPr>
            <w:r>
              <w:rPr>
                <w:rFonts w:ascii="Arial" w:cs="Arial" w:eastAsia="Arial" w:hAnsi="Arial"/>
                <w:sz w:val="17"/>
                <w:szCs w:val="17"/>
                <w:color w:val="auto"/>
              </w:rPr>
              <w:t>Germany</w:t>
            </w:r>
          </w:p>
        </w:tc>
        <w:tc>
          <w:tcPr>
            <w:tcW w:w="1320" w:type="dxa"/>
            <w:vAlign w:val="bottom"/>
          </w:tcPr>
          <w:p>
            <w:pPr>
              <w:jc w:val="right"/>
              <w:ind w:right="137"/>
              <w:spacing w:after="0"/>
              <w:rPr>
                <w:sz w:val="20"/>
                <w:szCs w:val="20"/>
                <w:color w:val="auto"/>
              </w:rPr>
            </w:pPr>
            <w:r>
              <w:rPr>
                <w:rFonts w:ascii="Arial" w:cs="Arial" w:eastAsia="Arial" w:hAnsi="Arial"/>
                <w:sz w:val="17"/>
                <w:szCs w:val="17"/>
                <w:color w:val="auto"/>
              </w:rPr>
              <w:t>Management</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Netherlands</w:t>
            </w:r>
          </w:p>
        </w:tc>
      </w:tr>
      <w:tr>
        <w:trPr>
          <w:trHeight w:val="25"/>
        </w:trPr>
        <w:tc>
          <w:tcPr>
            <w:tcW w:w="2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Estimated fair values</w:t>
            </w:r>
          </w:p>
        </w:tc>
        <w:tc>
          <w:tcPr>
            <w:tcW w:w="22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282A32"/>
              </w:rPr>
              <w:t>$2,513.8</w:t>
            </w:r>
          </w:p>
        </w:tc>
        <w:tc>
          <w:tcPr>
            <w:tcW w:w="13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$1,307.2</w:t>
            </w:r>
          </w:p>
        </w:tc>
        <w:tc>
          <w:tcPr>
            <w:tcW w:w="12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$446.9</w:t>
            </w:r>
          </w:p>
        </w:tc>
        <w:tc>
          <w:tcPr>
            <w:tcW w:w="11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282A32"/>
              </w:rPr>
              <w:t>$431.1</w:t>
            </w:r>
          </w:p>
        </w:tc>
        <w:tc>
          <w:tcPr>
            <w:tcW w:w="13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$354.7</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$227.6</w:t>
            </w:r>
          </w:p>
        </w:tc>
      </w:tr>
      <w:tr>
        <w:trPr>
          <w:trHeight w:val="224"/>
        </w:trPr>
        <w:tc>
          <w:tcPr>
            <w:tcW w:w="2840" w:type="dxa"/>
            <w:vAlign w:val="bottom"/>
          </w:tcPr>
          <w:p>
            <w:pPr>
              <w:ind w:left="20"/>
              <w:spacing w:after="0"/>
              <w:rPr>
                <w:sz w:val="20"/>
                <w:szCs w:val="20"/>
                <w:color w:val="auto"/>
              </w:rPr>
            </w:pPr>
            <w:r>
              <w:rPr>
                <w:rFonts w:ascii="Arial" w:cs="Arial" w:eastAsia="Arial" w:hAnsi="Arial"/>
                <w:sz w:val="17"/>
                <w:szCs w:val="17"/>
                <w:color w:val="282A32"/>
              </w:rPr>
              <w:t>Carrying values</w:t>
            </w:r>
          </w:p>
        </w:tc>
        <w:tc>
          <w:tcPr>
            <w:tcW w:w="2220" w:type="dxa"/>
            <w:vAlign w:val="bottom"/>
          </w:tcPr>
          <w:p>
            <w:pPr>
              <w:jc w:val="right"/>
              <w:ind w:right="217"/>
              <w:spacing w:after="0"/>
              <w:rPr>
                <w:sz w:val="20"/>
                <w:szCs w:val="20"/>
                <w:color w:val="auto"/>
              </w:rPr>
            </w:pPr>
            <w:r>
              <w:rPr>
                <w:rFonts w:ascii="Arial" w:cs="Arial" w:eastAsia="Arial" w:hAnsi="Arial"/>
                <w:sz w:val="17"/>
                <w:szCs w:val="17"/>
                <w:color w:val="282A32"/>
              </w:rPr>
              <w:t>1,186.7</w:t>
            </w:r>
          </w:p>
        </w:tc>
        <w:tc>
          <w:tcPr>
            <w:tcW w:w="1380" w:type="dxa"/>
            <w:vAlign w:val="bottom"/>
          </w:tcPr>
          <w:p>
            <w:pPr>
              <w:jc w:val="right"/>
              <w:ind w:right="217"/>
              <w:spacing w:after="0"/>
              <w:rPr>
                <w:sz w:val="20"/>
                <w:szCs w:val="20"/>
                <w:color w:val="auto"/>
              </w:rPr>
            </w:pPr>
            <w:r>
              <w:rPr>
                <w:rFonts w:ascii="Arial" w:cs="Arial" w:eastAsia="Arial" w:hAnsi="Arial"/>
                <w:sz w:val="17"/>
                <w:szCs w:val="17"/>
                <w:color w:val="282A32"/>
              </w:rPr>
              <w:t>808.1</w:t>
            </w:r>
          </w:p>
        </w:tc>
        <w:tc>
          <w:tcPr>
            <w:tcW w:w="1240" w:type="dxa"/>
            <w:vAlign w:val="bottom"/>
          </w:tcPr>
          <w:p>
            <w:pPr>
              <w:jc w:val="right"/>
              <w:ind w:right="237"/>
              <w:spacing w:after="0"/>
              <w:rPr>
                <w:sz w:val="20"/>
                <w:szCs w:val="20"/>
                <w:color w:val="auto"/>
              </w:rPr>
            </w:pPr>
            <w:r>
              <w:rPr>
                <w:rFonts w:ascii="Arial" w:cs="Arial" w:eastAsia="Arial" w:hAnsi="Arial"/>
                <w:sz w:val="17"/>
                <w:szCs w:val="17"/>
                <w:color w:val="282A32"/>
              </w:rPr>
              <w:t>372.7</w:t>
            </w:r>
          </w:p>
        </w:tc>
        <w:tc>
          <w:tcPr>
            <w:tcW w:w="1160" w:type="dxa"/>
            <w:vAlign w:val="bottom"/>
          </w:tcPr>
          <w:p>
            <w:pPr>
              <w:jc w:val="right"/>
              <w:ind w:right="157"/>
              <w:spacing w:after="0"/>
              <w:rPr>
                <w:sz w:val="20"/>
                <w:szCs w:val="20"/>
                <w:color w:val="auto"/>
              </w:rPr>
            </w:pPr>
            <w:r>
              <w:rPr>
                <w:rFonts w:ascii="Arial" w:cs="Arial" w:eastAsia="Arial" w:hAnsi="Arial"/>
                <w:sz w:val="17"/>
                <w:szCs w:val="17"/>
                <w:color w:val="282A32"/>
              </w:rPr>
              <w:t>363.3</w:t>
            </w:r>
          </w:p>
        </w:tc>
        <w:tc>
          <w:tcPr>
            <w:tcW w:w="1320" w:type="dxa"/>
            <w:vAlign w:val="bottom"/>
          </w:tcPr>
          <w:p>
            <w:pPr>
              <w:jc w:val="right"/>
              <w:ind w:right="137"/>
              <w:spacing w:after="0"/>
              <w:rPr>
                <w:sz w:val="20"/>
                <w:szCs w:val="20"/>
                <w:color w:val="auto"/>
              </w:rPr>
            </w:pPr>
            <w:r>
              <w:rPr>
                <w:rFonts w:ascii="Arial" w:cs="Arial" w:eastAsia="Arial" w:hAnsi="Arial"/>
                <w:sz w:val="17"/>
                <w:szCs w:val="17"/>
                <w:color w:val="282A32"/>
              </w:rPr>
              <w:t>143.5</w:t>
            </w:r>
          </w:p>
        </w:tc>
        <w:tc>
          <w:tcPr>
            <w:tcW w:w="1140" w:type="dxa"/>
            <w:vAlign w:val="bottom"/>
          </w:tcPr>
          <w:p>
            <w:pPr>
              <w:jc w:val="right"/>
              <w:ind w:right="37"/>
              <w:spacing w:after="0"/>
              <w:rPr>
                <w:sz w:val="20"/>
                <w:szCs w:val="20"/>
                <w:color w:val="auto"/>
              </w:rPr>
            </w:pPr>
            <w:r>
              <w:rPr>
                <w:rFonts w:ascii="Arial" w:cs="Arial" w:eastAsia="Arial" w:hAnsi="Arial"/>
                <w:sz w:val="17"/>
                <w:szCs w:val="17"/>
                <w:color w:val="282A32"/>
              </w:rPr>
              <w:t>138.6</w:t>
            </w:r>
          </w:p>
        </w:tc>
      </w:tr>
      <w:tr>
        <w:trPr>
          <w:trHeight w:val="25"/>
        </w:trPr>
        <w:tc>
          <w:tcPr>
            <w:tcW w:w="2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416"/>
        </w:trPr>
        <w:tc>
          <w:tcPr>
            <w:tcW w:w="28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80" w:type="dxa"/>
            <w:vAlign w:val="bottom"/>
          </w:tcPr>
          <w:p>
            <w:pPr>
              <w:jc w:val="right"/>
              <w:ind w:right="557"/>
              <w:spacing w:after="0"/>
              <w:rPr>
                <w:sz w:val="20"/>
                <w:szCs w:val="20"/>
                <w:color w:val="auto"/>
              </w:rPr>
            </w:pPr>
            <w:r>
              <w:rPr>
                <w:rFonts w:ascii="Arial" w:cs="Arial" w:eastAsia="Arial" w:hAnsi="Arial"/>
                <w:sz w:val="17"/>
                <w:szCs w:val="17"/>
                <w:color w:val="auto"/>
              </w:rPr>
              <w:t>45</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45" w:name="page46"/>
    <w:bookmarkEnd w:id="45"/>
    <w:p>
      <w:pPr>
        <w:spacing w:after="0"/>
        <w:tabs>
          <w:tab w:leader="none" w:pos="110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u w:val="single" w:color="auto"/>
          <w:color w:val="282A32"/>
        </w:rPr>
        <w:t>Significant Matters Affecting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282A32"/>
        </w:rPr>
        <w:t>Market Risks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282A32"/>
        </w:rPr>
        <w:t>We are exposed to the impact of foreign currency exchange rate fluctuations and interest rate changes.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Exchange Rates</w:t>
      </w:r>
    </w:p>
    <w:p>
      <w:pPr>
        <w:spacing w:after="0" w:line="203" w:lineRule="exact"/>
        <w:rPr>
          <w:sz w:val="20"/>
          <w:szCs w:val="20"/>
          <w:color w:val="auto"/>
        </w:rPr>
      </w:pPr>
    </w:p>
    <w:p>
      <w:pPr>
        <w:jc w:val="both"/>
        <w:spacing w:after="0" w:line="332" w:lineRule="auto"/>
        <w:rPr>
          <w:sz w:val="20"/>
          <w:szCs w:val="20"/>
          <w:color w:val="auto"/>
        </w:rPr>
      </w:pPr>
      <w:r>
        <w:rPr>
          <w:rFonts w:ascii="Arial" w:cs="Arial" w:eastAsia="Arial" w:hAnsi="Arial"/>
          <w:sz w:val="15"/>
          <w:szCs w:val="15"/>
          <w:color w:val="282A32"/>
        </w:rPr>
        <w:t>Our exposure to foreign currency exchange rates relates primarily to our foreign subsidiaries and our Euro-denominated borrowings. For our foreign subsidiaries, exchange rates impact the United States dollar value of our reported earnings, our investments in the subsidiaries and the intercompany transactions with the subsidiaries.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282A32"/>
        </w:rPr>
        <w:t>Approximately 88% of our revenues and profits are generated outside of the United States, with 51%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average exchange rates each month. Consequently, as the value of the United States dollar changes relative to the currencies of our major markets, our reported results vary.</w:t>
      </w:r>
    </w:p>
    <w:p>
      <w:pPr>
        <w:spacing w:after="0" w:line="163"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282A32"/>
        </w:rPr>
        <w:t>The United States dollar generally strengthened against many of the currencies of our major markets during 2018</w:t>
      </w:r>
      <w:r>
        <w:rPr>
          <w:rFonts w:ascii="Arial" w:cs="Arial" w:eastAsia="Arial" w:hAnsi="Arial"/>
          <w:sz w:val="15"/>
          <w:szCs w:val="15"/>
          <w:color w:val="000000"/>
        </w:rPr>
        <w:t>, whereas it generally weakened in</w:t>
      </w:r>
      <w:r>
        <w:rPr>
          <w:rFonts w:ascii="Arial" w:cs="Arial" w:eastAsia="Arial" w:hAnsi="Arial"/>
          <w:sz w:val="15"/>
          <w:szCs w:val="15"/>
          <w:color w:val="282A32"/>
        </w:rPr>
        <w:t xml:space="preserve"> 2017. Revenues from services in constant currency were 2.0% and 1.0% lower than reported revenues in 2018 and 2017, respectively. A change in the strength of the United States dollar by an additional 10% would have impacted our revenues from services by approximately 8.8% and 8.7% from the amounts reported in 2018 and 2017, respectively.</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282A32"/>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accumulated other comprehensive loss. The United States dollar strengthened relative to many foreign currencies as of December 31, 2018 compared to December 31, 2017. Consequently, shareholders’ equity decreased by $108.7 million as a result of the foreign currency translation as of December 31, 2018. If the United States dollar had strengthened an additional 10% as of December 31, 2018, resulting translation adjustments recorded in shareholders’ equity would have increased by approximately $198.5 million from the amounts reported.</w:t>
      </w:r>
    </w:p>
    <w:p>
      <w:pPr>
        <w:spacing w:after="0" w:line="168"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282A32"/>
        </w:rPr>
        <w:t>As of December 31, 2017 the United States dollar weakened relative to many foreign currencies compared to December 31, 2016. Consequently, shareholders’ equity increased by $141.6 million as a result of the foreign currency translation as of December 31, 2017. If the United States dollar had strengthened an additional 10% as of December 31, 2017 resulting translation adjustments recorded in shareholders’ equity would have decreased by approximately $136.2 million from the amounts reported.</w:t>
      </w:r>
    </w:p>
    <w:p>
      <w:pPr>
        <w:spacing w:after="0" w:line="142"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282A32"/>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license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spacing w:after="0" w:line="15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82A32"/>
        </w:rPr>
        <w:t>On occasion, forward contracts are designated as an economic hedge of our net investment in our foreign subsidiaries. As of December 31, 2018, we had a translation loss of $4.2 million included in accumulated other comprehensive loss, net of taxes, as the net investment hedge was deemed effective.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547" w:right="239" w:bottom="1440" w:gutter="0" w:footer="0" w:header="0"/>
        </w:sectPr>
      </w:pPr>
    </w:p>
    <w:bookmarkStart w:id="46" w:name="page47"/>
    <w:bookmarkEnd w:id="46"/>
    <w:p>
      <w:pPr>
        <w:jc w:val="both"/>
        <w:spacing w:after="0" w:line="254" w:lineRule="auto"/>
        <w:rPr>
          <w:sz w:val="20"/>
          <w:szCs w:val="20"/>
          <w:color w:val="auto"/>
        </w:rPr>
      </w:pPr>
      <w:r>
        <w:rPr>
          <w:rFonts w:ascii="Arial" w:cs="Arial" w:eastAsia="Arial" w:hAnsi="Arial"/>
          <w:sz w:val="17"/>
          <w:szCs w:val="17"/>
          <w:color w:val="282A32"/>
        </w:rPr>
        <w:t>As of December 31, 2018, there were £3.5 ($4.5) million and €1.6 ($1.8) million and 172.8 ($1.5) million in Japanese Yen (“JPY”) of forward contracts that relate to cash flows owed to our foreign subsidiaries in 2018. For our forward contracts that are not designated as hedges, any gain or loss resulting from the change in fair value is recognized in the current period earnings.</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82A32"/>
        </w:rPr>
        <w:t>As of December 31, 2018, we had outstanding $1,024.6 million in principal amount of Euro-denominated notes (€900.0 million). A portion of the notes has been designated as a hedge of our net investment in subsidiaries with a Euro-functional currency as of December 31, 2018. For this portion of the Euro-denominated notes, since our net investment in these subsidiaries exceeds the respective amount of the designated borrowings, both net of tax, the related translation gains or losses are included as a component of accumulated other comprehensive loss. Shareholders’ equity increased by $35.2 million, net of tax, due to changes in accumulated other comprehensive loss during 2018, due to the currency impact on these designated borrowings.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Interest Rates</w:t>
      </w:r>
    </w:p>
    <w:p>
      <w:pPr>
        <w:spacing w:after="0" w:line="203" w:lineRule="exact"/>
        <w:rPr>
          <w:sz w:val="20"/>
          <w:szCs w:val="20"/>
          <w:color w:val="auto"/>
        </w:rPr>
      </w:pPr>
    </w:p>
    <w:p>
      <w:pPr>
        <w:ind w:right="480"/>
        <w:spacing w:after="0" w:line="332" w:lineRule="auto"/>
        <w:rPr>
          <w:sz w:val="20"/>
          <w:szCs w:val="20"/>
          <w:color w:val="auto"/>
        </w:rPr>
      </w:pPr>
      <w:r>
        <w:rPr>
          <w:rFonts w:ascii="Arial" w:cs="Arial" w:eastAsia="Arial" w:hAnsi="Arial"/>
          <w:sz w:val="15"/>
          <w:szCs w:val="15"/>
          <w:color w:val="282A32"/>
        </w:rPr>
        <w:t>Our exposure to market risk for changes in interest rates relates primarily to our variable rate long-term debt obligations. We have historically managed interest rates through the use of a combination of fixed- and variable-rate borrowings. As of December 31, 2018, we had the following fixed- and variable-rate borrowings: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20" w:type="dxa"/>
            <w:vAlign w:val="bottom"/>
          </w:tcPr>
          <w:p>
            <w:pPr>
              <w:jc w:val="center"/>
              <w:ind w:right="57"/>
              <w:spacing w:after="0"/>
              <w:rPr>
                <w:sz w:val="20"/>
                <w:szCs w:val="20"/>
                <w:color w:val="auto"/>
              </w:rPr>
            </w:pPr>
            <w:r>
              <w:rPr>
                <w:rFonts w:ascii="Arial" w:cs="Arial" w:eastAsia="Arial" w:hAnsi="Arial"/>
                <w:sz w:val="17"/>
                <w:szCs w:val="17"/>
                <w:color w:val="282A32"/>
                <w:w w:val="87"/>
              </w:rPr>
              <w:t>Weighted-</w:t>
            </w:r>
          </w:p>
        </w:tc>
      </w:tr>
      <w:tr>
        <w:trPr>
          <w:trHeight w:val="198"/>
        </w:trPr>
        <w:tc>
          <w:tcPr>
            <w:tcW w:w="52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620" w:type="dxa"/>
            <w:vAlign w:val="bottom"/>
          </w:tcPr>
          <w:p>
            <w:pPr>
              <w:jc w:val="center"/>
              <w:ind w:right="57"/>
              <w:spacing w:after="0"/>
              <w:rPr>
                <w:sz w:val="20"/>
                <w:szCs w:val="20"/>
                <w:color w:val="auto"/>
              </w:rPr>
            </w:pPr>
            <w:r>
              <w:rPr>
                <w:rFonts w:ascii="Arial" w:cs="Arial" w:eastAsia="Arial" w:hAnsi="Arial"/>
                <w:sz w:val="17"/>
                <w:szCs w:val="17"/>
                <w:color w:val="282A32"/>
                <w:w w:val="88"/>
              </w:rPr>
              <w:t>Average</w:t>
            </w:r>
          </w:p>
        </w:tc>
      </w:tr>
      <w:tr>
        <w:trPr>
          <w:trHeight w:val="23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(in millions)</w:t>
            </w:r>
          </w:p>
        </w:tc>
        <w:tc>
          <w:tcPr>
            <w:tcW w:w="452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color w:val="282A32"/>
              </w:rPr>
              <w:t>Amount</w:t>
            </w:r>
          </w:p>
        </w:tc>
        <w:tc>
          <w:tcPr>
            <w:tcW w:w="1620" w:type="dxa"/>
            <w:vAlign w:val="bottom"/>
            <w:tcBorders>
              <w:bottom w:val="single" w:sz="8" w:color="auto"/>
            </w:tcBorders>
          </w:tcPr>
          <w:p>
            <w:pPr>
              <w:jc w:val="center"/>
              <w:ind w:right="37"/>
              <w:spacing w:after="0" w:line="239" w:lineRule="exact"/>
              <w:rPr>
                <w:sz w:val="20"/>
                <w:szCs w:val="20"/>
                <w:color w:val="auto"/>
              </w:rPr>
            </w:pPr>
            <w:r>
              <w:rPr>
                <w:rFonts w:ascii="Arial" w:cs="Arial" w:eastAsia="Arial" w:hAnsi="Arial"/>
                <w:sz w:val="17"/>
                <w:szCs w:val="17"/>
                <w:color w:val="282A32"/>
                <w:w w:val="84"/>
              </w:rPr>
              <w:t>Interest Rate</w:t>
            </w:r>
            <w:r>
              <w:rPr>
                <w:rFonts w:ascii="Arial" w:cs="Arial" w:eastAsia="Arial" w:hAnsi="Arial"/>
                <w:sz w:val="23"/>
                <w:szCs w:val="23"/>
                <w:color w:val="282A32"/>
                <w:w w:val="84"/>
                <w:vertAlign w:val="superscript"/>
              </w:rPr>
              <w:t>(1)</w:t>
            </w:r>
          </w:p>
        </w:tc>
      </w:tr>
      <w:tr>
        <w:trPr>
          <w:trHeight w:val="22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Variable-rate borrowings</w:t>
            </w:r>
          </w:p>
        </w:tc>
        <w:tc>
          <w:tcPr>
            <w:tcW w:w="45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$49.9</w:t>
            </w:r>
          </w:p>
        </w:tc>
        <w:tc>
          <w:tcPr>
            <w:tcW w:w="162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7"/>
                <w:szCs w:val="17"/>
                <w:color w:val="282A32"/>
                <w:w w:val="92"/>
              </w:rPr>
              <w:t>8.4%</w:t>
            </w:r>
          </w:p>
        </w:tc>
      </w:tr>
      <w:tr>
        <w:trPr>
          <w:trHeight w:val="224"/>
        </w:trPr>
        <w:tc>
          <w:tcPr>
            <w:tcW w:w="5280" w:type="dxa"/>
            <w:vAlign w:val="bottom"/>
          </w:tcPr>
          <w:p>
            <w:pPr>
              <w:ind w:left="20"/>
              <w:spacing w:after="0"/>
              <w:rPr>
                <w:sz w:val="20"/>
                <w:szCs w:val="20"/>
                <w:color w:val="auto"/>
              </w:rPr>
            </w:pPr>
            <w:r>
              <w:rPr>
                <w:rFonts w:ascii="Arial" w:cs="Arial" w:eastAsia="Arial" w:hAnsi="Arial"/>
                <w:sz w:val="17"/>
                <w:szCs w:val="17"/>
                <w:color w:val="282A32"/>
              </w:rPr>
              <w:t>Fixed-rate borrowings</w:t>
            </w:r>
          </w:p>
        </w:tc>
        <w:tc>
          <w:tcPr>
            <w:tcW w:w="4520" w:type="dxa"/>
            <w:vAlign w:val="bottom"/>
          </w:tcPr>
          <w:p>
            <w:pPr>
              <w:jc w:val="right"/>
              <w:ind w:right="177"/>
              <w:spacing w:after="0"/>
              <w:rPr>
                <w:sz w:val="20"/>
                <w:szCs w:val="20"/>
                <w:color w:val="auto"/>
              </w:rPr>
            </w:pPr>
            <w:r>
              <w:rPr>
                <w:rFonts w:ascii="Arial" w:cs="Arial" w:eastAsia="Arial" w:hAnsi="Arial"/>
                <w:sz w:val="17"/>
                <w:szCs w:val="17"/>
                <w:color w:val="282A32"/>
              </w:rPr>
              <w:t>1,025.5</w:t>
            </w:r>
          </w:p>
        </w:tc>
        <w:tc>
          <w:tcPr>
            <w:tcW w:w="1620" w:type="dxa"/>
            <w:vAlign w:val="bottom"/>
          </w:tcPr>
          <w:p>
            <w:pPr>
              <w:ind w:left="1240"/>
              <w:spacing w:after="0"/>
              <w:rPr>
                <w:sz w:val="20"/>
                <w:szCs w:val="20"/>
                <w:color w:val="auto"/>
              </w:rPr>
            </w:pPr>
            <w:r>
              <w:rPr>
                <w:rFonts w:ascii="Arial" w:cs="Arial" w:eastAsia="Arial" w:hAnsi="Arial"/>
                <w:sz w:val="17"/>
                <w:szCs w:val="17"/>
                <w:color w:val="282A32"/>
              </w:rPr>
              <w:t>1.8</w:t>
            </w:r>
          </w:p>
        </w:tc>
      </w:tr>
      <w:tr>
        <w:trPr>
          <w:trHeight w:val="25"/>
        </w:trPr>
        <w:tc>
          <w:tcPr>
            <w:tcW w:w="52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Total debt</w:t>
            </w:r>
          </w:p>
        </w:tc>
        <w:tc>
          <w:tcPr>
            <w:tcW w:w="45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$1,075.4</w:t>
            </w:r>
          </w:p>
        </w:tc>
        <w:tc>
          <w:tcPr>
            <w:tcW w:w="162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7"/>
                <w:szCs w:val="17"/>
                <w:color w:val="282A32"/>
                <w:w w:val="92"/>
              </w:rPr>
              <w:t>2.1%</w:t>
            </w:r>
          </w:p>
        </w:tc>
      </w:tr>
      <w:tr>
        <w:trPr>
          <w:trHeight w:val="20"/>
        </w:trPr>
        <w:tc>
          <w:tcPr>
            <w:tcW w:w="5280" w:type="dxa"/>
            <w:vAlign w:val="bottom"/>
            <w:shd w:val="clear" w:color="auto" w:fill="000000"/>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282A32"/>
        </w:rPr>
        <w:t>(1) The rates are impacted by currency exchange rate movements.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Sensitivity Analysis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The following tables summarize our debt and derivative instruments that are sensitive to foreign currency exchange rate and interest rate movements. All computations below are based on the United States dollar spot rate as of December 31, 2018 and 2017. The exchange rate computations assume a 10% appreciation or 10% depreciation of the Euro, British pound, and Japanese Yen to the United States dollar.</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The hypothetical impact of the stated change in rates on 2018 and 2017 total other comprehensive income (loss) for the Euro Notes and earnings before income taxes for the forward contracts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420" w:type="dxa"/>
            <w:vAlign w:val="bottom"/>
            <w:gridSpan w:val="3"/>
          </w:tcPr>
          <w:p>
            <w:pPr>
              <w:jc w:val="right"/>
              <w:ind w:right="577"/>
              <w:spacing w:after="0"/>
              <w:rPr>
                <w:sz w:val="20"/>
                <w:szCs w:val="20"/>
                <w:color w:val="auto"/>
              </w:rPr>
            </w:pPr>
            <w:r>
              <w:rPr>
                <w:rFonts w:ascii="Arial" w:cs="Arial" w:eastAsia="Arial" w:hAnsi="Arial"/>
                <w:sz w:val="17"/>
                <w:szCs w:val="17"/>
                <w:color w:val="282A32"/>
              </w:rPr>
              <w:t>Movements in Exchange Rates</w:t>
            </w:r>
          </w:p>
        </w:tc>
        <w:tc>
          <w:tcPr>
            <w:tcW w:w="0" w:type="dxa"/>
            <w:vAlign w:val="bottom"/>
          </w:tcPr>
          <w:p>
            <w:pPr>
              <w:spacing w:after="0"/>
              <w:rPr>
                <w:sz w:val="1"/>
                <w:szCs w:val="1"/>
                <w:color w:val="auto"/>
              </w:rPr>
            </w:pPr>
          </w:p>
        </w:tc>
      </w:tr>
      <w:tr>
        <w:trPr>
          <w:trHeight w:val="25"/>
        </w:trPr>
        <w:tc>
          <w:tcPr>
            <w:tcW w:w="4240" w:type="dxa"/>
            <w:vAlign w:val="bottom"/>
            <w:vMerge w:val="restart"/>
          </w:tcPr>
          <w:p>
            <w:pPr>
              <w:ind w:left="20"/>
              <w:spacing w:after="0"/>
              <w:rPr>
                <w:sz w:val="20"/>
                <w:szCs w:val="20"/>
                <w:color w:val="auto"/>
              </w:rPr>
            </w:pPr>
            <w:r>
              <w:rPr>
                <w:rFonts w:ascii="Arial" w:cs="Arial" w:eastAsia="Arial" w:hAnsi="Arial"/>
                <w:sz w:val="17"/>
                <w:szCs w:val="17"/>
                <w:color w:val="282A32"/>
              </w:rPr>
              <w:t xml:space="preserve">2018 </w:t>
            </w:r>
            <w:r>
              <w:rPr>
                <w:rFonts w:ascii="Arial" w:cs="Arial" w:eastAsia="Arial" w:hAnsi="Arial"/>
                <w:sz w:val="17"/>
                <w:szCs w:val="17"/>
                <w:i w:val="1"/>
                <w:iCs w:val="1"/>
                <w:color w:val="282A32"/>
              </w:rPr>
              <w:t>(in millions)</w:t>
            </w:r>
          </w:p>
        </w:tc>
        <w:tc>
          <w:tcPr>
            <w:tcW w:w="37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4240" w:type="dxa"/>
            <w:vAlign w:val="bottom"/>
            <w:vMerge w:val="continue"/>
          </w:tcPr>
          <w:p>
            <w:pPr>
              <w:spacing w:after="0"/>
              <w:rPr>
                <w:sz w:val="16"/>
                <w:szCs w:val="16"/>
                <w:color w:val="auto"/>
              </w:rPr>
            </w:pPr>
          </w:p>
        </w:tc>
        <w:tc>
          <w:tcPr>
            <w:tcW w:w="3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40" w:type="dxa"/>
            <w:vAlign w:val="bottom"/>
          </w:tcPr>
          <w:p>
            <w:pPr>
              <w:ind w:left="20"/>
              <w:spacing w:after="0"/>
              <w:rPr>
                <w:sz w:val="20"/>
                <w:szCs w:val="20"/>
                <w:color w:val="auto"/>
              </w:rPr>
            </w:pPr>
            <w:r>
              <w:rPr>
                <w:rFonts w:ascii="Arial" w:cs="Arial" w:eastAsia="Arial" w:hAnsi="Arial"/>
                <w:sz w:val="17"/>
                <w:szCs w:val="17"/>
                <w:color w:val="282A32"/>
              </w:rPr>
              <w:t>Market Sensitive Instrument</w:t>
            </w:r>
          </w:p>
        </w:tc>
        <w:tc>
          <w:tcPr>
            <w:tcW w:w="37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282A32"/>
                <w:w w:val="95"/>
              </w:rPr>
              <w:t>10% Depreciation</w:t>
            </w:r>
          </w:p>
        </w:tc>
        <w:tc>
          <w:tcPr>
            <w:tcW w:w="300" w:type="dxa"/>
            <w:vAlign w:val="bottom"/>
          </w:tcPr>
          <w:p>
            <w:pPr>
              <w:spacing w:after="0"/>
              <w:rPr>
                <w:sz w:val="18"/>
                <w:szCs w:val="18"/>
                <w:color w:val="auto"/>
              </w:rPr>
            </w:pPr>
          </w:p>
        </w:tc>
        <w:tc>
          <w:tcPr>
            <w:tcW w:w="1740" w:type="dxa"/>
            <w:vAlign w:val="bottom"/>
          </w:tcPr>
          <w:p>
            <w:pPr>
              <w:jc w:val="right"/>
              <w:ind w:right="317"/>
              <w:spacing w:after="0"/>
              <w:rPr>
                <w:sz w:val="20"/>
                <w:szCs w:val="20"/>
                <w:color w:val="auto"/>
              </w:rPr>
            </w:pPr>
            <w:r>
              <w:rPr>
                <w:rFonts w:ascii="Arial" w:cs="Arial" w:eastAsia="Arial" w:hAnsi="Arial"/>
                <w:sz w:val="17"/>
                <w:szCs w:val="17"/>
                <w:color w:val="282A32"/>
                <w:w w:val="99"/>
              </w:rPr>
              <w:t>10% Appreciation</w:t>
            </w:r>
          </w:p>
        </w:tc>
        <w:tc>
          <w:tcPr>
            <w:tcW w:w="0" w:type="dxa"/>
            <w:vAlign w:val="bottom"/>
          </w:tcPr>
          <w:p>
            <w:pPr>
              <w:spacing w:after="0"/>
              <w:rPr>
                <w:sz w:val="1"/>
                <w:szCs w:val="1"/>
                <w:color w:val="auto"/>
              </w:rPr>
            </w:pPr>
          </w:p>
        </w:tc>
      </w:tr>
      <w:tr>
        <w:trPr>
          <w:trHeight w:val="25"/>
        </w:trPr>
        <w:tc>
          <w:tcPr>
            <w:tcW w:w="42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282A32"/>
              </w:rPr>
              <w:t>Euro Notes:</w:t>
            </w:r>
          </w:p>
        </w:tc>
        <w:tc>
          <w:tcPr>
            <w:tcW w:w="37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240" w:type="dxa"/>
            <w:vAlign w:val="bottom"/>
          </w:tcPr>
          <w:p>
            <w:pPr>
              <w:ind w:left="20"/>
              <w:spacing w:after="0"/>
              <w:rPr>
                <w:sz w:val="20"/>
                <w:szCs w:val="20"/>
                <w:color w:val="auto"/>
              </w:rPr>
            </w:pPr>
            <w:r>
              <w:rPr>
                <w:rFonts w:ascii="Arial" w:cs="Arial" w:eastAsia="Arial" w:hAnsi="Arial"/>
                <w:sz w:val="17"/>
                <w:szCs w:val="17"/>
                <w:color w:val="282A32"/>
              </w:rPr>
              <w:t>€500.0, 1.81% Notes due June 2026</w:t>
            </w:r>
          </w:p>
        </w:tc>
        <w:tc>
          <w:tcPr>
            <w:tcW w:w="5140" w:type="dxa"/>
            <w:vAlign w:val="bottom"/>
            <w:gridSpan w:val="2"/>
          </w:tcPr>
          <w:p>
            <w:pPr>
              <w:jc w:val="right"/>
              <w:ind w:right="17"/>
              <w:spacing w:after="0"/>
              <w:rPr>
                <w:sz w:val="20"/>
                <w:szCs w:val="20"/>
                <w:color w:val="auto"/>
              </w:rPr>
            </w:pPr>
            <w:r>
              <w:rPr>
                <w:rFonts w:ascii="Arial" w:cs="Arial" w:eastAsia="Arial" w:hAnsi="Arial"/>
                <w:sz w:val="17"/>
                <w:szCs w:val="17"/>
                <w:color w:val="282A32"/>
              </w:rPr>
              <w:t>$57.3</w:t>
            </w:r>
          </w:p>
        </w:tc>
        <w:tc>
          <w:tcPr>
            <w:tcW w:w="300" w:type="dxa"/>
            <w:vAlign w:val="bottom"/>
          </w:tcPr>
          <w:p>
            <w:pPr>
              <w:jc w:val="right"/>
              <w:ind w:right="62"/>
              <w:spacing w:after="0"/>
              <w:rPr>
                <w:sz w:val="20"/>
                <w:szCs w:val="20"/>
                <w:color w:val="auto"/>
              </w:rPr>
            </w:pPr>
            <w:r>
              <w:rPr>
                <w:rFonts w:ascii="Arial" w:cs="Arial" w:eastAsia="Arial" w:hAnsi="Arial"/>
                <w:sz w:val="12"/>
                <w:szCs w:val="12"/>
                <w:color w:val="282A32"/>
              </w:rPr>
              <w:t>(1)</w:t>
            </w:r>
          </w:p>
        </w:tc>
        <w:tc>
          <w:tcPr>
            <w:tcW w:w="1740" w:type="dxa"/>
            <w:vAlign w:val="bottom"/>
          </w:tcPr>
          <w:p>
            <w:pPr>
              <w:jc w:val="right"/>
              <w:ind w:right="77"/>
              <w:spacing w:after="0"/>
              <w:rPr>
                <w:sz w:val="20"/>
                <w:szCs w:val="20"/>
                <w:color w:val="auto"/>
              </w:rPr>
            </w:pPr>
            <w:r>
              <w:rPr>
                <w:rFonts w:ascii="Arial" w:cs="Arial" w:eastAsia="Arial" w:hAnsi="Arial"/>
                <w:sz w:val="17"/>
                <w:szCs w:val="17"/>
                <w:color w:val="282A32"/>
              </w:rPr>
              <w:t xml:space="preserve">($57.3) </w:t>
            </w:r>
            <w:r>
              <w:rPr>
                <w:rFonts w:ascii="Arial" w:cs="Arial" w:eastAsia="Arial" w:hAnsi="Arial"/>
                <w:sz w:val="23"/>
                <w:szCs w:val="23"/>
                <w:color w:val="282A32"/>
                <w:vertAlign w:val="superscript"/>
              </w:rPr>
              <w:t>(1)</w:t>
            </w:r>
          </w:p>
        </w:tc>
        <w:tc>
          <w:tcPr>
            <w:tcW w:w="0" w:type="dxa"/>
            <w:vAlign w:val="bottom"/>
          </w:tcPr>
          <w:p>
            <w:pPr>
              <w:spacing w:after="0"/>
              <w:rPr>
                <w:sz w:val="1"/>
                <w:szCs w:val="1"/>
                <w:color w:val="auto"/>
              </w:rPr>
            </w:pPr>
          </w:p>
        </w:tc>
      </w:tr>
      <w:tr>
        <w:trPr>
          <w:trHeight w:val="274"/>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282A32"/>
              </w:rPr>
              <w:t>€400.0, 1.91% Notes due September 2022</w:t>
            </w:r>
          </w:p>
        </w:tc>
        <w:tc>
          <w:tcPr>
            <w:tcW w:w="514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282A32"/>
              </w:rPr>
              <w:t>45.9</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282A32"/>
              </w:rPr>
              <w:t>(1)</w:t>
            </w:r>
          </w:p>
        </w:tc>
        <w:tc>
          <w:tcPr>
            <w:tcW w:w="17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282A32"/>
              </w:rPr>
              <w:t xml:space="preserve">(45.9) </w:t>
            </w:r>
            <w:r>
              <w:rPr>
                <w:rFonts w:ascii="Arial" w:cs="Arial" w:eastAsia="Arial" w:hAnsi="Arial"/>
                <w:sz w:val="23"/>
                <w:szCs w:val="23"/>
                <w:color w:val="282A32"/>
                <w:vertAlign w:val="superscript"/>
              </w:rPr>
              <w:t>(1)</w:t>
            </w:r>
          </w:p>
        </w:tc>
        <w:tc>
          <w:tcPr>
            <w:tcW w:w="0" w:type="dxa"/>
            <w:vAlign w:val="bottom"/>
          </w:tcPr>
          <w:p>
            <w:pPr>
              <w:spacing w:after="0"/>
              <w:rPr>
                <w:sz w:val="1"/>
                <w:szCs w:val="1"/>
                <w:color w:val="auto"/>
              </w:rPr>
            </w:pPr>
          </w:p>
        </w:tc>
      </w:tr>
      <w:tr>
        <w:trPr>
          <w:trHeight w:val="224"/>
        </w:trPr>
        <w:tc>
          <w:tcPr>
            <w:tcW w:w="4240" w:type="dxa"/>
            <w:vAlign w:val="bottom"/>
          </w:tcPr>
          <w:p>
            <w:pPr>
              <w:ind w:left="20"/>
              <w:spacing w:after="0"/>
              <w:rPr>
                <w:sz w:val="20"/>
                <w:szCs w:val="20"/>
                <w:color w:val="auto"/>
              </w:rPr>
            </w:pPr>
            <w:r>
              <w:rPr>
                <w:rFonts w:ascii="Arial" w:cs="Arial" w:eastAsia="Arial" w:hAnsi="Arial"/>
                <w:sz w:val="17"/>
                <w:szCs w:val="17"/>
                <w:b w:val="1"/>
                <w:bCs w:val="1"/>
                <w:color w:val="282A32"/>
              </w:rPr>
              <w:t>Forward contracts:</w:t>
            </w:r>
          </w:p>
        </w:tc>
        <w:tc>
          <w:tcPr>
            <w:tcW w:w="37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£3.5 to $4.5</w:t>
            </w:r>
          </w:p>
        </w:tc>
        <w:tc>
          <w:tcPr>
            <w:tcW w:w="5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282A32"/>
              </w:rPr>
              <w:t>(0.4)</w:t>
            </w:r>
          </w:p>
        </w:tc>
        <w:tc>
          <w:tcPr>
            <w:tcW w:w="3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282A32"/>
              </w:rPr>
              <w:t>0.4</w:t>
            </w: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5140" w:type="dxa"/>
            <w:vAlign w:val="bottom"/>
            <w:gridSpan w:val="2"/>
          </w:tcPr>
          <w:p>
            <w:pPr>
              <w:jc w:val="right"/>
              <w:spacing w:after="0"/>
              <w:rPr>
                <w:sz w:val="20"/>
                <w:szCs w:val="20"/>
                <w:color w:val="auto"/>
              </w:rPr>
            </w:pPr>
            <w:r>
              <w:rPr>
                <w:rFonts w:ascii="Arial" w:cs="Arial" w:eastAsia="Arial" w:hAnsi="Arial"/>
                <w:sz w:val="17"/>
                <w:szCs w:val="17"/>
                <w:color w:val="auto"/>
              </w:rPr>
              <w:t>(0.2)</w:t>
            </w:r>
          </w:p>
        </w:tc>
        <w:tc>
          <w:tcPr>
            <w:tcW w:w="300" w:type="dxa"/>
            <w:vAlign w:val="bottom"/>
          </w:tcPr>
          <w:p>
            <w:pPr>
              <w:spacing w:after="0"/>
              <w:rPr>
                <w:sz w:val="19"/>
                <w:szCs w:val="19"/>
                <w:color w:val="auto"/>
              </w:rPr>
            </w:pPr>
          </w:p>
        </w:tc>
        <w:tc>
          <w:tcPr>
            <w:tcW w:w="1740" w:type="dxa"/>
            <w:vAlign w:val="bottom"/>
          </w:tcPr>
          <w:p>
            <w:pPr>
              <w:jc w:val="right"/>
              <w:ind w:right="357"/>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99"/>
        </w:trPr>
        <w:tc>
          <w:tcPr>
            <w:tcW w:w="4240" w:type="dxa"/>
            <w:vAlign w:val="bottom"/>
          </w:tcPr>
          <w:p>
            <w:pPr>
              <w:ind w:left="20"/>
              <w:spacing w:after="0"/>
              <w:rPr>
                <w:sz w:val="20"/>
                <w:szCs w:val="20"/>
                <w:color w:val="auto"/>
              </w:rPr>
            </w:pPr>
            <w:r>
              <w:rPr>
                <w:rFonts w:ascii="Arial" w:cs="Arial" w:eastAsia="Arial" w:hAnsi="Arial"/>
                <w:sz w:val="17"/>
                <w:szCs w:val="17"/>
                <w:color w:val="282A32"/>
              </w:rPr>
              <w:t>€1.6 to $1.8</w:t>
            </w:r>
          </w:p>
        </w:tc>
        <w:tc>
          <w:tcPr>
            <w:tcW w:w="3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¥172.8 to $1.5</w:t>
            </w:r>
          </w:p>
        </w:tc>
        <w:tc>
          <w:tcPr>
            <w:tcW w:w="5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282A32"/>
              </w:rPr>
              <w:t>(0.2)</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282A32"/>
              </w:rPr>
              <w:t>0.2</w:t>
            </w:r>
          </w:p>
        </w:tc>
        <w:tc>
          <w:tcPr>
            <w:tcW w:w="0" w:type="dxa"/>
            <w:vAlign w:val="bottom"/>
          </w:tcPr>
          <w:p>
            <w:pPr>
              <w:spacing w:after="0"/>
              <w:rPr>
                <w:sz w:val="1"/>
                <w:szCs w:val="1"/>
                <w:color w:val="auto"/>
              </w:rPr>
            </w:pPr>
          </w:p>
        </w:tc>
      </w:tr>
      <w:tr>
        <w:trPr>
          <w:trHeight w:val="416"/>
        </w:trPr>
        <w:tc>
          <w:tcPr>
            <w:tcW w:w="4240" w:type="dxa"/>
            <w:vAlign w:val="bottom"/>
            <w:tcBorders>
              <w:top w:val="single" w:sz="8" w:color="auto"/>
            </w:tcBorders>
          </w:tcPr>
          <w:p>
            <w:pPr>
              <w:spacing w:after="0"/>
              <w:rPr>
                <w:sz w:val="24"/>
                <w:szCs w:val="24"/>
                <w:color w:val="auto"/>
              </w:rPr>
            </w:pPr>
          </w:p>
        </w:tc>
        <w:tc>
          <w:tcPr>
            <w:tcW w:w="3760" w:type="dxa"/>
            <w:vAlign w:val="bottom"/>
            <w:tcBorders>
              <w:top w:val="single" w:sz="8" w:color="auto"/>
            </w:tcBorders>
          </w:tcPr>
          <w:p>
            <w:pPr>
              <w:jc w:val="right"/>
              <w:ind w:right="2117"/>
              <w:spacing w:after="0"/>
              <w:rPr>
                <w:sz w:val="20"/>
                <w:szCs w:val="20"/>
                <w:color w:val="auto"/>
              </w:rPr>
            </w:pPr>
            <w:r>
              <w:rPr>
                <w:rFonts w:ascii="Arial" w:cs="Arial" w:eastAsia="Arial" w:hAnsi="Arial"/>
                <w:sz w:val="17"/>
                <w:szCs w:val="17"/>
                <w:color w:val="auto"/>
              </w:rPr>
              <w:t>47</w:t>
            </w:r>
          </w:p>
        </w:tc>
        <w:tc>
          <w:tcPr>
            <w:tcW w:w="13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51" w:right="23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420" w:type="dxa"/>
            <w:vAlign w:val="bottom"/>
            <w:gridSpan w:val="3"/>
          </w:tcPr>
          <w:p>
            <w:pPr>
              <w:jc w:val="right"/>
              <w:ind w:right="577"/>
              <w:spacing w:after="0"/>
              <w:rPr>
                <w:sz w:val="20"/>
                <w:szCs w:val="20"/>
                <w:color w:val="auto"/>
              </w:rPr>
            </w:pPr>
            <w:r>
              <w:rPr>
                <w:rFonts w:ascii="Arial" w:cs="Arial" w:eastAsia="Arial" w:hAnsi="Arial"/>
                <w:sz w:val="17"/>
                <w:szCs w:val="17"/>
                <w:color w:val="282A32"/>
              </w:rPr>
              <w:t>Movements in Exchange Rates</w:t>
            </w:r>
          </w:p>
        </w:tc>
        <w:tc>
          <w:tcPr>
            <w:tcW w:w="0" w:type="dxa"/>
            <w:vAlign w:val="bottom"/>
          </w:tcPr>
          <w:p>
            <w:pPr>
              <w:spacing w:after="0"/>
              <w:rPr>
                <w:sz w:val="1"/>
                <w:szCs w:val="1"/>
                <w:color w:val="auto"/>
              </w:rPr>
            </w:pPr>
          </w:p>
        </w:tc>
      </w:tr>
      <w:tr>
        <w:trPr>
          <w:trHeight w:val="25"/>
        </w:trPr>
        <w:tc>
          <w:tcPr>
            <w:tcW w:w="8000" w:type="dxa"/>
            <w:vAlign w:val="bottom"/>
            <w:gridSpan w:val="2"/>
            <w:vMerge w:val="restart"/>
          </w:tcPr>
          <w:p>
            <w:pPr>
              <w:ind w:left="20"/>
              <w:spacing w:after="0"/>
              <w:rPr>
                <w:sz w:val="20"/>
                <w:szCs w:val="20"/>
                <w:color w:val="auto"/>
              </w:rPr>
            </w:pPr>
            <w:r>
              <w:rPr>
                <w:rFonts w:ascii="Arial" w:cs="Arial" w:eastAsia="Arial" w:hAnsi="Arial"/>
                <w:sz w:val="17"/>
                <w:szCs w:val="17"/>
                <w:color w:val="282A32"/>
              </w:rPr>
              <w:t xml:space="preserve">2017 </w:t>
            </w:r>
            <w:r>
              <w:rPr>
                <w:rFonts w:ascii="Arial" w:cs="Arial" w:eastAsia="Arial" w:hAnsi="Arial"/>
                <w:sz w:val="17"/>
                <w:szCs w:val="17"/>
                <w:i w:val="1"/>
                <w:iCs w:val="1"/>
                <w:color w:val="282A32"/>
              </w:rPr>
              <w:t>(in millions)</w:t>
            </w: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000" w:type="dxa"/>
            <w:vAlign w:val="bottom"/>
            <w:gridSpan w:val="2"/>
            <w:vMerge w:val="continue"/>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000" w:type="dxa"/>
            <w:vAlign w:val="bottom"/>
            <w:gridSpan w:val="2"/>
          </w:tcPr>
          <w:p>
            <w:pPr>
              <w:ind w:left="20"/>
              <w:spacing w:after="0"/>
              <w:rPr>
                <w:sz w:val="20"/>
                <w:szCs w:val="20"/>
                <w:color w:val="auto"/>
              </w:rPr>
            </w:pPr>
            <w:r>
              <w:rPr>
                <w:rFonts w:ascii="Arial" w:cs="Arial" w:eastAsia="Arial" w:hAnsi="Arial"/>
                <w:sz w:val="17"/>
                <w:szCs w:val="17"/>
                <w:color w:val="282A32"/>
              </w:rPr>
              <w:t>Market Sensitive Instrument</w:t>
            </w:r>
          </w:p>
        </w:tc>
        <w:tc>
          <w:tcPr>
            <w:tcW w:w="1380" w:type="dxa"/>
            <w:vAlign w:val="bottom"/>
          </w:tcPr>
          <w:p>
            <w:pPr>
              <w:jc w:val="right"/>
              <w:spacing w:after="0"/>
              <w:rPr>
                <w:sz w:val="20"/>
                <w:szCs w:val="20"/>
                <w:color w:val="auto"/>
              </w:rPr>
            </w:pPr>
            <w:r>
              <w:rPr>
                <w:rFonts w:ascii="Arial" w:cs="Arial" w:eastAsia="Arial" w:hAnsi="Arial"/>
                <w:sz w:val="17"/>
                <w:szCs w:val="17"/>
                <w:color w:val="282A32"/>
                <w:w w:val="95"/>
              </w:rPr>
              <w:t>10% Depreciation</w:t>
            </w:r>
          </w:p>
        </w:tc>
        <w:tc>
          <w:tcPr>
            <w:tcW w:w="300" w:type="dxa"/>
            <w:vAlign w:val="bottom"/>
          </w:tcPr>
          <w:p>
            <w:pPr>
              <w:spacing w:after="0"/>
              <w:rPr>
                <w:sz w:val="18"/>
                <w:szCs w:val="18"/>
                <w:color w:val="auto"/>
              </w:rPr>
            </w:pPr>
          </w:p>
        </w:tc>
        <w:tc>
          <w:tcPr>
            <w:tcW w:w="1740" w:type="dxa"/>
            <w:vAlign w:val="bottom"/>
          </w:tcPr>
          <w:p>
            <w:pPr>
              <w:jc w:val="right"/>
              <w:ind w:right="317"/>
              <w:spacing w:after="0"/>
              <w:rPr>
                <w:sz w:val="20"/>
                <w:szCs w:val="20"/>
                <w:color w:val="auto"/>
              </w:rPr>
            </w:pPr>
            <w:r>
              <w:rPr>
                <w:rFonts w:ascii="Arial" w:cs="Arial" w:eastAsia="Arial" w:hAnsi="Arial"/>
                <w:sz w:val="17"/>
                <w:szCs w:val="17"/>
                <w:color w:val="282A32"/>
                <w:w w:val="99"/>
              </w:rPr>
              <w:t>10% Appreciation</w:t>
            </w:r>
          </w:p>
        </w:tc>
        <w:tc>
          <w:tcPr>
            <w:tcW w:w="0" w:type="dxa"/>
            <w:vAlign w:val="bottom"/>
          </w:tcPr>
          <w:p>
            <w:pPr>
              <w:spacing w:after="0"/>
              <w:rPr>
                <w:sz w:val="1"/>
                <w:szCs w:val="1"/>
                <w:color w:val="auto"/>
              </w:rPr>
            </w:pPr>
          </w:p>
        </w:tc>
      </w:tr>
      <w:tr>
        <w:trPr>
          <w:trHeight w:val="25"/>
        </w:trPr>
        <w:tc>
          <w:tcPr>
            <w:tcW w:w="1020" w:type="dxa"/>
            <w:vAlign w:val="bottom"/>
            <w:tcBorders>
              <w:bottom w:val="single" w:sz="8" w:color="auto"/>
            </w:tcBorders>
          </w:tcPr>
          <w:p>
            <w:pPr>
              <w:spacing w:after="0"/>
              <w:rPr>
                <w:sz w:val="2"/>
                <w:szCs w:val="2"/>
                <w:color w:val="auto"/>
              </w:rPr>
            </w:pPr>
          </w:p>
        </w:tc>
        <w:tc>
          <w:tcPr>
            <w:tcW w:w="69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282A32"/>
              </w:rPr>
              <w:t>Euro Notes:</w:t>
            </w:r>
          </w:p>
        </w:tc>
        <w:tc>
          <w:tcPr>
            <w:tcW w:w="69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1020" w:type="dxa"/>
            <w:vAlign w:val="bottom"/>
          </w:tcPr>
          <w:p>
            <w:pPr>
              <w:ind w:left="20"/>
              <w:spacing w:after="0"/>
              <w:rPr>
                <w:sz w:val="20"/>
                <w:szCs w:val="20"/>
                <w:color w:val="auto"/>
              </w:rPr>
            </w:pPr>
            <w:r>
              <w:rPr>
                <w:rFonts w:ascii="Arial" w:cs="Arial" w:eastAsia="Arial" w:hAnsi="Arial"/>
                <w:sz w:val="17"/>
                <w:szCs w:val="17"/>
                <w:color w:val="282A32"/>
                <w:w w:val="89"/>
              </w:rPr>
              <w:t>€400.0, 1.91%</w:t>
            </w:r>
          </w:p>
        </w:tc>
        <w:tc>
          <w:tcPr>
            <w:tcW w:w="6980" w:type="dxa"/>
            <w:vAlign w:val="bottom"/>
          </w:tcPr>
          <w:p>
            <w:pPr>
              <w:ind w:left="20"/>
              <w:spacing w:after="0"/>
              <w:rPr>
                <w:sz w:val="20"/>
                <w:szCs w:val="20"/>
                <w:color w:val="auto"/>
              </w:rPr>
            </w:pPr>
            <w:r>
              <w:rPr>
                <w:rFonts w:ascii="Arial" w:cs="Arial" w:eastAsia="Arial" w:hAnsi="Arial"/>
                <w:sz w:val="17"/>
                <w:szCs w:val="17"/>
                <w:color w:val="282A32"/>
              </w:rPr>
              <w:t>Notes due September 2022</w:t>
            </w:r>
          </w:p>
        </w:tc>
        <w:tc>
          <w:tcPr>
            <w:tcW w:w="1380" w:type="dxa"/>
            <w:vAlign w:val="bottom"/>
          </w:tcPr>
          <w:p>
            <w:pPr>
              <w:jc w:val="right"/>
              <w:ind w:right="17"/>
              <w:spacing w:after="0"/>
              <w:rPr>
                <w:sz w:val="20"/>
                <w:szCs w:val="20"/>
                <w:color w:val="auto"/>
              </w:rPr>
            </w:pPr>
            <w:r>
              <w:rPr>
                <w:rFonts w:ascii="Arial" w:cs="Arial" w:eastAsia="Arial" w:hAnsi="Arial"/>
                <w:sz w:val="17"/>
                <w:szCs w:val="17"/>
                <w:color w:val="282A32"/>
              </w:rPr>
              <w:t>$48.0</w:t>
            </w:r>
          </w:p>
        </w:tc>
        <w:tc>
          <w:tcPr>
            <w:tcW w:w="300" w:type="dxa"/>
            <w:vAlign w:val="bottom"/>
          </w:tcPr>
          <w:p>
            <w:pPr>
              <w:jc w:val="right"/>
              <w:ind w:right="62"/>
              <w:spacing w:after="0"/>
              <w:rPr>
                <w:sz w:val="20"/>
                <w:szCs w:val="20"/>
                <w:color w:val="auto"/>
              </w:rPr>
            </w:pPr>
            <w:r>
              <w:rPr>
                <w:rFonts w:ascii="Arial" w:cs="Arial" w:eastAsia="Arial" w:hAnsi="Arial"/>
                <w:sz w:val="12"/>
                <w:szCs w:val="12"/>
                <w:color w:val="282A32"/>
              </w:rPr>
              <w:t>(1)</w:t>
            </w:r>
          </w:p>
        </w:tc>
        <w:tc>
          <w:tcPr>
            <w:tcW w:w="1740" w:type="dxa"/>
            <w:vAlign w:val="bottom"/>
          </w:tcPr>
          <w:p>
            <w:pPr>
              <w:jc w:val="right"/>
              <w:ind w:right="77"/>
              <w:spacing w:after="0"/>
              <w:rPr>
                <w:sz w:val="20"/>
                <w:szCs w:val="20"/>
                <w:color w:val="auto"/>
              </w:rPr>
            </w:pPr>
            <w:r>
              <w:rPr>
                <w:rFonts w:ascii="Arial" w:cs="Arial" w:eastAsia="Arial" w:hAnsi="Arial"/>
                <w:sz w:val="17"/>
                <w:szCs w:val="17"/>
                <w:color w:val="282A32"/>
              </w:rPr>
              <w:t xml:space="preserve">($48.0) </w:t>
            </w:r>
            <w:r>
              <w:rPr>
                <w:rFonts w:ascii="Arial" w:cs="Arial" w:eastAsia="Arial" w:hAnsi="Arial"/>
                <w:sz w:val="23"/>
                <w:szCs w:val="23"/>
                <w:color w:val="282A32"/>
                <w:vertAlign w:val="superscript"/>
              </w:rPr>
              <w:t>(1)</w:t>
            </w:r>
          </w:p>
        </w:tc>
        <w:tc>
          <w:tcPr>
            <w:tcW w:w="0" w:type="dxa"/>
            <w:vAlign w:val="bottom"/>
          </w:tcPr>
          <w:p>
            <w:pPr>
              <w:spacing w:after="0"/>
              <w:rPr>
                <w:sz w:val="1"/>
                <w:szCs w:val="1"/>
                <w:color w:val="auto"/>
              </w:rPr>
            </w:pPr>
          </w:p>
        </w:tc>
      </w:tr>
      <w:tr>
        <w:trPr>
          <w:trHeight w:val="274"/>
        </w:trPr>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282A32"/>
                <w:w w:val="89"/>
              </w:rPr>
              <w:t>€350.0, 4.51%</w:t>
            </w:r>
          </w:p>
        </w:tc>
        <w:tc>
          <w:tcPr>
            <w:tcW w:w="6980" w:type="dxa"/>
            <w:vAlign w:val="bottom"/>
            <w:shd w:val="clear" w:color="auto" w:fill="CCEEFF"/>
          </w:tcPr>
          <w:p>
            <w:pPr>
              <w:ind w:left="20"/>
              <w:spacing w:after="0"/>
              <w:rPr>
                <w:sz w:val="20"/>
                <w:szCs w:val="20"/>
                <w:color w:val="auto"/>
              </w:rPr>
            </w:pPr>
            <w:r>
              <w:rPr>
                <w:rFonts w:ascii="Arial" w:cs="Arial" w:eastAsia="Arial" w:hAnsi="Arial"/>
                <w:sz w:val="17"/>
                <w:szCs w:val="17"/>
                <w:color w:val="282A32"/>
              </w:rPr>
              <w:t>Notes due June 2018</w:t>
            </w:r>
          </w:p>
        </w:tc>
        <w:tc>
          <w:tcPr>
            <w:tcW w:w="13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282A32"/>
              </w:rPr>
              <w:t>42.0</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282A32"/>
              </w:rPr>
              <w:t>(1)</w:t>
            </w:r>
          </w:p>
        </w:tc>
        <w:tc>
          <w:tcPr>
            <w:tcW w:w="17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282A32"/>
              </w:rPr>
              <w:t xml:space="preserve">(42.0) </w:t>
            </w:r>
            <w:r>
              <w:rPr>
                <w:rFonts w:ascii="Arial" w:cs="Arial" w:eastAsia="Arial" w:hAnsi="Arial"/>
                <w:sz w:val="23"/>
                <w:szCs w:val="23"/>
                <w:color w:val="282A32"/>
                <w:vertAlign w:val="superscript"/>
              </w:rPr>
              <w:t>(1)</w:t>
            </w:r>
          </w:p>
        </w:tc>
        <w:tc>
          <w:tcPr>
            <w:tcW w:w="0" w:type="dxa"/>
            <w:vAlign w:val="bottom"/>
          </w:tcPr>
          <w:p>
            <w:pPr>
              <w:spacing w:after="0"/>
              <w:rPr>
                <w:sz w:val="1"/>
                <w:szCs w:val="1"/>
                <w:color w:val="auto"/>
              </w:rPr>
            </w:pPr>
          </w:p>
        </w:tc>
      </w:tr>
      <w:tr>
        <w:trPr>
          <w:trHeight w:val="224"/>
        </w:trPr>
        <w:tc>
          <w:tcPr>
            <w:tcW w:w="8000" w:type="dxa"/>
            <w:vAlign w:val="bottom"/>
            <w:gridSpan w:val="2"/>
          </w:tcPr>
          <w:p>
            <w:pPr>
              <w:ind w:left="20"/>
              <w:spacing w:after="0"/>
              <w:rPr>
                <w:sz w:val="20"/>
                <w:szCs w:val="20"/>
                <w:color w:val="auto"/>
              </w:rPr>
            </w:pPr>
            <w:r>
              <w:rPr>
                <w:rFonts w:ascii="Arial" w:cs="Arial" w:eastAsia="Arial" w:hAnsi="Arial"/>
                <w:sz w:val="17"/>
                <w:szCs w:val="17"/>
                <w:b w:val="1"/>
                <w:bCs w:val="1"/>
                <w:color w:val="282A32"/>
              </w:rPr>
              <w:t>Forward contracts:</w:t>
            </w: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10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282A32"/>
              </w:rPr>
              <w:t>£2.9 to $3.9</w:t>
            </w:r>
          </w:p>
        </w:tc>
        <w:tc>
          <w:tcPr>
            <w:tcW w:w="69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282A32"/>
              </w:rPr>
              <w:t>(0.4)</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57"/>
              <w:spacing w:after="0"/>
              <w:rPr>
                <w:sz w:val="20"/>
                <w:szCs w:val="20"/>
                <w:color w:val="auto"/>
              </w:rPr>
            </w:pPr>
            <w:r>
              <w:rPr>
                <w:rFonts w:ascii="Arial" w:cs="Arial" w:eastAsia="Arial" w:hAnsi="Arial"/>
                <w:sz w:val="17"/>
                <w:szCs w:val="17"/>
                <w:color w:val="282A32"/>
              </w:rPr>
              <w:t>0.4</w:t>
            </w:r>
          </w:p>
        </w:tc>
        <w:tc>
          <w:tcPr>
            <w:tcW w:w="0" w:type="dxa"/>
            <w:vAlign w:val="bottom"/>
          </w:tcPr>
          <w:p>
            <w:pPr>
              <w:spacing w:after="0"/>
              <w:rPr>
                <w:sz w:val="1"/>
                <w:szCs w:val="1"/>
                <w:color w:val="auto"/>
              </w:rPr>
            </w:pPr>
          </w:p>
        </w:tc>
      </w:tr>
      <w:tr>
        <w:trPr>
          <w:trHeight w:val="25"/>
        </w:trPr>
        <w:tc>
          <w:tcPr>
            <w:tcW w:w="1020" w:type="dxa"/>
            <w:vAlign w:val="bottom"/>
            <w:shd w:val="clear" w:color="auto" w:fill="CCEEFF"/>
          </w:tcPr>
          <w:p>
            <w:pPr>
              <w:spacing w:after="0"/>
              <w:rPr>
                <w:sz w:val="2"/>
                <w:szCs w:val="2"/>
                <w:color w:val="auto"/>
              </w:rPr>
            </w:pPr>
          </w:p>
        </w:tc>
        <w:tc>
          <w:tcPr>
            <w:tcW w:w="69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2" w:lineRule="exact"/>
        <w:rPr>
          <w:sz w:val="20"/>
          <w:szCs w:val="20"/>
          <w:color w:val="auto"/>
        </w:rPr>
      </w:pPr>
    </w:p>
    <w:p>
      <w:pPr>
        <w:spacing w:after="0" w:line="266" w:lineRule="auto"/>
        <w:tabs>
          <w:tab w:leader="none" w:pos="237" w:val="left"/>
        </w:tabs>
        <w:numPr>
          <w:ilvl w:val="0"/>
          <w:numId w:val="28"/>
        </w:numPr>
        <w:rPr>
          <w:rFonts w:ascii="Arial" w:cs="Arial" w:eastAsia="Arial" w:hAnsi="Arial"/>
          <w:sz w:val="15"/>
          <w:szCs w:val="15"/>
          <w:color w:val="282A32"/>
        </w:rPr>
      </w:pPr>
      <w:r>
        <w:rPr>
          <w:rFonts w:ascii="Arial" w:cs="Arial" w:eastAsia="Arial" w:hAnsi="Arial"/>
          <w:sz w:val="15"/>
          <w:szCs w:val="15"/>
          <w:color w:val="282A32"/>
        </w:rPr>
        <w:t>Exchange rate movements are recorded through accumulated other comprehensive loss as these instruments have been designated as an economic hedge of our net investment in subsidiaries with a Euro-functional currency.</w:t>
      </w:r>
    </w:p>
    <w:p>
      <w:pPr>
        <w:spacing w:after="0" w:line="261" w:lineRule="exact"/>
        <w:rPr>
          <w:sz w:val="20"/>
          <w:szCs w:val="20"/>
          <w:color w:val="auto"/>
        </w:rPr>
      </w:pPr>
    </w:p>
    <w:p>
      <w:pPr>
        <w:spacing w:after="0" w:line="265" w:lineRule="auto"/>
        <w:rPr>
          <w:sz w:val="20"/>
          <w:szCs w:val="20"/>
          <w:color w:val="auto"/>
        </w:rPr>
      </w:pPr>
      <w:r>
        <w:rPr>
          <w:rFonts w:ascii="Arial" w:cs="Arial" w:eastAsia="Arial" w:hAnsi="Arial"/>
          <w:sz w:val="17"/>
          <w:szCs w:val="17"/>
          <w:color w:val="282A32"/>
        </w:rPr>
        <w:t>The hypothetical (increases)/decreases in the fair value of our market sensitive instruments due to changes in our Euro Notes' quoted prices and changes in foreign currency exchange rates for the forward contracts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500" w:type="dxa"/>
            <w:vAlign w:val="bottom"/>
          </w:tcPr>
          <w:p>
            <w:pPr>
              <w:ind w:left="20"/>
              <w:spacing w:after="0"/>
              <w:rPr>
                <w:sz w:val="20"/>
                <w:szCs w:val="20"/>
                <w:color w:val="auto"/>
              </w:rPr>
            </w:pPr>
            <w:r>
              <w:rPr>
                <w:rFonts w:ascii="Arial" w:cs="Arial" w:eastAsia="Arial" w:hAnsi="Arial"/>
                <w:sz w:val="17"/>
                <w:szCs w:val="17"/>
                <w:color w:val="auto"/>
              </w:rPr>
              <w:t>As of December 31, 2018</w:t>
            </w:r>
          </w:p>
        </w:tc>
        <w:tc>
          <w:tcPr>
            <w:tcW w:w="3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2"/>
        </w:trPr>
        <w:tc>
          <w:tcPr>
            <w:tcW w:w="5500" w:type="dxa"/>
            <w:vAlign w:val="bottom"/>
          </w:tcPr>
          <w:p>
            <w:pPr>
              <w:ind w:left="20"/>
              <w:spacing w:after="0"/>
              <w:rPr>
                <w:sz w:val="20"/>
                <w:szCs w:val="20"/>
                <w:color w:val="auto"/>
              </w:rPr>
            </w:pPr>
            <w:r>
              <w:rPr>
                <w:rFonts w:ascii="Arial" w:cs="Arial" w:eastAsia="Arial" w:hAnsi="Arial"/>
                <w:sz w:val="17"/>
                <w:szCs w:val="17"/>
                <w:color w:val="282A32"/>
              </w:rPr>
              <w:t xml:space="preserve">Market Sensitive Instrument </w:t>
            </w:r>
            <w:r>
              <w:rPr>
                <w:rFonts w:ascii="Arial" w:cs="Arial" w:eastAsia="Arial" w:hAnsi="Arial"/>
                <w:sz w:val="17"/>
                <w:szCs w:val="17"/>
                <w:i w:val="1"/>
                <w:iCs w:val="1"/>
                <w:color w:val="282A32"/>
              </w:rPr>
              <w:t>(in millions)</w:t>
            </w:r>
          </w:p>
        </w:tc>
        <w:tc>
          <w:tcPr>
            <w:tcW w:w="3840" w:type="dxa"/>
            <w:vAlign w:val="bottom"/>
          </w:tcPr>
          <w:p>
            <w:pPr>
              <w:jc w:val="right"/>
              <w:ind w:right="117"/>
              <w:spacing w:after="0"/>
              <w:rPr>
                <w:sz w:val="20"/>
                <w:szCs w:val="20"/>
                <w:color w:val="auto"/>
              </w:rPr>
            </w:pPr>
            <w:r>
              <w:rPr>
                <w:rFonts w:ascii="Arial" w:cs="Arial" w:eastAsia="Arial" w:hAnsi="Arial"/>
                <w:sz w:val="17"/>
                <w:szCs w:val="17"/>
                <w:color w:val="282A32"/>
              </w:rPr>
              <w:t>10% Decrease</w:t>
            </w:r>
          </w:p>
        </w:tc>
        <w:tc>
          <w:tcPr>
            <w:tcW w:w="380" w:type="dxa"/>
            <w:vAlign w:val="bottom"/>
          </w:tcPr>
          <w:p>
            <w:pPr>
              <w:spacing w:after="0"/>
              <w:rPr>
                <w:sz w:val="18"/>
                <w:szCs w:val="18"/>
                <w:color w:val="auto"/>
              </w:rPr>
            </w:pPr>
          </w:p>
        </w:tc>
        <w:tc>
          <w:tcPr>
            <w:tcW w:w="1660" w:type="dxa"/>
            <w:vAlign w:val="bottom"/>
          </w:tcPr>
          <w:p>
            <w:pPr>
              <w:jc w:val="right"/>
              <w:ind w:right="477"/>
              <w:spacing w:after="0"/>
              <w:rPr>
                <w:sz w:val="20"/>
                <w:szCs w:val="20"/>
                <w:color w:val="auto"/>
              </w:rPr>
            </w:pPr>
            <w:r>
              <w:rPr>
                <w:rFonts w:ascii="Arial" w:cs="Arial" w:eastAsia="Arial" w:hAnsi="Arial"/>
                <w:sz w:val="17"/>
                <w:szCs w:val="17"/>
                <w:color w:val="282A32"/>
              </w:rPr>
              <w:t>10% Increase</w:t>
            </w:r>
          </w:p>
        </w:tc>
      </w:tr>
      <w:tr>
        <w:trPr>
          <w:trHeight w:val="25"/>
        </w:trPr>
        <w:tc>
          <w:tcPr>
            <w:tcW w:w="55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282A32"/>
              </w:rPr>
              <w:t>Euro Notes:</w:t>
            </w:r>
          </w:p>
        </w:tc>
        <w:tc>
          <w:tcPr>
            <w:tcW w:w="38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r>
      <w:tr>
        <w:trPr>
          <w:trHeight w:val="274"/>
        </w:trPr>
        <w:tc>
          <w:tcPr>
            <w:tcW w:w="5500" w:type="dxa"/>
            <w:vAlign w:val="bottom"/>
          </w:tcPr>
          <w:p>
            <w:pPr>
              <w:ind w:left="20"/>
              <w:spacing w:after="0"/>
              <w:rPr>
                <w:sz w:val="20"/>
                <w:szCs w:val="20"/>
                <w:color w:val="auto"/>
              </w:rPr>
            </w:pPr>
            <w:r>
              <w:rPr>
                <w:rFonts w:ascii="Arial" w:cs="Arial" w:eastAsia="Arial" w:hAnsi="Arial"/>
                <w:sz w:val="17"/>
                <w:szCs w:val="17"/>
                <w:color w:val="282A32"/>
              </w:rPr>
              <w:t>€500.0, 1.81% Notes due June 2026</w:t>
            </w:r>
          </w:p>
        </w:tc>
        <w:tc>
          <w:tcPr>
            <w:tcW w:w="3840" w:type="dxa"/>
            <w:vAlign w:val="bottom"/>
          </w:tcPr>
          <w:p>
            <w:pPr>
              <w:jc w:val="right"/>
              <w:ind w:right="17"/>
              <w:spacing w:after="0"/>
              <w:rPr>
                <w:sz w:val="20"/>
                <w:szCs w:val="20"/>
                <w:color w:val="auto"/>
              </w:rPr>
            </w:pPr>
            <w:r>
              <w:rPr>
                <w:rFonts w:ascii="Arial" w:cs="Arial" w:eastAsia="Arial" w:hAnsi="Arial"/>
                <w:sz w:val="17"/>
                <w:szCs w:val="17"/>
                <w:color w:val="282A32"/>
              </w:rPr>
              <w:t>$57.5</w:t>
            </w:r>
          </w:p>
        </w:tc>
        <w:tc>
          <w:tcPr>
            <w:tcW w:w="380" w:type="dxa"/>
            <w:vAlign w:val="bottom"/>
          </w:tcPr>
          <w:p>
            <w:pPr>
              <w:jc w:val="right"/>
              <w:ind w:right="162"/>
              <w:spacing w:after="0"/>
              <w:rPr>
                <w:sz w:val="20"/>
                <w:szCs w:val="20"/>
                <w:color w:val="auto"/>
              </w:rPr>
            </w:pPr>
            <w:r>
              <w:rPr>
                <w:rFonts w:ascii="Arial" w:cs="Arial" w:eastAsia="Arial" w:hAnsi="Arial"/>
                <w:sz w:val="12"/>
                <w:szCs w:val="12"/>
                <w:color w:val="282A32"/>
                <w:w w:val="95"/>
              </w:rPr>
              <w:t>(1)</w:t>
            </w:r>
          </w:p>
        </w:tc>
        <w:tc>
          <w:tcPr>
            <w:tcW w:w="1660" w:type="dxa"/>
            <w:vAlign w:val="bottom"/>
          </w:tcPr>
          <w:p>
            <w:pPr>
              <w:jc w:val="right"/>
              <w:ind w:right="97"/>
              <w:spacing w:after="0"/>
              <w:rPr>
                <w:sz w:val="20"/>
                <w:szCs w:val="20"/>
                <w:color w:val="auto"/>
              </w:rPr>
            </w:pPr>
            <w:r>
              <w:rPr>
                <w:rFonts w:ascii="Arial" w:cs="Arial" w:eastAsia="Arial" w:hAnsi="Arial"/>
                <w:sz w:val="17"/>
                <w:szCs w:val="17"/>
                <w:color w:val="282A32"/>
              </w:rPr>
              <w:t xml:space="preserve">($57.5) </w:t>
            </w:r>
            <w:r>
              <w:rPr>
                <w:rFonts w:ascii="Arial" w:cs="Arial" w:eastAsia="Arial" w:hAnsi="Arial"/>
                <w:sz w:val="23"/>
                <w:szCs w:val="23"/>
                <w:color w:val="282A32"/>
                <w:vertAlign w:val="superscript"/>
              </w:rPr>
              <w:t>(1)</w:t>
            </w:r>
          </w:p>
        </w:tc>
      </w:tr>
      <w:tr>
        <w:trPr>
          <w:trHeight w:val="274"/>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282A32"/>
              </w:rPr>
              <w:t>€400.0, 1.91% Notes due September 2022</w:t>
            </w:r>
          </w:p>
        </w:tc>
        <w:tc>
          <w:tcPr>
            <w:tcW w:w="3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282A32"/>
              </w:rPr>
              <w:t>47.8</w:t>
            </w:r>
          </w:p>
        </w:tc>
        <w:tc>
          <w:tcPr>
            <w:tcW w:w="3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282A32"/>
                <w:w w:val="95"/>
              </w:rPr>
              <w:t>(1)</w:t>
            </w:r>
          </w:p>
        </w:tc>
        <w:tc>
          <w:tcPr>
            <w:tcW w:w="16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282A32"/>
              </w:rPr>
              <w:t xml:space="preserve">(47.8) </w:t>
            </w:r>
            <w:r>
              <w:rPr>
                <w:rFonts w:ascii="Arial" w:cs="Arial" w:eastAsia="Arial" w:hAnsi="Arial"/>
                <w:sz w:val="23"/>
                <w:szCs w:val="23"/>
                <w:color w:val="282A32"/>
                <w:vertAlign w:val="superscript"/>
              </w:rPr>
              <w:t>(1)</w:t>
            </w:r>
          </w:p>
        </w:tc>
      </w:tr>
      <w:tr>
        <w:trPr>
          <w:trHeight w:val="224"/>
        </w:trPr>
        <w:tc>
          <w:tcPr>
            <w:tcW w:w="5500" w:type="dxa"/>
            <w:vAlign w:val="bottom"/>
          </w:tcPr>
          <w:p>
            <w:pPr>
              <w:ind w:left="20"/>
              <w:spacing w:after="0"/>
              <w:rPr>
                <w:sz w:val="20"/>
                <w:szCs w:val="20"/>
                <w:color w:val="auto"/>
              </w:rPr>
            </w:pPr>
            <w:r>
              <w:rPr>
                <w:rFonts w:ascii="Arial" w:cs="Arial" w:eastAsia="Arial" w:hAnsi="Arial"/>
                <w:sz w:val="17"/>
                <w:szCs w:val="17"/>
                <w:b w:val="1"/>
                <w:bCs w:val="1"/>
                <w:color w:val="282A32"/>
              </w:rPr>
              <w:t>Forward contracts:</w:t>
            </w:r>
          </w:p>
        </w:tc>
        <w:tc>
          <w:tcPr>
            <w:tcW w:w="3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
        </w:trPr>
        <w:tc>
          <w:tcPr>
            <w:tcW w:w="5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£3.5 to $4.5</w:t>
            </w:r>
          </w:p>
        </w:tc>
        <w:tc>
          <w:tcPr>
            <w:tcW w:w="3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(0.4)</w:t>
            </w:r>
          </w:p>
        </w:tc>
        <w:tc>
          <w:tcPr>
            <w:tcW w:w="3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282A32"/>
              </w:rPr>
              <w:t>0.4</w:t>
            </w:r>
          </w:p>
        </w:tc>
      </w:tr>
      <w:tr>
        <w:trPr>
          <w:trHeight w:val="224"/>
        </w:trPr>
        <w:tc>
          <w:tcPr>
            <w:tcW w:w="5500" w:type="dxa"/>
            <w:vAlign w:val="bottom"/>
          </w:tcPr>
          <w:p>
            <w:pPr>
              <w:ind w:left="20"/>
              <w:spacing w:after="0"/>
              <w:rPr>
                <w:sz w:val="20"/>
                <w:szCs w:val="20"/>
                <w:color w:val="auto"/>
              </w:rPr>
            </w:pPr>
            <w:r>
              <w:rPr>
                <w:rFonts w:ascii="Arial" w:cs="Arial" w:eastAsia="Arial" w:hAnsi="Arial"/>
                <w:sz w:val="17"/>
                <w:szCs w:val="17"/>
                <w:color w:val="282A32"/>
              </w:rPr>
              <w:t>€ 1.6 to $1.8</w:t>
            </w:r>
          </w:p>
        </w:tc>
        <w:tc>
          <w:tcPr>
            <w:tcW w:w="3840" w:type="dxa"/>
            <w:vAlign w:val="bottom"/>
          </w:tcPr>
          <w:p>
            <w:pPr>
              <w:jc w:val="right"/>
              <w:spacing w:after="0"/>
              <w:rPr>
                <w:sz w:val="20"/>
                <w:szCs w:val="20"/>
                <w:color w:val="auto"/>
              </w:rPr>
            </w:pPr>
            <w:r>
              <w:rPr>
                <w:rFonts w:ascii="Arial" w:cs="Arial" w:eastAsia="Arial" w:hAnsi="Arial"/>
                <w:sz w:val="17"/>
                <w:szCs w:val="17"/>
                <w:color w:val="282A32"/>
              </w:rPr>
              <w:t>(0.2)</w:t>
            </w:r>
          </w:p>
        </w:tc>
        <w:tc>
          <w:tcPr>
            <w:tcW w:w="380" w:type="dxa"/>
            <w:vAlign w:val="bottom"/>
          </w:tcPr>
          <w:p>
            <w:pPr>
              <w:spacing w:after="0"/>
              <w:rPr>
                <w:sz w:val="19"/>
                <w:szCs w:val="19"/>
                <w:color w:val="auto"/>
              </w:rPr>
            </w:pPr>
          </w:p>
        </w:tc>
        <w:tc>
          <w:tcPr>
            <w:tcW w:w="1660" w:type="dxa"/>
            <w:vAlign w:val="bottom"/>
          </w:tcPr>
          <w:p>
            <w:pPr>
              <w:jc w:val="right"/>
              <w:ind w:right="377"/>
              <w:spacing w:after="0"/>
              <w:rPr>
                <w:sz w:val="20"/>
                <w:szCs w:val="20"/>
                <w:color w:val="auto"/>
              </w:rPr>
            </w:pPr>
            <w:r>
              <w:rPr>
                <w:rFonts w:ascii="Arial" w:cs="Arial" w:eastAsia="Arial" w:hAnsi="Arial"/>
                <w:sz w:val="17"/>
                <w:szCs w:val="17"/>
                <w:color w:val="282A32"/>
              </w:rPr>
              <w:t>0.2</w:t>
            </w:r>
          </w:p>
        </w:tc>
      </w:tr>
      <w:tr>
        <w:trPr>
          <w:trHeight w:val="25"/>
        </w:trPr>
        <w:tc>
          <w:tcPr>
            <w:tcW w:w="5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¥172.8 to $1.5</w:t>
            </w:r>
          </w:p>
        </w:tc>
        <w:tc>
          <w:tcPr>
            <w:tcW w:w="3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(0.2)</w:t>
            </w:r>
          </w:p>
        </w:tc>
        <w:tc>
          <w:tcPr>
            <w:tcW w:w="3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282A32"/>
              </w:rPr>
              <w:t>0.2</w:t>
            </w:r>
          </w:p>
        </w:tc>
      </w:tr>
      <w:tr>
        <w:trPr>
          <w:trHeight w:val="536"/>
        </w:trPr>
        <w:tc>
          <w:tcPr>
            <w:tcW w:w="5500" w:type="dxa"/>
            <w:vAlign w:val="bottom"/>
          </w:tcPr>
          <w:p>
            <w:pPr>
              <w:ind w:left="20"/>
              <w:spacing w:after="0"/>
              <w:rPr>
                <w:sz w:val="20"/>
                <w:szCs w:val="20"/>
                <w:color w:val="auto"/>
              </w:rPr>
            </w:pPr>
            <w:r>
              <w:rPr>
                <w:rFonts w:ascii="Arial" w:cs="Arial" w:eastAsia="Arial" w:hAnsi="Arial"/>
                <w:sz w:val="17"/>
                <w:szCs w:val="17"/>
                <w:color w:val="282A32"/>
              </w:rPr>
              <w:t>As of December 31, 2017</w:t>
            </w:r>
          </w:p>
        </w:tc>
        <w:tc>
          <w:tcPr>
            <w:tcW w:w="3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2"/>
        </w:trPr>
        <w:tc>
          <w:tcPr>
            <w:tcW w:w="5500" w:type="dxa"/>
            <w:vAlign w:val="bottom"/>
          </w:tcPr>
          <w:p>
            <w:pPr>
              <w:ind w:left="20"/>
              <w:spacing w:after="0"/>
              <w:rPr>
                <w:sz w:val="20"/>
                <w:szCs w:val="20"/>
                <w:color w:val="auto"/>
              </w:rPr>
            </w:pPr>
            <w:r>
              <w:rPr>
                <w:rFonts w:ascii="Arial" w:cs="Arial" w:eastAsia="Arial" w:hAnsi="Arial"/>
                <w:sz w:val="17"/>
                <w:szCs w:val="17"/>
                <w:color w:val="282A32"/>
              </w:rPr>
              <w:t xml:space="preserve">Market Sensitive Instrument </w:t>
            </w:r>
            <w:r>
              <w:rPr>
                <w:rFonts w:ascii="Arial" w:cs="Arial" w:eastAsia="Arial" w:hAnsi="Arial"/>
                <w:sz w:val="17"/>
                <w:szCs w:val="17"/>
                <w:i w:val="1"/>
                <w:iCs w:val="1"/>
                <w:color w:val="282A32"/>
              </w:rPr>
              <w:t>(in millions)</w:t>
            </w:r>
          </w:p>
        </w:tc>
        <w:tc>
          <w:tcPr>
            <w:tcW w:w="3840" w:type="dxa"/>
            <w:vAlign w:val="bottom"/>
          </w:tcPr>
          <w:p>
            <w:pPr>
              <w:jc w:val="right"/>
              <w:ind w:right="117"/>
              <w:spacing w:after="0"/>
              <w:rPr>
                <w:sz w:val="20"/>
                <w:szCs w:val="20"/>
                <w:color w:val="auto"/>
              </w:rPr>
            </w:pPr>
            <w:r>
              <w:rPr>
                <w:rFonts w:ascii="Arial" w:cs="Arial" w:eastAsia="Arial" w:hAnsi="Arial"/>
                <w:sz w:val="17"/>
                <w:szCs w:val="17"/>
                <w:color w:val="282A32"/>
              </w:rPr>
              <w:t>10% Decrease</w:t>
            </w:r>
          </w:p>
        </w:tc>
        <w:tc>
          <w:tcPr>
            <w:tcW w:w="380" w:type="dxa"/>
            <w:vAlign w:val="bottom"/>
          </w:tcPr>
          <w:p>
            <w:pPr>
              <w:spacing w:after="0"/>
              <w:rPr>
                <w:sz w:val="18"/>
                <w:szCs w:val="18"/>
                <w:color w:val="auto"/>
              </w:rPr>
            </w:pPr>
          </w:p>
        </w:tc>
        <w:tc>
          <w:tcPr>
            <w:tcW w:w="1660" w:type="dxa"/>
            <w:vAlign w:val="bottom"/>
          </w:tcPr>
          <w:p>
            <w:pPr>
              <w:jc w:val="right"/>
              <w:ind w:right="477"/>
              <w:spacing w:after="0"/>
              <w:rPr>
                <w:sz w:val="20"/>
                <w:szCs w:val="20"/>
                <w:color w:val="auto"/>
              </w:rPr>
            </w:pPr>
            <w:r>
              <w:rPr>
                <w:rFonts w:ascii="Arial" w:cs="Arial" w:eastAsia="Arial" w:hAnsi="Arial"/>
                <w:sz w:val="17"/>
                <w:szCs w:val="17"/>
                <w:color w:val="282A32"/>
              </w:rPr>
              <w:t>10% Increase</w:t>
            </w:r>
          </w:p>
        </w:tc>
      </w:tr>
      <w:tr>
        <w:trPr>
          <w:trHeight w:val="25"/>
        </w:trPr>
        <w:tc>
          <w:tcPr>
            <w:tcW w:w="55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282A32"/>
              </w:rPr>
              <w:t>Euro Notes:</w:t>
            </w:r>
          </w:p>
        </w:tc>
        <w:tc>
          <w:tcPr>
            <w:tcW w:w="38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r>
      <w:tr>
        <w:trPr>
          <w:trHeight w:val="274"/>
        </w:trPr>
        <w:tc>
          <w:tcPr>
            <w:tcW w:w="5500" w:type="dxa"/>
            <w:vAlign w:val="bottom"/>
          </w:tcPr>
          <w:p>
            <w:pPr>
              <w:ind w:left="20"/>
              <w:spacing w:after="0"/>
              <w:rPr>
                <w:sz w:val="20"/>
                <w:szCs w:val="20"/>
                <w:color w:val="auto"/>
              </w:rPr>
            </w:pPr>
            <w:r>
              <w:rPr>
                <w:rFonts w:ascii="Arial" w:cs="Arial" w:eastAsia="Arial" w:hAnsi="Arial"/>
                <w:sz w:val="17"/>
                <w:szCs w:val="17"/>
                <w:color w:val="282A32"/>
              </w:rPr>
              <w:t>€400.0, 1.91% Notes due September 2022</w:t>
            </w:r>
          </w:p>
        </w:tc>
        <w:tc>
          <w:tcPr>
            <w:tcW w:w="3840" w:type="dxa"/>
            <w:vAlign w:val="bottom"/>
          </w:tcPr>
          <w:p>
            <w:pPr>
              <w:jc w:val="right"/>
              <w:ind w:right="17"/>
              <w:spacing w:after="0"/>
              <w:rPr>
                <w:sz w:val="20"/>
                <w:szCs w:val="20"/>
                <w:color w:val="auto"/>
              </w:rPr>
            </w:pPr>
            <w:r>
              <w:rPr>
                <w:rFonts w:ascii="Arial" w:cs="Arial" w:eastAsia="Arial" w:hAnsi="Arial"/>
                <w:sz w:val="17"/>
                <w:szCs w:val="17"/>
                <w:color w:val="282A32"/>
              </w:rPr>
              <w:t>$51.0</w:t>
            </w:r>
          </w:p>
        </w:tc>
        <w:tc>
          <w:tcPr>
            <w:tcW w:w="380" w:type="dxa"/>
            <w:vAlign w:val="bottom"/>
          </w:tcPr>
          <w:p>
            <w:pPr>
              <w:jc w:val="right"/>
              <w:ind w:right="162"/>
              <w:spacing w:after="0"/>
              <w:rPr>
                <w:sz w:val="20"/>
                <w:szCs w:val="20"/>
                <w:color w:val="auto"/>
              </w:rPr>
            </w:pPr>
            <w:r>
              <w:rPr>
                <w:rFonts w:ascii="Arial" w:cs="Arial" w:eastAsia="Arial" w:hAnsi="Arial"/>
                <w:sz w:val="12"/>
                <w:szCs w:val="12"/>
                <w:color w:val="282A32"/>
                <w:w w:val="95"/>
              </w:rPr>
              <w:t>(1)</w:t>
            </w:r>
          </w:p>
        </w:tc>
        <w:tc>
          <w:tcPr>
            <w:tcW w:w="1660" w:type="dxa"/>
            <w:vAlign w:val="bottom"/>
          </w:tcPr>
          <w:p>
            <w:pPr>
              <w:jc w:val="right"/>
              <w:ind w:right="97"/>
              <w:spacing w:after="0"/>
              <w:rPr>
                <w:sz w:val="20"/>
                <w:szCs w:val="20"/>
                <w:color w:val="auto"/>
              </w:rPr>
            </w:pPr>
            <w:r>
              <w:rPr>
                <w:rFonts w:ascii="Arial" w:cs="Arial" w:eastAsia="Arial" w:hAnsi="Arial"/>
                <w:sz w:val="17"/>
                <w:szCs w:val="17"/>
                <w:color w:val="282A32"/>
              </w:rPr>
              <w:t xml:space="preserve">($51.0) </w:t>
            </w:r>
            <w:r>
              <w:rPr>
                <w:rFonts w:ascii="Arial" w:cs="Arial" w:eastAsia="Arial" w:hAnsi="Arial"/>
                <w:sz w:val="23"/>
                <w:szCs w:val="23"/>
                <w:color w:val="282A32"/>
                <w:vertAlign w:val="superscript"/>
              </w:rPr>
              <w:t>(1)</w:t>
            </w:r>
          </w:p>
        </w:tc>
      </w:tr>
      <w:tr>
        <w:trPr>
          <w:trHeight w:val="274"/>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282A32"/>
              </w:rPr>
              <w:t>€350.0, 4.51% Notes due June 2018</w:t>
            </w:r>
          </w:p>
        </w:tc>
        <w:tc>
          <w:tcPr>
            <w:tcW w:w="3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282A32"/>
              </w:rPr>
              <w:t>43.0</w:t>
            </w:r>
          </w:p>
        </w:tc>
        <w:tc>
          <w:tcPr>
            <w:tcW w:w="38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282A32"/>
                <w:w w:val="95"/>
              </w:rPr>
              <w:t>(1)</w:t>
            </w:r>
          </w:p>
        </w:tc>
        <w:tc>
          <w:tcPr>
            <w:tcW w:w="16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282A32"/>
              </w:rPr>
              <w:t xml:space="preserve">(43.0) </w:t>
            </w:r>
            <w:r>
              <w:rPr>
                <w:rFonts w:ascii="Arial" w:cs="Arial" w:eastAsia="Arial" w:hAnsi="Arial"/>
                <w:sz w:val="23"/>
                <w:szCs w:val="23"/>
                <w:color w:val="282A32"/>
                <w:vertAlign w:val="superscript"/>
              </w:rPr>
              <w:t>(1)</w:t>
            </w:r>
          </w:p>
        </w:tc>
      </w:tr>
      <w:tr>
        <w:trPr>
          <w:trHeight w:val="224"/>
        </w:trPr>
        <w:tc>
          <w:tcPr>
            <w:tcW w:w="5500" w:type="dxa"/>
            <w:vAlign w:val="bottom"/>
          </w:tcPr>
          <w:p>
            <w:pPr>
              <w:ind w:left="20"/>
              <w:spacing w:after="0"/>
              <w:rPr>
                <w:sz w:val="20"/>
                <w:szCs w:val="20"/>
                <w:color w:val="auto"/>
              </w:rPr>
            </w:pPr>
            <w:r>
              <w:rPr>
                <w:rFonts w:ascii="Arial" w:cs="Arial" w:eastAsia="Arial" w:hAnsi="Arial"/>
                <w:sz w:val="17"/>
                <w:szCs w:val="17"/>
                <w:b w:val="1"/>
                <w:bCs w:val="1"/>
                <w:color w:val="282A32"/>
              </w:rPr>
              <w:t>Forward contracts:</w:t>
            </w:r>
          </w:p>
        </w:tc>
        <w:tc>
          <w:tcPr>
            <w:tcW w:w="3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5"/>
        </w:trPr>
        <w:tc>
          <w:tcPr>
            <w:tcW w:w="5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7"/>
                <w:szCs w:val="17"/>
                <w:color w:val="282A32"/>
              </w:rPr>
              <w:t>£2.9 to $3.9</w:t>
            </w:r>
          </w:p>
        </w:tc>
        <w:tc>
          <w:tcPr>
            <w:tcW w:w="3840" w:type="dxa"/>
            <w:vAlign w:val="bottom"/>
            <w:shd w:val="clear" w:color="auto" w:fill="CCEEFF"/>
          </w:tcPr>
          <w:p>
            <w:pPr>
              <w:jc w:val="right"/>
              <w:spacing w:after="0"/>
              <w:rPr>
                <w:sz w:val="20"/>
                <w:szCs w:val="20"/>
                <w:color w:val="auto"/>
              </w:rPr>
            </w:pPr>
            <w:r>
              <w:rPr>
                <w:rFonts w:ascii="Arial" w:cs="Arial" w:eastAsia="Arial" w:hAnsi="Arial"/>
                <w:sz w:val="17"/>
                <w:szCs w:val="17"/>
                <w:color w:val="282A32"/>
              </w:rPr>
              <w:t>(0.4)</w:t>
            </w:r>
          </w:p>
        </w:tc>
        <w:tc>
          <w:tcPr>
            <w:tcW w:w="38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377"/>
              <w:spacing w:after="0"/>
              <w:rPr>
                <w:sz w:val="20"/>
                <w:szCs w:val="20"/>
                <w:color w:val="auto"/>
              </w:rPr>
            </w:pPr>
            <w:r>
              <w:rPr>
                <w:rFonts w:ascii="Arial" w:cs="Arial" w:eastAsia="Arial" w:hAnsi="Arial"/>
                <w:sz w:val="17"/>
                <w:szCs w:val="17"/>
                <w:color w:val="282A32"/>
              </w:rPr>
              <w:t>0.4</w:t>
            </w:r>
          </w:p>
        </w:tc>
      </w:tr>
      <w:tr>
        <w:trPr>
          <w:trHeight w:val="25"/>
        </w:trPr>
        <w:tc>
          <w:tcPr>
            <w:tcW w:w="550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42" w:lineRule="exact"/>
        <w:rPr>
          <w:sz w:val="20"/>
          <w:szCs w:val="20"/>
          <w:color w:val="auto"/>
        </w:rPr>
      </w:pPr>
    </w:p>
    <w:p>
      <w:pPr>
        <w:spacing w:after="0" w:line="266" w:lineRule="auto"/>
        <w:tabs>
          <w:tab w:leader="none" w:pos="221" w:val="left"/>
        </w:tabs>
        <w:numPr>
          <w:ilvl w:val="0"/>
          <w:numId w:val="29"/>
        </w:numPr>
        <w:rPr>
          <w:rFonts w:ascii="Arial" w:cs="Arial" w:eastAsia="Arial" w:hAnsi="Arial"/>
          <w:sz w:val="15"/>
          <w:szCs w:val="15"/>
          <w:color w:val="282A32"/>
        </w:rPr>
      </w:pPr>
      <w:r>
        <w:rPr>
          <w:rFonts w:ascii="Arial" w:cs="Arial" w:eastAsia="Arial" w:hAnsi="Arial"/>
          <w:sz w:val="15"/>
          <w:szCs w:val="15"/>
          <w:color w:val="282A32"/>
        </w:rPr>
        <w:t>This (increase)/decrease in fair value is not recorded in the Consolidated Financial Statements; however, disclosure of the fair value is included in Note 1 to the Consolidated Financial Statements found in Item 8. "Financial Statements and Supplementary Data."</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282A32"/>
        </w:rPr>
        <w:t>Impact of Economic Conditions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82A32"/>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282A32"/>
        </w:rPr>
        <w:t>Recently Issued Accounting Standards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282A32"/>
        </w:rPr>
        <w:t xml:space="preserve">See Note 1 to the Consolidated Financial Statements found </w:t>
      </w:r>
      <w:r>
        <w:rPr>
          <w:rFonts w:ascii="Arial" w:cs="Arial" w:eastAsia="Arial" w:hAnsi="Arial"/>
          <w:sz w:val="17"/>
          <w:szCs w:val="17"/>
          <w:color w:val="000000"/>
        </w:rPr>
        <w:t>in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700"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7"/>
                <w:szCs w:val="17"/>
                <w:b w:val="1"/>
                <w:bCs w:val="1"/>
                <w:color w:val="auto"/>
              </w:rPr>
              <w:t>Item 8.</w:t>
            </w:r>
          </w:p>
        </w:tc>
        <w:tc>
          <w:tcPr>
            <w:tcW w:w="7960" w:type="dxa"/>
            <w:vAlign w:val="bottom"/>
          </w:tcPr>
          <w:p>
            <w:pPr>
              <w:jc w:val="right"/>
              <w:ind w:right="4237"/>
              <w:spacing w:after="0"/>
              <w:rPr>
                <w:sz w:val="20"/>
                <w:szCs w:val="20"/>
                <w:color w:val="auto"/>
              </w:rPr>
            </w:pPr>
            <w:r>
              <w:rPr>
                <w:rFonts w:ascii="Arial" w:cs="Arial" w:eastAsia="Arial" w:hAnsi="Arial"/>
                <w:sz w:val="17"/>
                <w:szCs w:val="17"/>
                <w:b w:val="1"/>
                <w:bCs w:val="1"/>
                <w:color w:val="auto"/>
                <w:w w:val="96"/>
              </w:rPr>
              <w:t>Financial Statements and Supplementary Data</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49"/>
        </w:trPr>
        <w:tc>
          <w:tcPr>
            <w:tcW w:w="80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600" w:type="dxa"/>
            <w:vAlign w:val="bottom"/>
            <w:gridSpan w:val="3"/>
          </w:tcPr>
          <w:p>
            <w:pPr>
              <w:jc w:val="center"/>
              <w:ind w:left="737"/>
              <w:spacing w:after="0"/>
              <w:rPr>
                <w:sz w:val="20"/>
                <w:szCs w:val="20"/>
                <w:color w:val="auto"/>
              </w:rPr>
            </w:pPr>
            <w:r>
              <w:rPr>
                <w:rFonts w:ascii="Arial" w:cs="Arial" w:eastAsia="Arial" w:hAnsi="Arial"/>
                <w:sz w:val="17"/>
                <w:szCs w:val="17"/>
                <w:b w:val="1"/>
                <w:bCs w:val="1"/>
                <w:color w:val="auto"/>
                <w:w w:val="89"/>
              </w:rPr>
              <w:t>Page Number</w:t>
            </w:r>
          </w:p>
        </w:tc>
      </w:tr>
      <w:tr>
        <w:trPr>
          <w:trHeight w:val="25"/>
        </w:trPr>
        <w:tc>
          <w:tcPr>
            <w:tcW w:w="876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9"/>
        </w:trPr>
        <w:tc>
          <w:tcPr>
            <w:tcW w:w="8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Index to Consolidated Financial Statements:</w:t>
            </w:r>
          </w:p>
        </w:tc>
        <w:tc>
          <w:tcPr>
            <w:tcW w:w="16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187"/>
        </w:trPr>
        <w:tc>
          <w:tcPr>
            <w:tcW w:w="8760" w:type="dxa"/>
            <w:vAlign w:val="bottom"/>
            <w:gridSpan w:val="2"/>
          </w:tcPr>
          <w:p>
            <w:pPr>
              <w:ind w:left="340"/>
              <w:spacing w:after="0" w:line="187" w:lineRule="exact"/>
              <w:rPr>
                <w:sz w:val="20"/>
                <w:szCs w:val="20"/>
                <w:color w:val="auto"/>
              </w:rPr>
            </w:pPr>
            <w:r>
              <w:rPr>
                <w:rFonts w:ascii="Arial" w:cs="Arial" w:eastAsia="Arial" w:hAnsi="Arial"/>
                <w:sz w:val="17"/>
                <w:szCs w:val="17"/>
                <w:color w:val="auto"/>
              </w:rPr>
              <w:t>Report of Independent Registered Public Accounting Firm</w:t>
            </w:r>
          </w:p>
        </w:tc>
        <w:tc>
          <w:tcPr>
            <w:tcW w:w="2600" w:type="dxa"/>
            <w:vAlign w:val="bottom"/>
            <w:gridSpan w:val="3"/>
          </w:tcPr>
          <w:p>
            <w:pPr>
              <w:jc w:val="center"/>
              <w:ind w:left="697"/>
              <w:spacing w:after="0" w:line="187" w:lineRule="exact"/>
              <w:rPr>
                <w:rFonts w:ascii="Arial" w:cs="Arial" w:eastAsia="Arial" w:hAnsi="Arial"/>
                <w:sz w:val="17"/>
                <w:szCs w:val="17"/>
                <w:color w:val="0000EE"/>
                <w:w w:val="94"/>
              </w:rPr>
            </w:pPr>
            <w:hyperlink w:anchor="page50">
              <w:r>
                <w:rPr>
                  <w:rFonts w:ascii="Arial" w:cs="Arial" w:eastAsia="Arial" w:hAnsi="Arial"/>
                  <w:sz w:val="17"/>
                  <w:szCs w:val="17"/>
                  <w:color w:val="0000EE"/>
                  <w:w w:val="94"/>
                </w:rPr>
                <w:t>50</w:t>
              </w:r>
            </w:hyperlink>
          </w:p>
        </w:tc>
      </w:tr>
      <w:tr>
        <w:trPr>
          <w:trHeight w:val="42"/>
        </w:trPr>
        <w:tc>
          <w:tcPr>
            <w:tcW w:w="800" w:type="dxa"/>
            <w:vAlign w:val="bottom"/>
          </w:tcPr>
          <w:p>
            <w:pPr>
              <w:spacing w:after="0"/>
              <w:rPr>
                <w:sz w:val="3"/>
                <w:szCs w:val="3"/>
                <w:color w:val="auto"/>
              </w:rPr>
            </w:pPr>
          </w:p>
        </w:tc>
        <w:tc>
          <w:tcPr>
            <w:tcW w:w="79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820" w:type="dxa"/>
            <w:vAlign w:val="bottom"/>
          </w:tcPr>
          <w:p>
            <w:pPr>
              <w:spacing w:after="0"/>
              <w:rPr>
                <w:sz w:val="3"/>
                <w:szCs w:val="3"/>
                <w:color w:val="auto"/>
              </w:rPr>
            </w:pPr>
          </w:p>
        </w:tc>
      </w:tr>
      <w:tr>
        <w:trPr>
          <w:trHeight w:val="229"/>
        </w:trPr>
        <w:tc>
          <w:tcPr>
            <w:tcW w:w="8760" w:type="dxa"/>
            <w:vAlign w:val="bottom"/>
            <w:tcBorders>
              <w:bottom w:val="single" w:sz="8" w:color="CCEEFF"/>
            </w:tcBorders>
            <w:gridSpan w:val="2"/>
            <w:shd w:val="clear" w:color="auto" w:fill="CCEEFF"/>
          </w:tcPr>
          <w:p>
            <w:pPr>
              <w:ind w:left="340"/>
              <w:spacing w:after="0" w:line="187" w:lineRule="exact"/>
              <w:rPr>
                <w:sz w:val="20"/>
                <w:szCs w:val="20"/>
                <w:color w:val="auto"/>
              </w:rPr>
            </w:pPr>
            <w:r>
              <w:rPr>
                <w:rFonts w:ascii="Arial" w:cs="Arial" w:eastAsia="Arial" w:hAnsi="Arial"/>
                <w:sz w:val="17"/>
                <w:szCs w:val="17"/>
                <w:color w:val="auto"/>
              </w:rPr>
              <w:t>Consolidated Statements of Operations for the years ended December 31, 2018, 2017 and 2016</w:t>
            </w:r>
          </w:p>
        </w:tc>
        <w:tc>
          <w:tcPr>
            <w:tcW w:w="16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center"/>
              <w:spacing w:after="0" w:line="187" w:lineRule="exact"/>
              <w:rPr>
                <w:rFonts w:ascii="Arial" w:cs="Arial" w:eastAsia="Arial" w:hAnsi="Arial"/>
                <w:sz w:val="17"/>
                <w:szCs w:val="17"/>
                <w:color w:val="0000EE"/>
                <w:w w:val="94"/>
              </w:rPr>
            </w:pPr>
            <w:hyperlink w:anchor="page52">
              <w:r>
                <w:rPr>
                  <w:rFonts w:ascii="Arial" w:cs="Arial" w:eastAsia="Arial" w:hAnsi="Arial"/>
                  <w:sz w:val="17"/>
                  <w:szCs w:val="17"/>
                  <w:color w:val="0000EE"/>
                  <w:w w:val="94"/>
                </w:rPr>
                <w:t>52</w:t>
              </w:r>
            </w:hyperlink>
          </w:p>
        </w:tc>
        <w:tc>
          <w:tcPr>
            <w:tcW w:w="820" w:type="dxa"/>
            <w:vAlign w:val="bottom"/>
            <w:tcBorders>
              <w:bottom w:val="single" w:sz="8" w:color="CCEEFF"/>
            </w:tcBorders>
            <w:shd w:val="clear" w:color="auto" w:fill="CCEEFF"/>
          </w:tcPr>
          <w:p>
            <w:pPr>
              <w:spacing w:after="0"/>
              <w:rPr>
                <w:sz w:val="19"/>
                <w:szCs w:val="19"/>
                <w:color w:val="auto"/>
              </w:rPr>
            </w:pPr>
          </w:p>
        </w:tc>
      </w:tr>
      <w:tr>
        <w:trPr>
          <w:trHeight w:val="187"/>
        </w:trPr>
        <w:tc>
          <w:tcPr>
            <w:tcW w:w="8760" w:type="dxa"/>
            <w:vAlign w:val="bottom"/>
            <w:gridSpan w:val="2"/>
          </w:tcPr>
          <w:p>
            <w:pPr>
              <w:ind w:left="340"/>
              <w:spacing w:after="0" w:line="187" w:lineRule="exact"/>
              <w:rPr>
                <w:sz w:val="20"/>
                <w:szCs w:val="20"/>
                <w:color w:val="auto"/>
              </w:rPr>
            </w:pPr>
            <w:r>
              <w:rPr>
                <w:rFonts w:ascii="Arial" w:cs="Arial" w:eastAsia="Arial" w:hAnsi="Arial"/>
                <w:sz w:val="17"/>
                <w:szCs w:val="17"/>
                <w:color w:val="auto"/>
              </w:rPr>
              <w:t>Consolidated Statements of Comprehensive Income for the years ended December 31, 2018, 2017 and 2016</w:t>
            </w:r>
          </w:p>
        </w:tc>
        <w:tc>
          <w:tcPr>
            <w:tcW w:w="2600" w:type="dxa"/>
            <w:vAlign w:val="bottom"/>
            <w:gridSpan w:val="3"/>
          </w:tcPr>
          <w:p>
            <w:pPr>
              <w:jc w:val="center"/>
              <w:ind w:left="697"/>
              <w:spacing w:after="0" w:line="187" w:lineRule="exact"/>
              <w:rPr>
                <w:rFonts w:ascii="Arial" w:cs="Arial" w:eastAsia="Arial" w:hAnsi="Arial"/>
                <w:sz w:val="17"/>
                <w:szCs w:val="17"/>
                <w:color w:val="0000EE"/>
                <w:w w:val="94"/>
              </w:rPr>
            </w:pPr>
            <w:hyperlink w:anchor="page52">
              <w:r>
                <w:rPr>
                  <w:rFonts w:ascii="Arial" w:cs="Arial" w:eastAsia="Arial" w:hAnsi="Arial"/>
                  <w:sz w:val="17"/>
                  <w:szCs w:val="17"/>
                  <w:color w:val="0000EE"/>
                  <w:w w:val="94"/>
                </w:rPr>
                <w:t>52</w:t>
              </w:r>
            </w:hyperlink>
          </w:p>
        </w:tc>
      </w:tr>
      <w:tr>
        <w:trPr>
          <w:trHeight w:val="42"/>
        </w:trPr>
        <w:tc>
          <w:tcPr>
            <w:tcW w:w="800" w:type="dxa"/>
            <w:vAlign w:val="bottom"/>
          </w:tcPr>
          <w:p>
            <w:pPr>
              <w:spacing w:after="0"/>
              <w:rPr>
                <w:sz w:val="3"/>
                <w:szCs w:val="3"/>
                <w:color w:val="auto"/>
              </w:rPr>
            </w:pPr>
          </w:p>
        </w:tc>
        <w:tc>
          <w:tcPr>
            <w:tcW w:w="79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820" w:type="dxa"/>
            <w:vAlign w:val="bottom"/>
          </w:tcPr>
          <w:p>
            <w:pPr>
              <w:spacing w:after="0"/>
              <w:rPr>
                <w:sz w:val="3"/>
                <w:szCs w:val="3"/>
                <w:color w:val="auto"/>
              </w:rPr>
            </w:pPr>
          </w:p>
        </w:tc>
      </w:tr>
      <w:tr>
        <w:trPr>
          <w:trHeight w:val="229"/>
        </w:trPr>
        <w:tc>
          <w:tcPr>
            <w:tcW w:w="8760" w:type="dxa"/>
            <w:vAlign w:val="bottom"/>
            <w:tcBorders>
              <w:bottom w:val="single" w:sz="8" w:color="CCEEFF"/>
            </w:tcBorders>
            <w:gridSpan w:val="2"/>
            <w:shd w:val="clear" w:color="auto" w:fill="CCEEFF"/>
          </w:tcPr>
          <w:p>
            <w:pPr>
              <w:ind w:left="340"/>
              <w:spacing w:after="0" w:line="187" w:lineRule="exact"/>
              <w:rPr>
                <w:sz w:val="20"/>
                <w:szCs w:val="20"/>
                <w:color w:val="auto"/>
              </w:rPr>
            </w:pPr>
            <w:r>
              <w:rPr>
                <w:rFonts w:ascii="Arial" w:cs="Arial" w:eastAsia="Arial" w:hAnsi="Arial"/>
                <w:sz w:val="17"/>
                <w:szCs w:val="17"/>
                <w:color w:val="auto"/>
              </w:rPr>
              <w:t>Consolidated Balance Sheets as of December 31, 2018 and 2017</w:t>
            </w:r>
          </w:p>
        </w:tc>
        <w:tc>
          <w:tcPr>
            <w:tcW w:w="16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center"/>
              <w:spacing w:after="0" w:line="187" w:lineRule="exact"/>
              <w:rPr>
                <w:rFonts w:ascii="Arial" w:cs="Arial" w:eastAsia="Arial" w:hAnsi="Arial"/>
                <w:sz w:val="17"/>
                <w:szCs w:val="17"/>
                <w:color w:val="0000EE"/>
                <w:w w:val="94"/>
              </w:rPr>
            </w:pPr>
            <w:hyperlink w:anchor="page53">
              <w:r>
                <w:rPr>
                  <w:rFonts w:ascii="Arial" w:cs="Arial" w:eastAsia="Arial" w:hAnsi="Arial"/>
                  <w:sz w:val="17"/>
                  <w:szCs w:val="17"/>
                  <w:color w:val="0000EE"/>
                  <w:w w:val="94"/>
                </w:rPr>
                <w:t>53</w:t>
              </w:r>
            </w:hyperlink>
          </w:p>
        </w:tc>
        <w:tc>
          <w:tcPr>
            <w:tcW w:w="820" w:type="dxa"/>
            <w:vAlign w:val="bottom"/>
            <w:tcBorders>
              <w:bottom w:val="single" w:sz="8" w:color="CCEEFF"/>
            </w:tcBorders>
            <w:shd w:val="clear" w:color="auto" w:fill="CCEEFF"/>
          </w:tcPr>
          <w:p>
            <w:pPr>
              <w:spacing w:after="0"/>
              <w:rPr>
                <w:sz w:val="19"/>
                <w:szCs w:val="19"/>
                <w:color w:val="auto"/>
              </w:rPr>
            </w:pPr>
          </w:p>
        </w:tc>
      </w:tr>
      <w:tr>
        <w:trPr>
          <w:trHeight w:val="187"/>
        </w:trPr>
        <w:tc>
          <w:tcPr>
            <w:tcW w:w="8760" w:type="dxa"/>
            <w:vAlign w:val="bottom"/>
            <w:gridSpan w:val="2"/>
          </w:tcPr>
          <w:p>
            <w:pPr>
              <w:ind w:left="340"/>
              <w:spacing w:after="0" w:line="187" w:lineRule="exact"/>
              <w:rPr>
                <w:sz w:val="20"/>
                <w:szCs w:val="20"/>
                <w:color w:val="auto"/>
              </w:rPr>
            </w:pPr>
            <w:r>
              <w:rPr>
                <w:rFonts w:ascii="Arial" w:cs="Arial" w:eastAsia="Arial" w:hAnsi="Arial"/>
                <w:sz w:val="17"/>
                <w:szCs w:val="17"/>
                <w:color w:val="auto"/>
              </w:rPr>
              <w:t>Consolidated Statements of Cash Flows for the years ended December 31, 2018, 2017 and 2016</w:t>
            </w:r>
          </w:p>
        </w:tc>
        <w:tc>
          <w:tcPr>
            <w:tcW w:w="2600" w:type="dxa"/>
            <w:vAlign w:val="bottom"/>
            <w:gridSpan w:val="3"/>
          </w:tcPr>
          <w:p>
            <w:pPr>
              <w:jc w:val="center"/>
              <w:ind w:left="697"/>
              <w:spacing w:after="0" w:line="187" w:lineRule="exact"/>
              <w:rPr>
                <w:rFonts w:ascii="Arial" w:cs="Arial" w:eastAsia="Arial" w:hAnsi="Arial"/>
                <w:sz w:val="17"/>
                <w:szCs w:val="17"/>
                <w:color w:val="0000EE"/>
                <w:w w:val="94"/>
              </w:rPr>
            </w:pPr>
            <w:hyperlink w:anchor="page54">
              <w:r>
                <w:rPr>
                  <w:rFonts w:ascii="Arial" w:cs="Arial" w:eastAsia="Arial" w:hAnsi="Arial"/>
                  <w:sz w:val="17"/>
                  <w:szCs w:val="17"/>
                  <w:color w:val="0000EE"/>
                  <w:w w:val="94"/>
                </w:rPr>
                <w:t>54</w:t>
              </w:r>
            </w:hyperlink>
          </w:p>
        </w:tc>
      </w:tr>
      <w:tr>
        <w:trPr>
          <w:trHeight w:val="42"/>
        </w:trPr>
        <w:tc>
          <w:tcPr>
            <w:tcW w:w="800" w:type="dxa"/>
            <w:vAlign w:val="bottom"/>
          </w:tcPr>
          <w:p>
            <w:pPr>
              <w:spacing w:after="0"/>
              <w:rPr>
                <w:sz w:val="3"/>
                <w:szCs w:val="3"/>
                <w:color w:val="auto"/>
              </w:rPr>
            </w:pPr>
          </w:p>
        </w:tc>
        <w:tc>
          <w:tcPr>
            <w:tcW w:w="79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80" w:type="dxa"/>
            <w:vAlign w:val="bottom"/>
            <w:tcBorders>
              <w:top w:val="single" w:sz="8" w:color="0000EE"/>
            </w:tcBorders>
          </w:tcPr>
          <w:p>
            <w:pPr>
              <w:spacing w:after="0"/>
              <w:rPr>
                <w:sz w:val="3"/>
                <w:szCs w:val="3"/>
                <w:color w:val="auto"/>
              </w:rPr>
            </w:pPr>
          </w:p>
        </w:tc>
        <w:tc>
          <w:tcPr>
            <w:tcW w:w="820" w:type="dxa"/>
            <w:vAlign w:val="bottom"/>
          </w:tcPr>
          <w:p>
            <w:pPr>
              <w:spacing w:after="0"/>
              <w:rPr>
                <w:sz w:val="3"/>
                <w:szCs w:val="3"/>
                <w:color w:val="auto"/>
              </w:rPr>
            </w:pPr>
          </w:p>
        </w:tc>
      </w:tr>
      <w:tr>
        <w:trPr>
          <w:trHeight w:val="229"/>
        </w:trPr>
        <w:tc>
          <w:tcPr>
            <w:tcW w:w="8760" w:type="dxa"/>
            <w:vAlign w:val="bottom"/>
            <w:tcBorders>
              <w:bottom w:val="single" w:sz="8" w:color="CCEEFF"/>
            </w:tcBorders>
            <w:gridSpan w:val="2"/>
            <w:shd w:val="clear" w:color="auto" w:fill="CCEEFF"/>
          </w:tcPr>
          <w:p>
            <w:pPr>
              <w:ind w:left="340"/>
              <w:spacing w:after="0" w:line="187" w:lineRule="exact"/>
              <w:rPr>
                <w:sz w:val="20"/>
                <w:szCs w:val="20"/>
                <w:color w:val="auto"/>
              </w:rPr>
            </w:pPr>
            <w:r>
              <w:rPr>
                <w:rFonts w:ascii="Arial" w:cs="Arial" w:eastAsia="Arial" w:hAnsi="Arial"/>
                <w:sz w:val="17"/>
                <w:szCs w:val="17"/>
                <w:color w:val="auto"/>
              </w:rPr>
              <w:t>Consolidated Statements of Shareholders’ Equity for the years ended December 31, 2018, 2017 and 2016</w:t>
            </w:r>
          </w:p>
        </w:tc>
        <w:tc>
          <w:tcPr>
            <w:tcW w:w="16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center"/>
              <w:spacing w:after="0" w:line="187" w:lineRule="exact"/>
              <w:rPr>
                <w:rFonts w:ascii="Arial" w:cs="Arial" w:eastAsia="Arial" w:hAnsi="Arial"/>
                <w:sz w:val="17"/>
                <w:szCs w:val="17"/>
                <w:color w:val="0000EE"/>
                <w:w w:val="94"/>
              </w:rPr>
            </w:pPr>
            <w:hyperlink w:anchor="page55">
              <w:r>
                <w:rPr>
                  <w:rFonts w:ascii="Arial" w:cs="Arial" w:eastAsia="Arial" w:hAnsi="Arial"/>
                  <w:sz w:val="17"/>
                  <w:szCs w:val="17"/>
                  <w:color w:val="0000EE"/>
                  <w:w w:val="94"/>
                </w:rPr>
                <w:t>55</w:t>
              </w:r>
            </w:hyperlink>
          </w:p>
        </w:tc>
        <w:tc>
          <w:tcPr>
            <w:tcW w:w="820" w:type="dxa"/>
            <w:vAlign w:val="bottom"/>
            <w:tcBorders>
              <w:bottom w:val="single" w:sz="8" w:color="CCEEFF"/>
            </w:tcBorders>
            <w:shd w:val="clear" w:color="auto" w:fill="CCEEFF"/>
          </w:tcPr>
          <w:p>
            <w:pPr>
              <w:spacing w:after="0"/>
              <w:rPr>
                <w:sz w:val="19"/>
                <w:szCs w:val="19"/>
                <w:color w:val="auto"/>
              </w:rPr>
            </w:pPr>
          </w:p>
        </w:tc>
      </w:tr>
      <w:tr>
        <w:trPr>
          <w:trHeight w:val="187"/>
        </w:trPr>
        <w:tc>
          <w:tcPr>
            <w:tcW w:w="8760" w:type="dxa"/>
            <w:vAlign w:val="bottom"/>
            <w:gridSpan w:val="2"/>
          </w:tcPr>
          <w:p>
            <w:pPr>
              <w:ind w:left="340"/>
              <w:spacing w:after="0" w:line="187" w:lineRule="exact"/>
              <w:rPr>
                <w:sz w:val="20"/>
                <w:szCs w:val="20"/>
                <w:color w:val="auto"/>
              </w:rPr>
            </w:pPr>
            <w:r>
              <w:rPr>
                <w:rFonts w:ascii="Arial" w:cs="Arial" w:eastAsia="Arial" w:hAnsi="Arial"/>
                <w:sz w:val="17"/>
                <w:szCs w:val="17"/>
                <w:color w:val="auto"/>
              </w:rPr>
              <w:t>Notes to Consolidated Financial Statements</w:t>
            </w:r>
          </w:p>
        </w:tc>
        <w:tc>
          <w:tcPr>
            <w:tcW w:w="2600" w:type="dxa"/>
            <w:vAlign w:val="bottom"/>
            <w:gridSpan w:val="3"/>
          </w:tcPr>
          <w:p>
            <w:pPr>
              <w:jc w:val="center"/>
              <w:ind w:left="697"/>
              <w:spacing w:after="0" w:line="187" w:lineRule="exact"/>
              <w:rPr>
                <w:rFonts w:ascii="Arial" w:cs="Arial" w:eastAsia="Arial" w:hAnsi="Arial"/>
                <w:sz w:val="17"/>
                <w:szCs w:val="17"/>
                <w:color w:val="0000EE"/>
                <w:w w:val="94"/>
              </w:rPr>
            </w:pPr>
            <w:hyperlink w:anchor="page56">
              <w:r>
                <w:rPr>
                  <w:rFonts w:ascii="Arial" w:cs="Arial" w:eastAsia="Arial" w:hAnsi="Arial"/>
                  <w:sz w:val="17"/>
                  <w:szCs w:val="17"/>
                  <w:color w:val="0000EE"/>
                  <w:w w:val="94"/>
                </w:rPr>
                <w:t>56</w:t>
              </w:r>
            </w:hyperlink>
          </w:p>
        </w:tc>
      </w:tr>
      <w:tr>
        <w:trPr>
          <w:trHeight w:val="666"/>
        </w:trPr>
        <w:tc>
          <w:tcPr>
            <w:tcW w:w="800" w:type="dxa"/>
            <w:vAlign w:val="bottom"/>
          </w:tcPr>
          <w:p>
            <w:pPr>
              <w:spacing w:after="0"/>
              <w:rPr>
                <w:sz w:val="24"/>
                <w:szCs w:val="24"/>
                <w:color w:val="auto"/>
              </w:rPr>
            </w:pPr>
          </w:p>
        </w:tc>
        <w:tc>
          <w:tcPr>
            <w:tcW w:w="7960" w:type="dxa"/>
            <w:vAlign w:val="bottom"/>
          </w:tcPr>
          <w:p>
            <w:pPr>
              <w:jc w:val="right"/>
              <w:ind w:right="2877"/>
              <w:spacing w:after="0"/>
              <w:rPr>
                <w:sz w:val="20"/>
                <w:szCs w:val="20"/>
                <w:color w:val="auto"/>
              </w:rPr>
            </w:pPr>
            <w:r>
              <w:rPr>
                <w:rFonts w:ascii="Arial" w:cs="Arial" w:eastAsia="Arial" w:hAnsi="Arial"/>
                <w:sz w:val="17"/>
                <w:szCs w:val="17"/>
                <w:color w:val="auto"/>
              </w:rPr>
              <w:t>49</w:t>
            </w:r>
          </w:p>
        </w:tc>
        <w:tc>
          <w:tcPr>
            <w:tcW w:w="16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360"/>
          </w:cols>
          <w:pgMar w:left="240" w:top="347" w:right="299" w:bottom="1440" w:gutter="0" w:footer="0" w:header="0"/>
        </w:sectPr>
      </w:pPr>
    </w:p>
    <w:bookmarkStart w:id="49" w:name="page50"/>
    <w:bookmarkEnd w:id="49"/>
    <w:p>
      <w:pPr>
        <w:ind w:left="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 the Board of Directors and Shareholders of ManpowerGroup Inc.</w:t>
      </w:r>
    </w:p>
    <w:p>
      <w:pPr>
        <w:spacing w:after="0" w:line="19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07"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 xml:space="preserve">We have audited the internal control over financial reporting of ManpowerGroup Inc. and subsidiaries (the "Company")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2018, based on the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COSO.</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2018 of the Company and our report dated February 22, 2019 expressed an unqualified opinion on those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07"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20"/>
        <w:spacing w:after="0" w:line="353"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Milwaukee, Wisconsin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282A32"/>
        </w:rPr>
        <w:t>February 22, 2019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547" w:right="239" w:bottom="1440" w:gutter="0" w:footer="0" w:header="0"/>
        </w:sectPr>
      </w:pPr>
    </w:p>
    <w:bookmarkStart w:id="50" w:name="page51"/>
    <w:bookmarkEnd w:id="50"/>
    <w:p>
      <w:pPr>
        <w:ind w:left="2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 the Board of Directors and Shareholders of ManpowerGroup Inc.</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07" w:lineRule="exact"/>
        <w:rPr>
          <w:sz w:val="20"/>
          <w:szCs w:val="20"/>
          <w:color w:val="auto"/>
        </w:rPr>
      </w:pPr>
    </w:p>
    <w:p>
      <w:pPr>
        <w:ind w:right="260"/>
        <w:spacing w:after="0" w:line="345" w:lineRule="auto"/>
        <w:rPr>
          <w:sz w:val="20"/>
          <w:szCs w:val="20"/>
          <w:color w:val="auto"/>
        </w:rPr>
      </w:pPr>
      <w:r>
        <w:rPr>
          <w:rFonts w:ascii="Arial" w:cs="Arial" w:eastAsia="Arial" w:hAnsi="Arial"/>
          <w:sz w:val="13"/>
          <w:szCs w:val="13"/>
          <w:color w:val="auto"/>
        </w:rPr>
        <w:t>We have audited the accompanying consolidated balance sheets of ManpowerGroup Inc. and subsidiaries (the “Company”) as of December 31, 2018 and 2017, and the related consolidated statements of operations, comprehensive income, shareholders’ equity, and cash flows for each of the three years in the period ended December 31, 2018, and the related notes and the schedule listed in the Index at Item 15(a)(2)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22"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and our report dated February 22, 2019 expressed an unqualified opinion on the Company’s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Milwaukee, Wisconsin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282A32"/>
        </w:rPr>
        <w:t>February 22, 2019</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282A32"/>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420"/>
          </w:cols>
          <w:pgMar w:left="240" w:top="547"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7"/>
          <w:szCs w:val="17"/>
          <w:b w:val="1"/>
          <w:bCs w:val="1"/>
          <w:color w:val="282A32"/>
        </w:rPr>
        <w:t>CONSOLIDATED STATEMENTS OF OPERATIONS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282A32"/>
        </w:rPr>
        <w:t>in millions, except per share data</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ind w:left="20"/>
              <w:spacing w:after="0"/>
              <w:rPr>
                <w:sz w:val="20"/>
                <w:szCs w:val="20"/>
                <w:color w:val="auto"/>
              </w:rPr>
            </w:pPr>
            <w:r>
              <w:rPr>
                <w:rFonts w:ascii="Arial" w:cs="Arial" w:eastAsia="Arial" w:hAnsi="Arial"/>
                <w:sz w:val="17"/>
                <w:szCs w:val="17"/>
                <w:color w:val="282A32"/>
              </w:rPr>
              <w:t>Year Ended December 31</w:t>
            </w:r>
          </w:p>
        </w:tc>
        <w:tc>
          <w:tcPr>
            <w:tcW w:w="27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2018</w:t>
            </w: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282A32"/>
              </w:rPr>
              <w:t>2017</w:t>
            </w:r>
          </w:p>
        </w:tc>
        <w:tc>
          <w:tcPr>
            <w:tcW w:w="48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282A32"/>
              </w:rPr>
              <w:t>2016</w:t>
            </w:r>
          </w:p>
        </w:tc>
      </w:tr>
      <w:tr>
        <w:trPr>
          <w:trHeight w:val="25"/>
        </w:trPr>
        <w:tc>
          <w:tcPr>
            <w:tcW w:w="4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Revenues from services</w:t>
            </w:r>
          </w:p>
        </w:tc>
        <w:tc>
          <w:tcPr>
            <w:tcW w:w="274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21,991.2</w:t>
            </w:r>
          </w:p>
        </w:tc>
        <w:tc>
          <w:tcPr>
            <w:tcW w:w="4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21,034.3</w:t>
            </w:r>
          </w:p>
        </w:tc>
        <w:tc>
          <w:tcPr>
            <w:tcW w:w="4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19,654.1</w:t>
            </w:r>
          </w:p>
        </w:tc>
      </w:tr>
      <w:tr>
        <w:trPr>
          <w:trHeight w:val="224"/>
        </w:trPr>
        <w:tc>
          <w:tcPr>
            <w:tcW w:w="4700" w:type="dxa"/>
            <w:vAlign w:val="bottom"/>
          </w:tcPr>
          <w:p>
            <w:pPr>
              <w:ind w:left="20"/>
              <w:spacing w:after="0"/>
              <w:rPr>
                <w:sz w:val="20"/>
                <w:szCs w:val="20"/>
                <w:color w:val="auto"/>
              </w:rPr>
            </w:pPr>
            <w:r>
              <w:rPr>
                <w:rFonts w:ascii="Arial" w:cs="Arial" w:eastAsia="Arial" w:hAnsi="Arial"/>
                <w:sz w:val="17"/>
                <w:szCs w:val="17"/>
                <w:color w:val="282A32"/>
              </w:rPr>
              <w:t>Cost of services</w:t>
            </w:r>
          </w:p>
        </w:tc>
        <w:tc>
          <w:tcPr>
            <w:tcW w:w="2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18,412.2</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282A32"/>
              </w:rPr>
              <w:t>17,549.7</w:t>
            </w:r>
          </w:p>
        </w:tc>
        <w:tc>
          <w:tcPr>
            <w:tcW w:w="48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282A32"/>
              </w:rPr>
              <w:t>16,320.3</w:t>
            </w:r>
          </w:p>
        </w:tc>
      </w:tr>
      <w:tr>
        <w:trPr>
          <w:trHeight w:val="25"/>
        </w:trPr>
        <w:tc>
          <w:tcPr>
            <w:tcW w:w="4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282A32"/>
              </w:rPr>
              <w:t>Gross profit</w:t>
            </w:r>
          </w:p>
        </w:tc>
        <w:tc>
          <w:tcPr>
            <w:tcW w:w="27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3,579.0</w:t>
            </w: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3,484.6</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3,333.8</w:t>
            </w:r>
          </w:p>
        </w:tc>
      </w:tr>
      <w:tr>
        <w:trPr>
          <w:trHeight w:val="224"/>
        </w:trPr>
        <w:tc>
          <w:tcPr>
            <w:tcW w:w="4700" w:type="dxa"/>
            <w:vAlign w:val="bottom"/>
          </w:tcPr>
          <w:p>
            <w:pPr>
              <w:ind w:left="20"/>
              <w:spacing w:after="0"/>
              <w:rPr>
                <w:sz w:val="20"/>
                <w:szCs w:val="20"/>
                <w:color w:val="auto"/>
              </w:rPr>
            </w:pPr>
            <w:r>
              <w:rPr>
                <w:rFonts w:ascii="Arial" w:cs="Arial" w:eastAsia="Arial" w:hAnsi="Arial"/>
                <w:sz w:val="17"/>
                <w:szCs w:val="17"/>
                <w:color w:val="282A32"/>
              </w:rPr>
              <w:t>Selling and administrative expenses</w:t>
            </w:r>
          </w:p>
        </w:tc>
        <w:tc>
          <w:tcPr>
            <w:tcW w:w="2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2,782.3</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282A32"/>
              </w:rPr>
              <w:t>2,695.4</w:t>
            </w:r>
          </w:p>
        </w:tc>
        <w:tc>
          <w:tcPr>
            <w:tcW w:w="48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282A32"/>
              </w:rPr>
              <w:t>2,588.3</w:t>
            </w:r>
          </w:p>
        </w:tc>
      </w:tr>
      <w:tr>
        <w:trPr>
          <w:trHeight w:val="25"/>
        </w:trPr>
        <w:tc>
          <w:tcPr>
            <w:tcW w:w="4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282A32"/>
              </w:rPr>
              <w:t>Operating profit</w:t>
            </w:r>
          </w:p>
        </w:tc>
        <w:tc>
          <w:tcPr>
            <w:tcW w:w="27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796.7</w:t>
            </w: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789.2</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745.5</w:t>
            </w:r>
          </w:p>
        </w:tc>
      </w:tr>
      <w:tr>
        <w:trPr>
          <w:trHeight w:val="224"/>
        </w:trPr>
        <w:tc>
          <w:tcPr>
            <w:tcW w:w="4700" w:type="dxa"/>
            <w:vAlign w:val="bottom"/>
          </w:tcPr>
          <w:p>
            <w:pPr>
              <w:ind w:left="20"/>
              <w:spacing w:after="0"/>
              <w:rPr>
                <w:sz w:val="20"/>
                <w:szCs w:val="20"/>
                <w:color w:val="auto"/>
              </w:rPr>
            </w:pPr>
            <w:r>
              <w:rPr>
                <w:rFonts w:ascii="Arial" w:cs="Arial" w:eastAsia="Arial" w:hAnsi="Arial"/>
                <w:sz w:val="17"/>
                <w:szCs w:val="17"/>
                <w:color w:val="282A32"/>
              </w:rPr>
              <w:t>Interest and other expenses</w:t>
            </w:r>
          </w:p>
        </w:tc>
        <w:tc>
          <w:tcPr>
            <w:tcW w:w="2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42.0</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282A32"/>
              </w:rPr>
              <w:t>51.9</w:t>
            </w:r>
          </w:p>
        </w:tc>
        <w:tc>
          <w:tcPr>
            <w:tcW w:w="48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282A32"/>
              </w:rPr>
              <w:t>44.2</w:t>
            </w:r>
          </w:p>
        </w:tc>
      </w:tr>
      <w:tr>
        <w:trPr>
          <w:trHeight w:val="25"/>
        </w:trPr>
        <w:tc>
          <w:tcPr>
            <w:tcW w:w="4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282A32"/>
              </w:rPr>
              <w:t>Earnings before income taxes</w:t>
            </w:r>
          </w:p>
        </w:tc>
        <w:tc>
          <w:tcPr>
            <w:tcW w:w="27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754.7</w:t>
            </w: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737.3</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701.3</w:t>
            </w:r>
          </w:p>
        </w:tc>
      </w:tr>
      <w:tr>
        <w:trPr>
          <w:trHeight w:val="224"/>
        </w:trPr>
        <w:tc>
          <w:tcPr>
            <w:tcW w:w="4700" w:type="dxa"/>
            <w:vAlign w:val="bottom"/>
          </w:tcPr>
          <w:p>
            <w:pPr>
              <w:ind w:left="20"/>
              <w:spacing w:after="0"/>
              <w:rPr>
                <w:sz w:val="20"/>
                <w:szCs w:val="20"/>
                <w:color w:val="auto"/>
              </w:rPr>
            </w:pPr>
            <w:r>
              <w:rPr>
                <w:rFonts w:ascii="Arial" w:cs="Arial" w:eastAsia="Arial" w:hAnsi="Arial"/>
                <w:sz w:val="17"/>
                <w:szCs w:val="17"/>
                <w:color w:val="282A32"/>
              </w:rPr>
              <w:t>Provision for income taxes</w:t>
            </w:r>
          </w:p>
        </w:tc>
        <w:tc>
          <w:tcPr>
            <w:tcW w:w="27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198.0</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282A32"/>
              </w:rPr>
              <w:t>191.9</w:t>
            </w:r>
          </w:p>
        </w:tc>
        <w:tc>
          <w:tcPr>
            <w:tcW w:w="48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282A32"/>
              </w:rPr>
              <w:t>257.6</w:t>
            </w:r>
          </w:p>
        </w:tc>
      </w:tr>
      <w:tr>
        <w:trPr>
          <w:trHeight w:val="25"/>
        </w:trPr>
        <w:tc>
          <w:tcPr>
            <w:tcW w:w="4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282A32"/>
              </w:rPr>
              <w:t>Net earnings</w:t>
            </w:r>
          </w:p>
        </w:tc>
        <w:tc>
          <w:tcPr>
            <w:tcW w:w="274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556.7</w:t>
            </w:r>
          </w:p>
        </w:tc>
        <w:tc>
          <w:tcPr>
            <w:tcW w:w="4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545.4</w:t>
            </w:r>
          </w:p>
        </w:tc>
        <w:tc>
          <w:tcPr>
            <w:tcW w:w="4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443.7</w:t>
            </w:r>
          </w:p>
        </w:tc>
      </w:tr>
      <w:tr>
        <w:trPr>
          <w:trHeight w:val="217"/>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Net earnings per share — basic</w:t>
            </w:r>
          </w:p>
        </w:tc>
        <w:tc>
          <w:tcPr>
            <w:tcW w:w="274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8.62</w:t>
            </w:r>
          </w:p>
        </w:tc>
        <w:tc>
          <w:tcPr>
            <w:tcW w:w="480" w:type="dxa"/>
            <w:vAlign w:val="bottom"/>
            <w:tcBorders>
              <w:top w:val="single" w:sz="8" w:color="auto"/>
            </w:tcBorders>
          </w:tcPr>
          <w:p>
            <w:pPr>
              <w:jc w:val="right"/>
              <w:ind w:right="237"/>
              <w:spacing w:after="0"/>
              <w:rPr>
                <w:sz w:val="20"/>
                <w:szCs w:val="20"/>
                <w:color w:val="auto"/>
              </w:rPr>
            </w:pPr>
            <w:r>
              <w:rPr>
                <w:rFonts w:ascii="Arial" w:cs="Arial" w:eastAsia="Arial" w:hAnsi="Arial"/>
                <w:sz w:val="17"/>
                <w:szCs w:val="17"/>
                <w:color w:val="282A3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8.13</w:t>
            </w:r>
          </w:p>
        </w:tc>
        <w:tc>
          <w:tcPr>
            <w:tcW w:w="48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282A32"/>
              </w:rPr>
              <w:t>$</w:t>
            </w: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6.33</w:t>
            </w:r>
          </w:p>
        </w:tc>
      </w:tr>
      <w:tr>
        <w:trPr>
          <w:trHeight w:val="25"/>
        </w:trPr>
        <w:tc>
          <w:tcPr>
            <w:tcW w:w="4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7"/>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Net earnings per share — diluted</w:t>
            </w:r>
          </w:p>
        </w:tc>
        <w:tc>
          <w:tcPr>
            <w:tcW w:w="274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8.56</w:t>
            </w:r>
          </w:p>
        </w:tc>
        <w:tc>
          <w:tcPr>
            <w:tcW w:w="4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282A32"/>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8.04</w:t>
            </w:r>
          </w:p>
        </w:tc>
        <w:tc>
          <w:tcPr>
            <w:tcW w:w="4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6.27</w:t>
            </w:r>
          </w:p>
        </w:tc>
      </w:tr>
      <w:tr>
        <w:trPr>
          <w:trHeight w:val="217"/>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Weighted average shares — basic</w:t>
            </w:r>
          </w:p>
        </w:tc>
        <w:tc>
          <w:tcPr>
            <w:tcW w:w="27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64.6</w:t>
            </w: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67.1</w:t>
            </w:r>
          </w:p>
        </w:tc>
        <w:tc>
          <w:tcPr>
            <w:tcW w:w="4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70.1</w:t>
            </w:r>
          </w:p>
        </w:tc>
      </w:tr>
      <w:tr>
        <w:trPr>
          <w:trHeight w:val="25"/>
        </w:trPr>
        <w:tc>
          <w:tcPr>
            <w:tcW w:w="47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Weighted average shares — diluted</w:t>
            </w:r>
          </w:p>
        </w:tc>
        <w:tc>
          <w:tcPr>
            <w:tcW w:w="27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4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67.9</w:t>
            </w: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70.8</w:t>
            </w:r>
          </w:p>
        </w:tc>
      </w:tr>
      <w:tr>
        <w:trPr>
          <w:trHeight w:val="20"/>
        </w:trPr>
        <w:tc>
          <w:tcPr>
            <w:tcW w:w="470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282A32"/>
        </w:rPr>
        <w:t>The accompanying Notes to Consolidated Financial Statements are an integral part of these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282A32"/>
        </w:rPr>
        <w:t>CONSOLIDATED STATEMENTS OF COMPREHENSIVE INCOME</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282A32"/>
        </w:rPr>
        <w:t>in millions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60" w:type="dxa"/>
            <w:vAlign w:val="bottom"/>
          </w:tcPr>
          <w:p>
            <w:pPr>
              <w:ind w:left="20"/>
              <w:spacing w:after="0"/>
              <w:rPr>
                <w:sz w:val="20"/>
                <w:szCs w:val="20"/>
                <w:color w:val="auto"/>
              </w:rPr>
            </w:pPr>
            <w:r>
              <w:rPr>
                <w:rFonts w:ascii="Arial" w:cs="Arial" w:eastAsia="Arial" w:hAnsi="Arial"/>
                <w:sz w:val="17"/>
                <w:szCs w:val="17"/>
                <w:color w:val="282A32"/>
              </w:rPr>
              <w:t>Year Ended December 31</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2018</w:t>
            </w:r>
          </w:p>
        </w:tc>
        <w:tc>
          <w:tcPr>
            <w:tcW w:w="340" w:type="dxa"/>
            <w:vAlign w:val="bottom"/>
          </w:tcPr>
          <w:p>
            <w:pPr>
              <w:spacing w:after="0"/>
              <w:rPr>
                <w:sz w:val="18"/>
                <w:szCs w:val="18"/>
                <w:color w:val="auto"/>
              </w:rPr>
            </w:pPr>
          </w:p>
        </w:tc>
        <w:tc>
          <w:tcPr>
            <w:tcW w:w="700" w:type="dxa"/>
            <w:vAlign w:val="bottom"/>
          </w:tcPr>
          <w:p>
            <w:pPr>
              <w:jc w:val="right"/>
              <w:ind w:right="17"/>
              <w:spacing w:after="0"/>
              <w:rPr>
                <w:sz w:val="20"/>
                <w:szCs w:val="20"/>
                <w:color w:val="auto"/>
              </w:rPr>
            </w:pPr>
            <w:r>
              <w:rPr>
                <w:rFonts w:ascii="Arial" w:cs="Arial" w:eastAsia="Arial" w:hAnsi="Arial"/>
                <w:sz w:val="17"/>
                <w:szCs w:val="17"/>
                <w:color w:val="282A32"/>
              </w:rPr>
              <w:t>2017</w:t>
            </w:r>
          </w:p>
        </w:tc>
        <w:tc>
          <w:tcPr>
            <w:tcW w:w="30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282A32"/>
              </w:rPr>
              <w:t>2016</w:t>
            </w:r>
          </w:p>
        </w:tc>
      </w:tr>
      <w:tr>
        <w:trPr>
          <w:trHeight w:val="25"/>
        </w:trPr>
        <w:tc>
          <w:tcPr>
            <w:tcW w:w="8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Net earnings</w:t>
            </w:r>
          </w:p>
        </w:tc>
        <w:tc>
          <w:tcPr>
            <w:tcW w:w="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556.7</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545.4</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282A32"/>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443.7</w:t>
            </w:r>
          </w:p>
        </w:tc>
      </w:tr>
      <w:tr>
        <w:trPr>
          <w:trHeight w:val="224"/>
        </w:trPr>
        <w:tc>
          <w:tcPr>
            <w:tcW w:w="8260" w:type="dxa"/>
            <w:vAlign w:val="bottom"/>
          </w:tcPr>
          <w:p>
            <w:pPr>
              <w:ind w:left="20"/>
              <w:spacing w:after="0"/>
              <w:rPr>
                <w:sz w:val="20"/>
                <w:szCs w:val="20"/>
                <w:color w:val="auto"/>
              </w:rPr>
            </w:pPr>
            <w:r>
              <w:rPr>
                <w:rFonts w:ascii="Arial" w:cs="Arial" w:eastAsia="Arial" w:hAnsi="Arial"/>
                <w:sz w:val="17"/>
                <w:szCs w:val="17"/>
                <w:color w:val="282A32"/>
              </w:rPr>
              <w:t>Other comprehensive (loss) income:</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
        </w:trPr>
        <w:tc>
          <w:tcPr>
            <w:tcW w:w="8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8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282A32"/>
              </w:rPr>
              <w:t>Foreign currency translation</w:t>
            </w:r>
          </w:p>
        </w:tc>
        <w:tc>
          <w:tcPr>
            <w:tcW w:w="4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(135.5)</w:t>
            </w:r>
          </w:p>
        </w:tc>
        <w:tc>
          <w:tcPr>
            <w:tcW w:w="3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201.4</w:t>
            </w: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(79.9)</w:t>
            </w:r>
          </w:p>
        </w:tc>
      </w:tr>
      <w:tr>
        <w:trPr>
          <w:trHeight w:val="224"/>
        </w:trPr>
        <w:tc>
          <w:tcPr>
            <w:tcW w:w="8260" w:type="dxa"/>
            <w:vAlign w:val="bottom"/>
          </w:tcPr>
          <w:p>
            <w:pPr>
              <w:ind w:left="320"/>
              <w:spacing w:after="0"/>
              <w:rPr>
                <w:sz w:val="20"/>
                <w:szCs w:val="20"/>
                <w:color w:val="auto"/>
              </w:rPr>
            </w:pPr>
            <w:r>
              <w:rPr>
                <w:rFonts w:ascii="Arial" w:cs="Arial" w:eastAsia="Arial" w:hAnsi="Arial"/>
                <w:sz w:val="17"/>
                <w:szCs w:val="17"/>
                <w:color w:val="282A32"/>
                <w:w w:val="95"/>
              </w:rPr>
              <w:t>Translation adjustments on net investment hedge, net of income taxes of $10.2, $(34.3) and $8.4, respectively</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35.2</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282A32"/>
              </w:rPr>
              <w:t>(64.7)</w:t>
            </w:r>
          </w:p>
        </w:tc>
        <w:tc>
          <w:tcPr>
            <w:tcW w:w="30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282A32"/>
              </w:rPr>
              <w:t>14.8</w:t>
            </w:r>
          </w:p>
        </w:tc>
      </w:tr>
      <w:tr>
        <w:trPr>
          <w:trHeight w:val="25"/>
        </w:trPr>
        <w:tc>
          <w:tcPr>
            <w:tcW w:w="8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8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282A32"/>
              </w:rPr>
              <w:t>Translation adjustments on long-term intercompany loans</w:t>
            </w:r>
          </w:p>
        </w:tc>
        <w:tc>
          <w:tcPr>
            <w:tcW w:w="4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3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4.9</w:t>
            </w: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(58.2)</w:t>
            </w:r>
          </w:p>
        </w:tc>
      </w:tr>
      <w:tr>
        <w:trPr>
          <w:trHeight w:val="224"/>
        </w:trPr>
        <w:tc>
          <w:tcPr>
            <w:tcW w:w="8260" w:type="dxa"/>
            <w:vAlign w:val="bottom"/>
          </w:tcPr>
          <w:p>
            <w:pPr>
              <w:ind w:left="320"/>
              <w:spacing w:after="0"/>
              <w:rPr>
                <w:sz w:val="20"/>
                <w:szCs w:val="20"/>
                <w:color w:val="auto"/>
              </w:rPr>
            </w:pPr>
            <w:r>
              <w:rPr>
                <w:rFonts w:ascii="Arial" w:cs="Arial" w:eastAsia="Arial" w:hAnsi="Arial"/>
                <w:sz w:val="17"/>
                <w:szCs w:val="17"/>
                <w:color w:val="282A32"/>
              </w:rPr>
              <w:t>Unrealized (loss) gain on investments, net of income taxes of $0.0, $(0.8) and $0.4, respectively</w:t>
            </w: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282A32"/>
              </w:rPr>
              <w:t>(3.3)</w:t>
            </w:r>
          </w:p>
        </w:tc>
        <w:tc>
          <w:tcPr>
            <w:tcW w:w="30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282A32"/>
              </w:rPr>
              <w:t>1.6</w:t>
            </w:r>
          </w:p>
        </w:tc>
      </w:tr>
      <w:tr>
        <w:trPr>
          <w:trHeight w:val="25"/>
        </w:trPr>
        <w:tc>
          <w:tcPr>
            <w:tcW w:w="8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8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282A32"/>
                <w:w w:val="89"/>
              </w:rPr>
              <w:t>Defined benefit pension plans and retiree health care plan, net of income taxes of $4.6, $(0.1) and $(5.8), respectively</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3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(0.4)</w:t>
            </w: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(18.4)</w:t>
            </w:r>
          </w:p>
        </w:tc>
      </w:tr>
      <w:tr>
        <w:trPr>
          <w:trHeight w:val="217"/>
        </w:trPr>
        <w:tc>
          <w:tcPr>
            <w:tcW w:w="82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Total other comprehensive (loss) income</w:t>
            </w:r>
          </w:p>
        </w:tc>
        <w:tc>
          <w:tcPr>
            <w:tcW w:w="4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(96.3)</w:t>
            </w:r>
          </w:p>
        </w:tc>
        <w:tc>
          <w:tcPr>
            <w:tcW w:w="34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w:t>
            </w:r>
          </w:p>
        </w:tc>
        <w:tc>
          <w:tcPr>
            <w:tcW w:w="7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137.9</w:t>
            </w: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282A32"/>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(140.1)</w:t>
            </w:r>
          </w:p>
        </w:tc>
      </w:tr>
      <w:tr>
        <w:trPr>
          <w:trHeight w:val="25"/>
        </w:trPr>
        <w:tc>
          <w:tcPr>
            <w:tcW w:w="8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Comprehensive income</w:t>
            </w:r>
          </w:p>
        </w:tc>
        <w:tc>
          <w:tcPr>
            <w:tcW w:w="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460.4</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w:t>
            </w:r>
          </w:p>
        </w:tc>
        <w:tc>
          <w:tcPr>
            <w:tcW w:w="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683.3</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282A32"/>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303.6</w:t>
            </w:r>
          </w:p>
        </w:tc>
      </w:tr>
      <w:tr>
        <w:trPr>
          <w:trHeight w:val="20"/>
        </w:trPr>
        <w:tc>
          <w:tcPr>
            <w:tcW w:w="8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282A32"/>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372" w:right="239" w:bottom="1440" w:gutter="0" w:footer="0" w:header="0"/>
        </w:sectPr>
      </w:pPr>
    </w:p>
    <w:bookmarkStart w:id="52" w:name="page53"/>
    <w:bookmarkEnd w:id="52"/>
    <w:p>
      <w:pPr>
        <w:ind w:left="4280"/>
        <w:spacing w:after="0"/>
        <w:rPr>
          <w:sz w:val="20"/>
          <w:szCs w:val="20"/>
          <w:color w:val="auto"/>
        </w:rPr>
      </w:pPr>
      <w:r>
        <w:rPr>
          <w:rFonts w:ascii="Arial" w:cs="Arial" w:eastAsia="Arial" w:hAnsi="Arial"/>
          <w:sz w:val="17"/>
          <w:szCs w:val="17"/>
          <w:b w:val="1"/>
          <w:bCs w:val="1"/>
          <w:color w:val="282A32"/>
        </w:rPr>
        <w:t>CONSOLIDATED BALANCE SHEETS</w:t>
      </w:r>
    </w:p>
    <w:p>
      <w:pPr>
        <w:spacing w:after="0" w:line="45" w:lineRule="exact"/>
        <w:rPr>
          <w:sz w:val="20"/>
          <w:szCs w:val="20"/>
          <w:color w:val="auto"/>
        </w:rPr>
      </w:pPr>
    </w:p>
    <w:p>
      <w:pPr>
        <w:ind w:left="4220"/>
        <w:spacing w:after="0"/>
        <w:rPr>
          <w:sz w:val="20"/>
          <w:szCs w:val="20"/>
          <w:color w:val="auto"/>
        </w:rPr>
      </w:pPr>
      <w:r>
        <w:rPr>
          <w:rFonts w:ascii="Arial" w:cs="Arial" w:eastAsia="Arial" w:hAnsi="Arial"/>
          <w:sz w:val="17"/>
          <w:szCs w:val="17"/>
          <w:b w:val="1"/>
          <w:bCs w:val="1"/>
          <w:i w:val="1"/>
          <w:iCs w:val="1"/>
          <w:color w:val="282A32"/>
        </w:rPr>
        <w:t>in millions, except share and per share data</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40" w:type="dxa"/>
            <w:vAlign w:val="bottom"/>
          </w:tcPr>
          <w:p>
            <w:pPr>
              <w:ind w:left="20"/>
              <w:spacing w:after="0"/>
              <w:rPr>
                <w:sz w:val="20"/>
                <w:szCs w:val="20"/>
                <w:color w:val="auto"/>
              </w:rPr>
            </w:pPr>
            <w:r>
              <w:rPr>
                <w:rFonts w:ascii="Arial" w:cs="Arial" w:eastAsia="Arial" w:hAnsi="Arial"/>
                <w:sz w:val="17"/>
                <w:szCs w:val="17"/>
                <w:color w:val="auto"/>
              </w:rPr>
              <w:t>December 31</w:t>
            </w:r>
          </w:p>
        </w:tc>
        <w:tc>
          <w:tcPr>
            <w:tcW w:w="30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2018</w:t>
            </w:r>
          </w:p>
        </w:tc>
        <w:tc>
          <w:tcPr>
            <w:tcW w:w="30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282A32"/>
              </w:rPr>
              <w:t>2017</w:t>
            </w:r>
          </w:p>
        </w:tc>
      </w:tr>
      <w:tr>
        <w:trPr>
          <w:trHeight w:val="25"/>
        </w:trPr>
        <w:tc>
          <w:tcPr>
            <w:tcW w:w="9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r>
      <w:tr>
        <w:trPr>
          <w:trHeight w:val="287"/>
        </w:trPr>
        <w:tc>
          <w:tcPr>
            <w:tcW w:w="914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2"/>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591.9</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282A32"/>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689.0</w:t>
            </w:r>
          </w:p>
        </w:tc>
      </w:tr>
      <w:tr>
        <w:trPr>
          <w:trHeight w:val="287"/>
        </w:trPr>
        <w:tc>
          <w:tcPr>
            <w:tcW w:w="9140" w:type="dxa"/>
            <w:vAlign w:val="bottom"/>
          </w:tcPr>
          <w:p>
            <w:pPr>
              <w:ind w:left="140"/>
              <w:spacing w:after="0"/>
              <w:rPr>
                <w:sz w:val="20"/>
                <w:szCs w:val="20"/>
                <w:color w:val="auto"/>
              </w:rPr>
            </w:pPr>
            <w:r>
              <w:rPr>
                <w:rFonts w:ascii="Arial" w:cs="Arial" w:eastAsia="Arial" w:hAnsi="Arial"/>
                <w:sz w:val="17"/>
                <w:szCs w:val="17"/>
                <w:color w:val="auto"/>
              </w:rPr>
              <w:t>Accounts receivable, less allowance for doubtful accounts of $115.7 and $110.8, respectively</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5,276.1</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282A32"/>
              </w:rPr>
              <w:t>5,370.5</w:t>
            </w:r>
          </w:p>
        </w:tc>
      </w:tr>
      <w:tr>
        <w:trPr>
          <w:trHeight w:val="25"/>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317"/>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Prepaid expenses and other assets</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129.1</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111.7</w:t>
            </w:r>
          </w:p>
        </w:tc>
      </w:tr>
      <w:tr>
        <w:trPr>
          <w:trHeight w:val="217"/>
        </w:trPr>
        <w:tc>
          <w:tcPr>
            <w:tcW w:w="9140" w:type="dxa"/>
            <w:vAlign w:val="bottom"/>
            <w:tcBorders>
              <w:top w:val="single" w:sz="8" w:color="auto"/>
            </w:tcBorders>
          </w:tcPr>
          <w:p>
            <w:pPr>
              <w:ind w:left="280"/>
              <w:spacing w:after="0"/>
              <w:rPr>
                <w:sz w:val="20"/>
                <w:szCs w:val="20"/>
                <w:color w:val="auto"/>
              </w:rPr>
            </w:pPr>
            <w:r>
              <w:rPr>
                <w:rFonts w:ascii="Arial" w:cs="Arial" w:eastAsia="Arial" w:hAnsi="Arial"/>
                <w:sz w:val="17"/>
                <w:szCs w:val="17"/>
                <w:color w:val="auto"/>
              </w:rPr>
              <w:t>Total current assets</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5,997.1</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6,171.2</w:t>
            </w:r>
          </w:p>
        </w:tc>
      </w:tr>
      <w:tr>
        <w:trPr>
          <w:trHeight w:val="25"/>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2"/>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r>
      <w:tr>
        <w:trPr>
          <w:trHeight w:val="287"/>
        </w:trPr>
        <w:tc>
          <w:tcPr>
            <w:tcW w:w="9140" w:type="dxa"/>
            <w:vAlign w:val="bottom"/>
          </w:tcPr>
          <w:p>
            <w:pPr>
              <w:ind w:left="140"/>
              <w:spacing w:after="0"/>
              <w:rPr>
                <w:sz w:val="20"/>
                <w:szCs w:val="20"/>
                <w:color w:val="auto"/>
              </w:rPr>
            </w:pPr>
            <w:r>
              <w:rPr>
                <w:rFonts w:ascii="Arial" w:cs="Arial" w:eastAsia="Arial" w:hAnsi="Arial"/>
                <w:sz w:val="17"/>
                <w:szCs w:val="17"/>
                <w:color w:val="auto"/>
              </w:rPr>
              <w:t>Goodwill</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1,297.1</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282A32"/>
              </w:rPr>
              <w:t>1,343.0</w:t>
            </w:r>
          </w:p>
        </w:tc>
      </w:tr>
      <w:tr>
        <w:trPr>
          <w:trHeight w:val="25"/>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2"/>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Intangible assets, less accumulated amortization of $367.7 and $339.9, respectively</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246.3</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284.0</w:t>
            </w:r>
          </w:p>
        </w:tc>
      </w:tr>
      <w:tr>
        <w:trPr>
          <w:trHeight w:val="287"/>
        </w:trPr>
        <w:tc>
          <w:tcPr>
            <w:tcW w:w="9140" w:type="dxa"/>
            <w:vAlign w:val="bottom"/>
          </w:tcPr>
          <w:p>
            <w:pPr>
              <w:ind w:left="140"/>
              <w:spacing w:after="0"/>
              <w:rPr>
                <w:sz w:val="20"/>
                <w:szCs w:val="20"/>
                <w:color w:val="auto"/>
              </w:rPr>
            </w:pPr>
            <w:r>
              <w:rPr>
                <w:rFonts w:ascii="Arial" w:cs="Arial" w:eastAsia="Arial" w:hAnsi="Arial"/>
                <w:sz w:val="17"/>
                <w:szCs w:val="17"/>
                <w:color w:val="auto"/>
              </w:rPr>
              <w:t>Other assets</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826.7</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282A32"/>
              </w:rPr>
              <w:t>927.7</w:t>
            </w:r>
          </w:p>
        </w:tc>
      </w:tr>
      <w:tr>
        <w:trPr>
          <w:trHeight w:val="25"/>
        </w:trPr>
        <w:tc>
          <w:tcPr>
            <w:tcW w:w="9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2"/>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2,370.1</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2,554.7</w:t>
            </w:r>
          </w:p>
        </w:tc>
      </w:tr>
      <w:tr>
        <w:trPr>
          <w:trHeight w:val="287"/>
        </w:trPr>
        <w:tc>
          <w:tcPr>
            <w:tcW w:w="9140" w:type="dxa"/>
            <w:vAlign w:val="bottom"/>
          </w:tcPr>
          <w:p>
            <w:pPr>
              <w:ind w:left="20"/>
              <w:spacing w:after="0"/>
              <w:rPr>
                <w:sz w:val="20"/>
                <w:szCs w:val="20"/>
                <w:color w:val="auto"/>
              </w:rPr>
            </w:pPr>
            <w:r>
              <w:rPr>
                <w:rFonts w:ascii="Arial" w:cs="Arial" w:eastAsia="Arial" w:hAnsi="Arial"/>
                <w:sz w:val="17"/>
                <w:szCs w:val="17"/>
                <w:color w:val="auto"/>
              </w:rPr>
              <w:t>Property and Equipment</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2"/>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Land, buildings, leasehold improvements and equipment</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613.6</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633.4</w:t>
            </w:r>
          </w:p>
        </w:tc>
      </w:tr>
      <w:tr>
        <w:trPr>
          <w:trHeight w:val="287"/>
        </w:trPr>
        <w:tc>
          <w:tcPr>
            <w:tcW w:w="9140" w:type="dxa"/>
            <w:vAlign w:val="bottom"/>
          </w:tcPr>
          <w:p>
            <w:pPr>
              <w:ind w:left="140"/>
              <w:spacing w:after="0"/>
              <w:rPr>
                <w:sz w:val="20"/>
                <w:szCs w:val="20"/>
                <w:color w:val="auto"/>
              </w:rPr>
            </w:pPr>
            <w:r>
              <w:rPr>
                <w:rFonts w:ascii="Arial" w:cs="Arial" w:eastAsia="Arial" w:hAnsi="Arial"/>
                <w:sz w:val="17"/>
                <w:szCs w:val="17"/>
                <w:color w:val="auto"/>
              </w:rPr>
              <w:t>Less: accumulated depreciation and amortization</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461.0</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282A32"/>
              </w:rPr>
              <w:t>475.7</w:t>
            </w:r>
          </w:p>
        </w:tc>
      </w:tr>
      <w:tr>
        <w:trPr>
          <w:trHeight w:val="25"/>
        </w:trPr>
        <w:tc>
          <w:tcPr>
            <w:tcW w:w="9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7"/>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152.6</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157.7</w:t>
            </w:r>
          </w:p>
        </w:tc>
      </w:tr>
      <w:tr>
        <w:trPr>
          <w:trHeight w:val="217"/>
        </w:trPr>
        <w:tc>
          <w:tcPr>
            <w:tcW w:w="9140" w:type="dxa"/>
            <w:vAlign w:val="bottom"/>
            <w:tcBorders>
              <w:top w:val="single" w:sz="8" w:color="auto"/>
            </w:tcBorders>
          </w:tcPr>
          <w:p>
            <w:pPr>
              <w:ind w:left="400"/>
              <w:spacing w:after="0"/>
              <w:rPr>
                <w:sz w:val="20"/>
                <w:szCs w:val="20"/>
                <w:color w:val="auto"/>
              </w:rPr>
            </w:pPr>
            <w:r>
              <w:rPr>
                <w:rFonts w:ascii="Arial" w:cs="Arial" w:eastAsia="Arial" w:hAnsi="Arial"/>
                <w:sz w:val="17"/>
                <w:szCs w:val="17"/>
                <w:color w:val="auto"/>
              </w:rPr>
              <w:t>Total assets</w:t>
            </w: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8,519.8</w:t>
            </w: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282A32"/>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8,883.6</w:t>
            </w:r>
          </w:p>
        </w:tc>
      </w:tr>
      <w:tr>
        <w:trPr>
          <w:trHeight w:val="25"/>
        </w:trPr>
        <w:tc>
          <w:tcPr>
            <w:tcW w:w="9140" w:type="dxa"/>
            <w:vAlign w:val="bottom"/>
            <w:tcBorders>
              <w:bottom w:val="single" w:sz="8" w:color="55565A"/>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4"/>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LIABILITIES AND SHAREHOLDERS' EQUITY</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r>
      <w:tr>
        <w:trPr>
          <w:trHeight w:val="224"/>
        </w:trPr>
        <w:tc>
          <w:tcPr>
            <w:tcW w:w="914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Accounts payable</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2,266.7</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282A32"/>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2,279.4</w:t>
            </w:r>
          </w:p>
        </w:tc>
      </w:tr>
      <w:tr>
        <w:trPr>
          <w:trHeight w:val="287"/>
        </w:trPr>
        <w:tc>
          <w:tcPr>
            <w:tcW w:w="9140" w:type="dxa"/>
            <w:vAlign w:val="bottom"/>
          </w:tcPr>
          <w:p>
            <w:pPr>
              <w:ind w:left="140"/>
              <w:spacing w:after="0"/>
              <w:rPr>
                <w:sz w:val="20"/>
                <w:szCs w:val="20"/>
                <w:color w:val="auto"/>
              </w:rPr>
            </w:pPr>
            <w:r>
              <w:rPr>
                <w:rFonts w:ascii="Arial" w:cs="Arial" w:eastAsia="Arial" w:hAnsi="Arial"/>
                <w:sz w:val="17"/>
                <w:szCs w:val="17"/>
                <w:color w:val="auto"/>
              </w:rPr>
              <w:t>Employee compensation payable</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209.7</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282A32"/>
              </w:rPr>
              <w:t>230.6</w:t>
            </w:r>
          </w:p>
        </w:tc>
      </w:tr>
      <w:tr>
        <w:trPr>
          <w:trHeight w:val="25"/>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2"/>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Accrued liabilities</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411.0</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490.9</w:t>
            </w:r>
          </w:p>
        </w:tc>
      </w:tr>
      <w:tr>
        <w:trPr>
          <w:trHeight w:val="287"/>
        </w:trPr>
        <w:tc>
          <w:tcPr>
            <w:tcW w:w="9140" w:type="dxa"/>
            <w:vAlign w:val="bottom"/>
          </w:tcPr>
          <w:p>
            <w:pPr>
              <w:ind w:left="140"/>
              <w:spacing w:after="0"/>
              <w:rPr>
                <w:sz w:val="20"/>
                <w:szCs w:val="20"/>
                <w:color w:val="auto"/>
              </w:rPr>
            </w:pPr>
            <w:r>
              <w:rPr>
                <w:rFonts w:ascii="Arial" w:cs="Arial" w:eastAsia="Arial" w:hAnsi="Arial"/>
                <w:sz w:val="17"/>
                <w:szCs w:val="17"/>
                <w:color w:val="auto"/>
              </w:rPr>
              <w:t>Accrued payroll taxes and insurance</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729.8</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282A32"/>
              </w:rPr>
              <w:t>794.7</w:t>
            </w:r>
          </w:p>
        </w:tc>
      </w:tr>
      <w:tr>
        <w:trPr>
          <w:trHeight w:val="25"/>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2"/>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Value added taxes payable</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508.6</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545.4</w:t>
            </w:r>
          </w:p>
        </w:tc>
      </w:tr>
      <w:tr>
        <w:trPr>
          <w:trHeight w:val="287"/>
        </w:trPr>
        <w:tc>
          <w:tcPr>
            <w:tcW w:w="9140" w:type="dxa"/>
            <w:vAlign w:val="bottom"/>
          </w:tcPr>
          <w:p>
            <w:pPr>
              <w:ind w:left="140"/>
              <w:spacing w:after="0"/>
              <w:rPr>
                <w:sz w:val="20"/>
                <w:szCs w:val="20"/>
                <w:color w:val="auto"/>
              </w:rPr>
            </w:pPr>
            <w:r>
              <w:rPr>
                <w:rFonts w:ascii="Arial" w:cs="Arial" w:eastAsia="Arial" w:hAnsi="Arial"/>
                <w:sz w:val="17"/>
                <w:szCs w:val="17"/>
                <w:color w:val="auto"/>
              </w:rPr>
              <w:t>Short-term borrowings and current maturities of long-term debt</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50.1</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282A32"/>
              </w:rPr>
              <w:t>469.4</w:t>
            </w:r>
          </w:p>
        </w:tc>
      </w:tr>
      <w:tr>
        <w:trPr>
          <w:trHeight w:val="25"/>
        </w:trPr>
        <w:tc>
          <w:tcPr>
            <w:tcW w:w="9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2"/>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current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4,175.9</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4,810.4</w:t>
            </w:r>
          </w:p>
        </w:tc>
      </w:tr>
      <w:tr>
        <w:trPr>
          <w:trHeight w:val="287"/>
        </w:trPr>
        <w:tc>
          <w:tcPr>
            <w:tcW w:w="9140" w:type="dxa"/>
            <w:vAlign w:val="bottom"/>
          </w:tcPr>
          <w:p>
            <w:pPr>
              <w:ind w:left="20"/>
              <w:spacing w:after="0"/>
              <w:rPr>
                <w:sz w:val="20"/>
                <w:szCs w:val="20"/>
                <w:color w:val="auto"/>
              </w:rPr>
            </w:pPr>
            <w:r>
              <w:rPr>
                <w:rFonts w:ascii="Arial" w:cs="Arial" w:eastAsia="Arial" w:hAnsi="Arial"/>
                <w:sz w:val="17"/>
                <w:szCs w:val="17"/>
                <w:color w:val="auto"/>
              </w:rPr>
              <w:t>Other liabilities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2"/>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Long-term debt</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1,025.3</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478.1</w:t>
            </w:r>
          </w:p>
        </w:tc>
      </w:tr>
      <w:tr>
        <w:trPr>
          <w:trHeight w:val="287"/>
        </w:trPr>
        <w:tc>
          <w:tcPr>
            <w:tcW w:w="9140" w:type="dxa"/>
            <w:vAlign w:val="bottom"/>
          </w:tcPr>
          <w:p>
            <w:pPr>
              <w:ind w:left="140"/>
              <w:spacing w:after="0"/>
              <w:rPr>
                <w:sz w:val="20"/>
                <w:szCs w:val="20"/>
                <w:color w:val="auto"/>
              </w:rPr>
            </w:pPr>
            <w:r>
              <w:rPr>
                <w:rFonts w:ascii="Arial" w:cs="Arial" w:eastAsia="Arial" w:hAnsi="Arial"/>
                <w:sz w:val="17"/>
                <w:szCs w:val="17"/>
                <w:color w:val="auto"/>
              </w:rPr>
              <w:t>Other long-term liabilities</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620.1</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282A32"/>
              </w:rPr>
              <w:t>737.5</w:t>
            </w:r>
          </w:p>
        </w:tc>
      </w:tr>
      <w:tr>
        <w:trPr>
          <w:trHeight w:val="25"/>
        </w:trPr>
        <w:tc>
          <w:tcPr>
            <w:tcW w:w="9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2"/>
        </w:trPr>
        <w:tc>
          <w:tcPr>
            <w:tcW w:w="9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Total other liabilities</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1,645.4</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1,215.6</w:t>
            </w:r>
          </w:p>
        </w:tc>
      </w:tr>
      <w:tr>
        <w:trPr>
          <w:trHeight w:val="287"/>
        </w:trPr>
        <w:tc>
          <w:tcPr>
            <w:tcW w:w="9140" w:type="dxa"/>
            <w:vAlign w:val="bottom"/>
          </w:tcPr>
          <w:p>
            <w:pPr>
              <w:ind w:left="20"/>
              <w:spacing w:after="0"/>
              <w:rPr>
                <w:sz w:val="20"/>
                <w:szCs w:val="20"/>
                <w:color w:val="auto"/>
              </w:rPr>
            </w:pPr>
            <w:r>
              <w:rPr>
                <w:rFonts w:ascii="Arial" w:cs="Arial" w:eastAsia="Arial" w:hAnsi="Arial"/>
                <w:sz w:val="17"/>
                <w:szCs w:val="17"/>
                <w:color w:val="auto"/>
              </w:rPr>
              <w:t>Shareholders’ Equity</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2"/>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Preferred stock, $.01 par value, authorized 25,000,000 shares, none issued</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w:t>
            </w:r>
          </w:p>
        </w:tc>
      </w:tr>
      <w:tr>
        <w:trPr>
          <w:trHeight w:val="287"/>
        </w:trPr>
        <w:tc>
          <w:tcPr>
            <w:tcW w:w="9140" w:type="dxa"/>
            <w:vAlign w:val="bottom"/>
          </w:tcPr>
          <w:p>
            <w:pPr>
              <w:ind w:left="140"/>
              <w:spacing w:after="0"/>
              <w:rPr>
                <w:sz w:val="20"/>
                <w:szCs w:val="20"/>
                <w:color w:val="auto"/>
              </w:rPr>
            </w:pPr>
            <w:r>
              <w:rPr>
                <w:rFonts w:ascii="Arial" w:cs="Arial" w:eastAsia="Arial" w:hAnsi="Arial"/>
                <w:sz w:val="17"/>
                <w:szCs w:val="17"/>
                <w:color w:val="auto"/>
                <w:w w:val="97"/>
              </w:rPr>
              <w:t>Common stock, $.01 par value, authorized 125,000,000 shares, issued 116,795,899 and 116,303,729 shares, respectively</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1.2</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282A32"/>
              </w:rPr>
              <w:t>1.2</w:t>
            </w:r>
          </w:p>
        </w:tc>
      </w:tr>
      <w:tr>
        <w:trPr>
          <w:trHeight w:val="25"/>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Capital in excess of par value</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3,337.5</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3,302.6</w:t>
            </w:r>
          </w:p>
        </w:tc>
      </w:tr>
      <w:tr>
        <w:trPr>
          <w:trHeight w:val="287"/>
        </w:trPr>
        <w:tc>
          <w:tcPr>
            <w:tcW w:w="9140" w:type="dxa"/>
            <w:vAlign w:val="bottom"/>
          </w:tcPr>
          <w:p>
            <w:pPr>
              <w:ind w:left="140"/>
              <w:spacing w:after="0"/>
              <w:rPr>
                <w:sz w:val="20"/>
                <w:szCs w:val="20"/>
                <w:color w:val="auto"/>
              </w:rPr>
            </w:pPr>
            <w:r>
              <w:rPr>
                <w:rFonts w:ascii="Arial" w:cs="Arial" w:eastAsia="Arial" w:hAnsi="Arial"/>
                <w:sz w:val="17"/>
                <w:szCs w:val="17"/>
                <w:color w:val="auto"/>
              </w:rPr>
              <w:t>Retained earnings</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3,157.7</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282A32"/>
              </w:rPr>
              <w:t>2,713.0</w:t>
            </w:r>
          </w:p>
        </w:tc>
      </w:tr>
      <w:tr>
        <w:trPr>
          <w:trHeight w:val="25"/>
        </w:trPr>
        <w:tc>
          <w:tcPr>
            <w:tcW w:w="9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92"/>
        </w:trPr>
        <w:tc>
          <w:tcPr>
            <w:tcW w:w="91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(399.8)</w:t>
            </w: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(288.2)</w:t>
            </w:r>
          </w:p>
        </w:tc>
      </w:tr>
      <w:tr>
        <w:trPr>
          <w:trHeight w:val="287"/>
        </w:trPr>
        <w:tc>
          <w:tcPr>
            <w:tcW w:w="9140" w:type="dxa"/>
            <w:vAlign w:val="bottom"/>
          </w:tcPr>
          <w:p>
            <w:pPr>
              <w:ind w:left="140"/>
              <w:spacing w:after="0"/>
              <w:rPr>
                <w:sz w:val="20"/>
                <w:szCs w:val="20"/>
                <w:color w:val="auto"/>
              </w:rPr>
            </w:pPr>
            <w:r>
              <w:rPr>
                <w:rFonts w:ascii="Arial" w:cs="Arial" w:eastAsia="Arial" w:hAnsi="Arial"/>
                <w:sz w:val="17"/>
                <w:szCs w:val="17"/>
                <w:color w:val="auto"/>
              </w:rPr>
              <w:t>Treasury stock at cost, 56,044,485 and 50,226,525 shares, respectively</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(3,471.7)</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282A32"/>
              </w:rPr>
              <w:t>(2,953.7)</w:t>
            </w:r>
          </w:p>
        </w:tc>
      </w:tr>
      <w:tr>
        <w:trPr>
          <w:trHeight w:val="25"/>
        </w:trPr>
        <w:tc>
          <w:tcPr>
            <w:tcW w:w="9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7"/>
        </w:trPr>
        <w:tc>
          <w:tcPr>
            <w:tcW w:w="9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 ManpowerGroup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2,624.9</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2,774.9</w:t>
            </w:r>
          </w:p>
        </w:tc>
      </w:tr>
      <w:tr>
        <w:trPr>
          <w:trHeight w:val="217"/>
        </w:trPr>
        <w:tc>
          <w:tcPr>
            <w:tcW w:w="9140" w:type="dxa"/>
            <w:vAlign w:val="bottom"/>
            <w:tcBorders>
              <w:top w:val="single" w:sz="8" w:color="auto"/>
            </w:tcBorders>
          </w:tcPr>
          <w:p>
            <w:pPr>
              <w:ind w:left="240"/>
              <w:spacing w:after="0"/>
              <w:rPr>
                <w:sz w:val="20"/>
                <w:szCs w:val="20"/>
                <w:color w:val="auto"/>
              </w:rPr>
            </w:pPr>
            <w:r>
              <w:rPr>
                <w:rFonts w:ascii="Arial" w:cs="Arial" w:eastAsia="Arial" w:hAnsi="Arial"/>
                <w:sz w:val="17"/>
                <w:szCs w:val="17"/>
                <w:color w:val="auto"/>
              </w:rPr>
              <w:t>Noncontrolling interests</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73.6</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82.7</w:t>
            </w:r>
          </w:p>
        </w:tc>
      </w:tr>
      <w:tr>
        <w:trPr>
          <w:trHeight w:val="25"/>
        </w:trPr>
        <w:tc>
          <w:tcPr>
            <w:tcW w:w="9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7"/>
        </w:trPr>
        <w:tc>
          <w:tcPr>
            <w:tcW w:w="9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Total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2,698.5</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2,857.6</w:t>
            </w:r>
          </w:p>
        </w:tc>
      </w:tr>
      <w:tr>
        <w:trPr>
          <w:trHeight w:val="217"/>
        </w:trPr>
        <w:tc>
          <w:tcPr>
            <w:tcW w:w="9140" w:type="dxa"/>
            <w:vAlign w:val="bottom"/>
            <w:tcBorders>
              <w:top w:val="single" w:sz="8" w:color="auto"/>
            </w:tcBorders>
          </w:tcPr>
          <w:p>
            <w:pPr>
              <w:ind w:left="400"/>
              <w:spacing w:after="0"/>
              <w:rPr>
                <w:sz w:val="20"/>
                <w:szCs w:val="20"/>
                <w:color w:val="auto"/>
              </w:rPr>
            </w:pPr>
            <w:r>
              <w:rPr>
                <w:rFonts w:ascii="Arial" w:cs="Arial" w:eastAsia="Arial" w:hAnsi="Arial"/>
                <w:sz w:val="17"/>
                <w:szCs w:val="17"/>
                <w:color w:val="auto"/>
              </w:rPr>
              <w:t>Total liabilities and shareholders’ equity</w:t>
            </w: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8,519.8</w:t>
            </w: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8,883.6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74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282A32"/>
        </w:rPr>
        <w:t>The accompanying Notes to Consolidated Financial Statements are an integral part of these statements.</w:t>
      </w:r>
    </w:p>
    <w:p>
      <w:pPr>
        <w:sectPr>
          <w:pgSz w:w="11900" w:h="16838" w:orient="portrait"/>
          <w:cols w:equalWidth="0" w:num="1">
            <w:col w:w="11420"/>
          </w:cols>
          <w:pgMar w:left="240" w:top="372"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53</w:t>
      </w:r>
    </w:p>
    <w:p>
      <w:pPr>
        <w:sectPr>
          <w:pgSz w:w="11900" w:h="16838" w:orient="portrait"/>
          <w:cols w:equalWidth="0" w:num="1">
            <w:col w:w="11420"/>
          </w:cols>
          <w:pgMar w:left="240" w:top="372" w:right="239" w:bottom="1440" w:gutter="0" w:footer="0" w:header="0"/>
          <w:type w:val="continuous"/>
        </w:sectPr>
      </w:pPr>
    </w:p>
    <w:bookmarkStart w:id="53" w:name="page54"/>
    <w:bookmarkEnd w:id="53"/>
    <w:p>
      <w:pPr>
        <w:jc w:val="center"/>
        <w:spacing w:after="0"/>
        <w:rPr>
          <w:sz w:val="20"/>
          <w:szCs w:val="20"/>
          <w:color w:val="auto"/>
        </w:rPr>
      </w:pPr>
      <w:r>
        <w:rPr>
          <w:rFonts w:ascii="Arial" w:cs="Arial" w:eastAsia="Arial" w:hAnsi="Arial"/>
          <w:sz w:val="17"/>
          <w:szCs w:val="17"/>
          <w:b w:val="1"/>
          <w:bCs w:val="1"/>
          <w:color w:val="282A32"/>
        </w:rPr>
        <w:t>CONSOLIDATED STATEMENTS OF CASH FLOWS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282A32"/>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00" w:type="dxa"/>
            <w:vAlign w:val="bottom"/>
          </w:tcPr>
          <w:p>
            <w:pPr>
              <w:ind w:left="20"/>
              <w:spacing w:after="0"/>
              <w:rPr>
                <w:sz w:val="20"/>
                <w:szCs w:val="20"/>
                <w:color w:val="auto"/>
              </w:rPr>
            </w:pPr>
            <w:r>
              <w:rPr>
                <w:rFonts w:ascii="Arial" w:cs="Arial" w:eastAsia="Arial" w:hAnsi="Arial"/>
                <w:sz w:val="17"/>
                <w:szCs w:val="17"/>
                <w:color w:val="auto"/>
              </w:rPr>
              <w:t>Year Ended December 31</w:t>
            </w:r>
          </w:p>
        </w:tc>
        <w:tc>
          <w:tcPr>
            <w:tcW w:w="1840" w:type="dxa"/>
            <w:vAlign w:val="bottom"/>
          </w:tcPr>
          <w:p>
            <w:pPr>
              <w:spacing w:after="0"/>
              <w:rPr>
                <w:sz w:val="18"/>
                <w:szCs w:val="18"/>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auto"/>
              </w:rPr>
              <w:t>2018</w:t>
            </w:r>
          </w:p>
        </w:tc>
        <w:tc>
          <w:tcPr>
            <w:tcW w:w="240" w:type="dxa"/>
            <w:vAlign w:val="bottom"/>
          </w:tcPr>
          <w:p>
            <w:pPr>
              <w:spacing w:after="0"/>
              <w:rPr>
                <w:sz w:val="18"/>
                <w:szCs w:val="18"/>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2017</w:t>
            </w:r>
          </w:p>
        </w:tc>
        <w:tc>
          <w:tcPr>
            <w:tcW w:w="260" w:type="dxa"/>
            <w:vAlign w:val="bottom"/>
          </w:tcPr>
          <w:p>
            <w:pPr>
              <w:spacing w:after="0"/>
              <w:rPr>
                <w:sz w:val="18"/>
                <w:szCs w:val="18"/>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2016</w:t>
            </w:r>
          </w:p>
        </w:tc>
      </w:tr>
      <w:tr>
        <w:trPr>
          <w:trHeight w:val="25"/>
        </w:trPr>
        <w:tc>
          <w:tcPr>
            <w:tcW w:w="7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8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287"/>
        </w:trPr>
        <w:tc>
          <w:tcPr>
            <w:tcW w:w="710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8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7"/>
              <w:spacing w:after="0"/>
              <w:rPr>
                <w:sz w:val="20"/>
                <w:szCs w:val="20"/>
                <w:color w:val="auto"/>
              </w:rPr>
            </w:pPr>
            <w:r>
              <w:rPr>
                <w:rFonts w:ascii="Arial" w:cs="Arial" w:eastAsia="Arial" w:hAnsi="Arial"/>
                <w:sz w:val="17"/>
                <w:szCs w:val="17"/>
                <w:color w:val="auto"/>
              </w:rPr>
              <w:t>556.7</w:t>
            </w:r>
          </w:p>
        </w:tc>
        <w:tc>
          <w:tcPr>
            <w:tcW w:w="240" w:type="dxa"/>
            <w:vAlign w:val="bottom"/>
          </w:tcPr>
          <w:p>
            <w:pPr>
              <w:jc w:val="right"/>
              <w:ind w:right="37"/>
              <w:spacing w:after="0"/>
              <w:rPr>
                <w:sz w:val="20"/>
                <w:szCs w:val="20"/>
                <w:color w:val="auto"/>
              </w:rPr>
            </w:pPr>
            <w:r>
              <w:rPr>
                <w:rFonts w:ascii="Arial" w:cs="Arial" w:eastAsia="Arial" w:hAnsi="Arial"/>
                <w:sz w:val="17"/>
                <w:szCs w:val="17"/>
                <w:color w:val="282A32"/>
              </w:rPr>
              <w:t>$</w:t>
            </w: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545.4</w:t>
            </w:r>
          </w:p>
        </w:tc>
        <w:tc>
          <w:tcPr>
            <w:tcW w:w="260" w:type="dxa"/>
            <w:vAlign w:val="bottom"/>
          </w:tcPr>
          <w:p>
            <w:pPr>
              <w:jc w:val="right"/>
              <w:ind w:right="57"/>
              <w:spacing w:after="0"/>
              <w:rPr>
                <w:sz w:val="20"/>
                <w:szCs w:val="20"/>
                <w:color w:val="auto"/>
              </w:rPr>
            </w:pPr>
            <w:r>
              <w:rPr>
                <w:rFonts w:ascii="Arial" w:cs="Arial" w:eastAsia="Arial" w:hAnsi="Arial"/>
                <w:sz w:val="17"/>
                <w:szCs w:val="17"/>
                <w:color w:val="282A32"/>
              </w:rPr>
              <w:t>$</w:t>
            </w: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443.7</w:t>
            </w: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9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provided by operating activities:</w:t>
            </w:r>
          </w:p>
        </w:tc>
        <w:tc>
          <w:tcPr>
            <w:tcW w:w="18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r>
      <w:tr>
        <w:trPr>
          <w:trHeight w:val="224"/>
        </w:trPr>
        <w:tc>
          <w:tcPr>
            <w:tcW w:w="710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184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auto"/>
              </w:rPr>
              <w:t>85.8</w:t>
            </w:r>
          </w:p>
        </w:tc>
        <w:tc>
          <w:tcPr>
            <w:tcW w:w="24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84.4</w:t>
            </w:r>
          </w:p>
        </w:tc>
        <w:tc>
          <w:tcPr>
            <w:tcW w:w="26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85.3</w:t>
            </w: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18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(196.8)</w:t>
            </w: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74.0</w:t>
            </w:r>
          </w:p>
        </w:tc>
      </w:tr>
      <w:tr>
        <w:trPr>
          <w:trHeight w:val="224"/>
        </w:trPr>
        <w:tc>
          <w:tcPr>
            <w:tcW w:w="7100" w:type="dxa"/>
            <w:vAlign w:val="bottom"/>
          </w:tcPr>
          <w:p>
            <w:pPr>
              <w:ind w:left="140"/>
              <w:spacing w:after="0"/>
              <w:rPr>
                <w:sz w:val="20"/>
                <w:szCs w:val="20"/>
                <w:color w:val="auto"/>
              </w:rPr>
            </w:pPr>
            <w:r>
              <w:rPr>
                <w:rFonts w:ascii="Arial" w:cs="Arial" w:eastAsia="Arial" w:hAnsi="Arial"/>
                <w:sz w:val="17"/>
                <w:szCs w:val="17"/>
                <w:color w:val="auto"/>
              </w:rPr>
              <w:t>Provision for doubtful accounts</w:t>
            </w:r>
          </w:p>
        </w:tc>
        <w:tc>
          <w:tcPr>
            <w:tcW w:w="184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auto"/>
              </w:rPr>
              <w:t>23.0</w:t>
            </w:r>
          </w:p>
        </w:tc>
        <w:tc>
          <w:tcPr>
            <w:tcW w:w="24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18.1</w:t>
            </w:r>
          </w:p>
        </w:tc>
        <w:tc>
          <w:tcPr>
            <w:tcW w:w="26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20.4</w:t>
            </w: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Share-based compensation</w:t>
            </w:r>
          </w:p>
        </w:tc>
        <w:tc>
          <w:tcPr>
            <w:tcW w:w="18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27.8</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28.7</w:t>
            </w: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27.1</w:t>
            </w:r>
          </w:p>
        </w:tc>
      </w:tr>
      <w:tr>
        <w:trPr>
          <w:trHeight w:val="224"/>
        </w:trPr>
        <w:tc>
          <w:tcPr>
            <w:tcW w:w="7100" w:type="dxa"/>
            <w:vAlign w:val="bottom"/>
          </w:tcPr>
          <w:p>
            <w:pPr>
              <w:ind w:left="140"/>
              <w:spacing w:after="0"/>
              <w:rPr>
                <w:sz w:val="20"/>
                <w:szCs w:val="20"/>
                <w:color w:val="auto"/>
              </w:rPr>
            </w:pPr>
            <w:r>
              <w:rPr>
                <w:rFonts w:ascii="Arial" w:cs="Arial" w:eastAsia="Arial" w:hAnsi="Arial"/>
                <w:sz w:val="17"/>
                <w:szCs w:val="17"/>
                <w:color w:val="auto"/>
              </w:rPr>
              <w:t>Excess tax benefit on exercise of share-based awards</w:t>
            </w:r>
          </w:p>
        </w:tc>
        <w:tc>
          <w:tcPr>
            <w:tcW w:w="184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282A32"/>
              </w:rPr>
              <w:t>(0.8)</w:t>
            </w: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92"/>
        </w:trPr>
        <w:tc>
          <w:tcPr>
            <w:tcW w:w="7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Change in operating assets and liabilities, excluding the impact of acquisitions:</w:t>
            </w:r>
          </w:p>
        </w:tc>
        <w:tc>
          <w:tcPr>
            <w:tcW w:w="18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r>
      <w:tr>
        <w:trPr>
          <w:trHeight w:val="224"/>
        </w:trPr>
        <w:tc>
          <w:tcPr>
            <w:tcW w:w="7100" w:type="dxa"/>
            <w:vAlign w:val="bottom"/>
          </w:tcPr>
          <w:p>
            <w:pPr>
              <w:ind w:left="240"/>
              <w:spacing w:after="0"/>
              <w:rPr>
                <w:sz w:val="20"/>
                <w:szCs w:val="20"/>
                <w:color w:val="auto"/>
              </w:rPr>
            </w:pPr>
            <w:r>
              <w:rPr>
                <w:rFonts w:ascii="Arial" w:cs="Arial" w:eastAsia="Arial" w:hAnsi="Arial"/>
                <w:sz w:val="17"/>
                <w:szCs w:val="17"/>
                <w:color w:val="auto"/>
              </w:rPr>
              <w:t>Accounts receivable</w:t>
            </w:r>
          </w:p>
        </w:tc>
        <w:tc>
          <w:tcPr>
            <w:tcW w:w="18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(146.4)</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282A32"/>
              </w:rPr>
              <w:t>(544.9)</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282A32"/>
              </w:rPr>
              <w:t>(317.2)</w:t>
            </w: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29"/>
        </w:trPr>
        <w:tc>
          <w:tcPr>
            <w:tcW w:w="7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Other assets</w:t>
            </w:r>
          </w:p>
        </w:tc>
        <w:tc>
          <w:tcPr>
            <w:tcW w:w="18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58.7</w:t>
            </w: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(68.6)</w:t>
            </w: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(75.3)</w:t>
            </w:r>
          </w:p>
        </w:tc>
      </w:tr>
      <w:tr>
        <w:trPr>
          <w:trHeight w:val="224"/>
        </w:trPr>
        <w:tc>
          <w:tcPr>
            <w:tcW w:w="7100" w:type="dxa"/>
            <w:vAlign w:val="bottom"/>
          </w:tcPr>
          <w:p>
            <w:pPr>
              <w:ind w:left="240"/>
              <w:spacing w:after="0"/>
              <w:rPr>
                <w:sz w:val="20"/>
                <w:szCs w:val="20"/>
                <w:color w:val="auto"/>
              </w:rPr>
            </w:pPr>
            <w:r>
              <w:rPr>
                <w:rFonts w:ascii="Arial" w:cs="Arial" w:eastAsia="Arial" w:hAnsi="Arial"/>
                <w:sz w:val="17"/>
                <w:szCs w:val="17"/>
                <w:color w:val="auto"/>
              </w:rPr>
              <w:t>Other liabilities</w:t>
            </w:r>
          </w:p>
        </w:tc>
        <w:tc>
          <w:tcPr>
            <w:tcW w:w="18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(110.6)</w:t>
            </w:r>
          </w:p>
        </w:tc>
        <w:tc>
          <w:tcPr>
            <w:tcW w:w="24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534.6</w:t>
            </w:r>
          </w:p>
        </w:tc>
        <w:tc>
          <w:tcPr>
            <w:tcW w:w="260" w:type="dxa"/>
            <w:vAlign w:val="bottom"/>
          </w:tcPr>
          <w:p>
            <w:pPr>
              <w:spacing w:after="0"/>
              <w:rPr>
                <w:sz w:val="19"/>
                <w:szCs w:val="19"/>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342.8</w:t>
            </w:r>
          </w:p>
        </w:tc>
      </w:tr>
      <w:tr>
        <w:trPr>
          <w:trHeight w:val="25"/>
        </w:trPr>
        <w:tc>
          <w:tcPr>
            <w:tcW w:w="7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309"/>
        </w:trPr>
        <w:tc>
          <w:tcPr>
            <w:tcW w:w="7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Cash provided by operating activities</w:t>
            </w:r>
          </w:p>
        </w:tc>
        <w:tc>
          <w:tcPr>
            <w:tcW w:w="18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483.1</w:t>
            </w: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400.9</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600.0</w:t>
            </w:r>
          </w:p>
        </w:tc>
      </w:tr>
      <w:tr>
        <w:trPr>
          <w:trHeight w:val="217"/>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8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9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Capital expenditures</w:t>
            </w:r>
          </w:p>
        </w:tc>
        <w:tc>
          <w:tcPr>
            <w:tcW w:w="18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(54.7)</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(56.9)</w:t>
            </w:r>
          </w:p>
        </w:tc>
      </w:tr>
      <w:tr>
        <w:trPr>
          <w:trHeight w:val="287"/>
        </w:trPr>
        <w:tc>
          <w:tcPr>
            <w:tcW w:w="7100" w:type="dxa"/>
            <w:vAlign w:val="bottom"/>
          </w:tcPr>
          <w:p>
            <w:pPr>
              <w:ind w:left="20"/>
              <w:spacing w:after="0"/>
              <w:rPr>
                <w:sz w:val="20"/>
                <w:szCs w:val="20"/>
                <w:color w:val="auto"/>
              </w:rPr>
            </w:pPr>
            <w:r>
              <w:rPr>
                <w:rFonts w:ascii="Arial" w:cs="Arial" w:eastAsia="Arial" w:hAnsi="Arial"/>
                <w:sz w:val="17"/>
                <w:szCs w:val="17"/>
                <w:color w:val="auto"/>
              </w:rPr>
              <w:t>Acquisitions of businesses, net of cash acquired</w:t>
            </w:r>
          </w:p>
        </w:tc>
        <w:tc>
          <w:tcPr>
            <w:tcW w:w="18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(9.1)</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282A32"/>
              </w:rPr>
              <w:t>(32.7)</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282A32"/>
              </w:rPr>
              <w:t>(57.6)</w:t>
            </w: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1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the sale of investments, property and equipment</w:t>
            </w:r>
          </w:p>
        </w:tc>
        <w:tc>
          <w:tcPr>
            <w:tcW w:w="18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18.9</w:t>
            </w: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12.9</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4.1</w:t>
            </w:r>
          </w:p>
        </w:tc>
      </w:tr>
      <w:tr>
        <w:trPr>
          <w:trHeight w:val="279"/>
        </w:trPr>
        <w:tc>
          <w:tcPr>
            <w:tcW w:w="7100" w:type="dxa"/>
            <w:vAlign w:val="bottom"/>
            <w:tcBorders>
              <w:top w:val="single" w:sz="8" w:color="auto"/>
            </w:tcBorders>
          </w:tcPr>
          <w:p>
            <w:pPr>
              <w:ind w:left="940"/>
              <w:spacing w:after="0"/>
              <w:rPr>
                <w:sz w:val="20"/>
                <w:szCs w:val="20"/>
                <w:color w:val="auto"/>
              </w:rPr>
            </w:pPr>
            <w:r>
              <w:rPr>
                <w:rFonts w:ascii="Arial" w:cs="Arial" w:eastAsia="Arial" w:hAnsi="Arial"/>
                <w:sz w:val="17"/>
                <w:szCs w:val="17"/>
                <w:color w:val="auto"/>
              </w:rPr>
              <w:t>Cash used in investing activities</w:t>
            </w:r>
          </w:p>
        </w:tc>
        <w:tc>
          <w:tcPr>
            <w:tcW w:w="18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(54.9)</w:t>
            </w: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(74.5)</w:t>
            </w: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(110.4)</w:t>
            </w:r>
          </w:p>
        </w:tc>
      </w:tr>
      <w:tr>
        <w:trPr>
          <w:trHeight w:val="25"/>
        </w:trPr>
        <w:tc>
          <w:tcPr>
            <w:tcW w:w="7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8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287"/>
        </w:trPr>
        <w:tc>
          <w:tcPr>
            <w:tcW w:w="7100" w:type="dxa"/>
            <w:vAlign w:val="bottom"/>
          </w:tcPr>
          <w:p>
            <w:pPr>
              <w:ind w:left="20"/>
              <w:spacing w:after="0"/>
              <w:rPr>
                <w:sz w:val="20"/>
                <w:szCs w:val="20"/>
                <w:color w:val="auto"/>
              </w:rPr>
            </w:pPr>
            <w:r>
              <w:rPr>
                <w:rFonts w:ascii="Arial" w:cs="Arial" w:eastAsia="Arial" w:hAnsi="Arial"/>
                <w:sz w:val="17"/>
                <w:szCs w:val="17"/>
                <w:color w:val="auto"/>
              </w:rPr>
              <w:t>Net change in short-term borrowings</w:t>
            </w:r>
          </w:p>
        </w:tc>
        <w:tc>
          <w:tcPr>
            <w:tcW w:w="184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auto"/>
              </w:rPr>
              <w:t>3.5</w:t>
            </w:r>
          </w:p>
        </w:tc>
        <w:tc>
          <w:tcPr>
            <w:tcW w:w="24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5.5</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282A32"/>
              </w:rPr>
              <w:t>(0.3)</w:t>
            </w: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9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long-term debt</w:t>
            </w:r>
          </w:p>
        </w:tc>
        <w:tc>
          <w:tcPr>
            <w:tcW w:w="18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583.3</w:t>
            </w: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0.1</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w:t>
            </w:r>
          </w:p>
        </w:tc>
      </w:tr>
      <w:tr>
        <w:trPr>
          <w:trHeight w:val="287"/>
        </w:trPr>
        <w:tc>
          <w:tcPr>
            <w:tcW w:w="7100" w:type="dxa"/>
            <w:vAlign w:val="bottom"/>
          </w:tcPr>
          <w:p>
            <w:pPr>
              <w:ind w:left="20"/>
              <w:spacing w:after="0"/>
              <w:rPr>
                <w:sz w:val="20"/>
                <w:szCs w:val="20"/>
                <w:color w:val="auto"/>
              </w:rPr>
            </w:pPr>
            <w:r>
              <w:rPr>
                <w:rFonts w:ascii="Arial" w:cs="Arial" w:eastAsia="Arial" w:hAnsi="Arial"/>
                <w:sz w:val="17"/>
                <w:szCs w:val="17"/>
                <w:color w:val="auto"/>
              </w:rPr>
              <w:t>Repayments of long-term debt</w:t>
            </w:r>
          </w:p>
        </w:tc>
        <w:tc>
          <w:tcPr>
            <w:tcW w:w="18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(408.6)</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282A32"/>
              </w:rPr>
              <w:t>(0.4)</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282A32"/>
              </w:rPr>
              <w:t>(6.4)</w:t>
            </w: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9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Payments for debt issuance costs</w:t>
            </w:r>
          </w:p>
        </w:tc>
        <w:tc>
          <w:tcPr>
            <w:tcW w:w="18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w:t>
            </w:r>
          </w:p>
        </w:tc>
      </w:tr>
      <w:tr>
        <w:trPr>
          <w:trHeight w:val="287"/>
        </w:trPr>
        <w:tc>
          <w:tcPr>
            <w:tcW w:w="7100" w:type="dxa"/>
            <w:vAlign w:val="bottom"/>
          </w:tcPr>
          <w:p>
            <w:pPr>
              <w:ind w:left="20"/>
              <w:spacing w:after="0"/>
              <w:rPr>
                <w:sz w:val="20"/>
                <w:szCs w:val="20"/>
                <w:color w:val="auto"/>
              </w:rPr>
            </w:pPr>
            <w:r>
              <w:rPr>
                <w:rFonts w:ascii="Arial" w:cs="Arial" w:eastAsia="Arial" w:hAnsi="Arial"/>
                <w:sz w:val="17"/>
                <w:szCs w:val="17"/>
                <w:color w:val="auto"/>
              </w:rPr>
              <w:t>Payments of contingent consideration for acquisitions</w:t>
            </w:r>
          </w:p>
        </w:tc>
        <w:tc>
          <w:tcPr>
            <w:tcW w:w="18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(18.6)</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282A32"/>
              </w:rPr>
              <w:t>(13.0)</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282A32"/>
              </w:rPr>
              <w:t>(2.9)</w:t>
            </w: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9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Proceeds from share-based awards and other equity transactions</w:t>
            </w:r>
          </w:p>
        </w:tc>
        <w:tc>
          <w:tcPr>
            <w:tcW w:w="18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5.2</w:t>
            </w: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44.2</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18.0</w:t>
            </w:r>
          </w:p>
        </w:tc>
      </w:tr>
      <w:tr>
        <w:trPr>
          <w:trHeight w:val="287"/>
        </w:trPr>
        <w:tc>
          <w:tcPr>
            <w:tcW w:w="7100" w:type="dxa"/>
            <w:vAlign w:val="bottom"/>
          </w:tcPr>
          <w:p>
            <w:pPr>
              <w:ind w:left="20"/>
              <w:spacing w:after="0"/>
              <w:rPr>
                <w:sz w:val="20"/>
                <w:szCs w:val="20"/>
                <w:color w:val="auto"/>
              </w:rPr>
            </w:pPr>
            <w:r>
              <w:rPr>
                <w:rFonts w:ascii="Arial" w:cs="Arial" w:eastAsia="Arial" w:hAnsi="Arial"/>
                <w:sz w:val="17"/>
                <w:szCs w:val="17"/>
                <w:color w:val="auto"/>
              </w:rPr>
              <w:t>Payments to noncontrolling interests</w:t>
            </w:r>
          </w:p>
        </w:tc>
        <w:tc>
          <w:tcPr>
            <w:tcW w:w="18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282A32"/>
              </w:rPr>
              <w:t>(10.0)</w:t>
            </w:r>
          </w:p>
        </w:tc>
        <w:tc>
          <w:tcPr>
            <w:tcW w:w="26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w:t>
            </w: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9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share-based award transactions</w:t>
            </w:r>
          </w:p>
        </w:tc>
        <w:tc>
          <w:tcPr>
            <w:tcW w:w="18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(17.3)</w:t>
            </w: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(18.1)</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(5.4)</w:t>
            </w:r>
          </w:p>
        </w:tc>
      </w:tr>
      <w:tr>
        <w:trPr>
          <w:trHeight w:val="287"/>
        </w:trPr>
        <w:tc>
          <w:tcPr>
            <w:tcW w:w="7100" w:type="dxa"/>
            <w:vAlign w:val="bottom"/>
          </w:tcPr>
          <w:p>
            <w:pPr>
              <w:ind w:left="20"/>
              <w:spacing w:after="0"/>
              <w:rPr>
                <w:sz w:val="20"/>
                <w:szCs w:val="20"/>
                <w:color w:val="auto"/>
              </w:rPr>
            </w:pPr>
            <w:r>
              <w:rPr>
                <w:rFonts w:ascii="Arial" w:cs="Arial" w:eastAsia="Arial" w:hAnsi="Arial"/>
                <w:sz w:val="17"/>
                <w:szCs w:val="17"/>
                <w:color w:val="auto"/>
              </w:rPr>
              <w:t>Repurchases of common stock</w:t>
            </w:r>
          </w:p>
        </w:tc>
        <w:tc>
          <w:tcPr>
            <w:tcW w:w="18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(500.7)</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282A32"/>
              </w:rPr>
              <w:t>(203.9)</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282A32"/>
              </w:rPr>
              <w:t>(482.2)</w:t>
            </w: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1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Dividends paid</w:t>
            </w:r>
          </w:p>
        </w:tc>
        <w:tc>
          <w:tcPr>
            <w:tcW w:w="18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(127.3)</w:t>
            </w: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(123.7)</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(118.4)</w:t>
            </w:r>
          </w:p>
        </w:tc>
      </w:tr>
      <w:tr>
        <w:trPr>
          <w:trHeight w:val="279"/>
        </w:trPr>
        <w:tc>
          <w:tcPr>
            <w:tcW w:w="7100" w:type="dxa"/>
            <w:vAlign w:val="bottom"/>
            <w:tcBorders>
              <w:top w:val="single" w:sz="8" w:color="auto"/>
            </w:tcBorders>
          </w:tcPr>
          <w:p>
            <w:pPr>
              <w:ind w:left="340"/>
              <w:spacing w:after="0"/>
              <w:rPr>
                <w:sz w:val="20"/>
                <w:szCs w:val="20"/>
                <w:color w:val="auto"/>
              </w:rPr>
            </w:pPr>
            <w:r>
              <w:rPr>
                <w:rFonts w:ascii="Arial" w:cs="Arial" w:eastAsia="Arial" w:hAnsi="Arial"/>
                <w:sz w:val="17"/>
                <w:szCs w:val="17"/>
                <w:color w:val="auto"/>
              </w:rPr>
              <w:t>Cash used in financing activities</w:t>
            </w:r>
          </w:p>
        </w:tc>
        <w:tc>
          <w:tcPr>
            <w:tcW w:w="18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(484.9)</w:t>
            </w: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(319.3)</w:t>
            </w: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(597.6)</w:t>
            </w: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1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w:t>
            </w:r>
          </w:p>
        </w:tc>
        <w:tc>
          <w:tcPr>
            <w:tcW w:w="18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83.4</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(24.0)</w:t>
            </w:r>
          </w:p>
        </w:tc>
      </w:tr>
      <w:tr>
        <w:trPr>
          <w:trHeight w:val="279"/>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8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(97.1)</w:t>
            </w: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90.5</w:t>
            </w:r>
          </w:p>
        </w:tc>
        <w:tc>
          <w:tcPr>
            <w:tcW w:w="2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(132.0)</w:t>
            </w:r>
          </w:p>
        </w:tc>
      </w:tr>
      <w:tr>
        <w:trPr>
          <w:trHeight w:val="25"/>
        </w:trPr>
        <w:tc>
          <w:tcPr>
            <w:tcW w:w="7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317"/>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beginning of year</w:t>
            </w:r>
          </w:p>
        </w:tc>
        <w:tc>
          <w:tcPr>
            <w:tcW w:w="18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689.0</w:t>
            </w:r>
          </w:p>
        </w:tc>
        <w:tc>
          <w:tcPr>
            <w:tcW w:w="2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598.5</w:t>
            </w:r>
          </w:p>
        </w:tc>
        <w:tc>
          <w:tcPr>
            <w:tcW w:w="2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730.5</w:t>
            </w:r>
          </w:p>
        </w:tc>
      </w:tr>
      <w:tr>
        <w:trPr>
          <w:trHeight w:val="279"/>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Cash and cash equivalents, end of year</w:t>
            </w:r>
          </w:p>
        </w:tc>
        <w:tc>
          <w:tcPr>
            <w:tcW w:w="184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591.9</w:t>
            </w:r>
          </w:p>
        </w:tc>
        <w:tc>
          <w:tcPr>
            <w:tcW w:w="2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282A32"/>
              </w:rPr>
              <w:t>$</w:t>
            </w:r>
          </w:p>
        </w:tc>
        <w:tc>
          <w:tcPr>
            <w:tcW w:w="6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689.0</w:t>
            </w: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282A32"/>
              </w:rPr>
              <w:t>$</w:t>
            </w:r>
          </w:p>
        </w:tc>
        <w:tc>
          <w:tcPr>
            <w:tcW w:w="6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598.5</w:t>
            </w:r>
          </w:p>
        </w:tc>
      </w:tr>
      <w:tr>
        <w:trPr>
          <w:trHeight w:val="25"/>
        </w:trPr>
        <w:tc>
          <w:tcPr>
            <w:tcW w:w="7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Cash Flow Information</w:t>
            </w:r>
          </w:p>
        </w:tc>
        <w:tc>
          <w:tcPr>
            <w:tcW w:w="18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287"/>
        </w:trPr>
        <w:tc>
          <w:tcPr>
            <w:tcW w:w="7100" w:type="dxa"/>
            <w:vAlign w:val="bottom"/>
          </w:tcPr>
          <w:p>
            <w:pPr>
              <w:ind w:left="20"/>
              <w:spacing w:after="0"/>
              <w:rPr>
                <w:sz w:val="20"/>
                <w:szCs w:val="20"/>
                <w:color w:val="auto"/>
              </w:rPr>
            </w:pPr>
            <w:r>
              <w:rPr>
                <w:rFonts w:ascii="Arial" w:cs="Arial" w:eastAsia="Arial" w:hAnsi="Arial"/>
                <w:sz w:val="17"/>
                <w:szCs w:val="17"/>
                <w:color w:val="auto"/>
              </w:rPr>
              <w:t>Interest paid</w:t>
            </w:r>
          </w:p>
        </w:tc>
        <w:tc>
          <w:tcPr>
            <w:tcW w:w="184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7"/>
              <w:spacing w:after="0"/>
              <w:rPr>
                <w:sz w:val="20"/>
                <w:szCs w:val="20"/>
                <w:color w:val="auto"/>
              </w:rPr>
            </w:pPr>
            <w:r>
              <w:rPr>
                <w:rFonts w:ascii="Arial" w:cs="Arial" w:eastAsia="Arial" w:hAnsi="Arial"/>
                <w:sz w:val="17"/>
                <w:szCs w:val="17"/>
                <w:color w:val="auto"/>
              </w:rPr>
              <w:t>49.9</w:t>
            </w:r>
          </w:p>
        </w:tc>
        <w:tc>
          <w:tcPr>
            <w:tcW w:w="240" w:type="dxa"/>
            <w:vAlign w:val="bottom"/>
          </w:tcPr>
          <w:p>
            <w:pPr>
              <w:jc w:val="right"/>
              <w:ind w:right="37"/>
              <w:spacing w:after="0"/>
              <w:rPr>
                <w:sz w:val="20"/>
                <w:szCs w:val="20"/>
                <w:color w:val="auto"/>
              </w:rPr>
            </w:pPr>
            <w:r>
              <w:rPr>
                <w:rFonts w:ascii="Arial" w:cs="Arial" w:eastAsia="Arial" w:hAnsi="Arial"/>
                <w:sz w:val="17"/>
                <w:szCs w:val="17"/>
                <w:color w:val="282A32"/>
              </w:rPr>
              <w:t>$</w:t>
            </w: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37.0</w:t>
            </w:r>
          </w:p>
        </w:tc>
        <w:tc>
          <w:tcPr>
            <w:tcW w:w="260" w:type="dxa"/>
            <w:vAlign w:val="bottom"/>
          </w:tcPr>
          <w:p>
            <w:pPr>
              <w:jc w:val="right"/>
              <w:ind w:right="57"/>
              <w:spacing w:after="0"/>
              <w:rPr>
                <w:sz w:val="20"/>
                <w:szCs w:val="20"/>
                <w:color w:val="auto"/>
              </w:rPr>
            </w:pPr>
            <w:r>
              <w:rPr>
                <w:rFonts w:ascii="Arial" w:cs="Arial" w:eastAsia="Arial" w:hAnsi="Arial"/>
                <w:sz w:val="17"/>
                <w:szCs w:val="17"/>
                <w:color w:val="282A32"/>
              </w:rPr>
              <w:t>$</w:t>
            </w:r>
          </w:p>
        </w:tc>
        <w:tc>
          <w:tcPr>
            <w:tcW w:w="660" w:type="dxa"/>
            <w:vAlign w:val="bottom"/>
          </w:tcPr>
          <w:p>
            <w:pPr>
              <w:jc w:val="right"/>
              <w:ind w:right="17"/>
              <w:spacing w:after="0"/>
              <w:rPr>
                <w:sz w:val="20"/>
                <w:szCs w:val="20"/>
                <w:color w:val="auto"/>
              </w:rPr>
            </w:pPr>
            <w:r>
              <w:rPr>
                <w:rFonts w:ascii="Arial" w:cs="Arial" w:eastAsia="Arial" w:hAnsi="Arial"/>
                <w:sz w:val="17"/>
                <w:szCs w:val="17"/>
                <w:color w:val="282A32"/>
              </w:rPr>
              <w:t>36.6</w:t>
            </w:r>
          </w:p>
        </w:tc>
      </w:tr>
      <w:tr>
        <w:trPr>
          <w:trHeight w:val="25"/>
        </w:trPr>
        <w:tc>
          <w:tcPr>
            <w:tcW w:w="7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2"/>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taxes paid, net</w:t>
            </w:r>
          </w:p>
        </w:tc>
        <w:tc>
          <w:tcPr>
            <w:tcW w:w="1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184.6</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127.1</w:t>
            </w: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163.9</w:t>
            </w:r>
          </w:p>
        </w:tc>
      </w:tr>
      <w:tr>
        <w:trPr>
          <w:trHeight w:val="20"/>
        </w:trPr>
        <w:tc>
          <w:tcPr>
            <w:tcW w:w="710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282A32"/>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372"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7"/>
          <w:szCs w:val="17"/>
          <w:b w:val="1"/>
          <w:bCs w:val="1"/>
          <w:color w:val="282A32"/>
        </w:rPr>
        <w:t>CONSOLIDATED STATEMENTS OF SHAREHOLDERS’ EQUITY</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282A32"/>
        </w:rPr>
        <w:t>in millions,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4"/>
          </w:tcPr>
          <w:p>
            <w:pPr>
              <w:jc w:val="right"/>
              <w:ind w:right="220"/>
              <w:spacing w:after="0"/>
              <w:rPr>
                <w:sz w:val="20"/>
                <w:szCs w:val="20"/>
                <w:color w:val="auto"/>
              </w:rPr>
            </w:pPr>
            <w:r>
              <w:rPr>
                <w:rFonts w:ascii="Arial" w:cs="Arial" w:eastAsia="Arial" w:hAnsi="Arial"/>
                <w:sz w:val="15"/>
                <w:szCs w:val="15"/>
                <w:color w:val="282A32"/>
                <w:w w:val="91"/>
              </w:rPr>
              <w:t>ManpowerGroup Shareholders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34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440" w:type="dxa"/>
            <w:vAlign w:val="bottom"/>
          </w:tcPr>
          <w:p>
            <w:pPr>
              <w:spacing w:after="0"/>
              <w:rPr>
                <w:sz w:val="11"/>
                <w:szCs w:val="11"/>
                <w:color w:val="auto"/>
              </w:rPr>
            </w:pPr>
          </w:p>
        </w:tc>
        <w:tc>
          <w:tcPr>
            <w:tcW w:w="1960" w:type="dxa"/>
            <w:vAlign w:val="bottom"/>
            <w:gridSpan w:val="3"/>
            <w:vMerge w:val="restart"/>
          </w:tcPr>
          <w:p>
            <w:pPr>
              <w:jc w:val="right"/>
              <w:ind w:right="22"/>
              <w:spacing w:after="0"/>
              <w:rPr>
                <w:sz w:val="20"/>
                <w:szCs w:val="20"/>
                <w:color w:val="auto"/>
              </w:rPr>
            </w:pPr>
            <w:r>
              <w:rPr>
                <w:rFonts w:ascii="Arial" w:cs="Arial" w:eastAsia="Arial" w:hAnsi="Arial"/>
                <w:sz w:val="12"/>
                <w:szCs w:val="12"/>
                <w:color w:val="282A32"/>
              </w:rPr>
              <w:t>Common Stock</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6"/>
              <w:spacing w:after="0" w:line="128" w:lineRule="exact"/>
              <w:rPr>
                <w:sz w:val="20"/>
                <w:szCs w:val="20"/>
                <w:color w:val="auto"/>
              </w:rPr>
            </w:pPr>
            <w:r>
              <w:rPr>
                <w:rFonts w:ascii="Arial" w:cs="Arial" w:eastAsia="Arial" w:hAnsi="Arial"/>
                <w:sz w:val="12"/>
                <w:szCs w:val="12"/>
                <w:color w:val="282A32"/>
              </w:rPr>
              <w:t>Accumulated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0"/>
                <w:szCs w:val="10"/>
                <w:color w:val="auto"/>
              </w:rPr>
            </w:pPr>
          </w:p>
        </w:tc>
        <w:tc>
          <w:tcPr>
            <w:tcW w:w="1960" w:type="dxa"/>
            <w:vAlign w:val="bottom"/>
            <w:tcBorders>
              <w:bottom w:val="single" w:sz="8" w:color="auto"/>
            </w:tcBorders>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22"/>
              <w:spacing w:after="0" w:line="126" w:lineRule="exact"/>
              <w:rPr>
                <w:sz w:val="20"/>
                <w:szCs w:val="20"/>
                <w:color w:val="auto"/>
              </w:rPr>
            </w:pPr>
            <w:r>
              <w:rPr>
                <w:rFonts w:ascii="Arial" w:cs="Arial" w:eastAsia="Arial" w:hAnsi="Arial"/>
                <w:sz w:val="12"/>
                <w:szCs w:val="12"/>
                <w:color w:val="282A32"/>
              </w:rPr>
              <w:t>Capital in</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right"/>
              <w:ind w:right="6"/>
              <w:spacing w:after="0" w:line="126" w:lineRule="exact"/>
              <w:rPr>
                <w:sz w:val="20"/>
                <w:szCs w:val="20"/>
                <w:color w:val="auto"/>
              </w:rPr>
            </w:pPr>
            <w:r>
              <w:rPr>
                <w:rFonts w:ascii="Arial" w:cs="Arial" w:eastAsia="Arial" w:hAnsi="Arial"/>
                <w:sz w:val="12"/>
                <w:szCs w:val="12"/>
                <w:color w:val="282A32"/>
              </w:rPr>
              <w:t>Other</w:t>
            </w: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right"/>
              <w:ind w:right="220"/>
              <w:spacing w:after="0" w:line="126" w:lineRule="exact"/>
              <w:rPr>
                <w:sz w:val="20"/>
                <w:szCs w:val="20"/>
                <w:color w:val="auto"/>
              </w:rPr>
            </w:pPr>
            <w:r>
              <w:rPr>
                <w:rFonts w:ascii="Arial" w:cs="Arial" w:eastAsia="Arial" w:hAnsi="Arial"/>
                <w:sz w:val="12"/>
                <w:szCs w:val="12"/>
                <w:color w:val="282A32"/>
              </w:rPr>
              <w:t>Non-</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4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jc w:val="right"/>
              <w:ind w:right="22"/>
              <w:spacing w:after="0" w:line="104" w:lineRule="exact"/>
              <w:rPr>
                <w:sz w:val="20"/>
                <w:szCs w:val="20"/>
                <w:color w:val="auto"/>
              </w:rPr>
            </w:pPr>
            <w:r>
              <w:rPr>
                <w:rFonts w:ascii="Arial" w:cs="Arial" w:eastAsia="Arial" w:hAnsi="Arial"/>
                <w:sz w:val="10"/>
                <w:szCs w:val="10"/>
                <w:color w:val="282A32"/>
              </w:rPr>
              <w:t>Excess of</w:t>
            </w:r>
          </w:p>
        </w:tc>
        <w:tc>
          <w:tcPr>
            <w:tcW w:w="220" w:type="dxa"/>
            <w:vAlign w:val="bottom"/>
          </w:tcPr>
          <w:p>
            <w:pPr>
              <w:spacing w:after="0"/>
              <w:rPr>
                <w:sz w:val="8"/>
                <w:szCs w:val="8"/>
                <w:color w:val="auto"/>
              </w:rPr>
            </w:pPr>
          </w:p>
        </w:tc>
        <w:tc>
          <w:tcPr>
            <w:tcW w:w="700" w:type="dxa"/>
            <w:vAlign w:val="bottom"/>
          </w:tcPr>
          <w:p>
            <w:pPr>
              <w:jc w:val="right"/>
              <w:ind w:right="21"/>
              <w:spacing w:after="0" w:line="104" w:lineRule="exact"/>
              <w:rPr>
                <w:sz w:val="20"/>
                <w:szCs w:val="20"/>
                <w:color w:val="auto"/>
              </w:rPr>
            </w:pPr>
            <w:r>
              <w:rPr>
                <w:rFonts w:ascii="Arial" w:cs="Arial" w:eastAsia="Arial" w:hAnsi="Arial"/>
                <w:sz w:val="10"/>
                <w:szCs w:val="10"/>
                <w:color w:val="282A32"/>
              </w:rPr>
              <w:t>Retained</w:t>
            </w:r>
          </w:p>
        </w:tc>
        <w:tc>
          <w:tcPr>
            <w:tcW w:w="160" w:type="dxa"/>
            <w:vAlign w:val="bottom"/>
          </w:tcPr>
          <w:p>
            <w:pPr>
              <w:spacing w:after="0"/>
              <w:rPr>
                <w:sz w:val="8"/>
                <w:szCs w:val="8"/>
                <w:color w:val="auto"/>
              </w:rPr>
            </w:pPr>
          </w:p>
        </w:tc>
        <w:tc>
          <w:tcPr>
            <w:tcW w:w="960" w:type="dxa"/>
            <w:vAlign w:val="bottom"/>
          </w:tcPr>
          <w:p>
            <w:pPr>
              <w:jc w:val="right"/>
              <w:ind w:right="6"/>
              <w:spacing w:after="0" w:line="104" w:lineRule="exact"/>
              <w:rPr>
                <w:sz w:val="20"/>
                <w:szCs w:val="20"/>
                <w:color w:val="auto"/>
              </w:rPr>
            </w:pPr>
            <w:r>
              <w:rPr>
                <w:rFonts w:ascii="Arial" w:cs="Arial" w:eastAsia="Arial" w:hAnsi="Arial"/>
                <w:sz w:val="10"/>
                <w:szCs w:val="10"/>
                <w:color w:val="282A32"/>
              </w:rPr>
              <w:t>Comprehensive</w:t>
            </w:r>
          </w:p>
        </w:tc>
        <w:tc>
          <w:tcPr>
            <w:tcW w:w="260" w:type="dxa"/>
            <w:vAlign w:val="bottom"/>
          </w:tcPr>
          <w:p>
            <w:pPr>
              <w:spacing w:after="0"/>
              <w:rPr>
                <w:sz w:val="8"/>
                <w:szCs w:val="8"/>
                <w:color w:val="auto"/>
              </w:rPr>
            </w:pPr>
          </w:p>
        </w:tc>
        <w:tc>
          <w:tcPr>
            <w:tcW w:w="900" w:type="dxa"/>
            <w:vAlign w:val="bottom"/>
            <w:gridSpan w:val="2"/>
          </w:tcPr>
          <w:p>
            <w:pPr>
              <w:jc w:val="right"/>
              <w:ind w:right="220"/>
              <w:spacing w:after="0" w:line="104" w:lineRule="exact"/>
              <w:rPr>
                <w:sz w:val="20"/>
                <w:szCs w:val="20"/>
                <w:color w:val="auto"/>
              </w:rPr>
            </w:pPr>
            <w:r>
              <w:rPr>
                <w:rFonts w:ascii="Arial" w:cs="Arial" w:eastAsia="Arial" w:hAnsi="Arial"/>
                <w:sz w:val="10"/>
                <w:szCs w:val="10"/>
                <w:color w:val="282A32"/>
              </w:rPr>
              <w:t>Treasury</w:t>
            </w:r>
          </w:p>
        </w:tc>
        <w:tc>
          <w:tcPr>
            <w:tcW w:w="200" w:type="dxa"/>
            <w:vAlign w:val="bottom"/>
          </w:tcPr>
          <w:p>
            <w:pPr>
              <w:spacing w:after="0"/>
              <w:rPr>
                <w:sz w:val="8"/>
                <w:szCs w:val="8"/>
                <w:color w:val="auto"/>
              </w:rPr>
            </w:pPr>
          </w:p>
        </w:tc>
        <w:tc>
          <w:tcPr>
            <w:tcW w:w="820" w:type="dxa"/>
            <w:vAlign w:val="bottom"/>
            <w:gridSpan w:val="2"/>
          </w:tcPr>
          <w:p>
            <w:pPr>
              <w:jc w:val="right"/>
              <w:ind w:right="220"/>
              <w:spacing w:after="0" w:line="104" w:lineRule="exact"/>
              <w:rPr>
                <w:sz w:val="20"/>
                <w:szCs w:val="20"/>
                <w:color w:val="auto"/>
              </w:rPr>
            </w:pPr>
            <w:r>
              <w:rPr>
                <w:rFonts w:ascii="Arial" w:cs="Arial" w:eastAsia="Arial" w:hAnsi="Arial"/>
                <w:sz w:val="10"/>
                <w:szCs w:val="10"/>
                <w:color w:val="282A32"/>
              </w:rPr>
              <w:t>controlling</w:t>
            </w: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282A32"/>
              </w:rPr>
              <w:t>Shares Issued</w:t>
            </w:r>
          </w:p>
        </w:tc>
        <w:tc>
          <w:tcPr>
            <w:tcW w:w="180" w:type="dxa"/>
            <w:vAlign w:val="bottom"/>
          </w:tcPr>
          <w:p>
            <w:pPr>
              <w:spacing w:after="0"/>
              <w:rPr>
                <w:sz w:val="13"/>
                <w:szCs w:val="13"/>
                <w:color w:val="auto"/>
              </w:rPr>
            </w:pPr>
          </w:p>
        </w:tc>
        <w:tc>
          <w:tcPr>
            <w:tcW w:w="560" w:type="dxa"/>
            <w:vAlign w:val="bottom"/>
          </w:tcPr>
          <w:p>
            <w:pPr>
              <w:jc w:val="right"/>
              <w:ind w:right="22"/>
              <w:spacing w:after="0"/>
              <w:rPr>
                <w:sz w:val="20"/>
                <w:szCs w:val="20"/>
                <w:color w:val="auto"/>
              </w:rPr>
            </w:pPr>
            <w:r>
              <w:rPr>
                <w:rFonts w:ascii="Arial" w:cs="Arial" w:eastAsia="Arial" w:hAnsi="Arial"/>
                <w:sz w:val="12"/>
                <w:szCs w:val="12"/>
                <w:color w:val="282A32"/>
                <w:w w:val="83"/>
              </w:rPr>
              <w:t>Par Value</w:t>
            </w:r>
          </w:p>
        </w:tc>
        <w:tc>
          <w:tcPr>
            <w:tcW w:w="180" w:type="dxa"/>
            <w:vAlign w:val="bottom"/>
          </w:tcPr>
          <w:p>
            <w:pPr>
              <w:spacing w:after="0"/>
              <w:rPr>
                <w:sz w:val="13"/>
                <w:szCs w:val="13"/>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282A32"/>
              </w:rPr>
              <w:t>Par Value</w:t>
            </w:r>
          </w:p>
        </w:tc>
        <w:tc>
          <w:tcPr>
            <w:tcW w:w="220" w:type="dxa"/>
            <w:vAlign w:val="bottom"/>
          </w:tcPr>
          <w:p>
            <w:pPr>
              <w:spacing w:after="0"/>
              <w:rPr>
                <w:sz w:val="13"/>
                <w:szCs w:val="13"/>
                <w:color w:val="auto"/>
              </w:rPr>
            </w:pPr>
          </w:p>
        </w:tc>
        <w:tc>
          <w:tcPr>
            <w:tcW w:w="700" w:type="dxa"/>
            <w:vAlign w:val="bottom"/>
          </w:tcPr>
          <w:p>
            <w:pPr>
              <w:jc w:val="right"/>
              <w:ind w:right="21"/>
              <w:spacing w:after="0"/>
              <w:rPr>
                <w:sz w:val="20"/>
                <w:szCs w:val="20"/>
                <w:color w:val="auto"/>
              </w:rPr>
            </w:pPr>
            <w:r>
              <w:rPr>
                <w:rFonts w:ascii="Arial" w:cs="Arial" w:eastAsia="Arial" w:hAnsi="Arial"/>
                <w:sz w:val="12"/>
                <w:szCs w:val="12"/>
                <w:color w:val="282A32"/>
              </w:rPr>
              <w:t>Earnings</w:t>
            </w:r>
          </w:p>
        </w:tc>
        <w:tc>
          <w:tcPr>
            <w:tcW w:w="160" w:type="dxa"/>
            <w:vAlign w:val="bottom"/>
          </w:tcPr>
          <w:p>
            <w:pPr>
              <w:spacing w:after="0"/>
              <w:rPr>
                <w:sz w:val="13"/>
                <w:szCs w:val="13"/>
                <w:color w:val="auto"/>
              </w:rPr>
            </w:pPr>
          </w:p>
        </w:tc>
        <w:tc>
          <w:tcPr>
            <w:tcW w:w="960" w:type="dxa"/>
            <w:vAlign w:val="bottom"/>
          </w:tcPr>
          <w:p>
            <w:pPr>
              <w:jc w:val="right"/>
              <w:ind w:right="6"/>
              <w:spacing w:after="0"/>
              <w:rPr>
                <w:sz w:val="20"/>
                <w:szCs w:val="20"/>
                <w:color w:val="auto"/>
              </w:rPr>
            </w:pPr>
            <w:r>
              <w:rPr>
                <w:rFonts w:ascii="Arial" w:cs="Arial" w:eastAsia="Arial" w:hAnsi="Arial"/>
                <w:sz w:val="12"/>
                <w:szCs w:val="12"/>
                <w:color w:val="282A32"/>
              </w:rPr>
              <w:t>(Loss) Income</w:t>
            </w:r>
          </w:p>
        </w:tc>
        <w:tc>
          <w:tcPr>
            <w:tcW w:w="260" w:type="dxa"/>
            <w:vAlign w:val="bottom"/>
          </w:tcPr>
          <w:p>
            <w:pPr>
              <w:spacing w:after="0"/>
              <w:rPr>
                <w:sz w:val="13"/>
                <w:szCs w:val="1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282A32"/>
              </w:rPr>
              <w:t>Stock</w:t>
            </w:r>
          </w:p>
        </w:tc>
        <w:tc>
          <w:tcPr>
            <w:tcW w:w="2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282A32"/>
              </w:rPr>
              <w:t>Interests</w:t>
            </w:r>
          </w:p>
        </w:tc>
        <w:tc>
          <w:tcPr>
            <w:tcW w:w="200" w:type="dxa"/>
            <w:vAlign w:val="bottom"/>
          </w:tcPr>
          <w:p>
            <w:pPr>
              <w:spacing w:after="0"/>
              <w:rPr>
                <w:sz w:val="13"/>
                <w:szCs w:val="13"/>
                <w:color w:val="auto"/>
              </w:rPr>
            </w:pPr>
          </w:p>
        </w:tc>
        <w:tc>
          <w:tcPr>
            <w:tcW w:w="700" w:type="dxa"/>
            <w:vAlign w:val="bottom"/>
          </w:tcPr>
          <w:p>
            <w:pPr>
              <w:jc w:val="right"/>
              <w:ind w:right="18"/>
              <w:spacing w:after="0"/>
              <w:rPr>
                <w:sz w:val="20"/>
                <w:szCs w:val="20"/>
                <w:color w:val="auto"/>
              </w:rPr>
            </w:pPr>
            <w:r>
              <w:rPr>
                <w:rFonts w:ascii="Arial" w:cs="Arial" w:eastAsia="Arial" w:hAnsi="Arial"/>
                <w:sz w:val="12"/>
                <w:szCs w:val="12"/>
                <w:color w:val="282A32"/>
              </w:rPr>
              <w:t>Total</w:t>
            </w:r>
          </w:p>
        </w:tc>
        <w:tc>
          <w:tcPr>
            <w:tcW w:w="0" w:type="dxa"/>
            <w:vAlign w:val="bottom"/>
          </w:tcPr>
          <w:p>
            <w:pPr>
              <w:spacing w:after="0"/>
              <w:rPr>
                <w:sz w:val="1"/>
                <w:szCs w:val="1"/>
                <w:color w:val="auto"/>
              </w:rPr>
            </w:pPr>
          </w:p>
        </w:tc>
      </w:tr>
      <w:tr>
        <w:trPr>
          <w:trHeight w:val="292"/>
        </w:trPr>
        <w:tc>
          <w:tcPr>
            <w:tcW w:w="3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Balance, January 1, 2016</w:t>
            </w:r>
          </w:p>
        </w:tc>
        <w:tc>
          <w:tcPr>
            <w:tcW w:w="122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282A32"/>
              </w:rPr>
              <w:t>114,504,928</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w:t>
            </w:r>
          </w:p>
        </w:tc>
        <w:tc>
          <w:tcPr>
            <w:tcW w:w="5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282A32"/>
              </w:rPr>
              <w:t>1.2</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w:t>
            </w:r>
          </w:p>
        </w:tc>
        <w:tc>
          <w:tcPr>
            <w:tcW w:w="7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282A32"/>
              </w:rPr>
              <w:t>3,186.7</w:t>
            </w:r>
          </w:p>
        </w:tc>
        <w:tc>
          <w:tcPr>
            <w:tcW w:w="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w:t>
            </w:r>
          </w:p>
        </w:tc>
        <w:tc>
          <w:tcPr>
            <w:tcW w:w="7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282A32"/>
              </w:rPr>
              <w:t>1,966.0</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(286.0)</w:t>
            </w:r>
          </w:p>
        </w:tc>
        <w:tc>
          <w:tcPr>
            <w:tcW w:w="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(2,243.2)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w w:val="84"/>
              </w:rPr>
              <w:t>$</w:t>
            </w:r>
          </w:p>
        </w:tc>
        <w:tc>
          <w:tcPr>
            <w:tcW w:w="70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282A32"/>
              </w:rPr>
              <w:t>67.8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w w:val="84"/>
              </w:rPr>
              <w:t>$</w:t>
            </w:r>
          </w:p>
        </w:tc>
        <w:tc>
          <w:tcPr>
            <w:tcW w:w="7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282A32"/>
              </w:rPr>
              <w:t>2,692.5</w:t>
            </w:r>
          </w:p>
        </w:tc>
        <w:tc>
          <w:tcPr>
            <w:tcW w:w="0" w:type="dxa"/>
            <w:vAlign w:val="bottom"/>
          </w:tcPr>
          <w:p>
            <w:pPr>
              <w:spacing w:after="0"/>
              <w:rPr>
                <w:sz w:val="1"/>
                <w:szCs w:val="1"/>
                <w:color w:val="auto"/>
              </w:rPr>
            </w:pPr>
          </w:p>
        </w:tc>
      </w:tr>
      <w:tr>
        <w:trPr>
          <w:trHeight w:val="287"/>
        </w:trPr>
        <w:tc>
          <w:tcPr>
            <w:tcW w:w="3440" w:type="dxa"/>
            <w:vAlign w:val="bottom"/>
          </w:tcPr>
          <w:p>
            <w:pPr>
              <w:ind w:left="140"/>
              <w:spacing w:after="0"/>
              <w:rPr>
                <w:sz w:val="20"/>
                <w:szCs w:val="20"/>
                <w:color w:val="auto"/>
              </w:rPr>
            </w:pPr>
            <w:r>
              <w:rPr>
                <w:rFonts w:ascii="Arial" w:cs="Arial" w:eastAsia="Arial" w:hAnsi="Arial"/>
                <w:sz w:val="17"/>
                <w:szCs w:val="17"/>
                <w:color w:val="282A32"/>
              </w:rPr>
              <w:t>Net earnings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Arial" w:cs="Arial" w:eastAsia="Arial" w:hAnsi="Arial"/>
                <w:sz w:val="17"/>
                <w:szCs w:val="17"/>
                <w:color w:val="282A32"/>
              </w:rPr>
              <w:t>443.7</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8"/>
              <w:spacing w:after="0"/>
              <w:rPr>
                <w:sz w:val="20"/>
                <w:szCs w:val="20"/>
                <w:color w:val="auto"/>
              </w:rPr>
            </w:pPr>
            <w:r>
              <w:rPr>
                <w:rFonts w:ascii="Arial" w:cs="Arial" w:eastAsia="Arial" w:hAnsi="Arial"/>
                <w:sz w:val="17"/>
                <w:szCs w:val="17"/>
                <w:color w:val="282A32"/>
              </w:rPr>
              <w:t>443.7</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Other comprehensive loss</w:t>
            </w:r>
          </w:p>
        </w:tc>
        <w:tc>
          <w:tcPr>
            <w:tcW w:w="1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(140.1)</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(140.1)</w:t>
            </w:r>
          </w:p>
        </w:tc>
        <w:tc>
          <w:tcPr>
            <w:tcW w:w="0" w:type="dxa"/>
            <w:vAlign w:val="bottom"/>
          </w:tcPr>
          <w:p>
            <w:pPr>
              <w:spacing w:after="0"/>
              <w:rPr>
                <w:sz w:val="1"/>
                <w:szCs w:val="1"/>
                <w:color w:val="auto"/>
              </w:rPr>
            </w:pPr>
          </w:p>
        </w:tc>
      </w:tr>
      <w:tr>
        <w:trPr>
          <w:trHeight w:val="274"/>
        </w:trPr>
        <w:tc>
          <w:tcPr>
            <w:tcW w:w="3440" w:type="dxa"/>
            <w:vAlign w:val="bottom"/>
          </w:tcPr>
          <w:p>
            <w:pPr>
              <w:ind w:left="140"/>
              <w:spacing w:after="0"/>
              <w:rPr>
                <w:sz w:val="20"/>
                <w:szCs w:val="20"/>
                <w:color w:val="auto"/>
              </w:rPr>
            </w:pPr>
            <w:r>
              <w:rPr>
                <w:rFonts w:ascii="Arial" w:cs="Arial" w:eastAsia="Arial" w:hAnsi="Arial"/>
                <w:sz w:val="17"/>
                <w:szCs w:val="17"/>
                <w:color w:val="282A32"/>
              </w:rPr>
              <w:t>Issuances under equity plans, including tax</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3440" w:type="dxa"/>
            <w:vAlign w:val="bottom"/>
          </w:tcPr>
          <w:p>
            <w:pPr>
              <w:ind w:left="140"/>
              <w:spacing w:after="0"/>
              <w:rPr>
                <w:sz w:val="20"/>
                <w:szCs w:val="20"/>
                <w:color w:val="auto"/>
              </w:rPr>
            </w:pPr>
            <w:r>
              <w:rPr>
                <w:rFonts w:ascii="Arial" w:cs="Arial" w:eastAsia="Arial" w:hAnsi="Arial"/>
                <w:sz w:val="17"/>
                <w:szCs w:val="17"/>
                <w:color w:val="282A32"/>
              </w:rPr>
              <w:t>benefits</w:t>
            </w:r>
          </w:p>
        </w:tc>
        <w:tc>
          <w:tcPr>
            <w:tcW w:w="1220" w:type="dxa"/>
            <w:vAlign w:val="bottom"/>
          </w:tcPr>
          <w:p>
            <w:pPr>
              <w:jc w:val="right"/>
              <w:ind w:right="2"/>
              <w:spacing w:after="0"/>
              <w:rPr>
                <w:sz w:val="20"/>
                <w:szCs w:val="20"/>
                <w:color w:val="auto"/>
              </w:rPr>
            </w:pPr>
            <w:r>
              <w:rPr>
                <w:rFonts w:ascii="Arial" w:cs="Arial" w:eastAsia="Arial" w:hAnsi="Arial"/>
                <w:sz w:val="17"/>
                <w:szCs w:val="17"/>
                <w:color w:val="282A32"/>
              </w:rPr>
              <w:t>610,820</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22"/>
              <w:spacing w:after="0"/>
              <w:rPr>
                <w:sz w:val="20"/>
                <w:szCs w:val="20"/>
                <w:color w:val="auto"/>
              </w:rPr>
            </w:pPr>
            <w:r>
              <w:rPr>
                <w:rFonts w:ascii="Arial" w:cs="Arial" w:eastAsia="Arial" w:hAnsi="Arial"/>
                <w:sz w:val="17"/>
                <w:szCs w:val="17"/>
                <w:color w:val="282A32"/>
              </w:rPr>
              <w:t>20.5</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282A32"/>
              </w:rPr>
              <w:t>(6.3)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8"/>
              <w:spacing w:after="0"/>
              <w:rPr>
                <w:sz w:val="20"/>
                <w:szCs w:val="20"/>
                <w:color w:val="auto"/>
              </w:rPr>
            </w:pPr>
            <w:r>
              <w:rPr>
                <w:rFonts w:ascii="Arial" w:cs="Arial" w:eastAsia="Arial" w:hAnsi="Arial"/>
                <w:sz w:val="17"/>
                <w:szCs w:val="17"/>
                <w:color w:val="282A32"/>
              </w:rPr>
              <w:t>14.2</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Share-based compensation expense</w:t>
            </w:r>
          </w:p>
        </w:tc>
        <w:tc>
          <w:tcPr>
            <w:tcW w:w="1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282A32"/>
              </w:rPr>
              <w:t>27.1</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282A32"/>
              </w:rPr>
              <w:t>27.1</w:t>
            </w:r>
          </w:p>
        </w:tc>
        <w:tc>
          <w:tcPr>
            <w:tcW w:w="0" w:type="dxa"/>
            <w:vAlign w:val="bottom"/>
          </w:tcPr>
          <w:p>
            <w:pPr>
              <w:spacing w:after="0"/>
              <w:rPr>
                <w:sz w:val="1"/>
                <w:szCs w:val="1"/>
                <w:color w:val="auto"/>
              </w:rPr>
            </w:pPr>
          </w:p>
        </w:tc>
      </w:tr>
      <w:tr>
        <w:trPr>
          <w:trHeight w:val="287"/>
        </w:trPr>
        <w:tc>
          <w:tcPr>
            <w:tcW w:w="3440" w:type="dxa"/>
            <w:vAlign w:val="bottom"/>
          </w:tcPr>
          <w:p>
            <w:pPr>
              <w:ind w:left="140"/>
              <w:spacing w:after="0"/>
              <w:rPr>
                <w:sz w:val="20"/>
                <w:szCs w:val="20"/>
                <w:color w:val="auto"/>
              </w:rPr>
            </w:pPr>
            <w:r>
              <w:rPr>
                <w:rFonts w:ascii="Arial" w:cs="Arial" w:eastAsia="Arial" w:hAnsi="Arial"/>
                <w:sz w:val="17"/>
                <w:szCs w:val="17"/>
                <w:color w:val="282A32"/>
              </w:rPr>
              <w:t>Dividends ($1.72 per share)</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282A32"/>
              </w:rPr>
              <w:t>(118.4)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282A32"/>
              </w:rPr>
              <w:t>(118.4)</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Repurchases of common stock</w:t>
            </w:r>
          </w:p>
        </w:tc>
        <w:tc>
          <w:tcPr>
            <w:tcW w:w="1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(482.2)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(482.2)</w:t>
            </w:r>
          </w:p>
        </w:tc>
        <w:tc>
          <w:tcPr>
            <w:tcW w:w="0" w:type="dxa"/>
            <w:vAlign w:val="bottom"/>
          </w:tcPr>
          <w:p>
            <w:pPr>
              <w:spacing w:after="0"/>
              <w:rPr>
                <w:sz w:val="1"/>
                <w:szCs w:val="1"/>
                <w:color w:val="auto"/>
              </w:rPr>
            </w:pPr>
          </w:p>
        </w:tc>
      </w:tr>
      <w:tr>
        <w:trPr>
          <w:trHeight w:val="287"/>
        </w:trPr>
        <w:tc>
          <w:tcPr>
            <w:tcW w:w="3440" w:type="dxa"/>
            <w:vAlign w:val="bottom"/>
          </w:tcPr>
          <w:p>
            <w:pPr>
              <w:ind w:left="140"/>
              <w:spacing w:after="0"/>
              <w:rPr>
                <w:sz w:val="20"/>
                <w:szCs w:val="20"/>
                <w:color w:val="auto"/>
              </w:rPr>
            </w:pPr>
            <w:r>
              <w:rPr>
                <w:rFonts w:ascii="Arial" w:cs="Arial" w:eastAsia="Arial" w:hAnsi="Arial"/>
                <w:sz w:val="17"/>
                <w:szCs w:val="17"/>
                <w:color w:val="282A32"/>
              </w:rPr>
              <w:t>Noncontrolling interest transactions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282A32"/>
              </w:rPr>
              <w:t>(7.1)</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25"/>
              <w:spacing w:after="0"/>
              <w:rPr>
                <w:sz w:val="20"/>
                <w:szCs w:val="20"/>
                <w:color w:val="auto"/>
              </w:rPr>
            </w:pPr>
            <w:r>
              <w:rPr>
                <w:rFonts w:ascii="Arial" w:cs="Arial" w:eastAsia="Arial" w:hAnsi="Arial"/>
                <w:sz w:val="17"/>
                <w:szCs w:val="17"/>
                <w:color w:val="282A32"/>
              </w:rPr>
              <w:t>16.7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8"/>
              <w:spacing w:after="0"/>
              <w:rPr>
                <w:sz w:val="20"/>
                <w:szCs w:val="20"/>
                <w:color w:val="auto"/>
              </w:rPr>
            </w:pPr>
            <w:r>
              <w:rPr>
                <w:rFonts w:ascii="Arial" w:cs="Arial" w:eastAsia="Arial" w:hAnsi="Arial"/>
                <w:sz w:val="17"/>
                <w:szCs w:val="17"/>
                <w:color w:val="282A32"/>
              </w:rPr>
              <w:t>9.6</w:t>
            </w:r>
          </w:p>
        </w:tc>
        <w:tc>
          <w:tcPr>
            <w:tcW w:w="0" w:type="dxa"/>
            <w:vAlign w:val="bottom"/>
          </w:tcPr>
          <w:p>
            <w:pPr>
              <w:spacing w:after="0"/>
              <w:rPr>
                <w:sz w:val="1"/>
                <w:szCs w:val="1"/>
                <w:color w:val="auto"/>
              </w:rPr>
            </w:pPr>
          </w:p>
        </w:tc>
      </w:tr>
      <w:tr>
        <w:trPr>
          <w:trHeight w:val="25"/>
        </w:trPr>
        <w:tc>
          <w:tcPr>
            <w:tcW w:w="3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Balance, December 31, 2016</w:t>
            </w: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282A32"/>
              </w:rPr>
              <w:t>115,115,748</w:t>
            </w: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282A32"/>
              </w:rPr>
              <w:t>1.2</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282A32"/>
              </w:rPr>
              <w:t>3,227.2</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282A32"/>
              </w:rPr>
              <w:t>2,291.3</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(426.1)</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(2,731.7)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282A32"/>
              </w:rPr>
              <w:t>84.5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282A32"/>
              </w:rPr>
              <w:t>2,446.4</w:t>
            </w:r>
          </w:p>
        </w:tc>
        <w:tc>
          <w:tcPr>
            <w:tcW w:w="0" w:type="dxa"/>
            <w:vAlign w:val="bottom"/>
          </w:tcPr>
          <w:p>
            <w:pPr>
              <w:spacing w:after="0"/>
              <w:rPr>
                <w:sz w:val="1"/>
                <w:szCs w:val="1"/>
                <w:color w:val="auto"/>
              </w:rPr>
            </w:pPr>
          </w:p>
        </w:tc>
      </w:tr>
      <w:tr>
        <w:trPr>
          <w:trHeight w:val="287"/>
        </w:trPr>
        <w:tc>
          <w:tcPr>
            <w:tcW w:w="3440" w:type="dxa"/>
            <w:vAlign w:val="bottom"/>
          </w:tcPr>
          <w:p>
            <w:pPr>
              <w:ind w:left="140"/>
              <w:spacing w:after="0"/>
              <w:rPr>
                <w:sz w:val="20"/>
                <w:szCs w:val="20"/>
                <w:color w:val="auto"/>
              </w:rPr>
            </w:pPr>
            <w:r>
              <w:rPr>
                <w:rFonts w:ascii="Arial" w:cs="Arial" w:eastAsia="Arial" w:hAnsi="Arial"/>
                <w:sz w:val="17"/>
                <w:szCs w:val="17"/>
                <w:color w:val="282A32"/>
              </w:rPr>
              <w:t>Net earnings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1"/>
              <w:spacing w:after="0"/>
              <w:rPr>
                <w:sz w:val="20"/>
                <w:szCs w:val="20"/>
                <w:color w:val="auto"/>
              </w:rPr>
            </w:pPr>
            <w:r>
              <w:rPr>
                <w:rFonts w:ascii="Arial" w:cs="Arial" w:eastAsia="Arial" w:hAnsi="Arial"/>
                <w:sz w:val="17"/>
                <w:szCs w:val="17"/>
                <w:color w:val="282A32"/>
              </w:rPr>
              <w:t>545.4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8"/>
              <w:spacing w:after="0"/>
              <w:rPr>
                <w:sz w:val="20"/>
                <w:szCs w:val="20"/>
                <w:color w:val="auto"/>
              </w:rPr>
            </w:pPr>
            <w:r>
              <w:rPr>
                <w:rFonts w:ascii="Arial" w:cs="Arial" w:eastAsia="Arial" w:hAnsi="Arial"/>
                <w:sz w:val="17"/>
                <w:szCs w:val="17"/>
                <w:color w:val="282A32"/>
              </w:rPr>
              <w:t>545.4</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Other comprehensive income</w:t>
            </w:r>
          </w:p>
        </w:tc>
        <w:tc>
          <w:tcPr>
            <w:tcW w:w="1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7"/>
                <w:szCs w:val="17"/>
                <w:color w:val="282A32"/>
              </w:rPr>
              <w:t>137.9</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282A32"/>
              </w:rPr>
              <w:t>137.9</w:t>
            </w:r>
          </w:p>
        </w:tc>
        <w:tc>
          <w:tcPr>
            <w:tcW w:w="0" w:type="dxa"/>
            <w:vAlign w:val="bottom"/>
          </w:tcPr>
          <w:p>
            <w:pPr>
              <w:spacing w:after="0"/>
              <w:rPr>
                <w:sz w:val="1"/>
                <w:szCs w:val="1"/>
                <w:color w:val="auto"/>
              </w:rPr>
            </w:pPr>
          </w:p>
        </w:tc>
      </w:tr>
      <w:tr>
        <w:trPr>
          <w:trHeight w:val="287"/>
        </w:trPr>
        <w:tc>
          <w:tcPr>
            <w:tcW w:w="3440" w:type="dxa"/>
            <w:vAlign w:val="bottom"/>
          </w:tcPr>
          <w:p>
            <w:pPr>
              <w:ind w:left="140"/>
              <w:spacing w:after="0"/>
              <w:rPr>
                <w:sz w:val="20"/>
                <w:szCs w:val="20"/>
                <w:color w:val="auto"/>
              </w:rPr>
            </w:pPr>
            <w:r>
              <w:rPr>
                <w:rFonts w:ascii="Arial" w:cs="Arial" w:eastAsia="Arial" w:hAnsi="Arial"/>
                <w:sz w:val="17"/>
                <w:szCs w:val="17"/>
                <w:color w:val="282A32"/>
              </w:rPr>
              <w:t>Issuances under equity plans</w:t>
            </w:r>
          </w:p>
        </w:tc>
        <w:tc>
          <w:tcPr>
            <w:tcW w:w="1220" w:type="dxa"/>
            <w:vAlign w:val="bottom"/>
          </w:tcPr>
          <w:p>
            <w:pPr>
              <w:jc w:val="right"/>
              <w:ind w:right="2"/>
              <w:spacing w:after="0"/>
              <w:rPr>
                <w:sz w:val="20"/>
                <w:szCs w:val="20"/>
                <w:color w:val="auto"/>
              </w:rPr>
            </w:pPr>
            <w:r>
              <w:rPr>
                <w:rFonts w:ascii="Arial" w:cs="Arial" w:eastAsia="Arial" w:hAnsi="Arial"/>
                <w:sz w:val="17"/>
                <w:szCs w:val="17"/>
                <w:color w:val="282A32"/>
              </w:rPr>
              <w:t>1,187,981</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Arial" w:cs="Arial" w:eastAsia="Arial" w:hAnsi="Arial"/>
                <w:sz w:val="17"/>
                <w:szCs w:val="17"/>
                <w:color w:val="282A32"/>
              </w:rPr>
              <w:t>44.2</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282A32"/>
              </w:rPr>
              <w:t>(18.1)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8"/>
              <w:spacing w:after="0"/>
              <w:rPr>
                <w:sz w:val="20"/>
                <w:szCs w:val="20"/>
                <w:color w:val="auto"/>
              </w:rPr>
            </w:pPr>
            <w:r>
              <w:rPr>
                <w:rFonts w:ascii="Arial" w:cs="Arial" w:eastAsia="Arial" w:hAnsi="Arial"/>
                <w:sz w:val="17"/>
                <w:szCs w:val="17"/>
                <w:color w:val="282A32"/>
              </w:rPr>
              <w:t>26.1</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Share-based compensation expense</w:t>
            </w:r>
          </w:p>
        </w:tc>
        <w:tc>
          <w:tcPr>
            <w:tcW w:w="1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282A32"/>
              </w:rPr>
              <w:t>28.7</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282A32"/>
              </w:rPr>
              <w:t>28.7</w:t>
            </w:r>
          </w:p>
        </w:tc>
        <w:tc>
          <w:tcPr>
            <w:tcW w:w="0" w:type="dxa"/>
            <w:vAlign w:val="bottom"/>
          </w:tcPr>
          <w:p>
            <w:pPr>
              <w:spacing w:after="0"/>
              <w:rPr>
                <w:sz w:val="1"/>
                <w:szCs w:val="1"/>
                <w:color w:val="auto"/>
              </w:rPr>
            </w:pPr>
          </w:p>
        </w:tc>
      </w:tr>
      <w:tr>
        <w:trPr>
          <w:trHeight w:val="287"/>
        </w:trPr>
        <w:tc>
          <w:tcPr>
            <w:tcW w:w="3440" w:type="dxa"/>
            <w:vAlign w:val="bottom"/>
          </w:tcPr>
          <w:p>
            <w:pPr>
              <w:ind w:left="140"/>
              <w:spacing w:after="0"/>
              <w:rPr>
                <w:sz w:val="20"/>
                <w:szCs w:val="20"/>
                <w:color w:val="auto"/>
              </w:rPr>
            </w:pPr>
            <w:r>
              <w:rPr>
                <w:rFonts w:ascii="Arial" w:cs="Arial" w:eastAsia="Arial" w:hAnsi="Arial"/>
                <w:sz w:val="17"/>
                <w:szCs w:val="17"/>
                <w:color w:val="282A32"/>
              </w:rPr>
              <w:t>Dividends ($1.86 per share)</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282A32"/>
              </w:rPr>
              <w:t>(123.7)</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282A32"/>
              </w:rPr>
              <w:t>(123.7)</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Repurchases of common stock</w:t>
            </w:r>
          </w:p>
        </w:tc>
        <w:tc>
          <w:tcPr>
            <w:tcW w:w="1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(203.9)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(203.9)</w:t>
            </w:r>
          </w:p>
        </w:tc>
        <w:tc>
          <w:tcPr>
            <w:tcW w:w="0" w:type="dxa"/>
            <w:vAlign w:val="bottom"/>
          </w:tcPr>
          <w:p>
            <w:pPr>
              <w:spacing w:after="0"/>
              <w:rPr>
                <w:sz w:val="1"/>
                <w:szCs w:val="1"/>
                <w:color w:val="auto"/>
              </w:rPr>
            </w:pPr>
          </w:p>
        </w:tc>
      </w:tr>
      <w:tr>
        <w:trPr>
          <w:trHeight w:val="287"/>
        </w:trPr>
        <w:tc>
          <w:tcPr>
            <w:tcW w:w="3440" w:type="dxa"/>
            <w:vAlign w:val="bottom"/>
          </w:tcPr>
          <w:p>
            <w:pPr>
              <w:ind w:left="140"/>
              <w:spacing w:after="0"/>
              <w:rPr>
                <w:sz w:val="20"/>
                <w:szCs w:val="20"/>
                <w:color w:val="auto"/>
              </w:rPr>
            </w:pPr>
            <w:r>
              <w:rPr>
                <w:rFonts w:ascii="Arial" w:cs="Arial" w:eastAsia="Arial" w:hAnsi="Arial"/>
                <w:sz w:val="17"/>
                <w:szCs w:val="17"/>
                <w:color w:val="282A32"/>
              </w:rPr>
              <w:t>Noncontrolling interest transactions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Arial" w:cs="Arial" w:eastAsia="Arial" w:hAnsi="Arial"/>
                <w:sz w:val="17"/>
                <w:szCs w:val="17"/>
                <w:color w:val="282A32"/>
              </w:rPr>
              <w:t>2.5</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282A32"/>
              </w:rPr>
              <w:t>(1.8)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8"/>
              <w:spacing w:after="0"/>
              <w:rPr>
                <w:sz w:val="20"/>
                <w:szCs w:val="20"/>
                <w:color w:val="auto"/>
              </w:rPr>
            </w:pPr>
            <w:r>
              <w:rPr>
                <w:rFonts w:ascii="Arial" w:cs="Arial" w:eastAsia="Arial" w:hAnsi="Arial"/>
                <w:sz w:val="17"/>
                <w:szCs w:val="17"/>
                <w:color w:val="282A32"/>
              </w:rPr>
              <w:t>0.7</w:t>
            </w:r>
          </w:p>
        </w:tc>
        <w:tc>
          <w:tcPr>
            <w:tcW w:w="0" w:type="dxa"/>
            <w:vAlign w:val="bottom"/>
          </w:tcPr>
          <w:p>
            <w:pPr>
              <w:spacing w:after="0"/>
              <w:rPr>
                <w:sz w:val="1"/>
                <w:szCs w:val="1"/>
                <w:color w:val="auto"/>
              </w:rPr>
            </w:pPr>
          </w:p>
        </w:tc>
      </w:tr>
      <w:tr>
        <w:trPr>
          <w:trHeight w:val="25"/>
        </w:trPr>
        <w:tc>
          <w:tcPr>
            <w:tcW w:w="3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Balance, December 31, 2017</w:t>
            </w: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282A32"/>
              </w:rPr>
              <w:t>116,303,729</w:t>
            </w: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282A32"/>
              </w:rPr>
              <w:t>1.2</w:t>
            </w: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282A32"/>
              </w:rPr>
              <w:t>3,302.6</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282A32"/>
              </w:rPr>
              <w:t>2,713.0</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(288.2)</w:t>
            </w: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(2,953.7)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7"/>
                <w:szCs w:val="17"/>
                <w:color w:val="282A32"/>
              </w:rPr>
              <w:t>82.7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282A32"/>
              </w:rPr>
              <w:t>2,857.6</w:t>
            </w:r>
          </w:p>
        </w:tc>
        <w:tc>
          <w:tcPr>
            <w:tcW w:w="0" w:type="dxa"/>
            <w:vAlign w:val="bottom"/>
          </w:tcPr>
          <w:p>
            <w:pPr>
              <w:spacing w:after="0"/>
              <w:rPr>
                <w:sz w:val="1"/>
                <w:szCs w:val="1"/>
                <w:color w:val="auto"/>
              </w:rPr>
            </w:pPr>
          </w:p>
        </w:tc>
      </w:tr>
      <w:tr>
        <w:trPr>
          <w:trHeight w:val="274"/>
        </w:trPr>
        <w:tc>
          <w:tcPr>
            <w:tcW w:w="3440" w:type="dxa"/>
            <w:vAlign w:val="bottom"/>
          </w:tcPr>
          <w:p>
            <w:pPr>
              <w:ind w:left="140"/>
              <w:spacing w:after="0"/>
              <w:rPr>
                <w:sz w:val="20"/>
                <w:szCs w:val="20"/>
                <w:color w:val="auto"/>
              </w:rPr>
            </w:pPr>
            <w:r>
              <w:rPr>
                <w:rFonts w:ascii="Arial" w:cs="Arial" w:eastAsia="Arial" w:hAnsi="Arial"/>
                <w:sz w:val="17"/>
                <w:szCs w:val="17"/>
                <w:color w:val="282A32"/>
              </w:rPr>
              <w:t>Unrealized gain reclassified due to new</w:t>
            </w: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3440" w:type="dxa"/>
            <w:vAlign w:val="bottom"/>
          </w:tcPr>
          <w:p>
            <w:pPr>
              <w:ind w:left="140"/>
              <w:spacing w:after="0"/>
              <w:rPr>
                <w:sz w:val="20"/>
                <w:szCs w:val="20"/>
                <w:color w:val="auto"/>
              </w:rPr>
            </w:pPr>
            <w:r>
              <w:rPr>
                <w:rFonts w:ascii="Arial" w:cs="Arial" w:eastAsia="Arial" w:hAnsi="Arial"/>
                <w:sz w:val="17"/>
                <w:szCs w:val="17"/>
                <w:color w:val="282A32"/>
                <w:w w:val="92"/>
              </w:rPr>
              <w:t>accounting guidance on investments (See Note</w:t>
            </w: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40" w:type="dxa"/>
            <w:vAlign w:val="bottom"/>
          </w:tcPr>
          <w:p>
            <w:pPr>
              <w:ind w:left="140"/>
              <w:spacing w:after="0"/>
              <w:rPr>
                <w:sz w:val="20"/>
                <w:szCs w:val="20"/>
                <w:color w:val="auto"/>
              </w:rPr>
            </w:pPr>
            <w:r>
              <w:rPr>
                <w:rFonts w:ascii="Arial" w:cs="Arial" w:eastAsia="Arial" w:hAnsi="Arial"/>
                <w:sz w:val="17"/>
                <w:szCs w:val="17"/>
                <w:color w:val="282A32"/>
              </w:rPr>
              <w:t>10)</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1"/>
              <w:spacing w:after="0"/>
              <w:rPr>
                <w:sz w:val="20"/>
                <w:szCs w:val="20"/>
                <w:color w:val="auto"/>
              </w:rPr>
            </w:pPr>
            <w:r>
              <w:rPr>
                <w:rFonts w:ascii="Arial" w:cs="Arial" w:eastAsia="Arial" w:hAnsi="Arial"/>
                <w:sz w:val="17"/>
                <w:szCs w:val="17"/>
                <w:color w:val="282A32"/>
              </w:rPr>
              <w:t>15.3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282A32"/>
              </w:rPr>
              <w:t>(15.3)</w:t>
            </w: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8"/>
              <w:spacing w:after="0"/>
              <w:rPr>
                <w:sz w:val="20"/>
                <w:szCs w:val="20"/>
                <w:color w:val="auto"/>
              </w:rPr>
            </w:pPr>
            <w:r>
              <w:rPr>
                <w:rFonts w:ascii="Arial" w:cs="Arial" w:eastAsia="Arial" w:hAnsi="Arial"/>
                <w:sz w:val="17"/>
                <w:szCs w:val="17"/>
                <w:color w:val="282A32"/>
              </w:rPr>
              <w:t>—</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Net earnings</w:t>
            </w:r>
          </w:p>
        </w:tc>
        <w:tc>
          <w:tcPr>
            <w:tcW w:w="1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282A32"/>
              </w:rPr>
              <w:t>556.7</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282A32"/>
              </w:rPr>
              <w:t>556.7</w:t>
            </w:r>
          </w:p>
        </w:tc>
        <w:tc>
          <w:tcPr>
            <w:tcW w:w="0" w:type="dxa"/>
            <w:vAlign w:val="bottom"/>
          </w:tcPr>
          <w:p>
            <w:pPr>
              <w:spacing w:after="0"/>
              <w:rPr>
                <w:sz w:val="1"/>
                <w:szCs w:val="1"/>
                <w:color w:val="auto"/>
              </w:rPr>
            </w:pPr>
          </w:p>
        </w:tc>
      </w:tr>
      <w:tr>
        <w:trPr>
          <w:trHeight w:val="287"/>
        </w:trPr>
        <w:tc>
          <w:tcPr>
            <w:tcW w:w="3440" w:type="dxa"/>
            <w:vAlign w:val="bottom"/>
          </w:tcPr>
          <w:p>
            <w:pPr>
              <w:ind w:left="140"/>
              <w:spacing w:after="0"/>
              <w:rPr>
                <w:sz w:val="20"/>
                <w:szCs w:val="20"/>
                <w:color w:val="auto"/>
              </w:rPr>
            </w:pPr>
            <w:r>
              <w:rPr>
                <w:rFonts w:ascii="Arial" w:cs="Arial" w:eastAsia="Arial" w:hAnsi="Arial"/>
                <w:sz w:val="17"/>
                <w:szCs w:val="17"/>
                <w:color w:val="282A32"/>
              </w:rPr>
              <w:t>Other comprehensive loss</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282A32"/>
              </w:rPr>
              <w:t>(96.3)</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282A32"/>
              </w:rPr>
              <w:t>(96.3)</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Issuances under equity plans</w:t>
            </w:r>
          </w:p>
        </w:tc>
        <w:tc>
          <w:tcPr>
            <w:tcW w:w="12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7"/>
                <w:szCs w:val="17"/>
                <w:color w:val="282A32"/>
              </w:rPr>
              <w:t>492,170</w:t>
            </w: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282A32"/>
              </w:rPr>
              <w:t>5.2</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(17.3)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(12.1)</w:t>
            </w:r>
          </w:p>
        </w:tc>
        <w:tc>
          <w:tcPr>
            <w:tcW w:w="0" w:type="dxa"/>
            <w:vAlign w:val="bottom"/>
          </w:tcPr>
          <w:p>
            <w:pPr>
              <w:spacing w:after="0"/>
              <w:rPr>
                <w:sz w:val="1"/>
                <w:szCs w:val="1"/>
                <w:color w:val="auto"/>
              </w:rPr>
            </w:pPr>
          </w:p>
        </w:tc>
      </w:tr>
      <w:tr>
        <w:trPr>
          <w:trHeight w:val="287"/>
        </w:trPr>
        <w:tc>
          <w:tcPr>
            <w:tcW w:w="3440" w:type="dxa"/>
            <w:vAlign w:val="bottom"/>
          </w:tcPr>
          <w:p>
            <w:pPr>
              <w:ind w:left="140"/>
              <w:spacing w:after="0"/>
              <w:rPr>
                <w:sz w:val="20"/>
                <w:szCs w:val="20"/>
                <w:color w:val="auto"/>
              </w:rPr>
            </w:pPr>
            <w:r>
              <w:rPr>
                <w:rFonts w:ascii="Arial" w:cs="Arial" w:eastAsia="Arial" w:hAnsi="Arial"/>
                <w:sz w:val="17"/>
                <w:szCs w:val="17"/>
                <w:color w:val="282A32"/>
              </w:rPr>
              <w:t>Share-based compensation expense</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22"/>
              <w:spacing w:after="0"/>
              <w:rPr>
                <w:sz w:val="20"/>
                <w:szCs w:val="20"/>
                <w:color w:val="auto"/>
              </w:rPr>
            </w:pPr>
            <w:r>
              <w:rPr>
                <w:rFonts w:ascii="Arial" w:cs="Arial" w:eastAsia="Arial" w:hAnsi="Arial"/>
                <w:sz w:val="17"/>
                <w:szCs w:val="17"/>
                <w:color w:val="282A32"/>
              </w:rPr>
              <w:t>27.8</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ind w:right="18"/>
              <w:spacing w:after="0"/>
              <w:rPr>
                <w:sz w:val="20"/>
                <w:szCs w:val="20"/>
                <w:color w:val="auto"/>
              </w:rPr>
            </w:pPr>
            <w:r>
              <w:rPr>
                <w:rFonts w:ascii="Arial" w:cs="Arial" w:eastAsia="Arial" w:hAnsi="Arial"/>
                <w:sz w:val="17"/>
                <w:szCs w:val="17"/>
                <w:color w:val="282A32"/>
              </w:rPr>
              <w:t>27.8</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Dividends ($2.02 per share)</w:t>
            </w:r>
          </w:p>
        </w:tc>
        <w:tc>
          <w:tcPr>
            <w:tcW w:w="1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(127.3)</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(127.3)</w:t>
            </w:r>
          </w:p>
        </w:tc>
        <w:tc>
          <w:tcPr>
            <w:tcW w:w="0" w:type="dxa"/>
            <w:vAlign w:val="bottom"/>
          </w:tcPr>
          <w:p>
            <w:pPr>
              <w:spacing w:after="0"/>
              <w:rPr>
                <w:sz w:val="1"/>
                <w:szCs w:val="1"/>
                <w:color w:val="auto"/>
              </w:rPr>
            </w:pPr>
          </w:p>
        </w:tc>
      </w:tr>
      <w:tr>
        <w:trPr>
          <w:trHeight w:val="287"/>
        </w:trPr>
        <w:tc>
          <w:tcPr>
            <w:tcW w:w="3440" w:type="dxa"/>
            <w:vAlign w:val="bottom"/>
          </w:tcPr>
          <w:p>
            <w:pPr>
              <w:ind w:left="140"/>
              <w:spacing w:after="0"/>
              <w:rPr>
                <w:sz w:val="20"/>
                <w:szCs w:val="20"/>
                <w:color w:val="auto"/>
              </w:rPr>
            </w:pPr>
            <w:r>
              <w:rPr>
                <w:rFonts w:ascii="Arial" w:cs="Arial" w:eastAsia="Arial" w:hAnsi="Arial"/>
                <w:sz w:val="17"/>
                <w:szCs w:val="17"/>
                <w:color w:val="282A32"/>
              </w:rPr>
              <w:t>Repurchases of common stock</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282A32"/>
              </w:rPr>
              <w:t>(500.7)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282A32"/>
              </w:rPr>
              <w:t>(500.7)</w:t>
            </w:r>
          </w:p>
        </w:tc>
        <w:tc>
          <w:tcPr>
            <w:tcW w:w="0" w:type="dxa"/>
            <w:vAlign w:val="bottom"/>
          </w:tcPr>
          <w:p>
            <w:pPr>
              <w:spacing w:after="0"/>
              <w:rPr>
                <w:sz w:val="1"/>
                <w:szCs w:val="1"/>
                <w:color w:val="auto"/>
              </w:rPr>
            </w:pPr>
          </w:p>
        </w:tc>
      </w:tr>
      <w:tr>
        <w:trPr>
          <w:trHeight w:val="25"/>
        </w:trPr>
        <w:tc>
          <w:tcPr>
            <w:tcW w:w="3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2"/>
        </w:trPr>
        <w:tc>
          <w:tcPr>
            <w:tcW w:w="3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Noncontrolling interest transactions</w:t>
            </w:r>
          </w:p>
        </w:tc>
        <w:tc>
          <w:tcPr>
            <w:tcW w:w="1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282A32"/>
              </w:rPr>
              <w:t>1.9</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(9.1)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(7.2)</w:t>
            </w:r>
          </w:p>
        </w:tc>
        <w:tc>
          <w:tcPr>
            <w:tcW w:w="0" w:type="dxa"/>
            <w:vAlign w:val="bottom"/>
          </w:tcPr>
          <w:p>
            <w:pPr>
              <w:spacing w:after="0"/>
              <w:rPr>
                <w:sz w:val="1"/>
                <w:szCs w:val="1"/>
                <w:color w:val="auto"/>
              </w:rPr>
            </w:pPr>
          </w:p>
        </w:tc>
      </w:tr>
      <w:tr>
        <w:trPr>
          <w:trHeight w:val="279"/>
        </w:trPr>
        <w:tc>
          <w:tcPr>
            <w:tcW w:w="34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Balance, December 31, 2018</w:t>
            </w:r>
          </w:p>
        </w:tc>
        <w:tc>
          <w:tcPr>
            <w:tcW w:w="1220" w:type="dxa"/>
            <w:vAlign w:val="bottom"/>
            <w:tcBorders>
              <w:top w:val="single" w:sz="8" w:color="auto"/>
            </w:tcBorders>
          </w:tcPr>
          <w:p>
            <w:pPr>
              <w:jc w:val="right"/>
              <w:ind w:right="2"/>
              <w:spacing w:after="0"/>
              <w:rPr>
                <w:sz w:val="20"/>
                <w:szCs w:val="20"/>
                <w:color w:val="auto"/>
              </w:rPr>
            </w:pPr>
            <w:r>
              <w:rPr>
                <w:rFonts w:ascii="Arial" w:cs="Arial" w:eastAsia="Arial" w:hAnsi="Arial"/>
                <w:sz w:val="17"/>
                <w:szCs w:val="17"/>
                <w:color w:val="282A32"/>
              </w:rPr>
              <w:t>116,795,899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w:t>
            </w:r>
          </w:p>
        </w:tc>
        <w:tc>
          <w:tcPr>
            <w:tcW w:w="56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282A32"/>
              </w:rPr>
              <w:t>1.2</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w:t>
            </w:r>
          </w:p>
        </w:tc>
        <w:tc>
          <w:tcPr>
            <w:tcW w:w="720" w:type="dxa"/>
            <w:vAlign w:val="bottom"/>
            <w:tcBorders>
              <w:top w:val="single" w:sz="8" w:color="auto"/>
            </w:tcBorders>
          </w:tcPr>
          <w:p>
            <w:pPr>
              <w:jc w:val="right"/>
              <w:ind w:right="22"/>
              <w:spacing w:after="0"/>
              <w:rPr>
                <w:sz w:val="20"/>
                <w:szCs w:val="20"/>
                <w:color w:val="auto"/>
              </w:rPr>
            </w:pPr>
            <w:r>
              <w:rPr>
                <w:rFonts w:ascii="Arial" w:cs="Arial" w:eastAsia="Arial" w:hAnsi="Arial"/>
                <w:sz w:val="17"/>
                <w:szCs w:val="17"/>
                <w:color w:val="282A32"/>
              </w:rPr>
              <w:t>3,337.5</w:t>
            </w:r>
          </w:p>
        </w:tc>
        <w:tc>
          <w:tcPr>
            <w:tcW w:w="2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w:t>
            </w:r>
          </w:p>
        </w:tc>
        <w:tc>
          <w:tcPr>
            <w:tcW w:w="700" w:type="dxa"/>
            <w:vAlign w:val="bottom"/>
            <w:tcBorders>
              <w:top w:val="single" w:sz="8" w:color="auto"/>
            </w:tcBorders>
          </w:tcPr>
          <w:p>
            <w:pPr>
              <w:jc w:val="right"/>
              <w:ind w:right="21"/>
              <w:spacing w:after="0"/>
              <w:rPr>
                <w:sz w:val="20"/>
                <w:szCs w:val="20"/>
                <w:color w:val="auto"/>
              </w:rPr>
            </w:pPr>
            <w:r>
              <w:rPr>
                <w:rFonts w:ascii="Arial" w:cs="Arial" w:eastAsia="Arial" w:hAnsi="Arial"/>
                <w:sz w:val="17"/>
                <w:szCs w:val="17"/>
                <w:color w:val="282A32"/>
              </w:rPr>
              <w:t>3,157.7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(399.8)</w:t>
            </w:r>
          </w:p>
        </w:tc>
        <w:tc>
          <w:tcPr>
            <w:tcW w:w="2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282A3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282A32"/>
              </w:rPr>
              <w:t>(3,471.7)</w:t>
            </w:r>
          </w:p>
        </w:tc>
        <w:tc>
          <w:tcPr>
            <w:tcW w:w="120" w:type="dxa"/>
            <w:vAlign w:val="bottom"/>
          </w:tcPr>
          <w:p>
            <w:pPr>
              <w:spacing w:after="0"/>
              <w:rPr>
                <w:sz w:val="24"/>
                <w:szCs w:val="24"/>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w w:val="84"/>
              </w:rPr>
              <w:t>$</w:t>
            </w:r>
          </w:p>
        </w:tc>
        <w:tc>
          <w:tcPr>
            <w:tcW w:w="700" w:type="dxa"/>
            <w:vAlign w:val="bottom"/>
            <w:tcBorders>
              <w:top w:val="single" w:sz="8" w:color="auto"/>
            </w:tcBorders>
          </w:tcPr>
          <w:p>
            <w:pPr>
              <w:jc w:val="right"/>
              <w:ind w:right="25"/>
              <w:spacing w:after="0"/>
              <w:rPr>
                <w:sz w:val="20"/>
                <w:szCs w:val="20"/>
                <w:color w:val="auto"/>
              </w:rPr>
            </w:pPr>
            <w:r>
              <w:rPr>
                <w:rFonts w:ascii="Arial" w:cs="Arial" w:eastAsia="Arial" w:hAnsi="Arial"/>
                <w:sz w:val="17"/>
                <w:szCs w:val="17"/>
                <w:color w:val="282A32"/>
              </w:rPr>
              <w:t>73.6</w:t>
            </w:r>
          </w:p>
        </w:tc>
        <w:tc>
          <w:tcPr>
            <w:tcW w:w="120" w:type="dxa"/>
            <w:vAlign w:val="bottom"/>
          </w:tcPr>
          <w:p>
            <w:pPr>
              <w:spacing w:after="0"/>
              <w:rPr>
                <w:sz w:val="24"/>
                <w:szCs w:val="24"/>
                <w:color w:val="auto"/>
              </w:rPr>
            </w:pPr>
          </w:p>
        </w:tc>
        <w:tc>
          <w:tcPr>
            <w:tcW w:w="2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w w:val="84"/>
              </w:rPr>
              <w:t>$</w:t>
            </w:r>
          </w:p>
        </w:tc>
        <w:tc>
          <w:tcPr>
            <w:tcW w:w="7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282A32"/>
              </w:rPr>
              <w:t>2,698.5</w:t>
            </w:r>
          </w:p>
        </w:tc>
        <w:tc>
          <w:tcPr>
            <w:tcW w:w="0" w:type="dxa"/>
            <w:vAlign w:val="bottom"/>
          </w:tcPr>
          <w:p>
            <w:pPr>
              <w:spacing w:after="0"/>
              <w:rPr>
                <w:sz w:val="1"/>
                <w:szCs w:val="1"/>
                <w:color w:val="auto"/>
              </w:rPr>
            </w:pPr>
          </w:p>
        </w:tc>
      </w:tr>
      <w:tr>
        <w:trPr>
          <w:trHeight w:val="25"/>
        </w:trPr>
        <w:tc>
          <w:tcPr>
            <w:tcW w:w="6300" w:type="dxa"/>
            <w:vAlign w:val="bottom"/>
            <w:tcBorders>
              <w:bottom w:val="single" w:sz="8" w:color="auto"/>
            </w:tcBorders>
            <w:gridSpan w:val="6"/>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6300" w:type="dxa"/>
            <w:vAlign w:val="bottom"/>
            <w:gridSpan w:val="6"/>
          </w:tcPr>
          <w:p>
            <w:pPr>
              <w:spacing w:after="0"/>
              <w:rPr>
                <w:sz w:val="20"/>
                <w:szCs w:val="20"/>
                <w:color w:val="auto"/>
              </w:rPr>
            </w:pPr>
            <w:r>
              <w:rPr>
                <w:rFonts w:ascii="Arial" w:cs="Arial" w:eastAsia="Arial" w:hAnsi="Arial"/>
                <w:sz w:val="15"/>
                <w:szCs w:val="15"/>
                <w:color w:val="282A32"/>
                <w:w w:val="90"/>
              </w:rPr>
              <w:t>The accompanying Notes to Consolidated Financial Statements are an integral part of these statements.</w:t>
            </w: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3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422"/>
              <w:spacing w:after="0"/>
              <w:rPr>
                <w:sz w:val="20"/>
                <w:szCs w:val="20"/>
                <w:color w:val="auto"/>
              </w:rPr>
            </w:pPr>
            <w:r>
              <w:rPr>
                <w:rFonts w:ascii="Arial" w:cs="Arial" w:eastAsia="Arial" w:hAnsi="Arial"/>
                <w:sz w:val="17"/>
                <w:szCs w:val="17"/>
                <w:color w:val="auto"/>
              </w:rPr>
              <w:t>55</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2"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jc w:val="center"/>
        <w:spacing w:after="0"/>
        <w:rPr>
          <w:sz w:val="20"/>
          <w:szCs w:val="20"/>
          <w:color w:val="auto"/>
        </w:rPr>
      </w:pPr>
      <w:r>
        <w:rPr>
          <w:rFonts w:ascii="Arial" w:cs="Arial" w:eastAsia="Arial" w:hAnsi="Arial"/>
          <w:sz w:val="17"/>
          <w:szCs w:val="17"/>
          <w:b w:val="1"/>
          <w:bCs w:val="1"/>
          <w:i w:val="1"/>
          <w:iCs w:val="1"/>
          <w:color w:val="auto"/>
        </w:rPr>
        <w:t>in millions, except share and per share data</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u w:val="single" w:color="auto"/>
          <w:color w:val="282A32"/>
        </w:rPr>
        <w:t>(1) Summary of Significant Accounting Policies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Nature of Operations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82A32"/>
        </w:rPr>
        <w:t>ManpowerGroup Inc. is a world leader in the innovative workforce solutions and services industry. Our global network of nearly 2,600 offices in 80 countries and territories allows us to meet the needs of our global, multinational and local clients across all major industry segments. Our largest operations, based on revenues, are located in France, the United States, Italy and the United Kingdom.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Use of Estimates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Basis of Consolidation</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282A32"/>
        </w:rPr>
        <w:t>The Consolidated Financial Statements include our operating results and the operating results of all of our majority-owned subsidiaries and entities in which we have a controlling financial interest. We have a controlling financial interest if we own a majority of the outstanding voting common stock and the noncontrolling shareholders do not have substantive participating rights, or we have significant control over an entity through contractual or economic interests in which we are the primary beneficiary. We account for equity investments in companies over which we have the ability to exercise significant influence, but not control, using the equity method of accounting. We recognize our ownership share of earnings of these equity method investments, amortization of basis differences, and related gains or losses in the Consolidated Financial Statements. These investments, as well as certain other relationships, are also evaluated for consolidation under the accounting guidance on consolidation of variable interest entities. These investments were $161.4 and $158.7 as of December 31, 2018 and 2017, respectively, and are included in other assets in the Consolidated Balance Sheets. Included in shareholders’ equity as of December 31, 2018 and 2017 are $105.2 and $103.9, respectively, of unremitted earnings from investments accounted for using the equity method. All significant intercompany accounts and transactions have been eliminated in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Allowance for Doubtful Accounts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Bad debt expense is recorded as selling and administrative expenses in our Consolidated Statements of Operations and was $23.0, $18.1 and $20.4 in 2018, 2017 and 2016,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 Write-offs were $12.0, $17.6 and $16.9 for 2018, 2017 and 2016,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482"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i w:val="1"/>
          <w:iCs w:val="1"/>
          <w:color w:val="282A32"/>
        </w:rPr>
        <w:t>Advertising Costs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282A32"/>
        </w:rPr>
        <w:t>We expense production costs of advertising as they are incurred. Advertising expenses were $27.9, $26.6 and $24.4 in 2018, 2017 and 2016,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Restructuring Costs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We recorded net restructuring costs of $39.3 and $34.5 in 2018 and 2017, respectively, in selling and administrative expenses, primarily related to severances and office closures and consolidations in multiple countries and territories. During 2018 and 2017, we made payments of $37.3 and $25.5, respectively, out of our restructuring reserve. We expect a majority of the remaining $15.5 reserve will be paid by the end of 2019. Changes in the restructuring liability balances for each reportable segment and Corporate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6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60" w:type="dxa"/>
            <w:vAlign w:val="bottom"/>
          </w:tcPr>
          <w:p>
            <w:pPr>
              <w:jc w:val="right"/>
              <w:ind w:right="217"/>
              <w:spacing w:after="0"/>
              <w:rPr>
                <w:sz w:val="20"/>
                <w:szCs w:val="20"/>
                <w:color w:val="auto"/>
              </w:rPr>
            </w:pPr>
            <w:r>
              <w:rPr>
                <w:rFonts w:ascii="Arial" w:cs="Arial" w:eastAsia="Arial" w:hAnsi="Arial"/>
                <w:sz w:val="17"/>
                <w:szCs w:val="17"/>
                <w:color w:val="282A32"/>
              </w:rPr>
              <w:t>Southern</w:t>
            </w:r>
          </w:p>
        </w:tc>
        <w:tc>
          <w:tcPr>
            <w:tcW w:w="1200" w:type="dxa"/>
            <w:vAlign w:val="bottom"/>
          </w:tcPr>
          <w:p>
            <w:pPr>
              <w:jc w:val="right"/>
              <w:ind w:right="277"/>
              <w:spacing w:after="0"/>
              <w:rPr>
                <w:sz w:val="20"/>
                <w:szCs w:val="20"/>
                <w:color w:val="auto"/>
              </w:rPr>
            </w:pPr>
            <w:r>
              <w:rPr>
                <w:rFonts w:ascii="Arial" w:cs="Arial" w:eastAsia="Arial" w:hAnsi="Arial"/>
                <w:sz w:val="17"/>
                <w:szCs w:val="17"/>
                <w:color w:val="282A32"/>
              </w:rPr>
              <w:t>Northern</w:t>
            </w: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8"/>
        </w:trPr>
        <w:tc>
          <w:tcPr>
            <w:tcW w:w="26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17"/>
              <w:spacing w:after="0" w:line="239" w:lineRule="exact"/>
              <w:rPr>
                <w:sz w:val="20"/>
                <w:szCs w:val="20"/>
                <w:color w:val="auto"/>
              </w:rPr>
            </w:pPr>
            <w:r>
              <w:rPr>
                <w:rFonts w:ascii="Arial" w:cs="Arial" w:eastAsia="Arial" w:hAnsi="Arial"/>
                <w:sz w:val="17"/>
                <w:szCs w:val="17"/>
                <w:color w:val="282A32"/>
              </w:rPr>
              <w:t>Americas</w:t>
            </w:r>
            <w:r>
              <w:rPr>
                <w:rFonts w:ascii="Arial" w:cs="Arial" w:eastAsia="Arial" w:hAnsi="Arial"/>
                <w:sz w:val="23"/>
                <w:szCs w:val="23"/>
                <w:color w:val="282A32"/>
                <w:vertAlign w:val="superscript"/>
              </w:rPr>
              <w:t>(1)</w:t>
            </w:r>
          </w:p>
        </w:tc>
        <w:tc>
          <w:tcPr>
            <w:tcW w:w="1160" w:type="dxa"/>
            <w:vAlign w:val="bottom"/>
            <w:tcBorders>
              <w:bottom w:val="single" w:sz="8" w:color="auto"/>
            </w:tcBorders>
          </w:tcPr>
          <w:p>
            <w:pPr>
              <w:jc w:val="right"/>
              <w:ind w:right="217"/>
              <w:spacing w:after="0" w:line="239" w:lineRule="exact"/>
              <w:rPr>
                <w:sz w:val="20"/>
                <w:szCs w:val="20"/>
                <w:color w:val="auto"/>
              </w:rPr>
            </w:pPr>
            <w:r>
              <w:rPr>
                <w:rFonts w:ascii="Arial" w:cs="Arial" w:eastAsia="Arial" w:hAnsi="Arial"/>
                <w:sz w:val="17"/>
                <w:szCs w:val="17"/>
                <w:color w:val="282A32"/>
              </w:rPr>
              <w:t>Europe</w:t>
            </w:r>
            <w:r>
              <w:rPr>
                <w:rFonts w:ascii="Arial" w:cs="Arial" w:eastAsia="Arial" w:hAnsi="Arial"/>
                <w:sz w:val="23"/>
                <w:szCs w:val="23"/>
                <w:color w:val="282A32"/>
                <w:vertAlign w:val="superscript"/>
              </w:rPr>
              <w:t>(2)</w:t>
            </w:r>
          </w:p>
        </w:tc>
        <w:tc>
          <w:tcPr>
            <w:tcW w:w="120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color w:val="282A32"/>
              </w:rPr>
              <w:t>Europe</w:t>
            </w:r>
          </w:p>
        </w:tc>
        <w:tc>
          <w:tcPr>
            <w:tcW w:w="9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282A32"/>
              </w:rPr>
              <w:t>APME</w:t>
            </w:r>
          </w:p>
        </w:tc>
        <w:tc>
          <w:tcPr>
            <w:tcW w:w="160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91"/>
              </w:rPr>
              <w:t>Right Management</w:t>
            </w:r>
          </w:p>
        </w:tc>
        <w:tc>
          <w:tcPr>
            <w:tcW w:w="1260" w:type="dxa"/>
            <w:vAlign w:val="bottom"/>
            <w:tcBorders>
              <w:bottom w:val="single" w:sz="8" w:color="auto"/>
            </w:tcBorders>
          </w:tcPr>
          <w:p>
            <w:pPr>
              <w:jc w:val="right"/>
              <w:ind w:right="317"/>
              <w:spacing w:after="0"/>
              <w:rPr>
                <w:sz w:val="20"/>
                <w:szCs w:val="20"/>
                <w:color w:val="auto"/>
              </w:rPr>
            </w:pPr>
            <w:r>
              <w:rPr>
                <w:rFonts w:ascii="Arial" w:cs="Arial" w:eastAsia="Arial" w:hAnsi="Arial"/>
                <w:sz w:val="17"/>
                <w:szCs w:val="17"/>
                <w:color w:val="282A32"/>
              </w:rPr>
              <w:t>Corporate</w:t>
            </w: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282A32"/>
              </w:rPr>
              <w:t>Total</w:t>
            </w:r>
          </w:p>
        </w:tc>
      </w:tr>
      <w:tr>
        <w:trPr>
          <w:trHeight w:val="222"/>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Balance, January 1, 2017</w:t>
            </w:r>
          </w:p>
        </w:tc>
        <w:tc>
          <w:tcPr>
            <w:tcW w:w="17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$0.4</w:t>
            </w:r>
          </w:p>
        </w:tc>
        <w:tc>
          <w:tcPr>
            <w:tcW w:w="11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$1.3</w:t>
            </w:r>
          </w:p>
        </w:tc>
        <w:tc>
          <w:tcPr>
            <w:tcW w:w="12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$2.6</w:t>
            </w: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$0.1</w:t>
            </w:r>
          </w:p>
        </w:tc>
        <w:tc>
          <w:tcPr>
            <w:tcW w:w="16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$0.1</w:t>
            </w:r>
          </w:p>
        </w:tc>
        <w:tc>
          <w:tcPr>
            <w:tcW w:w="12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282A32"/>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$4.5</w:t>
            </w:r>
          </w:p>
        </w:tc>
      </w:tr>
      <w:tr>
        <w:trPr>
          <w:trHeight w:val="224"/>
        </w:trPr>
        <w:tc>
          <w:tcPr>
            <w:tcW w:w="2640" w:type="dxa"/>
            <w:vAlign w:val="bottom"/>
          </w:tcPr>
          <w:p>
            <w:pPr>
              <w:ind w:left="140"/>
              <w:spacing w:after="0"/>
              <w:rPr>
                <w:sz w:val="20"/>
                <w:szCs w:val="20"/>
                <w:color w:val="auto"/>
              </w:rPr>
            </w:pPr>
            <w:r>
              <w:rPr>
                <w:rFonts w:ascii="Arial" w:cs="Arial" w:eastAsia="Arial" w:hAnsi="Arial"/>
                <w:sz w:val="17"/>
                <w:szCs w:val="17"/>
                <w:color w:val="282A32"/>
              </w:rPr>
              <w:t>Severance costs</w:t>
            </w:r>
          </w:p>
        </w:tc>
        <w:tc>
          <w:tcPr>
            <w:tcW w:w="1760" w:type="dxa"/>
            <w:vAlign w:val="bottom"/>
          </w:tcPr>
          <w:p>
            <w:pPr>
              <w:jc w:val="right"/>
              <w:ind w:right="217"/>
              <w:spacing w:after="0"/>
              <w:rPr>
                <w:sz w:val="20"/>
                <w:szCs w:val="20"/>
                <w:color w:val="auto"/>
              </w:rPr>
            </w:pPr>
            <w:r>
              <w:rPr>
                <w:rFonts w:ascii="Arial" w:cs="Arial" w:eastAsia="Arial" w:hAnsi="Arial"/>
                <w:sz w:val="17"/>
                <w:szCs w:val="17"/>
                <w:color w:val="282A32"/>
              </w:rPr>
              <w:t>5.8</w:t>
            </w:r>
          </w:p>
        </w:tc>
        <w:tc>
          <w:tcPr>
            <w:tcW w:w="1160" w:type="dxa"/>
            <w:vAlign w:val="bottom"/>
          </w:tcPr>
          <w:p>
            <w:pPr>
              <w:jc w:val="right"/>
              <w:ind w:right="217"/>
              <w:spacing w:after="0"/>
              <w:rPr>
                <w:sz w:val="20"/>
                <w:szCs w:val="20"/>
                <w:color w:val="auto"/>
              </w:rPr>
            </w:pPr>
            <w:r>
              <w:rPr>
                <w:rFonts w:ascii="Arial" w:cs="Arial" w:eastAsia="Arial" w:hAnsi="Arial"/>
                <w:sz w:val="17"/>
                <w:szCs w:val="17"/>
                <w:color w:val="282A32"/>
              </w:rPr>
              <w:t>—</w:t>
            </w:r>
          </w:p>
        </w:tc>
        <w:tc>
          <w:tcPr>
            <w:tcW w:w="1200" w:type="dxa"/>
            <w:vAlign w:val="bottom"/>
          </w:tcPr>
          <w:p>
            <w:pPr>
              <w:jc w:val="right"/>
              <w:ind w:right="277"/>
              <w:spacing w:after="0"/>
              <w:rPr>
                <w:sz w:val="20"/>
                <w:szCs w:val="20"/>
                <w:color w:val="auto"/>
              </w:rPr>
            </w:pPr>
            <w:r>
              <w:rPr>
                <w:rFonts w:ascii="Arial" w:cs="Arial" w:eastAsia="Arial" w:hAnsi="Arial"/>
                <w:sz w:val="17"/>
                <w:szCs w:val="17"/>
                <w:color w:val="282A32"/>
              </w:rPr>
              <w:t>15.6</w:t>
            </w:r>
          </w:p>
        </w:tc>
        <w:tc>
          <w:tcPr>
            <w:tcW w:w="900" w:type="dxa"/>
            <w:vAlign w:val="bottom"/>
          </w:tcPr>
          <w:p>
            <w:pPr>
              <w:jc w:val="right"/>
              <w:ind w:right="57"/>
              <w:spacing w:after="0"/>
              <w:rPr>
                <w:sz w:val="20"/>
                <w:szCs w:val="20"/>
                <w:color w:val="auto"/>
              </w:rPr>
            </w:pPr>
            <w:r>
              <w:rPr>
                <w:rFonts w:ascii="Arial" w:cs="Arial" w:eastAsia="Arial" w:hAnsi="Arial"/>
                <w:sz w:val="17"/>
                <w:szCs w:val="17"/>
                <w:color w:val="282A32"/>
              </w:rPr>
              <w:t>0.9</w:t>
            </w:r>
          </w:p>
        </w:tc>
        <w:tc>
          <w:tcPr>
            <w:tcW w:w="1600" w:type="dxa"/>
            <w:vAlign w:val="bottom"/>
          </w:tcPr>
          <w:p>
            <w:pPr>
              <w:jc w:val="right"/>
              <w:ind w:right="177"/>
              <w:spacing w:after="0"/>
              <w:rPr>
                <w:sz w:val="20"/>
                <w:szCs w:val="20"/>
                <w:color w:val="auto"/>
              </w:rPr>
            </w:pPr>
            <w:r>
              <w:rPr>
                <w:rFonts w:ascii="Arial" w:cs="Arial" w:eastAsia="Arial" w:hAnsi="Arial"/>
                <w:sz w:val="17"/>
                <w:szCs w:val="17"/>
                <w:color w:val="282A32"/>
              </w:rPr>
              <w:t>1.4</w:t>
            </w:r>
          </w:p>
        </w:tc>
        <w:tc>
          <w:tcPr>
            <w:tcW w:w="1260" w:type="dxa"/>
            <w:vAlign w:val="bottom"/>
          </w:tcPr>
          <w:p>
            <w:pPr>
              <w:jc w:val="right"/>
              <w:ind w:right="317"/>
              <w:spacing w:after="0"/>
              <w:rPr>
                <w:sz w:val="20"/>
                <w:szCs w:val="20"/>
                <w:color w:val="auto"/>
              </w:rPr>
            </w:pPr>
            <w:r>
              <w:rPr>
                <w:rFonts w:ascii="Arial" w:cs="Arial" w:eastAsia="Arial" w:hAnsi="Arial"/>
                <w:sz w:val="17"/>
                <w:szCs w:val="17"/>
                <w:color w:val="282A32"/>
              </w:rPr>
              <w:t>1.0</w:t>
            </w:r>
          </w:p>
        </w:tc>
        <w:tc>
          <w:tcPr>
            <w:tcW w:w="840" w:type="dxa"/>
            <w:vAlign w:val="bottom"/>
          </w:tcPr>
          <w:p>
            <w:pPr>
              <w:jc w:val="right"/>
              <w:ind w:right="37"/>
              <w:spacing w:after="0"/>
              <w:rPr>
                <w:sz w:val="20"/>
                <w:szCs w:val="20"/>
                <w:color w:val="auto"/>
              </w:rPr>
            </w:pPr>
            <w:r>
              <w:rPr>
                <w:rFonts w:ascii="Arial" w:cs="Arial" w:eastAsia="Arial" w:hAnsi="Arial"/>
                <w:sz w:val="17"/>
                <w:szCs w:val="17"/>
                <w:color w:val="282A32"/>
              </w:rPr>
              <w:t>24.7</w:t>
            </w:r>
          </w:p>
        </w:tc>
      </w:tr>
      <w:tr>
        <w:trPr>
          <w:trHeight w:val="25"/>
        </w:trPr>
        <w:tc>
          <w:tcPr>
            <w:tcW w:w="2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Office closure costs</w:t>
            </w:r>
          </w:p>
        </w:tc>
        <w:tc>
          <w:tcPr>
            <w:tcW w:w="17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0.5</w:t>
            </w:r>
          </w:p>
        </w:tc>
        <w:tc>
          <w:tcPr>
            <w:tcW w:w="11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w:t>
            </w:r>
          </w:p>
        </w:tc>
        <w:tc>
          <w:tcPr>
            <w:tcW w:w="12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8.2</w:t>
            </w: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0.5</w:t>
            </w:r>
          </w:p>
        </w:tc>
        <w:tc>
          <w:tcPr>
            <w:tcW w:w="16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0.6</w:t>
            </w:r>
          </w:p>
        </w:tc>
        <w:tc>
          <w:tcPr>
            <w:tcW w:w="12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282A32"/>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9.8</w:t>
            </w:r>
          </w:p>
        </w:tc>
      </w:tr>
      <w:tr>
        <w:trPr>
          <w:trHeight w:val="224"/>
        </w:trPr>
        <w:tc>
          <w:tcPr>
            <w:tcW w:w="2640" w:type="dxa"/>
            <w:vAlign w:val="bottom"/>
          </w:tcPr>
          <w:p>
            <w:pPr>
              <w:ind w:left="140"/>
              <w:spacing w:after="0"/>
              <w:rPr>
                <w:sz w:val="20"/>
                <w:szCs w:val="20"/>
                <w:color w:val="auto"/>
              </w:rPr>
            </w:pPr>
            <w:r>
              <w:rPr>
                <w:rFonts w:ascii="Arial" w:cs="Arial" w:eastAsia="Arial" w:hAnsi="Arial"/>
                <w:sz w:val="17"/>
                <w:szCs w:val="17"/>
                <w:color w:val="282A32"/>
              </w:rPr>
              <w:t>Costs paid or utilized</w:t>
            </w:r>
          </w:p>
        </w:tc>
        <w:tc>
          <w:tcPr>
            <w:tcW w:w="1760" w:type="dxa"/>
            <w:vAlign w:val="bottom"/>
          </w:tcPr>
          <w:p>
            <w:pPr>
              <w:jc w:val="right"/>
              <w:ind w:right="157"/>
              <w:spacing w:after="0"/>
              <w:rPr>
                <w:sz w:val="20"/>
                <w:szCs w:val="20"/>
                <w:color w:val="auto"/>
              </w:rPr>
            </w:pPr>
            <w:r>
              <w:rPr>
                <w:rFonts w:ascii="Arial" w:cs="Arial" w:eastAsia="Arial" w:hAnsi="Arial"/>
                <w:sz w:val="17"/>
                <w:szCs w:val="17"/>
                <w:color w:val="282A32"/>
              </w:rPr>
              <w:t>(5.0)</w:t>
            </w:r>
          </w:p>
        </w:tc>
        <w:tc>
          <w:tcPr>
            <w:tcW w:w="1160" w:type="dxa"/>
            <w:vAlign w:val="bottom"/>
          </w:tcPr>
          <w:p>
            <w:pPr>
              <w:jc w:val="right"/>
              <w:ind w:right="157"/>
              <w:spacing w:after="0"/>
              <w:rPr>
                <w:sz w:val="20"/>
                <w:szCs w:val="20"/>
                <w:color w:val="auto"/>
              </w:rPr>
            </w:pPr>
            <w:r>
              <w:rPr>
                <w:rFonts w:ascii="Arial" w:cs="Arial" w:eastAsia="Arial" w:hAnsi="Arial"/>
                <w:sz w:val="17"/>
                <w:szCs w:val="17"/>
                <w:color w:val="282A32"/>
              </w:rPr>
              <w:t>(0.4)</w:t>
            </w:r>
          </w:p>
        </w:tc>
        <w:tc>
          <w:tcPr>
            <w:tcW w:w="1200" w:type="dxa"/>
            <w:vAlign w:val="bottom"/>
          </w:tcPr>
          <w:p>
            <w:pPr>
              <w:jc w:val="right"/>
              <w:ind w:right="217"/>
              <w:spacing w:after="0"/>
              <w:rPr>
                <w:sz w:val="20"/>
                <w:szCs w:val="20"/>
                <w:color w:val="auto"/>
              </w:rPr>
            </w:pPr>
            <w:r>
              <w:rPr>
                <w:rFonts w:ascii="Arial" w:cs="Arial" w:eastAsia="Arial" w:hAnsi="Arial"/>
                <w:sz w:val="17"/>
                <w:szCs w:val="17"/>
                <w:color w:val="282A32"/>
              </w:rPr>
              <w:t>(16.8)</w:t>
            </w:r>
          </w:p>
        </w:tc>
        <w:tc>
          <w:tcPr>
            <w:tcW w:w="900" w:type="dxa"/>
            <w:vAlign w:val="bottom"/>
          </w:tcPr>
          <w:p>
            <w:pPr>
              <w:jc w:val="right"/>
              <w:spacing w:after="0"/>
              <w:rPr>
                <w:sz w:val="20"/>
                <w:szCs w:val="20"/>
                <w:color w:val="auto"/>
              </w:rPr>
            </w:pPr>
            <w:r>
              <w:rPr>
                <w:rFonts w:ascii="Arial" w:cs="Arial" w:eastAsia="Arial" w:hAnsi="Arial"/>
                <w:sz w:val="17"/>
                <w:szCs w:val="17"/>
                <w:color w:val="282A32"/>
              </w:rPr>
              <w:t>(1.5)</w:t>
            </w:r>
          </w:p>
        </w:tc>
        <w:tc>
          <w:tcPr>
            <w:tcW w:w="1600" w:type="dxa"/>
            <w:vAlign w:val="bottom"/>
          </w:tcPr>
          <w:p>
            <w:pPr>
              <w:jc w:val="right"/>
              <w:ind w:right="117"/>
              <w:spacing w:after="0"/>
              <w:rPr>
                <w:sz w:val="20"/>
                <w:szCs w:val="20"/>
                <w:color w:val="auto"/>
              </w:rPr>
            </w:pPr>
            <w:r>
              <w:rPr>
                <w:rFonts w:ascii="Arial" w:cs="Arial" w:eastAsia="Arial" w:hAnsi="Arial"/>
                <w:sz w:val="17"/>
                <w:szCs w:val="17"/>
                <w:color w:val="282A32"/>
              </w:rPr>
              <w:t>(0.9)</w:t>
            </w:r>
          </w:p>
        </w:tc>
        <w:tc>
          <w:tcPr>
            <w:tcW w:w="1260" w:type="dxa"/>
            <w:vAlign w:val="bottom"/>
          </w:tcPr>
          <w:p>
            <w:pPr>
              <w:jc w:val="right"/>
              <w:ind w:right="257"/>
              <w:spacing w:after="0"/>
              <w:rPr>
                <w:sz w:val="20"/>
                <w:szCs w:val="20"/>
                <w:color w:val="auto"/>
              </w:rPr>
            </w:pPr>
            <w:r>
              <w:rPr>
                <w:rFonts w:ascii="Arial" w:cs="Arial" w:eastAsia="Arial" w:hAnsi="Arial"/>
                <w:sz w:val="17"/>
                <w:szCs w:val="17"/>
                <w:color w:val="282A32"/>
              </w:rPr>
              <w:t>(0.9)</w:t>
            </w:r>
          </w:p>
        </w:tc>
        <w:tc>
          <w:tcPr>
            <w:tcW w:w="840" w:type="dxa"/>
            <w:vAlign w:val="bottom"/>
          </w:tcPr>
          <w:p>
            <w:pPr>
              <w:jc w:val="right"/>
              <w:spacing w:after="0"/>
              <w:rPr>
                <w:sz w:val="20"/>
                <w:szCs w:val="20"/>
                <w:color w:val="auto"/>
              </w:rPr>
            </w:pPr>
            <w:r>
              <w:rPr>
                <w:rFonts w:ascii="Arial" w:cs="Arial" w:eastAsia="Arial" w:hAnsi="Arial"/>
                <w:sz w:val="17"/>
                <w:szCs w:val="17"/>
                <w:color w:val="282A32"/>
              </w:rPr>
              <w:t>(25.5)</w:t>
            </w:r>
          </w:p>
        </w:tc>
      </w:tr>
      <w:tr>
        <w:trPr>
          <w:trHeight w:val="25"/>
        </w:trPr>
        <w:tc>
          <w:tcPr>
            <w:tcW w:w="2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7"/>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Balance, December 31, 2017</w:t>
            </w:r>
          </w:p>
        </w:tc>
        <w:tc>
          <w:tcPr>
            <w:tcW w:w="17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1.7</w:t>
            </w:r>
          </w:p>
        </w:tc>
        <w:tc>
          <w:tcPr>
            <w:tcW w:w="11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0.9</w:t>
            </w:r>
          </w:p>
        </w:tc>
        <w:tc>
          <w:tcPr>
            <w:tcW w:w="12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9.6</w:t>
            </w: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w:t>
            </w:r>
          </w:p>
        </w:tc>
        <w:tc>
          <w:tcPr>
            <w:tcW w:w="16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1.2</w:t>
            </w:r>
          </w:p>
        </w:tc>
        <w:tc>
          <w:tcPr>
            <w:tcW w:w="12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282A32"/>
              </w:rPr>
              <w:t>0.1</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13.5</w:t>
            </w:r>
          </w:p>
        </w:tc>
      </w:tr>
      <w:tr>
        <w:trPr>
          <w:trHeight w:val="217"/>
        </w:trPr>
        <w:tc>
          <w:tcPr>
            <w:tcW w:w="264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282A32"/>
              </w:rPr>
              <w:t>Severance costs</w:t>
            </w:r>
          </w:p>
        </w:tc>
        <w:tc>
          <w:tcPr>
            <w:tcW w:w="176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0.3</w:t>
            </w:r>
          </w:p>
        </w:tc>
        <w:tc>
          <w:tcPr>
            <w:tcW w:w="116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5.4</w:t>
            </w:r>
          </w:p>
        </w:tc>
        <w:tc>
          <w:tcPr>
            <w:tcW w:w="120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282A32"/>
              </w:rPr>
              <w:t>25.8</w:t>
            </w:r>
          </w:p>
        </w:tc>
        <w:tc>
          <w:tcPr>
            <w:tcW w:w="90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282A32"/>
              </w:rPr>
              <w:t>—</w:t>
            </w:r>
          </w:p>
        </w:tc>
        <w:tc>
          <w:tcPr>
            <w:tcW w:w="160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282A32"/>
              </w:rPr>
              <w:t>0.3</w:t>
            </w:r>
          </w:p>
        </w:tc>
        <w:tc>
          <w:tcPr>
            <w:tcW w:w="1260" w:type="dxa"/>
            <w:vAlign w:val="bottom"/>
            <w:tcBorders>
              <w:top w:val="single" w:sz="8" w:color="auto"/>
            </w:tcBorders>
          </w:tcPr>
          <w:p>
            <w:pPr>
              <w:jc w:val="right"/>
              <w:ind w:right="317"/>
              <w:spacing w:after="0"/>
              <w:rPr>
                <w:sz w:val="20"/>
                <w:szCs w:val="20"/>
                <w:color w:val="auto"/>
              </w:rPr>
            </w:pPr>
            <w:r>
              <w:rPr>
                <w:rFonts w:ascii="Arial" w:cs="Arial" w:eastAsia="Arial" w:hAnsi="Arial"/>
                <w:sz w:val="17"/>
                <w:szCs w:val="17"/>
                <w:color w:val="282A32"/>
              </w:rPr>
              <w:t>—</w:t>
            </w:r>
          </w:p>
        </w:tc>
        <w:tc>
          <w:tcPr>
            <w:tcW w:w="8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282A32"/>
              </w:rPr>
              <w:t>31.8</w:t>
            </w:r>
          </w:p>
        </w:tc>
      </w:tr>
      <w:tr>
        <w:trPr>
          <w:trHeight w:val="25"/>
        </w:trPr>
        <w:tc>
          <w:tcPr>
            <w:tcW w:w="2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Office closure costs</w:t>
            </w:r>
          </w:p>
        </w:tc>
        <w:tc>
          <w:tcPr>
            <w:tcW w:w="17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w:t>
            </w:r>
          </w:p>
        </w:tc>
        <w:tc>
          <w:tcPr>
            <w:tcW w:w="11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w:t>
            </w:r>
          </w:p>
        </w:tc>
        <w:tc>
          <w:tcPr>
            <w:tcW w:w="12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7.5</w:t>
            </w: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w:t>
            </w:r>
          </w:p>
        </w:tc>
        <w:tc>
          <w:tcPr>
            <w:tcW w:w="16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w:t>
            </w:r>
          </w:p>
        </w:tc>
        <w:tc>
          <w:tcPr>
            <w:tcW w:w="12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282A32"/>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7.5</w:t>
            </w:r>
          </w:p>
        </w:tc>
      </w:tr>
      <w:tr>
        <w:trPr>
          <w:trHeight w:val="224"/>
        </w:trPr>
        <w:tc>
          <w:tcPr>
            <w:tcW w:w="2640" w:type="dxa"/>
            <w:vAlign w:val="bottom"/>
          </w:tcPr>
          <w:p>
            <w:pPr>
              <w:ind w:left="140"/>
              <w:spacing w:after="0"/>
              <w:rPr>
                <w:sz w:val="20"/>
                <w:szCs w:val="20"/>
                <w:color w:val="auto"/>
              </w:rPr>
            </w:pPr>
            <w:r>
              <w:rPr>
                <w:rFonts w:ascii="Arial" w:cs="Arial" w:eastAsia="Arial" w:hAnsi="Arial"/>
                <w:sz w:val="17"/>
                <w:szCs w:val="17"/>
                <w:color w:val="282A32"/>
              </w:rPr>
              <w:t>Costs paid or utilized</w:t>
            </w:r>
          </w:p>
        </w:tc>
        <w:tc>
          <w:tcPr>
            <w:tcW w:w="1760" w:type="dxa"/>
            <w:vAlign w:val="bottom"/>
          </w:tcPr>
          <w:p>
            <w:pPr>
              <w:jc w:val="right"/>
              <w:ind w:right="157"/>
              <w:spacing w:after="0"/>
              <w:rPr>
                <w:sz w:val="20"/>
                <w:szCs w:val="20"/>
                <w:color w:val="auto"/>
              </w:rPr>
            </w:pPr>
            <w:r>
              <w:rPr>
                <w:rFonts w:ascii="Arial" w:cs="Arial" w:eastAsia="Arial" w:hAnsi="Arial"/>
                <w:sz w:val="17"/>
                <w:szCs w:val="17"/>
                <w:color w:val="282A32"/>
              </w:rPr>
              <w:t>(1.7)</w:t>
            </w:r>
          </w:p>
        </w:tc>
        <w:tc>
          <w:tcPr>
            <w:tcW w:w="1160" w:type="dxa"/>
            <w:vAlign w:val="bottom"/>
          </w:tcPr>
          <w:p>
            <w:pPr>
              <w:jc w:val="right"/>
              <w:ind w:right="157"/>
              <w:spacing w:after="0"/>
              <w:rPr>
                <w:sz w:val="20"/>
                <w:szCs w:val="20"/>
                <w:color w:val="auto"/>
              </w:rPr>
            </w:pPr>
            <w:r>
              <w:rPr>
                <w:rFonts w:ascii="Arial" w:cs="Arial" w:eastAsia="Arial" w:hAnsi="Arial"/>
                <w:sz w:val="17"/>
                <w:szCs w:val="17"/>
                <w:color w:val="282A32"/>
              </w:rPr>
              <w:t>(4.6)</w:t>
            </w:r>
          </w:p>
        </w:tc>
        <w:tc>
          <w:tcPr>
            <w:tcW w:w="1200" w:type="dxa"/>
            <w:vAlign w:val="bottom"/>
          </w:tcPr>
          <w:p>
            <w:pPr>
              <w:jc w:val="right"/>
              <w:ind w:right="217"/>
              <w:spacing w:after="0"/>
              <w:rPr>
                <w:sz w:val="20"/>
                <w:szCs w:val="20"/>
                <w:color w:val="auto"/>
              </w:rPr>
            </w:pPr>
            <w:r>
              <w:rPr>
                <w:rFonts w:ascii="Arial" w:cs="Arial" w:eastAsia="Arial" w:hAnsi="Arial"/>
                <w:sz w:val="17"/>
                <w:szCs w:val="17"/>
                <w:color w:val="282A32"/>
              </w:rPr>
              <w:t>(29.8)</w:t>
            </w:r>
          </w:p>
        </w:tc>
        <w:tc>
          <w:tcPr>
            <w:tcW w:w="900" w:type="dxa"/>
            <w:vAlign w:val="bottom"/>
          </w:tcPr>
          <w:p>
            <w:pPr>
              <w:jc w:val="right"/>
              <w:ind w:right="57"/>
              <w:spacing w:after="0"/>
              <w:rPr>
                <w:sz w:val="20"/>
                <w:szCs w:val="20"/>
                <w:color w:val="auto"/>
              </w:rPr>
            </w:pPr>
            <w:r>
              <w:rPr>
                <w:rFonts w:ascii="Arial" w:cs="Arial" w:eastAsia="Arial" w:hAnsi="Arial"/>
                <w:sz w:val="17"/>
                <w:szCs w:val="17"/>
                <w:color w:val="282A32"/>
              </w:rPr>
              <w:t>—</w:t>
            </w:r>
          </w:p>
        </w:tc>
        <w:tc>
          <w:tcPr>
            <w:tcW w:w="1600" w:type="dxa"/>
            <w:vAlign w:val="bottom"/>
          </w:tcPr>
          <w:p>
            <w:pPr>
              <w:jc w:val="right"/>
              <w:ind w:right="117"/>
              <w:spacing w:after="0"/>
              <w:rPr>
                <w:sz w:val="20"/>
                <w:szCs w:val="20"/>
                <w:color w:val="auto"/>
              </w:rPr>
            </w:pPr>
            <w:r>
              <w:rPr>
                <w:rFonts w:ascii="Arial" w:cs="Arial" w:eastAsia="Arial" w:hAnsi="Arial"/>
                <w:sz w:val="17"/>
                <w:szCs w:val="17"/>
                <w:color w:val="282A32"/>
              </w:rPr>
              <w:t>(1.1)</w:t>
            </w:r>
          </w:p>
        </w:tc>
        <w:tc>
          <w:tcPr>
            <w:tcW w:w="1260" w:type="dxa"/>
            <w:vAlign w:val="bottom"/>
          </w:tcPr>
          <w:p>
            <w:pPr>
              <w:jc w:val="right"/>
              <w:ind w:right="257"/>
              <w:spacing w:after="0"/>
              <w:rPr>
                <w:sz w:val="20"/>
                <w:szCs w:val="20"/>
                <w:color w:val="auto"/>
              </w:rPr>
            </w:pPr>
            <w:r>
              <w:rPr>
                <w:rFonts w:ascii="Arial" w:cs="Arial" w:eastAsia="Arial" w:hAnsi="Arial"/>
                <w:sz w:val="17"/>
                <w:szCs w:val="17"/>
                <w:color w:val="282A32"/>
              </w:rPr>
              <w:t>(0.1)</w:t>
            </w:r>
          </w:p>
        </w:tc>
        <w:tc>
          <w:tcPr>
            <w:tcW w:w="840" w:type="dxa"/>
            <w:vAlign w:val="bottom"/>
          </w:tcPr>
          <w:p>
            <w:pPr>
              <w:jc w:val="right"/>
              <w:spacing w:after="0"/>
              <w:rPr>
                <w:sz w:val="20"/>
                <w:szCs w:val="20"/>
                <w:color w:val="auto"/>
              </w:rPr>
            </w:pPr>
            <w:r>
              <w:rPr>
                <w:rFonts w:ascii="Arial" w:cs="Arial" w:eastAsia="Arial" w:hAnsi="Arial"/>
                <w:sz w:val="17"/>
                <w:szCs w:val="17"/>
                <w:color w:val="282A32"/>
              </w:rPr>
              <w:t>(37.3)</w:t>
            </w:r>
          </w:p>
        </w:tc>
      </w:tr>
      <w:tr>
        <w:trPr>
          <w:trHeight w:val="25"/>
        </w:trPr>
        <w:tc>
          <w:tcPr>
            <w:tcW w:w="26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Balance, December 31, 2018</w:t>
            </w:r>
          </w:p>
        </w:tc>
        <w:tc>
          <w:tcPr>
            <w:tcW w:w="17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$0.3</w:t>
            </w:r>
          </w:p>
        </w:tc>
        <w:tc>
          <w:tcPr>
            <w:tcW w:w="11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$1.7</w:t>
            </w:r>
          </w:p>
        </w:tc>
        <w:tc>
          <w:tcPr>
            <w:tcW w:w="12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282A32"/>
              </w:rPr>
              <w:t>$13.1</w:t>
            </w:r>
          </w:p>
        </w:tc>
        <w:tc>
          <w:tcPr>
            <w:tcW w:w="9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282A32"/>
              </w:rPr>
              <w:t>$—</w:t>
            </w:r>
          </w:p>
        </w:tc>
        <w:tc>
          <w:tcPr>
            <w:tcW w:w="16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$0.4</w:t>
            </w:r>
          </w:p>
        </w:tc>
        <w:tc>
          <w:tcPr>
            <w:tcW w:w="12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282A32"/>
              </w:rPr>
              <w:t>$—</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$15.5</w:t>
            </w:r>
          </w:p>
        </w:tc>
      </w:tr>
      <w:tr>
        <w:trPr>
          <w:trHeight w:val="20"/>
        </w:trPr>
        <w:tc>
          <w:tcPr>
            <w:tcW w:w="26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42" w:lineRule="exact"/>
        <w:rPr>
          <w:sz w:val="20"/>
          <w:szCs w:val="20"/>
          <w:color w:val="auto"/>
        </w:rPr>
      </w:pPr>
    </w:p>
    <w:p>
      <w:pPr>
        <w:spacing w:after="0" w:line="266" w:lineRule="auto"/>
        <w:tabs>
          <w:tab w:leader="none" w:pos="214" w:val="left"/>
        </w:tabs>
        <w:numPr>
          <w:ilvl w:val="0"/>
          <w:numId w:val="30"/>
        </w:numPr>
        <w:rPr>
          <w:rFonts w:ascii="Arial" w:cs="Arial" w:eastAsia="Arial" w:hAnsi="Arial"/>
          <w:sz w:val="15"/>
          <w:szCs w:val="15"/>
          <w:color w:val="282A32"/>
        </w:rPr>
      </w:pPr>
      <w:r>
        <w:rPr>
          <w:rFonts w:ascii="Arial" w:cs="Arial" w:eastAsia="Arial" w:hAnsi="Arial"/>
          <w:sz w:val="15"/>
          <w:szCs w:val="15"/>
          <w:color w:val="282A32"/>
        </w:rPr>
        <w:t>Balance related to United States was $0.4 as of January 1, 2017. In 2017, United States incurred $3.7 for severance costs and $0.5 for office closure costs and paid/utilized $3.1, leaving a $1.5 liability as of December 31, 2017. In 2018, United States paid/utilized $1.2, leaving a $0.3 liability as of December 31, 2018.</w:t>
      </w:r>
    </w:p>
    <w:p>
      <w:pPr>
        <w:spacing w:after="0" w:line="66" w:lineRule="exact"/>
        <w:rPr>
          <w:rFonts w:ascii="Arial" w:cs="Arial" w:eastAsia="Arial" w:hAnsi="Arial"/>
          <w:sz w:val="15"/>
          <w:szCs w:val="15"/>
          <w:color w:val="282A32"/>
        </w:rPr>
      </w:pPr>
    </w:p>
    <w:p>
      <w:pPr>
        <w:spacing w:after="0" w:line="343" w:lineRule="auto"/>
        <w:tabs>
          <w:tab w:leader="none" w:pos="220" w:val="left"/>
        </w:tabs>
        <w:numPr>
          <w:ilvl w:val="0"/>
          <w:numId w:val="30"/>
        </w:numPr>
        <w:rPr>
          <w:rFonts w:ascii="Arial" w:cs="Arial" w:eastAsia="Arial" w:hAnsi="Arial"/>
          <w:sz w:val="13"/>
          <w:szCs w:val="13"/>
          <w:color w:val="282A32"/>
        </w:rPr>
      </w:pPr>
      <w:r>
        <w:rPr>
          <w:rFonts w:ascii="Arial" w:cs="Arial" w:eastAsia="Arial" w:hAnsi="Arial"/>
          <w:sz w:val="13"/>
          <w:szCs w:val="13"/>
          <w:color w:val="282A32"/>
        </w:rPr>
        <w:t>Balance related to France was $1.3 as of January 1, 2017. In 2017, France paid/utilized $0.4, leaving a $0.9 liability as of both December 31, 2017 and 2018. Italy had no restructuring reserves recorded as of either January 1, 2017 or December 31, 2017. In 2018, Italy incurred $1.9 for severance costs and paid/utilized $1.4, leaving a $0.5 liability as of December 31, 2018.</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Income Taxes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82A32"/>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to reduce the assets to the amounts more likely than not to be realized.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351" w:right="239" w:bottom="1440" w:gutter="0" w:footer="0" w:header="0"/>
        </w:sectPr>
      </w:pPr>
    </w:p>
    <w:bookmarkStart w:id="57" w:name="page58"/>
    <w:bookmarkEnd w:id="57"/>
    <w:p>
      <w:pPr>
        <w:spacing w:after="0"/>
        <w:rPr>
          <w:sz w:val="20"/>
          <w:szCs w:val="20"/>
          <w:color w:val="auto"/>
        </w:rPr>
      </w:pPr>
      <w:r>
        <w:rPr>
          <w:rFonts w:ascii="Arial" w:cs="Arial" w:eastAsia="Arial" w:hAnsi="Arial"/>
          <w:sz w:val="17"/>
          <w:szCs w:val="17"/>
          <w:i w:val="1"/>
          <w:iCs w:val="1"/>
          <w:color w:val="282A32"/>
        </w:rPr>
        <w:t>Fair Value Measurements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The assets and liabilities measured and recorded at fair value on a recurring basis were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80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2"/>
                <w:szCs w:val="12"/>
                <w:color w:val="282A32"/>
              </w:rPr>
              <w:t>Fair Value Measurements Using</w:t>
            </w:r>
          </w:p>
        </w:tc>
      </w:tr>
      <w:tr>
        <w:trPr>
          <w:trHeight w:val="136"/>
        </w:trPr>
        <w:tc>
          <w:tcPr>
            <w:tcW w:w="2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jc w:val="right"/>
              <w:ind w:right="111"/>
              <w:spacing w:after="0" w:line="136" w:lineRule="exact"/>
              <w:rPr>
                <w:sz w:val="20"/>
                <w:szCs w:val="20"/>
                <w:color w:val="auto"/>
              </w:rPr>
            </w:pPr>
            <w:r>
              <w:rPr>
                <w:rFonts w:ascii="Arial" w:cs="Arial" w:eastAsia="Arial" w:hAnsi="Arial"/>
                <w:sz w:val="12"/>
                <w:szCs w:val="12"/>
                <w:color w:val="282A32"/>
                <w:w w:val="99"/>
              </w:rPr>
              <w:t>Quoted Prices in</w:t>
            </w:r>
          </w:p>
        </w:tc>
        <w:tc>
          <w:tcPr>
            <w:tcW w:w="9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25"/>
        </w:trPr>
        <w:tc>
          <w:tcPr>
            <w:tcW w:w="2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jc w:val="right"/>
              <w:ind w:right="111"/>
              <w:spacing w:after="0" w:line="125" w:lineRule="exact"/>
              <w:rPr>
                <w:sz w:val="20"/>
                <w:szCs w:val="20"/>
                <w:color w:val="auto"/>
              </w:rPr>
            </w:pPr>
            <w:r>
              <w:rPr>
                <w:rFonts w:ascii="Arial" w:cs="Arial" w:eastAsia="Arial" w:hAnsi="Arial"/>
                <w:sz w:val="12"/>
                <w:szCs w:val="12"/>
                <w:color w:val="282A32"/>
              </w:rPr>
              <w:t>Active Markets</w:t>
            </w:r>
          </w:p>
        </w:tc>
        <w:tc>
          <w:tcPr>
            <w:tcW w:w="940" w:type="dxa"/>
            <w:vAlign w:val="bottom"/>
          </w:tcPr>
          <w:p>
            <w:pPr>
              <w:jc w:val="right"/>
              <w:ind w:right="171"/>
              <w:spacing w:after="0" w:line="125" w:lineRule="exact"/>
              <w:rPr>
                <w:sz w:val="20"/>
                <w:szCs w:val="20"/>
                <w:color w:val="auto"/>
              </w:rPr>
            </w:pPr>
            <w:r>
              <w:rPr>
                <w:rFonts w:ascii="Arial" w:cs="Arial" w:eastAsia="Arial" w:hAnsi="Arial"/>
                <w:sz w:val="12"/>
                <w:szCs w:val="12"/>
                <w:color w:val="282A32"/>
              </w:rPr>
              <w:t>Significant</w:t>
            </w:r>
          </w:p>
        </w:tc>
        <w:tc>
          <w:tcPr>
            <w:tcW w:w="1000" w:type="dxa"/>
            <w:vAlign w:val="bottom"/>
          </w:tcPr>
          <w:p>
            <w:pPr>
              <w:spacing w:after="0"/>
              <w:rPr>
                <w:sz w:val="10"/>
                <w:szCs w:val="10"/>
                <w:color w:val="auto"/>
              </w:rPr>
            </w:pPr>
          </w:p>
        </w:tc>
      </w:tr>
      <w:tr>
        <w:trPr>
          <w:trHeight w:val="125"/>
        </w:trPr>
        <w:tc>
          <w:tcPr>
            <w:tcW w:w="2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jc w:val="right"/>
              <w:ind w:right="111"/>
              <w:spacing w:after="0" w:line="125" w:lineRule="exact"/>
              <w:rPr>
                <w:sz w:val="20"/>
                <w:szCs w:val="20"/>
                <w:color w:val="auto"/>
              </w:rPr>
            </w:pPr>
            <w:r>
              <w:rPr>
                <w:rFonts w:ascii="Arial" w:cs="Arial" w:eastAsia="Arial" w:hAnsi="Arial"/>
                <w:sz w:val="12"/>
                <w:szCs w:val="12"/>
                <w:color w:val="282A32"/>
              </w:rPr>
              <w:t>for</w:t>
            </w:r>
          </w:p>
        </w:tc>
        <w:tc>
          <w:tcPr>
            <w:tcW w:w="940" w:type="dxa"/>
            <w:vAlign w:val="bottom"/>
          </w:tcPr>
          <w:p>
            <w:pPr>
              <w:jc w:val="right"/>
              <w:ind w:right="171"/>
              <w:spacing w:after="0" w:line="125" w:lineRule="exact"/>
              <w:rPr>
                <w:sz w:val="20"/>
                <w:szCs w:val="20"/>
                <w:color w:val="auto"/>
              </w:rPr>
            </w:pPr>
            <w:r>
              <w:rPr>
                <w:rFonts w:ascii="Arial" w:cs="Arial" w:eastAsia="Arial" w:hAnsi="Arial"/>
                <w:sz w:val="12"/>
                <w:szCs w:val="12"/>
                <w:color w:val="282A32"/>
              </w:rPr>
              <w:t>Other</w:t>
            </w:r>
          </w:p>
        </w:tc>
        <w:tc>
          <w:tcPr>
            <w:tcW w:w="1000" w:type="dxa"/>
            <w:vAlign w:val="bottom"/>
          </w:tcPr>
          <w:p>
            <w:pPr>
              <w:jc w:val="right"/>
              <w:ind w:right="48"/>
              <w:spacing w:after="0" w:line="125" w:lineRule="exact"/>
              <w:rPr>
                <w:sz w:val="20"/>
                <w:szCs w:val="20"/>
                <w:color w:val="auto"/>
              </w:rPr>
            </w:pPr>
            <w:r>
              <w:rPr>
                <w:rFonts w:ascii="Arial" w:cs="Arial" w:eastAsia="Arial" w:hAnsi="Arial"/>
                <w:sz w:val="12"/>
                <w:szCs w:val="12"/>
                <w:color w:val="282A32"/>
              </w:rPr>
              <w:t>Significant</w:t>
            </w:r>
          </w:p>
        </w:tc>
      </w:tr>
      <w:tr>
        <w:trPr>
          <w:trHeight w:val="125"/>
        </w:trPr>
        <w:tc>
          <w:tcPr>
            <w:tcW w:w="2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jc w:val="right"/>
              <w:ind w:right="111"/>
              <w:spacing w:after="0" w:line="125" w:lineRule="exact"/>
              <w:rPr>
                <w:sz w:val="20"/>
                <w:szCs w:val="20"/>
                <w:color w:val="auto"/>
              </w:rPr>
            </w:pPr>
            <w:r>
              <w:rPr>
                <w:rFonts w:ascii="Arial" w:cs="Arial" w:eastAsia="Arial" w:hAnsi="Arial"/>
                <w:sz w:val="12"/>
                <w:szCs w:val="12"/>
                <w:color w:val="282A32"/>
              </w:rPr>
              <w:t>Identical</w:t>
            </w:r>
          </w:p>
        </w:tc>
        <w:tc>
          <w:tcPr>
            <w:tcW w:w="940" w:type="dxa"/>
            <w:vAlign w:val="bottom"/>
          </w:tcPr>
          <w:p>
            <w:pPr>
              <w:jc w:val="right"/>
              <w:ind w:right="171"/>
              <w:spacing w:after="0" w:line="125" w:lineRule="exact"/>
              <w:rPr>
                <w:sz w:val="20"/>
                <w:szCs w:val="20"/>
                <w:color w:val="auto"/>
              </w:rPr>
            </w:pPr>
            <w:r>
              <w:rPr>
                <w:rFonts w:ascii="Arial" w:cs="Arial" w:eastAsia="Arial" w:hAnsi="Arial"/>
                <w:sz w:val="12"/>
                <w:szCs w:val="12"/>
                <w:color w:val="282A32"/>
              </w:rPr>
              <w:t>Observable</w:t>
            </w:r>
          </w:p>
        </w:tc>
        <w:tc>
          <w:tcPr>
            <w:tcW w:w="1000" w:type="dxa"/>
            <w:vAlign w:val="bottom"/>
          </w:tcPr>
          <w:p>
            <w:pPr>
              <w:jc w:val="right"/>
              <w:ind w:right="48"/>
              <w:spacing w:after="0" w:line="125" w:lineRule="exact"/>
              <w:rPr>
                <w:sz w:val="20"/>
                <w:szCs w:val="20"/>
                <w:color w:val="auto"/>
              </w:rPr>
            </w:pPr>
            <w:r>
              <w:rPr>
                <w:rFonts w:ascii="Arial" w:cs="Arial" w:eastAsia="Arial" w:hAnsi="Arial"/>
                <w:sz w:val="12"/>
                <w:szCs w:val="12"/>
                <w:color w:val="282A32"/>
              </w:rPr>
              <w:t>Unobservable</w:t>
            </w:r>
          </w:p>
        </w:tc>
      </w:tr>
      <w:tr>
        <w:trPr>
          <w:trHeight w:val="125"/>
        </w:trPr>
        <w:tc>
          <w:tcPr>
            <w:tcW w:w="2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jc w:val="right"/>
              <w:ind w:right="111"/>
              <w:spacing w:after="0" w:line="125" w:lineRule="exact"/>
              <w:rPr>
                <w:sz w:val="20"/>
                <w:szCs w:val="20"/>
                <w:color w:val="auto"/>
              </w:rPr>
            </w:pPr>
            <w:r>
              <w:rPr>
                <w:rFonts w:ascii="Arial" w:cs="Arial" w:eastAsia="Arial" w:hAnsi="Arial"/>
                <w:sz w:val="12"/>
                <w:szCs w:val="12"/>
                <w:color w:val="282A32"/>
              </w:rPr>
              <w:t>Assets</w:t>
            </w:r>
          </w:p>
        </w:tc>
        <w:tc>
          <w:tcPr>
            <w:tcW w:w="940" w:type="dxa"/>
            <w:vAlign w:val="bottom"/>
          </w:tcPr>
          <w:p>
            <w:pPr>
              <w:jc w:val="right"/>
              <w:ind w:right="171"/>
              <w:spacing w:after="0" w:line="125" w:lineRule="exact"/>
              <w:rPr>
                <w:sz w:val="20"/>
                <w:szCs w:val="20"/>
                <w:color w:val="auto"/>
              </w:rPr>
            </w:pPr>
            <w:r>
              <w:rPr>
                <w:rFonts w:ascii="Arial" w:cs="Arial" w:eastAsia="Arial" w:hAnsi="Arial"/>
                <w:sz w:val="12"/>
                <w:szCs w:val="12"/>
                <w:color w:val="282A32"/>
              </w:rPr>
              <w:t>Inputs</w:t>
            </w:r>
          </w:p>
        </w:tc>
        <w:tc>
          <w:tcPr>
            <w:tcW w:w="1000" w:type="dxa"/>
            <w:vAlign w:val="bottom"/>
          </w:tcPr>
          <w:p>
            <w:pPr>
              <w:jc w:val="right"/>
              <w:ind w:right="48"/>
              <w:spacing w:after="0" w:line="125" w:lineRule="exact"/>
              <w:rPr>
                <w:sz w:val="20"/>
                <w:szCs w:val="20"/>
                <w:color w:val="auto"/>
              </w:rPr>
            </w:pPr>
            <w:r>
              <w:rPr>
                <w:rFonts w:ascii="Arial" w:cs="Arial" w:eastAsia="Arial" w:hAnsi="Arial"/>
                <w:sz w:val="12"/>
                <w:szCs w:val="12"/>
                <w:color w:val="282A32"/>
              </w:rPr>
              <w:t>Inputs</w:t>
            </w:r>
          </w:p>
        </w:tc>
      </w:tr>
      <w:tr>
        <w:trPr>
          <w:trHeight w:val="156"/>
        </w:trPr>
        <w:tc>
          <w:tcPr>
            <w:tcW w:w="28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color w:val="282A32"/>
                <w:w w:val="92"/>
              </w:rPr>
              <w:t>December 31, 2018</w:t>
            </w: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color w:val="282A32"/>
              </w:rPr>
              <w:t>(Level 1)</w:t>
            </w:r>
          </w:p>
        </w:tc>
        <w:tc>
          <w:tcPr>
            <w:tcW w:w="940" w:type="dxa"/>
            <w:vAlign w:val="bottom"/>
            <w:tcBorders>
              <w:bottom w:val="single" w:sz="8" w:color="auto"/>
            </w:tcBorders>
          </w:tcPr>
          <w:p>
            <w:pPr>
              <w:jc w:val="right"/>
              <w:ind w:right="171"/>
              <w:spacing w:after="0"/>
              <w:rPr>
                <w:sz w:val="20"/>
                <w:szCs w:val="20"/>
                <w:color w:val="auto"/>
              </w:rPr>
            </w:pPr>
            <w:r>
              <w:rPr>
                <w:rFonts w:ascii="Arial" w:cs="Arial" w:eastAsia="Arial" w:hAnsi="Arial"/>
                <w:sz w:val="12"/>
                <w:szCs w:val="12"/>
                <w:color w:val="282A32"/>
              </w:rPr>
              <w:t>(Level 2)</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2"/>
                <w:szCs w:val="12"/>
                <w:color w:val="282A32"/>
              </w:rPr>
              <w:t>(Level 3)</w:t>
            </w:r>
          </w:p>
        </w:tc>
      </w:tr>
      <w:tr>
        <w:trPr>
          <w:trHeight w:val="287"/>
        </w:trPr>
        <w:tc>
          <w:tcPr>
            <w:tcW w:w="280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9"/>
        </w:trPr>
        <w:tc>
          <w:tcPr>
            <w:tcW w:w="2800" w:type="dxa"/>
            <w:vAlign w:val="bottom"/>
          </w:tcPr>
          <w:p>
            <w:pPr>
              <w:ind w:left="20"/>
              <w:spacing w:after="0"/>
              <w:rPr>
                <w:sz w:val="20"/>
                <w:szCs w:val="20"/>
                <w:color w:val="auto"/>
              </w:rPr>
            </w:pPr>
            <w:r>
              <w:rPr>
                <w:rFonts w:ascii="Arial" w:cs="Arial" w:eastAsia="Arial" w:hAnsi="Arial"/>
                <w:sz w:val="17"/>
                <w:szCs w:val="17"/>
                <w:color w:val="auto"/>
              </w:rPr>
              <w:t>Deferred compensation plan assets</w:t>
            </w: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$89.5</w:t>
            </w:r>
          </w:p>
        </w:tc>
        <w:tc>
          <w:tcPr>
            <w:tcW w:w="1080" w:type="dxa"/>
            <w:vAlign w:val="bottom"/>
          </w:tcPr>
          <w:p>
            <w:pPr>
              <w:jc w:val="right"/>
              <w:ind w:right="111"/>
              <w:spacing w:after="0"/>
              <w:rPr>
                <w:sz w:val="20"/>
                <w:szCs w:val="20"/>
                <w:color w:val="auto"/>
              </w:rPr>
            </w:pPr>
            <w:r>
              <w:rPr>
                <w:rFonts w:ascii="Arial" w:cs="Arial" w:eastAsia="Arial" w:hAnsi="Arial"/>
                <w:sz w:val="17"/>
                <w:szCs w:val="17"/>
                <w:color w:val="282A32"/>
              </w:rPr>
              <w:t>$89.5</w:t>
            </w:r>
          </w:p>
        </w:tc>
        <w:tc>
          <w:tcPr>
            <w:tcW w:w="940" w:type="dxa"/>
            <w:vAlign w:val="bottom"/>
          </w:tcPr>
          <w:p>
            <w:pPr>
              <w:jc w:val="right"/>
              <w:ind w:right="171"/>
              <w:spacing w:after="0"/>
              <w:rPr>
                <w:sz w:val="20"/>
                <w:szCs w:val="20"/>
                <w:color w:val="auto"/>
              </w:rPr>
            </w:pPr>
            <w:r>
              <w:rPr>
                <w:rFonts w:ascii="Arial" w:cs="Arial" w:eastAsia="Arial" w:hAnsi="Arial"/>
                <w:sz w:val="17"/>
                <w:szCs w:val="17"/>
                <w:color w:val="282A32"/>
              </w:rPr>
              <w:t>$—</w:t>
            </w:r>
          </w:p>
        </w:tc>
        <w:tc>
          <w:tcPr>
            <w:tcW w:w="1000" w:type="dxa"/>
            <w:vAlign w:val="bottom"/>
          </w:tcPr>
          <w:p>
            <w:pPr>
              <w:jc w:val="right"/>
              <w:ind w:right="48"/>
              <w:spacing w:after="0"/>
              <w:rPr>
                <w:sz w:val="20"/>
                <w:szCs w:val="20"/>
                <w:color w:val="auto"/>
              </w:rPr>
            </w:pPr>
            <w:r>
              <w:rPr>
                <w:rFonts w:ascii="Arial" w:cs="Arial" w:eastAsia="Arial" w:hAnsi="Arial"/>
                <w:sz w:val="17"/>
                <w:szCs w:val="17"/>
                <w:color w:val="282A32"/>
              </w:rPr>
              <w:t>$—</w:t>
            </w:r>
          </w:p>
        </w:tc>
      </w:tr>
      <w:tr>
        <w:trPr>
          <w:trHeight w:val="274"/>
        </w:trPr>
        <w:tc>
          <w:tcPr>
            <w:tcW w:w="2800" w:type="dxa"/>
            <w:vAlign w:val="bottom"/>
          </w:tcPr>
          <w:p>
            <w:pPr>
              <w:ind w:left="20"/>
              <w:spacing w:after="0"/>
              <w:rPr>
                <w:sz w:val="20"/>
                <w:szCs w:val="20"/>
                <w:color w:val="auto"/>
              </w:rPr>
            </w:pPr>
            <w:r>
              <w:rPr>
                <w:rFonts w:ascii="Arial" w:cs="Arial" w:eastAsia="Arial" w:hAnsi="Arial"/>
                <w:sz w:val="17"/>
                <w:szCs w:val="17"/>
                <w:color w:val="auto"/>
              </w:rPr>
              <w:t>Foreign currency forward contracts</w:t>
            </w: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0.1</w:t>
            </w:r>
          </w:p>
        </w:tc>
        <w:tc>
          <w:tcPr>
            <w:tcW w:w="1080" w:type="dxa"/>
            <w:vAlign w:val="bottom"/>
          </w:tcPr>
          <w:p>
            <w:pPr>
              <w:jc w:val="right"/>
              <w:ind w:right="111"/>
              <w:spacing w:after="0"/>
              <w:rPr>
                <w:sz w:val="20"/>
                <w:szCs w:val="20"/>
                <w:color w:val="auto"/>
              </w:rPr>
            </w:pPr>
            <w:r>
              <w:rPr>
                <w:rFonts w:ascii="Arial" w:cs="Arial" w:eastAsia="Arial" w:hAnsi="Arial"/>
                <w:sz w:val="17"/>
                <w:szCs w:val="17"/>
                <w:color w:val="282A32"/>
              </w:rPr>
              <w:t>—</w:t>
            </w:r>
          </w:p>
        </w:tc>
        <w:tc>
          <w:tcPr>
            <w:tcW w:w="940" w:type="dxa"/>
            <w:vAlign w:val="bottom"/>
          </w:tcPr>
          <w:p>
            <w:pPr>
              <w:jc w:val="right"/>
              <w:ind w:right="171"/>
              <w:spacing w:after="0"/>
              <w:rPr>
                <w:sz w:val="20"/>
                <w:szCs w:val="20"/>
                <w:color w:val="auto"/>
              </w:rPr>
            </w:pPr>
            <w:r>
              <w:rPr>
                <w:rFonts w:ascii="Arial" w:cs="Arial" w:eastAsia="Arial" w:hAnsi="Arial"/>
                <w:sz w:val="17"/>
                <w:szCs w:val="17"/>
                <w:color w:val="282A32"/>
              </w:rPr>
              <w:t>0.1</w:t>
            </w:r>
          </w:p>
        </w:tc>
        <w:tc>
          <w:tcPr>
            <w:tcW w:w="1000" w:type="dxa"/>
            <w:vAlign w:val="bottom"/>
          </w:tcPr>
          <w:p>
            <w:pPr>
              <w:jc w:val="right"/>
              <w:ind w:right="48"/>
              <w:spacing w:after="0"/>
              <w:rPr>
                <w:sz w:val="20"/>
                <w:szCs w:val="20"/>
                <w:color w:val="auto"/>
              </w:rPr>
            </w:pPr>
            <w:r>
              <w:rPr>
                <w:rFonts w:ascii="Arial" w:cs="Arial" w:eastAsia="Arial" w:hAnsi="Arial"/>
                <w:sz w:val="17"/>
                <w:szCs w:val="17"/>
                <w:color w:val="282A32"/>
              </w:rPr>
              <w:t>—</w:t>
            </w:r>
          </w:p>
        </w:tc>
      </w:tr>
      <w:tr>
        <w:trPr>
          <w:trHeight w:val="25"/>
        </w:trPr>
        <w:tc>
          <w:tcPr>
            <w:tcW w:w="2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28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$89.6</w:t>
            </w:r>
          </w:p>
        </w:tc>
        <w:tc>
          <w:tcPr>
            <w:tcW w:w="1080" w:type="dxa"/>
            <w:vAlign w:val="bottom"/>
          </w:tcPr>
          <w:p>
            <w:pPr>
              <w:jc w:val="right"/>
              <w:ind w:right="111"/>
              <w:spacing w:after="0"/>
              <w:rPr>
                <w:sz w:val="20"/>
                <w:szCs w:val="20"/>
                <w:color w:val="auto"/>
              </w:rPr>
            </w:pPr>
            <w:r>
              <w:rPr>
                <w:rFonts w:ascii="Arial" w:cs="Arial" w:eastAsia="Arial" w:hAnsi="Arial"/>
                <w:sz w:val="17"/>
                <w:szCs w:val="17"/>
                <w:color w:val="282A32"/>
              </w:rPr>
              <w:t>$89.5</w:t>
            </w:r>
          </w:p>
        </w:tc>
        <w:tc>
          <w:tcPr>
            <w:tcW w:w="940" w:type="dxa"/>
            <w:vAlign w:val="bottom"/>
          </w:tcPr>
          <w:p>
            <w:pPr>
              <w:jc w:val="right"/>
              <w:ind w:right="171"/>
              <w:spacing w:after="0"/>
              <w:rPr>
                <w:sz w:val="20"/>
                <w:szCs w:val="20"/>
                <w:color w:val="auto"/>
              </w:rPr>
            </w:pPr>
            <w:r>
              <w:rPr>
                <w:rFonts w:ascii="Arial" w:cs="Arial" w:eastAsia="Arial" w:hAnsi="Arial"/>
                <w:sz w:val="17"/>
                <w:szCs w:val="17"/>
                <w:color w:val="282A32"/>
              </w:rPr>
              <w:t>$0.1</w:t>
            </w:r>
          </w:p>
        </w:tc>
        <w:tc>
          <w:tcPr>
            <w:tcW w:w="1000" w:type="dxa"/>
            <w:vAlign w:val="bottom"/>
          </w:tcPr>
          <w:p>
            <w:pPr>
              <w:jc w:val="right"/>
              <w:ind w:right="48"/>
              <w:spacing w:after="0"/>
              <w:rPr>
                <w:sz w:val="20"/>
                <w:szCs w:val="20"/>
                <w:color w:val="auto"/>
              </w:rPr>
            </w:pPr>
            <w:r>
              <w:rPr>
                <w:rFonts w:ascii="Arial" w:cs="Arial" w:eastAsia="Arial" w:hAnsi="Arial"/>
                <w:sz w:val="17"/>
                <w:szCs w:val="17"/>
                <w:color w:val="282A32"/>
              </w:rPr>
              <w:t>$—</w:t>
            </w:r>
          </w:p>
        </w:tc>
      </w:tr>
      <w:tr>
        <w:trPr>
          <w:trHeight w:val="25"/>
        </w:trPr>
        <w:tc>
          <w:tcPr>
            <w:tcW w:w="2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280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74"/>
        </w:trPr>
        <w:tc>
          <w:tcPr>
            <w:tcW w:w="2800" w:type="dxa"/>
            <w:vAlign w:val="bottom"/>
          </w:tcPr>
          <w:p>
            <w:pPr>
              <w:ind w:left="20"/>
              <w:spacing w:after="0"/>
              <w:rPr>
                <w:sz w:val="20"/>
                <w:szCs w:val="20"/>
                <w:color w:val="auto"/>
              </w:rPr>
            </w:pPr>
            <w:r>
              <w:rPr>
                <w:rFonts w:ascii="Arial" w:cs="Arial" w:eastAsia="Arial" w:hAnsi="Arial"/>
                <w:sz w:val="17"/>
                <w:szCs w:val="17"/>
                <w:color w:val="auto"/>
              </w:rPr>
              <w:t>Foreign currency forward contracts</w:t>
            </w: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$0.1</w:t>
            </w:r>
          </w:p>
        </w:tc>
        <w:tc>
          <w:tcPr>
            <w:tcW w:w="1080" w:type="dxa"/>
            <w:vAlign w:val="bottom"/>
          </w:tcPr>
          <w:p>
            <w:pPr>
              <w:jc w:val="right"/>
              <w:ind w:right="111"/>
              <w:spacing w:after="0"/>
              <w:rPr>
                <w:sz w:val="20"/>
                <w:szCs w:val="20"/>
                <w:color w:val="auto"/>
              </w:rPr>
            </w:pPr>
            <w:r>
              <w:rPr>
                <w:rFonts w:ascii="Arial" w:cs="Arial" w:eastAsia="Arial" w:hAnsi="Arial"/>
                <w:sz w:val="17"/>
                <w:szCs w:val="17"/>
                <w:color w:val="282A32"/>
              </w:rPr>
              <w:t>$—</w:t>
            </w:r>
          </w:p>
        </w:tc>
        <w:tc>
          <w:tcPr>
            <w:tcW w:w="940" w:type="dxa"/>
            <w:vAlign w:val="bottom"/>
          </w:tcPr>
          <w:p>
            <w:pPr>
              <w:jc w:val="right"/>
              <w:ind w:right="171"/>
              <w:spacing w:after="0"/>
              <w:rPr>
                <w:sz w:val="20"/>
                <w:szCs w:val="20"/>
                <w:color w:val="auto"/>
              </w:rPr>
            </w:pPr>
            <w:r>
              <w:rPr>
                <w:rFonts w:ascii="Arial" w:cs="Arial" w:eastAsia="Arial" w:hAnsi="Arial"/>
                <w:sz w:val="17"/>
                <w:szCs w:val="17"/>
                <w:color w:val="282A32"/>
              </w:rPr>
              <w:t>$0.1</w:t>
            </w:r>
          </w:p>
        </w:tc>
        <w:tc>
          <w:tcPr>
            <w:tcW w:w="1000" w:type="dxa"/>
            <w:vAlign w:val="bottom"/>
          </w:tcPr>
          <w:p>
            <w:pPr>
              <w:jc w:val="right"/>
              <w:ind w:right="48"/>
              <w:spacing w:after="0"/>
              <w:rPr>
                <w:sz w:val="20"/>
                <w:szCs w:val="20"/>
                <w:color w:val="auto"/>
              </w:rPr>
            </w:pPr>
            <w:r>
              <w:rPr>
                <w:rFonts w:ascii="Arial" w:cs="Arial" w:eastAsia="Arial" w:hAnsi="Arial"/>
                <w:sz w:val="17"/>
                <w:szCs w:val="17"/>
                <w:color w:val="282A32"/>
              </w:rPr>
              <w:t>$—</w:t>
            </w:r>
          </w:p>
        </w:tc>
      </w:tr>
      <w:tr>
        <w:trPr>
          <w:trHeight w:val="25"/>
        </w:trPr>
        <w:tc>
          <w:tcPr>
            <w:tcW w:w="2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28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7"/>
                <w:szCs w:val="17"/>
                <w:color w:val="auto"/>
              </w:rPr>
              <w:t>$0.1</w:t>
            </w:r>
          </w:p>
        </w:tc>
        <w:tc>
          <w:tcPr>
            <w:tcW w:w="1080" w:type="dxa"/>
            <w:vAlign w:val="bottom"/>
          </w:tcPr>
          <w:p>
            <w:pPr>
              <w:jc w:val="right"/>
              <w:ind w:right="111"/>
              <w:spacing w:after="0"/>
              <w:rPr>
                <w:sz w:val="20"/>
                <w:szCs w:val="20"/>
                <w:color w:val="auto"/>
              </w:rPr>
            </w:pPr>
            <w:r>
              <w:rPr>
                <w:rFonts w:ascii="Arial" w:cs="Arial" w:eastAsia="Arial" w:hAnsi="Arial"/>
                <w:sz w:val="17"/>
                <w:szCs w:val="17"/>
                <w:color w:val="282A32"/>
              </w:rPr>
              <w:t>$—</w:t>
            </w:r>
          </w:p>
        </w:tc>
        <w:tc>
          <w:tcPr>
            <w:tcW w:w="940" w:type="dxa"/>
            <w:vAlign w:val="bottom"/>
          </w:tcPr>
          <w:p>
            <w:pPr>
              <w:jc w:val="right"/>
              <w:ind w:right="171"/>
              <w:spacing w:after="0"/>
              <w:rPr>
                <w:sz w:val="20"/>
                <w:szCs w:val="20"/>
                <w:color w:val="auto"/>
              </w:rPr>
            </w:pPr>
            <w:r>
              <w:rPr>
                <w:rFonts w:ascii="Arial" w:cs="Arial" w:eastAsia="Arial" w:hAnsi="Arial"/>
                <w:sz w:val="17"/>
                <w:szCs w:val="17"/>
                <w:color w:val="282A32"/>
              </w:rPr>
              <w:t>$0.1</w:t>
            </w:r>
          </w:p>
        </w:tc>
        <w:tc>
          <w:tcPr>
            <w:tcW w:w="1000" w:type="dxa"/>
            <w:vAlign w:val="bottom"/>
          </w:tcPr>
          <w:p>
            <w:pPr>
              <w:jc w:val="right"/>
              <w:ind w:right="48"/>
              <w:spacing w:after="0"/>
              <w:rPr>
                <w:sz w:val="20"/>
                <w:szCs w:val="20"/>
                <w:color w:val="auto"/>
              </w:rPr>
            </w:pPr>
            <w:r>
              <w:rPr>
                <w:rFonts w:ascii="Arial" w:cs="Arial" w:eastAsia="Arial" w:hAnsi="Arial"/>
                <w:sz w:val="17"/>
                <w:szCs w:val="17"/>
                <w:color w:val="282A32"/>
              </w:rPr>
              <w:t>$—</w:t>
            </w:r>
          </w:p>
        </w:tc>
      </w:tr>
      <w:tr>
        <w:trPr>
          <w:trHeight w:val="25"/>
        </w:trPr>
        <w:tc>
          <w:tcPr>
            <w:tcW w:w="2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-1217930</wp:posOffset>
            </wp:positionV>
            <wp:extent cx="706691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66915" cy="2057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-854075</wp:posOffset>
            </wp:positionV>
            <wp:extent cx="7066915" cy="173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66915" cy="1739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-513715</wp:posOffset>
            </wp:positionV>
            <wp:extent cx="7066915" cy="166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6915" cy="1663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-173355</wp:posOffset>
            </wp:positionV>
            <wp:extent cx="7066915" cy="166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6915" cy="166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480"/>
        <w:spacing w:after="0"/>
        <w:rPr>
          <w:sz w:val="20"/>
          <w:szCs w:val="20"/>
          <w:color w:val="auto"/>
        </w:rPr>
      </w:pPr>
      <w:r>
        <w:rPr>
          <w:rFonts w:ascii="Arial" w:cs="Arial" w:eastAsia="Arial" w:hAnsi="Arial"/>
          <w:sz w:val="10"/>
          <w:szCs w:val="10"/>
          <w:color w:val="282A32"/>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25876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87625" cy="762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color w:val="282A32"/>
                <w:w w:val="99"/>
              </w:rPr>
              <w:t>Quoted Prices in</w:t>
            </w: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25"/>
        </w:trPr>
        <w:tc>
          <w:tcPr>
            <w:tcW w:w="1120" w:type="dxa"/>
            <w:vAlign w:val="bottom"/>
          </w:tcPr>
          <w:p>
            <w:pPr>
              <w:spacing w:after="0"/>
              <w:rPr>
                <w:sz w:val="10"/>
                <w:szCs w:val="10"/>
                <w:color w:val="auto"/>
              </w:rPr>
            </w:pPr>
          </w:p>
        </w:tc>
        <w:tc>
          <w:tcPr>
            <w:tcW w:w="1060" w:type="dxa"/>
            <w:vAlign w:val="bottom"/>
          </w:tcPr>
          <w:p>
            <w:pPr>
              <w:jc w:val="right"/>
              <w:ind w:right="102"/>
              <w:spacing w:after="0" w:line="125" w:lineRule="exact"/>
              <w:rPr>
                <w:sz w:val="20"/>
                <w:szCs w:val="20"/>
                <w:color w:val="auto"/>
              </w:rPr>
            </w:pPr>
            <w:r>
              <w:rPr>
                <w:rFonts w:ascii="Arial" w:cs="Arial" w:eastAsia="Arial" w:hAnsi="Arial"/>
                <w:sz w:val="12"/>
                <w:szCs w:val="12"/>
                <w:color w:val="282A32"/>
              </w:rPr>
              <w:t>Active Markets</w:t>
            </w:r>
          </w:p>
        </w:tc>
        <w:tc>
          <w:tcPr>
            <w:tcW w:w="920" w:type="dxa"/>
            <w:vAlign w:val="bottom"/>
          </w:tcPr>
          <w:p>
            <w:pPr>
              <w:jc w:val="right"/>
              <w:ind w:right="182"/>
              <w:spacing w:after="0" w:line="125" w:lineRule="exact"/>
              <w:rPr>
                <w:sz w:val="20"/>
                <w:szCs w:val="20"/>
                <w:color w:val="auto"/>
              </w:rPr>
            </w:pPr>
            <w:r>
              <w:rPr>
                <w:rFonts w:ascii="Arial" w:cs="Arial" w:eastAsia="Arial" w:hAnsi="Arial"/>
                <w:sz w:val="12"/>
                <w:szCs w:val="12"/>
                <w:color w:val="282A32"/>
              </w:rPr>
              <w:t>Significant</w:t>
            </w:r>
          </w:p>
        </w:tc>
        <w:tc>
          <w:tcPr>
            <w:tcW w:w="960" w:type="dxa"/>
            <w:vAlign w:val="bottom"/>
          </w:tcPr>
          <w:p>
            <w:pPr>
              <w:spacing w:after="0"/>
              <w:rPr>
                <w:sz w:val="10"/>
                <w:szCs w:val="10"/>
                <w:color w:val="auto"/>
              </w:rPr>
            </w:pPr>
          </w:p>
        </w:tc>
      </w:tr>
      <w:tr>
        <w:trPr>
          <w:trHeight w:val="125"/>
        </w:trPr>
        <w:tc>
          <w:tcPr>
            <w:tcW w:w="1120" w:type="dxa"/>
            <w:vAlign w:val="bottom"/>
          </w:tcPr>
          <w:p>
            <w:pPr>
              <w:spacing w:after="0"/>
              <w:rPr>
                <w:sz w:val="10"/>
                <w:szCs w:val="10"/>
                <w:color w:val="auto"/>
              </w:rPr>
            </w:pPr>
          </w:p>
        </w:tc>
        <w:tc>
          <w:tcPr>
            <w:tcW w:w="1060" w:type="dxa"/>
            <w:vAlign w:val="bottom"/>
          </w:tcPr>
          <w:p>
            <w:pPr>
              <w:jc w:val="right"/>
              <w:ind w:right="102"/>
              <w:spacing w:after="0" w:line="125" w:lineRule="exact"/>
              <w:rPr>
                <w:sz w:val="20"/>
                <w:szCs w:val="20"/>
                <w:color w:val="auto"/>
              </w:rPr>
            </w:pPr>
            <w:r>
              <w:rPr>
                <w:rFonts w:ascii="Arial" w:cs="Arial" w:eastAsia="Arial" w:hAnsi="Arial"/>
                <w:sz w:val="12"/>
                <w:szCs w:val="12"/>
                <w:color w:val="282A32"/>
              </w:rPr>
              <w:t>for</w:t>
            </w:r>
          </w:p>
        </w:tc>
        <w:tc>
          <w:tcPr>
            <w:tcW w:w="920" w:type="dxa"/>
            <w:vAlign w:val="bottom"/>
          </w:tcPr>
          <w:p>
            <w:pPr>
              <w:jc w:val="right"/>
              <w:ind w:right="162"/>
              <w:spacing w:after="0" w:line="125" w:lineRule="exact"/>
              <w:rPr>
                <w:sz w:val="20"/>
                <w:szCs w:val="20"/>
                <w:color w:val="auto"/>
              </w:rPr>
            </w:pPr>
            <w:r>
              <w:rPr>
                <w:rFonts w:ascii="Arial" w:cs="Arial" w:eastAsia="Arial" w:hAnsi="Arial"/>
                <w:sz w:val="12"/>
                <w:szCs w:val="12"/>
                <w:color w:val="282A32"/>
              </w:rPr>
              <w:t>Other</w:t>
            </w:r>
          </w:p>
        </w:tc>
        <w:tc>
          <w:tcPr>
            <w:tcW w:w="960" w:type="dxa"/>
            <w:vAlign w:val="bottom"/>
          </w:tcPr>
          <w:p>
            <w:pPr>
              <w:jc w:val="right"/>
              <w:ind w:right="42"/>
              <w:spacing w:after="0" w:line="125" w:lineRule="exact"/>
              <w:rPr>
                <w:sz w:val="20"/>
                <w:szCs w:val="20"/>
                <w:color w:val="auto"/>
              </w:rPr>
            </w:pPr>
            <w:r>
              <w:rPr>
                <w:rFonts w:ascii="Arial" w:cs="Arial" w:eastAsia="Arial" w:hAnsi="Arial"/>
                <w:sz w:val="12"/>
                <w:szCs w:val="12"/>
                <w:color w:val="282A32"/>
              </w:rPr>
              <w:t>Significant</w:t>
            </w:r>
          </w:p>
        </w:tc>
      </w:tr>
      <w:tr>
        <w:trPr>
          <w:trHeight w:val="125"/>
        </w:trPr>
        <w:tc>
          <w:tcPr>
            <w:tcW w:w="1120" w:type="dxa"/>
            <w:vAlign w:val="bottom"/>
          </w:tcPr>
          <w:p>
            <w:pPr>
              <w:spacing w:after="0"/>
              <w:rPr>
                <w:sz w:val="10"/>
                <w:szCs w:val="10"/>
                <w:color w:val="auto"/>
              </w:rPr>
            </w:pPr>
          </w:p>
        </w:tc>
        <w:tc>
          <w:tcPr>
            <w:tcW w:w="1060" w:type="dxa"/>
            <w:vAlign w:val="bottom"/>
          </w:tcPr>
          <w:p>
            <w:pPr>
              <w:jc w:val="right"/>
              <w:ind w:right="102"/>
              <w:spacing w:after="0" w:line="125" w:lineRule="exact"/>
              <w:rPr>
                <w:sz w:val="20"/>
                <w:szCs w:val="20"/>
                <w:color w:val="auto"/>
              </w:rPr>
            </w:pPr>
            <w:r>
              <w:rPr>
                <w:rFonts w:ascii="Arial" w:cs="Arial" w:eastAsia="Arial" w:hAnsi="Arial"/>
                <w:sz w:val="12"/>
                <w:szCs w:val="12"/>
                <w:color w:val="282A32"/>
              </w:rPr>
              <w:t>Identical</w:t>
            </w:r>
          </w:p>
        </w:tc>
        <w:tc>
          <w:tcPr>
            <w:tcW w:w="920" w:type="dxa"/>
            <w:vAlign w:val="bottom"/>
          </w:tcPr>
          <w:p>
            <w:pPr>
              <w:jc w:val="right"/>
              <w:ind w:right="162"/>
              <w:spacing w:after="0" w:line="125" w:lineRule="exact"/>
              <w:rPr>
                <w:sz w:val="20"/>
                <w:szCs w:val="20"/>
                <w:color w:val="auto"/>
              </w:rPr>
            </w:pPr>
            <w:r>
              <w:rPr>
                <w:rFonts w:ascii="Arial" w:cs="Arial" w:eastAsia="Arial" w:hAnsi="Arial"/>
                <w:sz w:val="12"/>
                <w:szCs w:val="12"/>
                <w:color w:val="282A32"/>
              </w:rPr>
              <w:t>Observable</w:t>
            </w:r>
          </w:p>
        </w:tc>
        <w:tc>
          <w:tcPr>
            <w:tcW w:w="960" w:type="dxa"/>
            <w:vAlign w:val="bottom"/>
          </w:tcPr>
          <w:p>
            <w:pPr>
              <w:jc w:val="right"/>
              <w:ind w:right="42"/>
              <w:spacing w:after="0" w:line="125" w:lineRule="exact"/>
              <w:rPr>
                <w:sz w:val="20"/>
                <w:szCs w:val="20"/>
                <w:color w:val="auto"/>
              </w:rPr>
            </w:pPr>
            <w:r>
              <w:rPr>
                <w:rFonts w:ascii="Arial" w:cs="Arial" w:eastAsia="Arial" w:hAnsi="Arial"/>
                <w:sz w:val="12"/>
                <w:szCs w:val="12"/>
                <w:color w:val="282A32"/>
              </w:rPr>
              <w:t>Unobservable</w:t>
            </w:r>
          </w:p>
        </w:tc>
      </w:tr>
      <w:tr>
        <w:trPr>
          <w:trHeight w:val="125"/>
        </w:trPr>
        <w:tc>
          <w:tcPr>
            <w:tcW w:w="1120" w:type="dxa"/>
            <w:vAlign w:val="bottom"/>
          </w:tcPr>
          <w:p>
            <w:pPr>
              <w:spacing w:after="0"/>
              <w:rPr>
                <w:sz w:val="10"/>
                <w:szCs w:val="10"/>
                <w:color w:val="auto"/>
              </w:rPr>
            </w:pPr>
          </w:p>
        </w:tc>
        <w:tc>
          <w:tcPr>
            <w:tcW w:w="1060" w:type="dxa"/>
            <w:vAlign w:val="bottom"/>
          </w:tcPr>
          <w:p>
            <w:pPr>
              <w:jc w:val="right"/>
              <w:ind w:right="102"/>
              <w:spacing w:after="0" w:line="125" w:lineRule="exact"/>
              <w:rPr>
                <w:sz w:val="20"/>
                <w:szCs w:val="20"/>
                <w:color w:val="auto"/>
              </w:rPr>
            </w:pPr>
            <w:r>
              <w:rPr>
                <w:rFonts w:ascii="Arial" w:cs="Arial" w:eastAsia="Arial" w:hAnsi="Arial"/>
                <w:sz w:val="12"/>
                <w:szCs w:val="12"/>
                <w:color w:val="282A32"/>
              </w:rPr>
              <w:t>Assets</w:t>
            </w:r>
          </w:p>
        </w:tc>
        <w:tc>
          <w:tcPr>
            <w:tcW w:w="920" w:type="dxa"/>
            <w:vAlign w:val="bottom"/>
          </w:tcPr>
          <w:p>
            <w:pPr>
              <w:jc w:val="right"/>
              <w:ind w:right="162"/>
              <w:spacing w:after="0" w:line="125" w:lineRule="exact"/>
              <w:rPr>
                <w:sz w:val="20"/>
                <w:szCs w:val="20"/>
                <w:color w:val="auto"/>
              </w:rPr>
            </w:pPr>
            <w:r>
              <w:rPr>
                <w:rFonts w:ascii="Arial" w:cs="Arial" w:eastAsia="Arial" w:hAnsi="Arial"/>
                <w:sz w:val="12"/>
                <w:szCs w:val="12"/>
                <w:color w:val="282A32"/>
              </w:rPr>
              <w:t>Inputs</w:t>
            </w:r>
          </w:p>
        </w:tc>
        <w:tc>
          <w:tcPr>
            <w:tcW w:w="960" w:type="dxa"/>
            <w:vAlign w:val="bottom"/>
          </w:tcPr>
          <w:p>
            <w:pPr>
              <w:jc w:val="right"/>
              <w:ind w:right="62"/>
              <w:spacing w:after="0" w:line="125" w:lineRule="exact"/>
              <w:rPr>
                <w:sz w:val="20"/>
                <w:szCs w:val="20"/>
                <w:color w:val="auto"/>
              </w:rPr>
            </w:pPr>
            <w:r>
              <w:rPr>
                <w:rFonts w:ascii="Arial" w:cs="Arial" w:eastAsia="Arial" w:hAnsi="Arial"/>
                <w:sz w:val="12"/>
                <w:szCs w:val="12"/>
                <w:color w:val="282A32"/>
              </w:rPr>
              <w:t>Inputs</w:t>
            </w:r>
          </w:p>
        </w:tc>
      </w:tr>
      <w:tr>
        <w:trPr>
          <w:trHeight w:val="156"/>
        </w:trPr>
        <w:tc>
          <w:tcPr>
            <w:tcW w:w="11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282A32"/>
                <w:w w:val="96"/>
              </w:rPr>
              <w:t>December 31, 2017</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282A32"/>
              </w:rPr>
              <w:t>(Level 1)</w:t>
            </w:r>
          </w:p>
        </w:tc>
        <w:tc>
          <w:tcPr>
            <w:tcW w:w="92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282A32"/>
              </w:rPr>
              <w:t>(Level 2)</w:t>
            </w: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282A32"/>
              </w:rPr>
              <w:t>(Level 3)</w:t>
            </w: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20" w:type="dxa"/>
            <w:vAlign w:val="bottom"/>
          </w:tcPr>
          <w:p>
            <w:pPr>
              <w:jc w:val="right"/>
              <w:ind w:right="237"/>
              <w:spacing w:after="0"/>
              <w:rPr>
                <w:sz w:val="20"/>
                <w:szCs w:val="20"/>
                <w:color w:val="auto"/>
              </w:rPr>
            </w:pPr>
            <w:r>
              <w:rPr>
                <w:rFonts w:ascii="Arial" w:cs="Arial" w:eastAsia="Arial" w:hAnsi="Arial"/>
                <w:sz w:val="17"/>
                <w:szCs w:val="17"/>
                <w:color w:val="282A32"/>
              </w:rPr>
              <w:t>$99.1</w:t>
            </w:r>
          </w:p>
        </w:tc>
        <w:tc>
          <w:tcPr>
            <w:tcW w:w="980" w:type="dxa"/>
            <w:vAlign w:val="bottom"/>
          </w:tcPr>
          <w:p>
            <w:pPr>
              <w:jc w:val="right"/>
              <w:ind w:right="197"/>
              <w:spacing w:after="0"/>
              <w:rPr>
                <w:sz w:val="20"/>
                <w:szCs w:val="20"/>
                <w:color w:val="auto"/>
              </w:rPr>
            </w:pPr>
            <w:r>
              <w:rPr>
                <w:rFonts w:ascii="Arial" w:cs="Arial" w:eastAsia="Arial" w:hAnsi="Arial"/>
                <w:sz w:val="17"/>
                <w:szCs w:val="17"/>
                <w:color w:val="282A32"/>
              </w:rPr>
              <w:t>$99.1</w:t>
            </w:r>
          </w:p>
        </w:tc>
        <w:tc>
          <w:tcPr>
            <w:tcW w:w="1000" w:type="dxa"/>
            <w:vAlign w:val="bottom"/>
          </w:tcPr>
          <w:p>
            <w:pPr>
              <w:jc w:val="right"/>
              <w:ind w:right="337"/>
              <w:spacing w:after="0"/>
              <w:rPr>
                <w:sz w:val="20"/>
                <w:szCs w:val="20"/>
                <w:color w:val="auto"/>
              </w:rPr>
            </w:pPr>
            <w:r>
              <w:rPr>
                <w:rFonts w:ascii="Arial" w:cs="Arial" w:eastAsia="Arial" w:hAnsi="Arial"/>
                <w:sz w:val="17"/>
                <w:szCs w:val="17"/>
                <w:color w:val="282A32"/>
              </w:rPr>
              <w:t>$—</w:t>
            </w:r>
          </w:p>
        </w:tc>
        <w:tc>
          <w:tcPr>
            <w:tcW w:w="760" w:type="dxa"/>
            <w:vAlign w:val="bottom"/>
          </w:tcPr>
          <w:p>
            <w:pPr>
              <w:jc w:val="right"/>
              <w:ind w:right="17"/>
              <w:spacing w:after="0"/>
              <w:rPr>
                <w:sz w:val="20"/>
                <w:szCs w:val="20"/>
                <w:color w:val="auto"/>
              </w:rPr>
            </w:pPr>
            <w:r>
              <w:rPr>
                <w:rFonts w:ascii="Arial" w:cs="Arial" w:eastAsia="Arial" w:hAnsi="Arial"/>
                <w:sz w:val="17"/>
                <w:szCs w:val="17"/>
                <w:color w:val="282A32"/>
              </w:rPr>
              <w:t>$—</w:t>
            </w:r>
          </w:p>
        </w:tc>
      </w:tr>
      <w:tr>
        <w:trPr>
          <w:trHeight w:val="274"/>
        </w:trPr>
        <w:tc>
          <w:tcPr>
            <w:tcW w:w="1320" w:type="dxa"/>
            <w:vAlign w:val="bottom"/>
          </w:tcPr>
          <w:p>
            <w:pPr>
              <w:jc w:val="right"/>
              <w:ind w:right="237"/>
              <w:spacing w:after="0"/>
              <w:rPr>
                <w:sz w:val="20"/>
                <w:szCs w:val="20"/>
                <w:color w:val="auto"/>
              </w:rPr>
            </w:pPr>
            <w:r>
              <w:rPr>
                <w:rFonts w:ascii="Arial" w:cs="Arial" w:eastAsia="Arial" w:hAnsi="Arial"/>
                <w:sz w:val="17"/>
                <w:szCs w:val="17"/>
                <w:color w:val="282A32"/>
              </w:rPr>
              <w:t>—</w:t>
            </w:r>
          </w:p>
        </w:tc>
        <w:tc>
          <w:tcPr>
            <w:tcW w:w="980" w:type="dxa"/>
            <w:vAlign w:val="bottom"/>
          </w:tcPr>
          <w:p>
            <w:pPr>
              <w:jc w:val="right"/>
              <w:ind w:right="197"/>
              <w:spacing w:after="0"/>
              <w:rPr>
                <w:sz w:val="20"/>
                <w:szCs w:val="20"/>
                <w:color w:val="auto"/>
              </w:rPr>
            </w:pPr>
            <w:r>
              <w:rPr>
                <w:rFonts w:ascii="Arial" w:cs="Arial" w:eastAsia="Arial" w:hAnsi="Arial"/>
                <w:sz w:val="17"/>
                <w:szCs w:val="17"/>
                <w:color w:val="282A32"/>
              </w:rPr>
              <w:t>—</w:t>
            </w:r>
          </w:p>
        </w:tc>
        <w:tc>
          <w:tcPr>
            <w:tcW w:w="1000" w:type="dxa"/>
            <w:vAlign w:val="bottom"/>
          </w:tcPr>
          <w:p>
            <w:pPr>
              <w:jc w:val="right"/>
              <w:ind w:right="337"/>
              <w:spacing w:after="0"/>
              <w:rPr>
                <w:sz w:val="20"/>
                <w:szCs w:val="20"/>
                <w:color w:val="auto"/>
              </w:rPr>
            </w:pPr>
            <w:r>
              <w:rPr>
                <w:rFonts w:ascii="Arial" w:cs="Arial" w:eastAsia="Arial" w:hAnsi="Arial"/>
                <w:sz w:val="17"/>
                <w:szCs w:val="17"/>
                <w:color w:val="282A32"/>
              </w:rPr>
              <w:t>—</w:t>
            </w:r>
          </w:p>
        </w:tc>
        <w:tc>
          <w:tcPr>
            <w:tcW w:w="760" w:type="dxa"/>
            <w:vAlign w:val="bottom"/>
          </w:tcPr>
          <w:p>
            <w:pPr>
              <w:jc w:val="right"/>
              <w:ind w:right="17"/>
              <w:spacing w:after="0"/>
              <w:rPr>
                <w:sz w:val="20"/>
                <w:szCs w:val="20"/>
                <w:color w:val="auto"/>
              </w:rPr>
            </w:pPr>
            <w:r>
              <w:rPr>
                <w:rFonts w:ascii="Arial" w:cs="Arial" w:eastAsia="Arial" w:hAnsi="Arial"/>
                <w:sz w:val="17"/>
                <w:szCs w:val="17"/>
                <w:color w:val="282A32"/>
              </w:rPr>
              <w:t>—</w:t>
            </w:r>
          </w:p>
        </w:tc>
      </w:tr>
      <w:tr>
        <w:trPr>
          <w:trHeight w:val="25"/>
        </w:trPr>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1320" w:type="dxa"/>
            <w:vAlign w:val="bottom"/>
          </w:tcPr>
          <w:p>
            <w:pPr>
              <w:jc w:val="right"/>
              <w:ind w:right="237"/>
              <w:spacing w:after="0"/>
              <w:rPr>
                <w:sz w:val="20"/>
                <w:szCs w:val="20"/>
                <w:color w:val="auto"/>
              </w:rPr>
            </w:pPr>
            <w:r>
              <w:rPr>
                <w:rFonts w:ascii="Arial" w:cs="Arial" w:eastAsia="Arial" w:hAnsi="Arial"/>
                <w:sz w:val="17"/>
                <w:szCs w:val="17"/>
                <w:color w:val="282A32"/>
              </w:rPr>
              <w:t>$99.1</w:t>
            </w:r>
          </w:p>
        </w:tc>
        <w:tc>
          <w:tcPr>
            <w:tcW w:w="980" w:type="dxa"/>
            <w:vAlign w:val="bottom"/>
          </w:tcPr>
          <w:p>
            <w:pPr>
              <w:jc w:val="right"/>
              <w:ind w:right="197"/>
              <w:spacing w:after="0"/>
              <w:rPr>
                <w:sz w:val="20"/>
                <w:szCs w:val="20"/>
                <w:color w:val="auto"/>
              </w:rPr>
            </w:pPr>
            <w:r>
              <w:rPr>
                <w:rFonts w:ascii="Arial" w:cs="Arial" w:eastAsia="Arial" w:hAnsi="Arial"/>
                <w:sz w:val="17"/>
                <w:szCs w:val="17"/>
                <w:color w:val="282A32"/>
              </w:rPr>
              <w:t>$99.1</w:t>
            </w:r>
          </w:p>
        </w:tc>
        <w:tc>
          <w:tcPr>
            <w:tcW w:w="1000" w:type="dxa"/>
            <w:vAlign w:val="bottom"/>
          </w:tcPr>
          <w:p>
            <w:pPr>
              <w:jc w:val="right"/>
              <w:ind w:right="337"/>
              <w:spacing w:after="0"/>
              <w:rPr>
                <w:sz w:val="20"/>
                <w:szCs w:val="20"/>
                <w:color w:val="auto"/>
              </w:rPr>
            </w:pPr>
            <w:r>
              <w:rPr>
                <w:rFonts w:ascii="Arial" w:cs="Arial" w:eastAsia="Arial" w:hAnsi="Arial"/>
                <w:sz w:val="17"/>
                <w:szCs w:val="17"/>
                <w:color w:val="282A32"/>
              </w:rPr>
              <w:t>$—</w:t>
            </w:r>
          </w:p>
        </w:tc>
        <w:tc>
          <w:tcPr>
            <w:tcW w:w="760" w:type="dxa"/>
            <w:vAlign w:val="bottom"/>
          </w:tcPr>
          <w:p>
            <w:pPr>
              <w:jc w:val="right"/>
              <w:ind w:right="17"/>
              <w:spacing w:after="0"/>
              <w:rPr>
                <w:sz w:val="20"/>
                <w:szCs w:val="20"/>
                <w:color w:val="auto"/>
              </w:rPr>
            </w:pPr>
            <w:r>
              <w:rPr>
                <w:rFonts w:ascii="Arial" w:cs="Arial" w:eastAsia="Arial" w:hAnsi="Arial"/>
                <w:sz w:val="17"/>
                <w:szCs w:val="17"/>
                <w:color w:val="282A32"/>
              </w:rPr>
              <w:t>$—</w:t>
            </w:r>
          </w:p>
        </w:tc>
      </w:tr>
      <w:tr>
        <w:trPr>
          <w:trHeight w:val="25"/>
        </w:trPr>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491"/>
        </w:trPr>
        <w:tc>
          <w:tcPr>
            <w:tcW w:w="1320" w:type="dxa"/>
            <w:vAlign w:val="bottom"/>
          </w:tcPr>
          <w:p>
            <w:pPr>
              <w:jc w:val="right"/>
              <w:ind w:right="237"/>
              <w:spacing w:after="0"/>
              <w:rPr>
                <w:sz w:val="20"/>
                <w:szCs w:val="20"/>
                <w:color w:val="auto"/>
              </w:rPr>
            </w:pPr>
            <w:r>
              <w:rPr>
                <w:rFonts w:ascii="Arial" w:cs="Arial" w:eastAsia="Arial" w:hAnsi="Arial"/>
                <w:sz w:val="17"/>
                <w:szCs w:val="17"/>
                <w:color w:val="282A32"/>
              </w:rPr>
              <w:t>$0.1</w:t>
            </w:r>
          </w:p>
        </w:tc>
        <w:tc>
          <w:tcPr>
            <w:tcW w:w="980" w:type="dxa"/>
            <w:vAlign w:val="bottom"/>
          </w:tcPr>
          <w:p>
            <w:pPr>
              <w:jc w:val="right"/>
              <w:ind w:right="197"/>
              <w:spacing w:after="0"/>
              <w:rPr>
                <w:sz w:val="20"/>
                <w:szCs w:val="20"/>
                <w:color w:val="auto"/>
              </w:rPr>
            </w:pPr>
            <w:r>
              <w:rPr>
                <w:rFonts w:ascii="Arial" w:cs="Arial" w:eastAsia="Arial" w:hAnsi="Arial"/>
                <w:sz w:val="17"/>
                <w:szCs w:val="17"/>
                <w:color w:val="282A32"/>
              </w:rPr>
              <w:t>$—</w:t>
            </w:r>
          </w:p>
        </w:tc>
        <w:tc>
          <w:tcPr>
            <w:tcW w:w="1000" w:type="dxa"/>
            <w:vAlign w:val="bottom"/>
          </w:tcPr>
          <w:p>
            <w:pPr>
              <w:jc w:val="right"/>
              <w:ind w:right="337"/>
              <w:spacing w:after="0"/>
              <w:rPr>
                <w:sz w:val="20"/>
                <w:szCs w:val="20"/>
                <w:color w:val="auto"/>
              </w:rPr>
            </w:pPr>
            <w:r>
              <w:rPr>
                <w:rFonts w:ascii="Arial" w:cs="Arial" w:eastAsia="Arial" w:hAnsi="Arial"/>
                <w:sz w:val="17"/>
                <w:szCs w:val="17"/>
                <w:color w:val="282A32"/>
              </w:rPr>
              <w:t>$0.1</w:t>
            </w:r>
          </w:p>
        </w:tc>
        <w:tc>
          <w:tcPr>
            <w:tcW w:w="760" w:type="dxa"/>
            <w:vAlign w:val="bottom"/>
          </w:tcPr>
          <w:p>
            <w:pPr>
              <w:jc w:val="right"/>
              <w:ind w:right="17"/>
              <w:spacing w:after="0"/>
              <w:rPr>
                <w:sz w:val="20"/>
                <w:szCs w:val="20"/>
                <w:color w:val="auto"/>
              </w:rPr>
            </w:pPr>
            <w:r>
              <w:rPr>
                <w:rFonts w:ascii="Arial" w:cs="Arial" w:eastAsia="Arial" w:hAnsi="Arial"/>
                <w:sz w:val="17"/>
                <w:szCs w:val="17"/>
                <w:color w:val="282A32"/>
              </w:rPr>
              <w:t>$—</w:t>
            </w:r>
          </w:p>
        </w:tc>
      </w:tr>
      <w:tr>
        <w:trPr>
          <w:trHeight w:val="25"/>
        </w:trPr>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7"/>
        </w:trPr>
        <w:tc>
          <w:tcPr>
            <w:tcW w:w="1320" w:type="dxa"/>
            <w:vAlign w:val="bottom"/>
          </w:tcPr>
          <w:p>
            <w:pPr>
              <w:jc w:val="right"/>
              <w:ind w:right="237"/>
              <w:spacing w:after="0"/>
              <w:rPr>
                <w:sz w:val="20"/>
                <w:szCs w:val="20"/>
                <w:color w:val="auto"/>
              </w:rPr>
            </w:pPr>
            <w:r>
              <w:rPr>
                <w:rFonts w:ascii="Arial" w:cs="Arial" w:eastAsia="Arial" w:hAnsi="Arial"/>
                <w:sz w:val="17"/>
                <w:szCs w:val="17"/>
                <w:color w:val="282A32"/>
              </w:rPr>
              <w:t>$0.1</w:t>
            </w:r>
          </w:p>
        </w:tc>
        <w:tc>
          <w:tcPr>
            <w:tcW w:w="980" w:type="dxa"/>
            <w:vAlign w:val="bottom"/>
          </w:tcPr>
          <w:p>
            <w:pPr>
              <w:jc w:val="right"/>
              <w:ind w:right="197"/>
              <w:spacing w:after="0"/>
              <w:rPr>
                <w:sz w:val="20"/>
                <w:szCs w:val="20"/>
                <w:color w:val="auto"/>
              </w:rPr>
            </w:pPr>
            <w:r>
              <w:rPr>
                <w:rFonts w:ascii="Arial" w:cs="Arial" w:eastAsia="Arial" w:hAnsi="Arial"/>
                <w:sz w:val="17"/>
                <w:szCs w:val="17"/>
                <w:color w:val="282A32"/>
              </w:rPr>
              <w:t>$—</w:t>
            </w:r>
          </w:p>
        </w:tc>
        <w:tc>
          <w:tcPr>
            <w:tcW w:w="1000" w:type="dxa"/>
            <w:vAlign w:val="bottom"/>
          </w:tcPr>
          <w:p>
            <w:pPr>
              <w:jc w:val="right"/>
              <w:ind w:right="337"/>
              <w:spacing w:after="0"/>
              <w:rPr>
                <w:sz w:val="20"/>
                <w:szCs w:val="20"/>
                <w:color w:val="auto"/>
              </w:rPr>
            </w:pPr>
            <w:r>
              <w:rPr>
                <w:rFonts w:ascii="Arial" w:cs="Arial" w:eastAsia="Arial" w:hAnsi="Arial"/>
                <w:sz w:val="17"/>
                <w:szCs w:val="17"/>
                <w:color w:val="282A32"/>
              </w:rPr>
              <w:t>$0.1</w:t>
            </w:r>
          </w:p>
        </w:tc>
        <w:tc>
          <w:tcPr>
            <w:tcW w:w="760" w:type="dxa"/>
            <w:vAlign w:val="bottom"/>
          </w:tcPr>
          <w:p>
            <w:pPr>
              <w:jc w:val="right"/>
              <w:ind w:right="17"/>
              <w:spacing w:after="0"/>
              <w:rPr>
                <w:sz w:val="20"/>
                <w:szCs w:val="20"/>
                <w:color w:val="auto"/>
              </w:rPr>
            </w:pPr>
            <w:r>
              <w:rPr>
                <w:rFonts w:ascii="Arial" w:cs="Arial" w:eastAsia="Arial" w:hAnsi="Arial"/>
                <w:sz w:val="17"/>
                <w:szCs w:val="17"/>
                <w:color w:val="282A32"/>
              </w:rPr>
              <w:t>$—</w:t>
            </w:r>
          </w:p>
        </w:tc>
      </w:tr>
      <w:tr>
        <w:trPr>
          <w:trHeight w:val="25"/>
        </w:trPr>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sectPr>
          <w:pgSz w:w="11900" w:h="16838" w:orient="portrait"/>
          <w:cols w:equalWidth="0" w:num="2">
            <w:col w:w="6940" w:space="120"/>
            <w:col w:w="4360"/>
          </w:cols>
          <w:pgMar w:left="240" w:top="351" w:right="239" w:bottom="1440" w:gutter="0" w:footer="0" w:header="0"/>
        </w:sectPr>
      </w:pPr>
    </w:p>
    <w:p>
      <w:pPr>
        <w:jc w:val="both"/>
        <w:spacing w:after="0" w:line="265" w:lineRule="auto"/>
        <w:rPr>
          <w:sz w:val="20"/>
          <w:szCs w:val="20"/>
          <w:color w:val="auto"/>
        </w:rPr>
      </w:pPr>
      <w:r>
        <w:rPr>
          <w:rFonts w:ascii="Arial" w:cs="Arial" w:eastAsia="Arial" w:hAnsi="Arial"/>
          <w:sz w:val="17"/>
          <w:szCs w:val="17"/>
          <w:color w:val="282A32"/>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third parties.</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The carrying values of cash and cash equivalents, accounts receivable, accounts payable, and other current assets and liabilities approximate their fair values because of the short-term nature of these instruments. The carrying value of our variable-rate long-term debt approximates fair value. The fair value of the Euro-denominated notes, as observable at commonly quoted intervals (Level 2 inputs), was $1,052.9 and $939.9 as of December 31, 2018 and 2017, respectively, compared to a carrying value of $1,024.6 and $897.8,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Goodwill and Other Intangible Assets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We had goodwill, finite-lived intangible assets and indefinite-lived intangible assets as follows:</w:t>
      </w:r>
    </w:p>
    <w:p>
      <w:pPr>
        <w:sectPr>
          <w:pgSz w:w="11900" w:h="16838" w:orient="portrait"/>
          <w:cols w:equalWidth="0" w:num="1">
            <w:col w:w="11420"/>
          </w:cols>
          <w:pgMar w:left="240" w:top="351" w:right="239" w:bottom="1440" w:gutter="0" w:footer="0" w:header="0"/>
          <w:type w:val="continuous"/>
        </w:sectPr>
      </w:pPr>
    </w:p>
    <w:p>
      <w:pPr>
        <w:spacing w:after="0" w:line="149" w:lineRule="exact"/>
        <w:rPr>
          <w:sz w:val="20"/>
          <w:szCs w:val="20"/>
          <w:color w:val="auto"/>
        </w:rPr>
      </w:pPr>
    </w:p>
    <w:p>
      <w:pPr>
        <w:ind w:left="4340"/>
        <w:spacing w:after="0"/>
        <w:rPr>
          <w:sz w:val="20"/>
          <w:szCs w:val="20"/>
          <w:color w:val="auto"/>
        </w:rPr>
      </w:pPr>
      <w:r>
        <w:rPr>
          <w:rFonts w:ascii="Arial" w:cs="Arial" w:eastAsia="Arial" w:hAnsi="Arial"/>
          <w:sz w:val="17"/>
          <w:szCs w:val="17"/>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28575</wp:posOffset>
            </wp:positionV>
            <wp:extent cx="449516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95165" cy="7620"/>
                    </a:xfrm>
                    <a:prstGeom prst="rect">
                      <a:avLst/>
                    </a:prstGeom>
                    <a:noFill/>
                  </pic:spPr>
                </pic:pic>
              </a:graphicData>
            </a:graphic>
          </wp:anchor>
        </w:drawing>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199"/>
        </w:trPr>
        <w:tc>
          <w:tcPr>
            <w:tcW w:w="2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jc w:val="right"/>
              <w:ind w:right="197"/>
              <w:spacing w:after="0"/>
              <w:rPr>
                <w:sz w:val="20"/>
                <w:szCs w:val="20"/>
                <w:color w:val="auto"/>
              </w:rPr>
            </w:pPr>
            <w:r>
              <w:rPr>
                <w:rFonts w:ascii="Arial" w:cs="Arial" w:eastAsia="Arial" w:hAnsi="Arial"/>
                <w:sz w:val="17"/>
                <w:szCs w:val="17"/>
                <w:b w:val="1"/>
                <w:bCs w:val="1"/>
                <w:color w:val="auto"/>
                <w:w w:val="95"/>
              </w:rPr>
              <w:t>Accumulated</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2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jc w:val="right"/>
              <w:ind w:right="357"/>
              <w:spacing w:after="0"/>
              <w:rPr>
                <w:sz w:val="20"/>
                <w:szCs w:val="20"/>
                <w:color w:val="auto"/>
              </w:rPr>
            </w:pPr>
            <w:r>
              <w:rPr>
                <w:rFonts w:ascii="Arial" w:cs="Arial" w:eastAsia="Arial" w:hAnsi="Arial"/>
                <w:sz w:val="17"/>
                <w:szCs w:val="17"/>
                <w:b w:val="1"/>
                <w:bCs w:val="1"/>
                <w:color w:val="auto"/>
              </w:rPr>
              <w:t>Gross</w:t>
            </w:r>
          </w:p>
        </w:tc>
        <w:tc>
          <w:tcPr>
            <w:tcW w:w="300" w:type="dxa"/>
            <w:vAlign w:val="bottom"/>
          </w:tcPr>
          <w:p>
            <w:pPr>
              <w:spacing w:after="0"/>
              <w:rPr>
                <w:sz w:val="18"/>
                <w:szCs w:val="18"/>
                <w:color w:val="auto"/>
              </w:rPr>
            </w:pPr>
          </w:p>
        </w:tc>
        <w:tc>
          <w:tcPr>
            <w:tcW w:w="1320" w:type="dxa"/>
            <w:vAlign w:val="bottom"/>
          </w:tcPr>
          <w:p>
            <w:pPr>
              <w:jc w:val="right"/>
              <w:ind w:right="197"/>
              <w:spacing w:after="0"/>
              <w:rPr>
                <w:sz w:val="20"/>
                <w:szCs w:val="20"/>
                <w:color w:val="auto"/>
              </w:rPr>
            </w:pPr>
            <w:r>
              <w:rPr>
                <w:rFonts w:ascii="Arial" w:cs="Arial" w:eastAsia="Arial" w:hAnsi="Arial"/>
                <w:sz w:val="17"/>
                <w:szCs w:val="17"/>
                <w:b w:val="1"/>
                <w:bCs w:val="1"/>
                <w:color w:val="auto"/>
                <w:w w:val="98"/>
              </w:rPr>
              <w:t>Amortization</w:t>
            </w:r>
          </w:p>
        </w:tc>
        <w:tc>
          <w:tcPr>
            <w:tcW w:w="400" w:type="dxa"/>
            <w:vAlign w:val="bottom"/>
          </w:tcPr>
          <w:p>
            <w:pPr>
              <w:spacing w:after="0"/>
              <w:rPr>
                <w:sz w:val="18"/>
                <w:szCs w:val="18"/>
                <w:color w:val="auto"/>
              </w:rPr>
            </w:pPr>
          </w:p>
        </w:tc>
        <w:tc>
          <w:tcPr>
            <w:tcW w:w="940" w:type="dxa"/>
            <w:vAlign w:val="bottom"/>
          </w:tcPr>
          <w:p>
            <w:pPr>
              <w:jc w:val="right"/>
              <w:ind w:right="417"/>
              <w:spacing w:after="0"/>
              <w:rPr>
                <w:sz w:val="20"/>
                <w:szCs w:val="20"/>
                <w:color w:val="auto"/>
              </w:rPr>
            </w:pPr>
            <w:r>
              <w:rPr>
                <w:rFonts w:ascii="Arial" w:cs="Arial" w:eastAsia="Arial" w:hAnsi="Arial"/>
                <w:sz w:val="17"/>
                <w:szCs w:val="17"/>
                <w:b w:val="1"/>
                <w:bCs w:val="1"/>
                <w:color w:val="auto"/>
              </w:rPr>
              <w:t>Net</w:t>
            </w:r>
          </w:p>
        </w:tc>
      </w:tr>
      <w:tr>
        <w:trPr>
          <w:trHeight w:val="25"/>
        </w:trPr>
        <w:tc>
          <w:tcPr>
            <w:tcW w:w="2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2"/>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Goodwill</w:t>
            </w:r>
            <w:r>
              <w:rPr>
                <w:rFonts w:ascii="Arial" w:cs="Arial" w:eastAsia="Arial" w:hAnsi="Arial"/>
                <w:sz w:val="19"/>
                <w:szCs w:val="19"/>
                <w:color w:val="auto"/>
                <w:vertAlign w:val="superscript"/>
              </w:rPr>
              <w:t>(1)</w:t>
            </w: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1,297.1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1,297.1</w:t>
            </w:r>
          </w:p>
        </w:tc>
      </w:tr>
      <w:tr>
        <w:trPr>
          <w:trHeight w:val="217"/>
        </w:trPr>
        <w:tc>
          <w:tcPr>
            <w:tcW w:w="2340" w:type="dxa"/>
            <w:vAlign w:val="bottom"/>
          </w:tcPr>
          <w:p>
            <w:pPr>
              <w:ind w:left="20"/>
              <w:spacing w:after="0"/>
              <w:rPr>
                <w:sz w:val="20"/>
                <w:szCs w:val="20"/>
                <w:color w:val="auto"/>
              </w:rPr>
            </w:pPr>
            <w:r>
              <w:rPr>
                <w:rFonts w:ascii="Arial" w:cs="Arial" w:eastAsia="Arial" w:hAnsi="Arial"/>
                <w:sz w:val="17"/>
                <w:szCs w:val="17"/>
                <w:color w:val="auto"/>
              </w:rPr>
              <w:t>Intangible assets:</w:t>
            </w: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9"/>
        </w:trPr>
        <w:tc>
          <w:tcPr>
            <w:tcW w:w="2340" w:type="dxa"/>
            <w:vAlign w:val="bottom"/>
          </w:tcPr>
          <w:p>
            <w:pPr>
              <w:ind w:left="100"/>
              <w:spacing w:after="0"/>
              <w:rPr>
                <w:sz w:val="20"/>
                <w:szCs w:val="20"/>
                <w:color w:val="auto"/>
              </w:rPr>
            </w:pPr>
            <w:r>
              <w:rPr>
                <w:rFonts w:ascii="Arial" w:cs="Arial" w:eastAsia="Arial" w:hAnsi="Arial"/>
                <w:sz w:val="17"/>
                <w:szCs w:val="17"/>
                <w:color w:val="auto"/>
              </w:rPr>
              <w:t>Finite-lived:</w:t>
            </w:r>
          </w:p>
        </w:tc>
        <w:tc>
          <w:tcPr>
            <w:tcW w:w="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9"/>
        </w:trPr>
        <w:tc>
          <w:tcPr>
            <w:tcW w:w="2340" w:type="dxa"/>
            <w:vAlign w:val="bottom"/>
          </w:tcPr>
          <w:p>
            <w:pPr>
              <w:ind w:left="280"/>
              <w:spacing w:after="0"/>
              <w:rPr>
                <w:sz w:val="20"/>
                <w:szCs w:val="20"/>
                <w:color w:val="auto"/>
              </w:rPr>
            </w:pPr>
            <w:r>
              <w:rPr>
                <w:rFonts w:ascii="Arial" w:cs="Arial" w:eastAsia="Arial" w:hAnsi="Arial"/>
                <w:sz w:val="17"/>
                <w:szCs w:val="17"/>
                <w:color w:val="auto"/>
              </w:rPr>
              <w:t>Customer relationships</w:t>
            </w:r>
          </w:p>
        </w:tc>
        <w:tc>
          <w:tcPr>
            <w:tcW w:w="76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444.8</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351.7</w:t>
            </w:r>
          </w:p>
        </w:tc>
        <w:tc>
          <w:tcPr>
            <w:tcW w:w="40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93.1</w:t>
            </w:r>
          </w:p>
        </w:tc>
      </w:tr>
      <w:tr>
        <w:trPr>
          <w:trHeight w:val="249"/>
        </w:trPr>
        <w:tc>
          <w:tcPr>
            <w:tcW w:w="2340" w:type="dxa"/>
            <w:vAlign w:val="bottom"/>
          </w:tcPr>
          <w:p>
            <w:pPr>
              <w:ind w:left="280"/>
              <w:spacing w:after="0"/>
              <w:rPr>
                <w:sz w:val="20"/>
                <w:szCs w:val="20"/>
                <w:color w:val="auto"/>
              </w:rPr>
            </w:pPr>
            <w:r>
              <w:rPr>
                <w:rFonts w:ascii="Arial" w:cs="Arial" w:eastAsia="Arial" w:hAnsi="Arial"/>
                <w:sz w:val="17"/>
                <w:szCs w:val="17"/>
                <w:color w:val="auto"/>
              </w:rPr>
              <w:t>Other</w:t>
            </w:r>
          </w:p>
        </w:tc>
        <w:tc>
          <w:tcPr>
            <w:tcW w:w="760" w:type="dxa"/>
            <w:vAlign w:val="bottom"/>
          </w:tcPr>
          <w:p>
            <w:pPr>
              <w:spacing w:after="0"/>
              <w:rPr>
                <w:sz w:val="21"/>
                <w:szCs w:val="21"/>
                <w:color w:val="auto"/>
              </w:rPr>
            </w:pP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18.5</w:t>
            </w:r>
          </w:p>
        </w:tc>
        <w:tc>
          <w:tcPr>
            <w:tcW w:w="30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16.0</w:t>
            </w:r>
          </w:p>
        </w:tc>
        <w:tc>
          <w:tcPr>
            <w:tcW w:w="4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2.5</w:t>
            </w:r>
          </w:p>
        </w:tc>
      </w:tr>
      <w:tr>
        <w:trPr>
          <w:trHeight w:val="25"/>
        </w:trPr>
        <w:tc>
          <w:tcPr>
            <w:tcW w:w="2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jc w:val="right"/>
              <w:ind w:right="57"/>
              <w:spacing w:after="0"/>
              <w:rPr>
                <w:sz w:val="20"/>
                <w:szCs w:val="20"/>
                <w:color w:val="auto"/>
              </w:rPr>
            </w:pPr>
            <w:r>
              <w:rPr>
                <w:rFonts w:ascii="Arial" w:cs="Arial" w:eastAsia="Arial" w:hAnsi="Arial"/>
                <w:sz w:val="17"/>
                <w:szCs w:val="17"/>
                <w:color w:val="auto"/>
              </w:rPr>
              <w:t>463.3</w:t>
            </w:r>
          </w:p>
        </w:tc>
        <w:tc>
          <w:tcPr>
            <w:tcW w:w="300" w:type="dxa"/>
            <w:vAlign w:val="bottom"/>
          </w:tcPr>
          <w:p>
            <w:pPr>
              <w:spacing w:after="0"/>
              <w:rPr>
                <w:sz w:val="18"/>
                <w:szCs w:val="18"/>
                <w:color w:val="auto"/>
              </w:rPr>
            </w:pPr>
          </w:p>
        </w:tc>
        <w:tc>
          <w:tcPr>
            <w:tcW w:w="1320" w:type="dxa"/>
            <w:vAlign w:val="bottom"/>
          </w:tcPr>
          <w:p>
            <w:pPr>
              <w:jc w:val="right"/>
              <w:ind w:right="37"/>
              <w:spacing w:after="0"/>
              <w:rPr>
                <w:sz w:val="20"/>
                <w:szCs w:val="20"/>
                <w:color w:val="auto"/>
              </w:rPr>
            </w:pPr>
            <w:r>
              <w:rPr>
                <w:rFonts w:ascii="Arial" w:cs="Arial" w:eastAsia="Arial" w:hAnsi="Arial"/>
                <w:sz w:val="17"/>
                <w:szCs w:val="17"/>
                <w:color w:val="auto"/>
              </w:rPr>
              <w:t>367.7</w:t>
            </w:r>
          </w:p>
        </w:tc>
        <w:tc>
          <w:tcPr>
            <w:tcW w:w="4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95.6</w:t>
            </w:r>
          </w:p>
        </w:tc>
      </w:tr>
      <w:tr>
        <w:trPr>
          <w:trHeight w:val="25"/>
        </w:trPr>
        <w:tc>
          <w:tcPr>
            <w:tcW w:w="2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340" w:type="dxa"/>
            <w:vAlign w:val="bottom"/>
          </w:tcPr>
          <w:p>
            <w:pPr>
              <w:ind w:left="140"/>
              <w:spacing w:after="0"/>
              <w:rPr>
                <w:sz w:val="20"/>
                <w:szCs w:val="20"/>
                <w:color w:val="auto"/>
              </w:rPr>
            </w:pPr>
            <w:r>
              <w:rPr>
                <w:rFonts w:ascii="Arial" w:cs="Arial" w:eastAsia="Arial" w:hAnsi="Arial"/>
                <w:sz w:val="17"/>
                <w:szCs w:val="17"/>
                <w:color w:val="auto"/>
              </w:rPr>
              <w:t>Indefinite-lived:</w:t>
            </w: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-1123315</wp:posOffset>
            </wp:positionV>
            <wp:extent cx="7209790" cy="166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9790" cy="166370"/>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-790575</wp:posOffset>
            </wp:positionV>
            <wp:extent cx="7209790" cy="1581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9790" cy="15811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-474345</wp:posOffset>
            </wp:positionV>
            <wp:extent cx="7209790" cy="1581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9790" cy="158115"/>
                    </a:xfrm>
                    <a:prstGeom prst="rect">
                      <a:avLst/>
                    </a:prstGeom>
                    <a:noFill/>
                  </pic:spPr>
                </pic:pic>
              </a:graphicData>
            </a:graphic>
          </wp:anchor>
        </w:drawing>
        <w:drawing>
          <wp:anchor simplePos="0" relativeHeight="251657728" behindDoc="1" locked="0" layoutInCell="0" allowOverlap="1">
            <wp:simplePos x="0" y="0"/>
            <wp:positionH relativeFrom="column">
              <wp:posOffset>23495</wp:posOffset>
            </wp:positionH>
            <wp:positionV relativeFrom="paragraph">
              <wp:posOffset>-149860</wp:posOffset>
            </wp:positionV>
            <wp:extent cx="7209790" cy="166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9790" cy="166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264350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43505" cy="762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197"/>
              <w:spacing w:after="0"/>
              <w:rPr>
                <w:sz w:val="20"/>
                <w:szCs w:val="20"/>
                <w:color w:val="auto"/>
              </w:rPr>
            </w:pPr>
            <w:r>
              <w:rPr>
                <w:rFonts w:ascii="Arial" w:cs="Arial" w:eastAsia="Arial" w:hAnsi="Arial"/>
                <w:sz w:val="17"/>
                <w:szCs w:val="17"/>
                <w:b w:val="1"/>
                <w:bCs w:val="1"/>
                <w:color w:val="auto"/>
                <w:w w:val="93"/>
              </w:rPr>
              <w:t>Accumulated</w:t>
            </w: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260" w:type="dxa"/>
            <w:vAlign w:val="bottom"/>
          </w:tcPr>
          <w:p>
            <w:pPr>
              <w:spacing w:after="0"/>
              <w:rPr>
                <w:sz w:val="18"/>
                <w:szCs w:val="18"/>
                <w:color w:val="auto"/>
              </w:rPr>
            </w:pPr>
          </w:p>
        </w:tc>
        <w:tc>
          <w:tcPr>
            <w:tcW w:w="1000" w:type="dxa"/>
            <w:vAlign w:val="bottom"/>
          </w:tcPr>
          <w:p>
            <w:pPr>
              <w:jc w:val="right"/>
              <w:ind w:right="337"/>
              <w:spacing w:after="0"/>
              <w:rPr>
                <w:sz w:val="20"/>
                <w:szCs w:val="20"/>
                <w:color w:val="auto"/>
              </w:rPr>
            </w:pPr>
            <w:r>
              <w:rPr>
                <w:rFonts w:ascii="Arial" w:cs="Arial" w:eastAsia="Arial" w:hAnsi="Arial"/>
                <w:sz w:val="17"/>
                <w:szCs w:val="17"/>
                <w:b w:val="1"/>
                <w:bCs w:val="1"/>
                <w:color w:val="auto"/>
              </w:rPr>
              <w:t>Gross</w:t>
            </w:r>
          </w:p>
        </w:tc>
        <w:tc>
          <w:tcPr>
            <w:tcW w:w="280" w:type="dxa"/>
            <w:vAlign w:val="bottom"/>
          </w:tcPr>
          <w:p>
            <w:pPr>
              <w:spacing w:after="0"/>
              <w:rPr>
                <w:sz w:val="18"/>
                <w:szCs w:val="18"/>
                <w:color w:val="auto"/>
              </w:rPr>
            </w:pPr>
          </w:p>
        </w:tc>
        <w:tc>
          <w:tcPr>
            <w:tcW w:w="1300" w:type="dxa"/>
            <w:vAlign w:val="bottom"/>
          </w:tcPr>
          <w:p>
            <w:pPr>
              <w:jc w:val="right"/>
              <w:ind w:right="197"/>
              <w:spacing w:after="0"/>
              <w:rPr>
                <w:sz w:val="20"/>
                <w:szCs w:val="20"/>
                <w:color w:val="auto"/>
              </w:rPr>
            </w:pPr>
            <w:r>
              <w:rPr>
                <w:rFonts w:ascii="Arial" w:cs="Arial" w:eastAsia="Arial" w:hAnsi="Arial"/>
                <w:sz w:val="17"/>
                <w:szCs w:val="17"/>
                <w:b w:val="1"/>
                <w:bCs w:val="1"/>
                <w:color w:val="auto"/>
                <w:w w:val="96"/>
              </w:rPr>
              <w:t>Amortization</w:t>
            </w:r>
          </w:p>
        </w:tc>
        <w:tc>
          <w:tcPr>
            <w:tcW w:w="400" w:type="dxa"/>
            <w:vAlign w:val="bottom"/>
          </w:tcPr>
          <w:p>
            <w:pPr>
              <w:spacing w:after="0"/>
              <w:rPr>
                <w:sz w:val="18"/>
                <w:szCs w:val="18"/>
                <w:color w:val="auto"/>
              </w:rPr>
            </w:pPr>
          </w:p>
        </w:tc>
        <w:tc>
          <w:tcPr>
            <w:tcW w:w="940" w:type="dxa"/>
            <w:vAlign w:val="bottom"/>
          </w:tcPr>
          <w:p>
            <w:pPr>
              <w:jc w:val="right"/>
              <w:ind w:right="417"/>
              <w:spacing w:after="0"/>
              <w:rPr>
                <w:sz w:val="20"/>
                <w:szCs w:val="20"/>
                <w:color w:val="auto"/>
              </w:rPr>
            </w:pPr>
            <w:r>
              <w:rPr>
                <w:rFonts w:ascii="Arial" w:cs="Arial" w:eastAsia="Arial" w:hAnsi="Arial"/>
                <w:sz w:val="17"/>
                <w:szCs w:val="17"/>
                <w:b w:val="1"/>
                <w:bCs w:val="1"/>
                <w:color w:val="auto"/>
              </w:rPr>
              <w:t>Net</w:t>
            </w:r>
          </w:p>
        </w:tc>
      </w:tr>
      <w:tr>
        <w:trPr>
          <w:trHeight w:val="25"/>
        </w:trPr>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1,343.0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40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1,343.0</w:t>
            </w:r>
          </w:p>
        </w:tc>
      </w:tr>
      <w:tr>
        <w:trPr>
          <w:trHeight w:val="25"/>
        </w:trPr>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715"/>
        </w:trPr>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453.6</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325.2</w:t>
            </w:r>
          </w:p>
        </w:tc>
        <w:tc>
          <w:tcPr>
            <w:tcW w:w="400" w:type="dxa"/>
            <w:vAlign w:val="bottom"/>
          </w:tcPr>
          <w:p>
            <w:pPr>
              <w:jc w:val="right"/>
              <w:ind w:right="117"/>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128.4</w:t>
            </w:r>
          </w:p>
        </w:tc>
      </w:tr>
      <w:tr>
        <w:trPr>
          <w:trHeight w:val="249"/>
        </w:trPr>
        <w:tc>
          <w:tcPr>
            <w:tcW w:w="26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19.3</w:t>
            </w:r>
          </w:p>
        </w:tc>
        <w:tc>
          <w:tcPr>
            <w:tcW w:w="28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14.7</w:t>
            </w:r>
          </w:p>
        </w:tc>
        <w:tc>
          <w:tcPr>
            <w:tcW w:w="400" w:type="dxa"/>
            <w:vAlign w:val="bottom"/>
          </w:tcPr>
          <w:p>
            <w:pPr>
              <w:spacing w:after="0"/>
              <w:rPr>
                <w:sz w:val="21"/>
                <w:szCs w:val="21"/>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4.6</w:t>
            </w:r>
          </w:p>
        </w:tc>
      </w:tr>
      <w:tr>
        <w:trPr>
          <w:trHeight w:val="25"/>
        </w:trPr>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260" w:type="dxa"/>
            <w:vAlign w:val="bottom"/>
          </w:tcPr>
          <w:p>
            <w:pPr>
              <w:spacing w:after="0"/>
              <w:rPr>
                <w:sz w:val="18"/>
                <w:szCs w:val="18"/>
                <w:color w:val="auto"/>
              </w:rPr>
            </w:pPr>
          </w:p>
        </w:tc>
        <w:tc>
          <w:tcPr>
            <w:tcW w:w="1000" w:type="dxa"/>
            <w:vAlign w:val="bottom"/>
          </w:tcPr>
          <w:p>
            <w:pPr>
              <w:jc w:val="right"/>
              <w:ind w:right="37"/>
              <w:spacing w:after="0"/>
              <w:rPr>
                <w:sz w:val="20"/>
                <w:szCs w:val="20"/>
                <w:color w:val="auto"/>
              </w:rPr>
            </w:pPr>
            <w:r>
              <w:rPr>
                <w:rFonts w:ascii="Arial" w:cs="Arial" w:eastAsia="Arial" w:hAnsi="Arial"/>
                <w:sz w:val="17"/>
                <w:szCs w:val="17"/>
                <w:color w:val="auto"/>
              </w:rPr>
              <w:t>472.9</w:t>
            </w:r>
          </w:p>
        </w:tc>
        <w:tc>
          <w:tcPr>
            <w:tcW w:w="280" w:type="dxa"/>
            <w:vAlign w:val="bottom"/>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7"/>
                <w:szCs w:val="17"/>
                <w:color w:val="auto"/>
              </w:rPr>
              <w:t>339.9</w:t>
            </w:r>
          </w:p>
        </w:tc>
        <w:tc>
          <w:tcPr>
            <w:tcW w:w="40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133.0</w:t>
            </w:r>
          </w:p>
        </w:tc>
      </w:tr>
      <w:tr>
        <w:trPr>
          <w:trHeight w:val="25"/>
        </w:trPr>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61" w:lineRule="exact"/>
        <w:rPr>
          <w:sz w:val="20"/>
          <w:szCs w:val="20"/>
          <w:color w:val="auto"/>
        </w:rPr>
      </w:pPr>
    </w:p>
    <w:p>
      <w:pPr>
        <w:sectPr>
          <w:pgSz w:w="11900" w:h="16838" w:orient="portrait"/>
          <w:cols w:equalWidth="0" w:num="2">
            <w:col w:w="7120" w:space="100"/>
            <w:col w:w="4200"/>
          </w:cols>
          <w:pgMar w:left="240" w:top="351" w:right="239" w:bottom="1440" w:gutter="0" w:footer="0" w:header="0"/>
          <w:type w:val="continuous"/>
        </w:sectPr>
      </w:pPr>
    </w:p>
    <w:tbl>
      <w:tblPr>
        <w:tblLayout w:type="fixed"/>
        <w:tblInd w:w="40" w:type="dxa"/>
        <w:tblCellMar>
          <w:top w:w="0" w:type="dxa"/>
          <w:left w:w="0" w:type="dxa"/>
          <w:bottom w:w="0" w:type="dxa"/>
          <w:right w:w="0" w:type="dxa"/>
        </w:tblCellMar>
      </w:tblPr>
      <w:tr>
        <w:trPr>
          <w:trHeight w:val="237"/>
        </w:trPr>
        <w:tc>
          <w:tcPr>
            <w:tcW w:w="2500" w:type="dxa"/>
            <w:vAlign w:val="bottom"/>
          </w:tcPr>
          <w:p>
            <w:pPr>
              <w:ind w:left="340"/>
              <w:spacing w:after="0"/>
              <w:rPr>
                <w:sz w:val="20"/>
                <w:szCs w:val="20"/>
                <w:color w:val="auto"/>
              </w:rPr>
            </w:pPr>
            <w:r>
              <w:rPr>
                <w:rFonts w:ascii="Arial" w:cs="Arial" w:eastAsia="Arial" w:hAnsi="Arial"/>
                <w:sz w:val="17"/>
                <w:szCs w:val="17"/>
                <w:color w:val="auto"/>
              </w:rPr>
              <w:t>Tradenames</w:t>
            </w:r>
            <w:r>
              <w:rPr>
                <w:rFonts w:ascii="Arial" w:cs="Arial" w:eastAsia="Arial" w:hAnsi="Arial"/>
                <w:sz w:val="19"/>
                <w:szCs w:val="19"/>
                <w:color w:val="auto"/>
                <w:vertAlign w:val="superscript"/>
              </w:rPr>
              <w:t>(2)</w:t>
            </w:r>
          </w:p>
        </w:tc>
        <w:tc>
          <w:tcPr>
            <w:tcW w:w="780" w:type="dxa"/>
            <w:vAlign w:val="bottom"/>
          </w:tcPr>
          <w:p>
            <w:pPr>
              <w:spacing w:after="0"/>
              <w:rPr>
                <w:sz w:val="20"/>
                <w:szCs w:val="20"/>
                <w:color w:val="auto"/>
              </w:rPr>
            </w:pPr>
          </w:p>
        </w:tc>
        <w:tc>
          <w:tcPr>
            <w:tcW w:w="840" w:type="dxa"/>
            <w:vAlign w:val="bottom"/>
          </w:tcPr>
          <w:p>
            <w:pPr>
              <w:jc w:val="right"/>
              <w:ind w:right="57"/>
              <w:spacing w:after="0"/>
              <w:rPr>
                <w:sz w:val="20"/>
                <w:szCs w:val="20"/>
                <w:color w:val="auto"/>
              </w:rPr>
            </w:pPr>
            <w:r>
              <w:rPr>
                <w:rFonts w:ascii="Arial" w:cs="Arial" w:eastAsia="Arial" w:hAnsi="Arial"/>
                <w:sz w:val="17"/>
                <w:szCs w:val="17"/>
                <w:color w:val="auto"/>
              </w:rPr>
              <w:t>52.0</w:t>
            </w:r>
          </w:p>
        </w:tc>
        <w:tc>
          <w:tcPr>
            <w:tcW w:w="680" w:type="dxa"/>
            <w:vAlign w:val="bottom"/>
          </w:tcPr>
          <w:p>
            <w:pPr>
              <w:spacing w:after="0"/>
              <w:rPr>
                <w:sz w:val="20"/>
                <w:szCs w:val="20"/>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Arial" w:cs="Arial" w:eastAsia="Arial" w:hAnsi="Arial"/>
                <w:sz w:val="17"/>
                <w:szCs w:val="17"/>
                <w:color w:val="auto"/>
              </w:rPr>
              <w:t>52.0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52.0</w:t>
            </w:r>
          </w:p>
        </w:tc>
        <w:tc>
          <w:tcPr>
            <w:tcW w:w="640" w:type="dxa"/>
            <w:vAlign w:val="bottom"/>
          </w:tcPr>
          <w:p>
            <w:pPr>
              <w:spacing w:after="0"/>
              <w:rPr>
                <w:sz w:val="20"/>
                <w:szCs w:val="20"/>
                <w:color w:val="auto"/>
              </w:rPr>
            </w:pPr>
          </w:p>
        </w:tc>
        <w:tc>
          <w:tcPr>
            <w:tcW w:w="9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7"/>
                <w:szCs w:val="17"/>
                <w:color w:val="auto"/>
              </w:rPr>
              <w:t>52.0</w:t>
            </w:r>
          </w:p>
        </w:tc>
      </w:tr>
      <w:tr>
        <w:trPr>
          <w:trHeight w:val="249"/>
        </w:trPr>
        <w:tc>
          <w:tcPr>
            <w:tcW w:w="2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Reacquired franchise rights</w:t>
            </w:r>
          </w:p>
        </w:tc>
        <w:tc>
          <w:tcPr>
            <w:tcW w:w="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98.7</w:t>
            </w:r>
          </w:p>
        </w:tc>
        <w:tc>
          <w:tcPr>
            <w:tcW w:w="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99.0</w:t>
            </w:r>
          </w:p>
        </w:tc>
        <w:tc>
          <w:tcPr>
            <w:tcW w:w="6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99.0</w:t>
            </w:r>
          </w:p>
        </w:tc>
      </w:tr>
      <w:tr>
        <w:trPr>
          <w:trHeight w:val="217"/>
        </w:trPr>
        <w:tc>
          <w:tcPr>
            <w:tcW w:w="25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rPr>
              <w:t>150.7</w:t>
            </w:r>
          </w:p>
        </w:tc>
        <w:tc>
          <w:tcPr>
            <w:tcW w:w="6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150.7</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151.0</w:t>
            </w:r>
          </w:p>
        </w:tc>
        <w:tc>
          <w:tcPr>
            <w:tcW w:w="6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151.0</w:t>
            </w:r>
          </w:p>
        </w:tc>
      </w:tr>
      <w:tr>
        <w:trPr>
          <w:trHeight w:val="25"/>
        </w:trPr>
        <w:tc>
          <w:tcPr>
            <w:tcW w:w="2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2"/>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w:t>
            </w:r>
          </w:p>
        </w:tc>
        <w:tc>
          <w:tcPr>
            <w:tcW w:w="7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614.0</w:t>
            </w:r>
          </w:p>
        </w:tc>
        <w:tc>
          <w:tcPr>
            <w:tcW w:w="68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367.7</w:t>
            </w:r>
          </w:p>
        </w:tc>
        <w:tc>
          <w:tcPr>
            <w:tcW w:w="5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246.3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623.9</w:t>
            </w:r>
          </w:p>
        </w:tc>
        <w:tc>
          <w:tcPr>
            <w:tcW w:w="64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339.9</w:t>
            </w:r>
          </w:p>
        </w:tc>
        <w:tc>
          <w:tcPr>
            <w:tcW w:w="52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284.0</w:t>
            </w:r>
          </w:p>
        </w:tc>
      </w:tr>
      <w:tr>
        <w:trPr>
          <w:trHeight w:val="20"/>
        </w:trPr>
        <w:tc>
          <w:tcPr>
            <w:tcW w:w="2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r>
    </w:tbl>
    <w:p>
      <w:pPr>
        <w:spacing w:after="0" w:line="42" w:lineRule="exact"/>
        <w:rPr>
          <w:sz w:val="20"/>
          <w:szCs w:val="20"/>
          <w:color w:val="auto"/>
        </w:rPr>
      </w:pPr>
    </w:p>
    <w:p>
      <w:pPr>
        <w:ind w:left="220" w:hanging="220"/>
        <w:spacing w:after="0"/>
        <w:tabs>
          <w:tab w:leader="none" w:pos="2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Balances were net of accumulated impairment loss of $513.4 as of both December 31, 2018 and 2017.</w:t>
      </w:r>
    </w:p>
    <w:p>
      <w:pPr>
        <w:spacing w:after="0" w:line="101" w:lineRule="exact"/>
        <w:rPr>
          <w:rFonts w:ascii="Arial" w:cs="Arial" w:eastAsia="Arial" w:hAnsi="Arial"/>
          <w:sz w:val="15"/>
          <w:szCs w:val="15"/>
          <w:color w:val="auto"/>
        </w:rPr>
      </w:pPr>
    </w:p>
    <w:p>
      <w:pPr>
        <w:ind w:left="220" w:hanging="220"/>
        <w:spacing w:after="0"/>
        <w:tabs>
          <w:tab w:leader="none" w:pos="2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Balances were net of accumulated impairment loss of $139.5 as of both December 31, 2018 and 2017.</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351" w:right="239" w:bottom="1440" w:gutter="0" w:footer="0" w:header="0"/>
          <w:type w:val="continuous"/>
        </w:sectPr>
      </w:pPr>
    </w:p>
    <w:bookmarkStart w:id="58" w:name="page59"/>
    <w:bookmarkEnd w:id="58"/>
    <w:p>
      <w:pPr>
        <w:jc w:val="both"/>
        <w:spacing w:after="0" w:line="291" w:lineRule="auto"/>
        <w:rPr>
          <w:sz w:val="20"/>
          <w:szCs w:val="20"/>
          <w:color w:val="auto"/>
        </w:rPr>
      </w:pPr>
      <w:r>
        <w:rPr>
          <w:rFonts w:ascii="Arial" w:cs="Arial" w:eastAsia="Arial" w:hAnsi="Arial"/>
          <w:sz w:val="15"/>
          <w:szCs w:val="15"/>
          <w:color w:val="282A32"/>
        </w:rPr>
        <w:t>Amortization expense related to intangibles was $35.1, $34.6 and $36.0 in 2018, 2017 and 2016, respectively. Amortization expense expected in each of the next five years related to acquisitions completed as of December 31, 2018 is as follows: 2019 - $29.0, 2020 - $24.2, 2021 - $13.4, 2022 - $9.9 and 2023 - $7.7. The weighted-average useful lives of the customer relationships and other are approximately 13 and 4 years, respectively. The tradenames have been assigned an indefinite life based on our expectation of renewing the tradenames, as required, without material modifications and at a minimal cost, and our expectation of positive cash flows beyond the foreseeable future. The reacquired franchise rights result from our franchise acquisitions in the United States and Canada completed prior to 2009.</w:t>
      </w:r>
    </w:p>
    <w:p>
      <w:pPr>
        <w:spacing w:after="0" w:line="151"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282A32"/>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We performed our annual impairment test of our goodwill and indefinite-lived intangible assets during the third quarter of 2018, 2017 and 2016, and determined that there was no impairment of our goodwill or indefinite-lived intangible as a result of our annual tests.</w:t>
      </w:r>
    </w:p>
    <w:p>
      <w:pPr>
        <w:spacing w:after="0" w:line="1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282A32"/>
        </w:rPr>
        <w:t>For our goodwill impairment testing procedures,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revenues and earnings multiples realized by similar public companies. The market approach is more volatile as an indicator of fair value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Significant assumptions used in our goodwill impairment tests during 2018, 2017 and 2016 included: expected revenue growth rates, operating unit profit margins, working capital levels, discount rates ranging from 10.6% to 14.2% for 2018, and a terminal value multiple. The expected future revenue growth rates and the expected operating unit profit margins were determined after taking into consideration our historical revenue growth rates and operating unit profit margins, our assessment of future market potential, and our expectations of future business performance.</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We would record a goodwill impairment charge by the amount for which a reporting unit's carrying value exceeds its fair value, not to exceed the carrying amount of the goodwill.</w:t>
      </w:r>
    </w:p>
    <w:p>
      <w:pPr>
        <w:spacing w:after="0" w:line="16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82A32"/>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Marketable Securities</w:t>
      </w:r>
    </w:p>
    <w:p>
      <w:pPr>
        <w:spacing w:after="0" w:line="203"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282A32"/>
        </w:rPr>
        <w:t xml:space="preserve">We account for our marketable security investments in accordance with the accounting guidance on investments in debt and equity securities, and have historically determined that all such investments are classified as available-for-sale. </w:t>
      </w:r>
      <w:r>
        <w:rPr>
          <w:rFonts w:ascii="Arial" w:cs="Arial" w:eastAsia="Arial" w:hAnsi="Arial"/>
          <w:sz w:val="15"/>
          <w:szCs w:val="15"/>
          <w:color w:val="000000"/>
        </w:rPr>
        <w:t>As of January 1, 2018, we adopted the new accounting guidance on financial instruments, which</w:t>
      </w:r>
      <w:r>
        <w:rPr>
          <w:rFonts w:ascii="Arial" w:cs="Arial" w:eastAsia="Arial" w:hAnsi="Arial"/>
          <w:sz w:val="15"/>
          <w:szCs w:val="15"/>
          <w:color w:val="282A32"/>
        </w:rPr>
        <w:t xml:space="preserve"> </w:t>
      </w:r>
      <w:r>
        <w:rPr>
          <w:rFonts w:ascii="Arial" w:cs="Arial" w:eastAsia="Arial" w:hAnsi="Arial"/>
          <w:sz w:val="15"/>
          <w:szCs w:val="15"/>
          <w:color w:val="000000"/>
        </w:rPr>
        <w:t>requires equity investments (except those accounted for under the equity method of accounting or those that result in consolidation of the investee) to be measured at fair value with changes in fair value recognized in net earnings (See Note 10 to the Consolidated Financial Statements for further information).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351" w:right="239" w:bottom="1440" w:gutter="0" w:footer="0" w:header="0"/>
        </w:sectPr>
      </w:pPr>
    </w:p>
    <w:bookmarkStart w:id="59" w:name="page60"/>
    <w:bookmarkEnd w:id="59"/>
    <w:p>
      <w:pPr>
        <w:jc w:val="both"/>
        <w:spacing w:after="0" w:line="284" w:lineRule="auto"/>
        <w:rPr>
          <w:sz w:val="20"/>
          <w:szCs w:val="20"/>
          <w:color w:val="auto"/>
        </w:rPr>
      </w:pPr>
      <w:r>
        <w:rPr>
          <w:rFonts w:ascii="Arial" w:cs="Arial" w:eastAsia="Arial" w:hAnsi="Arial"/>
          <w:sz w:val="15"/>
          <w:szCs w:val="15"/>
          <w:color w:val="282A32"/>
        </w:rPr>
        <w:t>We hold a 49% interest in our Swiss franchise, accounted for under the equity method of accounting, which maintains an investment portfolio with a market value of $219.9 and $234.8 as of December 31, 2018 and 2017, respectively. The portfolio is comprised of a wide variety of European and United States debt and equity securities and various professionally-managed funds, all of which are classified as available-for-sale, as well as cash and cash equivalents. Since January 1, 2018, u</w:t>
      </w:r>
      <w:r>
        <w:rPr>
          <w:rFonts w:ascii="Arial" w:cs="Arial" w:eastAsia="Arial" w:hAnsi="Arial"/>
          <w:sz w:val="15"/>
          <w:szCs w:val="15"/>
          <w:color w:val="000000"/>
        </w:rPr>
        <w:t>pon adoption of</w:t>
      </w:r>
      <w:r>
        <w:rPr>
          <w:rFonts w:ascii="Arial" w:cs="Arial" w:eastAsia="Arial" w:hAnsi="Arial"/>
          <w:sz w:val="15"/>
          <w:szCs w:val="15"/>
          <w:color w:val="282A32"/>
        </w:rPr>
        <w:t xml:space="preserve"> </w:t>
      </w:r>
      <w:r>
        <w:rPr>
          <w:rFonts w:ascii="Arial" w:cs="Arial" w:eastAsia="Arial" w:hAnsi="Arial"/>
          <w:sz w:val="15"/>
          <w:szCs w:val="15"/>
          <w:color w:val="000000"/>
        </w:rPr>
        <w:t xml:space="preserve">the new accounting guidance, we have recognized all the changes in fair value on the investment portfolio in the current period earnings. Prior to January 1, 2018, only </w:t>
      </w:r>
      <w:r>
        <w:rPr>
          <w:rFonts w:ascii="Arial" w:cs="Arial" w:eastAsia="Arial" w:hAnsi="Arial"/>
          <w:sz w:val="15"/>
          <w:szCs w:val="15"/>
          <w:color w:val="282A32"/>
        </w:rPr>
        <w:t>our</w:t>
      </w:r>
      <w:r>
        <w:rPr>
          <w:rFonts w:ascii="Arial" w:cs="Arial" w:eastAsia="Arial" w:hAnsi="Arial"/>
          <w:sz w:val="15"/>
          <w:szCs w:val="15"/>
          <w:color w:val="000000"/>
        </w:rPr>
        <w:t xml:space="preserve"> </w:t>
      </w:r>
      <w:r>
        <w:rPr>
          <w:rFonts w:ascii="Arial" w:cs="Arial" w:eastAsia="Arial" w:hAnsi="Arial"/>
          <w:sz w:val="15"/>
          <w:szCs w:val="15"/>
          <w:color w:val="282A32"/>
        </w:rPr>
        <w:t>share of net realized gains and losses, and declines in value determined to be other-than-temporary, was included in our Consolidated Statements of Operations. Our share of net unrealized gains and unrealized losses that were determined to be temporary related to these investments was included in accumulated other comprehensive loss, with the offsetting amount increasing or decreasing our investment in the franchise. For the years ended December 31, 2018, 2017 and 2016, realized gains totaled $12.7, $14.7 and $2.9, respectively, and realized losses totaled $2.1, $3.8 and $1.0, respectively. Other-than-temporary impairment amounts were net gains of $0.1, $1.6 and $0.3 for 2018, 2017 and 2016, respectively, as previously impaired investments were sold for a gain.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Capitalized Software for Internal Use</w:t>
      </w:r>
    </w:p>
    <w:p>
      <w:pPr>
        <w:spacing w:after="0" w:line="20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282A32"/>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$7.4 and $3.5 as of December 31, 2018 and 2017, respectively, is included in other assets in the Consolidated Balance Sheets. Amortization expense related to the capitalized software costs was $1.5, $1.3 and $1.9 for 2018, 2017 and 2016, respectively.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80" w:type="dxa"/>
            <w:vAlign w:val="bottom"/>
          </w:tcPr>
          <w:p>
            <w:pPr>
              <w:spacing w:after="0"/>
              <w:rPr>
                <w:sz w:val="20"/>
                <w:szCs w:val="20"/>
                <w:color w:val="auto"/>
              </w:rPr>
            </w:pPr>
            <w:r>
              <w:rPr>
                <w:rFonts w:ascii="Arial" w:cs="Arial" w:eastAsia="Arial" w:hAnsi="Arial"/>
                <w:sz w:val="17"/>
                <w:szCs w:val="17"/>
                <w:i w:val="1"/>
                <w:iCs w:val="1"/>
                <w:color w:val="282A32"/>
              </w:rPr>
              <w:t>Property and Equipment</w:t>
            </w:r>
          </w:p>
        </w:tc>
        <w:tc>
          <w:tcPr>
            <w:tcW w:w="2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399"/>
        </w:trPr>
        <w:tc>
          <w:tcPr>
            <w:tcW w:w="6980" w:type="dxa"/>
            <w:vAlign w:val="bottom"/>
          </w:tcPr>
          <w:p>
            <w:pPr>
              <w:spacing w:after="0"/>
              <w:rPr>
                <w:sz w:val="20"/>
                <w:szCs w:val="20"/>
                <w:color w:val="auto"/>
              </w:rPr>
            </w:pPr>
            <w:r>
              <w:rPr>
                <w:rFonts w:ascii="Arial" w:cs="Arial" w:eastAsia="Arial" w:hAnsi="Arial"/>
                <w:sz w:val="17"/>
                <w:szCs w:val="17"/>
                <w:color w:val="282A32"/>
              </w:rPr>
              <w:t>A summary of property and equipment as of December 31 is as follows:</w:t>
            </w:r>
          </w:p>
        </w:tc>
        <w:tc>
          <w:tcPr>
            <w:tcW w:w="2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9"/>
        </w:trPr>
        <w:tc>
          <w:tcPr>
            <w:tcW w:w="69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2018</w:t>
            </w:r>
          </w:p>
        </w:tc>
        <w:tc>
          <w:tcPr>
            <w:tcW w:w="42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282A32"/>
              </w:rPr>
              <w:t>2017</w:t>
            </w:r>
          </w:p>
        </w:tc>
      </w:tr>
      <w:tr>
        <w:trPr>
          <w:trHeight w:val="25"/>
        </w:trPr>
        <w:tc>
          <w:tcPr>
            <w:tcW w:w="69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2"/>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Land</w:t>
            </w:r>
          </w:p>
        </w:tc>
        <w:tc>
          <w:tcPr>
            <w:tcW w:w="25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3.4</w:t>
            </w:r>
          </w:p>
        </w:tc>
      </w:tr>
      <w:tr>
        <w:trPr>
          <w:trHeight w:val="224"/>
        </w:trPr>
        <w:tc>
          <w:tcPr>
            <w:tcW w:w="6980" w:type="dxa"/>
            <w:vAlign w:val="bottom"/>
          </w:tcPr>
          <w:p>
            <w:pPr>
              <w:ind w:left="20"/>
              <w:spacing w:after="0"/>
              <w:rPr>
                <w:sz w:val="20"/>
                <w:szCs w:val="20"/>
                <w:color w:val="auto"/>
              </w:rPr>
            </w:pPr>
            <w:r>
              <w:rPr>
                <w:rFonts w:ascii="Arial" w:cs="Arial" w:eastAsia="Arial" w:hAnsi="Arial"/>
                <w:sz w:val="17"/>
                <w:szCs w:val="17"/>
                <w:color w:val="282A32"/>
              </w:rPr>
              <w:t>Buildings</w:t>
            </w:r>
          </w:p>
        </w:tc>
        <w:tc>
          <w:tcPr>
            <w:tcW w:w="2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12.0</w:t>
            </w:r>
          </w:p>
        </w:tc>
        <w:tc>
          <w:tcPr>
            <w:tcW w:w="420" w:type="dxa"/>
            <w:vAlign w:val="bottom"/>
          </w:tcPr>
          <w:p>
            <w:pPr>
              <w:spacing w:after="0"/>
              <w:rPr>
                <w:sz w:val="19"/>
                <w:szCs w:val="19"/>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282A32"/>
              </w:rPr>
              <w:t>14.5</w:t>
            </w:r>
          </w:p>
        </w:tc>
      </w:tr>
      <w:tr>
        <w:trPr>
          <w:trHeight w:val="25"/>
        </w:trPr>
        <w:tc>
          <w:tcPr>
            <w:tcW w:w="69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Furniture, fixtures, and autos</w:t>
            </w:r>
          </w:p>
        </w:tc>
        <w:tc>
          <w:tcPr>
            <w:tcW w:w="25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167.3</w:t>
            </w: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172.3</w:t>
            </w:r>
          </w:p>
        </w:tc>
      </w:tr>
      <w:tr>
        <w:trPr>
          <w:trHeight w:val="224"/>
        </w:trPr>
        <w:tc>
          <w:tcPr>
            <w:tcW w:w="6980" w:type="dxa"/>
            <w:vAlign w:val="bottom"/>
          </w:tcPr>
          <w:p>
            <w:pPr>
              <w:ind w:left="20"/>
              <w:spacing w:after="0"/>
              <w:rPr>
                <w:sz w:val="20"/>
                <w:szCs w:val="20"/>
                <w:color w:val="auto"/>
              </w:rPr>
            </w:pPr>
            <w:r>
              <w:rPr>
                <w:rFonts w:ascii="Arial" w:cs="Arial" w:eastAsia="Arial" w:hAnsi="Arial"/>
                <w:sz w:val="17"/>
                <w:szCs w:val="17"/>
                <w:color w:val="282A32"/>
              </w:rPr>
              <w:t>Computer equipment</w:t>
            </w:r>
          </w:p>
        </w:tc>
        <w:tc>
          <w:tcPr>
            <w:tcW w:w="25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128.7</w:t>
            </w:r>
          </w:p>
        </w:tc>
        <w:tc>
          <w:tcPr>
            <w:tcW w:w="420" w:type="dxa"/>
            <w:vAlign w:val="bottom"/>
          </w:tcPr>
          <w:p>
            <w:pPr>
              <w:spacing w:after="0"/>
              <w:rPr>
                <w:sz w:val="19"/>
                <w:szCs w:val="19"/>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282A32"/>
              </w:rPr>
              <w:t>137.1</w:t>
            </w:r>
          </w:p>
        </w:tc>
      </w:tr>
      <w:tr>
        <w:trPr>
          <w:trHeight w:val="25"/>
        </w:trPr>
        <w:tc>
          <w:tcPr>
            <w:tcW w:w="69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Leasehold improvements</w:t>
            </w:r>
          </w:p>
        </w:tc>
        <w:tc>
          <w:tcPr>
            <w:tcW w:w="25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302.2</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306.1</w:t>
            </w:r>
          </w:p>
        </w:tc>
      </w:tr>
      <w:tr>
        <w:trPr>
          <w:trHeight w:val="217"/>
        </w:trPr>
        <w:tc>
          <w:tcPr>
            <w:tcW w:w="69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Property and equipment</w:t>
            </w:r>
          </w:p>
        </w:tc>
        <w:tc>
          <w:tcPr>
            <w:tcW w:w="256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613.6</w:t>
            </w:r>
          </w:p>
        </w:tc>
        <w:tc>
          <w:tcPr>
            <w:tcW w:w="42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282A32"/>
              </w:rPr>
              <w:t>$</w:t>
            </w:r>
          </w:p>
        </w:tc>
        <w:tc>
          <w:tcPr>
            <w:tcW w:w="7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633.4</w:t>
            </w:r>
          </w:p>
        </w:tc>
      </w:tr>
      <w:tr>
        <w:trPr>
          <w:trHeight w:val="25"/>
        </w:trPr>
        <w:tc>
          <w:tcPr>
            <w:tcW w:w="69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282A32"/>
        </w:rPr>
        <w:t>Property and equipment are stated at cost and are depreciated using primarily the straight-line method over the following estimated useful lives: buildings - up to 40 years; furniture, fixtures, autos and computer equipment - 2 to 15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Derivative Financial Instruments</w:t>
      </w:r>
    </w:p>
    <w:p>
      <w:pPr>
        <w:spacing w:after="0" w:line="203"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282A32"/>
        </w:rPr>
        <w:t>We account for our derivative instruments in accordance with the accounting guidance on derivative instruments and hedging activities.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loss and recognized in the Consolidated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351" w:right="239" w:bottom="1440" w:gutter="0" w:footer="0" w:header="0"/>
        </w:sectPr>
      </w:pPr>
    </w:p>
    <w:bookmarkStart w:id="60" w:name="page61"/>
    <w:bookmarkEnd w:id="60"/>
    <w:p>
      <w:pPr>
        <w:spacing w:after="0"/>
        <w:rPr>
          <w:sz w:val="20"/>
          <w:szCs w:val="20"/>
          <w:color w:val="auto"/>
        </w:rPr>
      </w:pPr>
      <w:r>
        <w:rPr>
          <w:rFonts w:ascii="Arial" w:cs="Arial" w:eastAsia="Arial" w:hAnsi="Arial"/>
          <w:sz w:val="15"/>
          <w:szCs w:val="15"/>
          <w:color w:val="282A32"/>
        </w:rPr>
        <w:t>Statements of Operations when the hedged item affects earnings. The ineffective portions of the changes in the fair value of cash flow hedges are recognized in earnings.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Foreign Currency Translation</w:t>
      </w:r>
    </w:p>
    <w:p>
      <w:pPr>
        <w:spacing w:after="0" w:line="203"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282A32"/>
        </w:rPr>
        <w:t>The financial statements of our non-United States subsidiaries have been translated in accordance with the accounting guidance on foreign currency translation. Under the accounting guidance, asset and liability accounts are translated at the current exchange rates and income statement items are translated at the average exchange rates each month. The resulting translation adjustments are recorded as a component of accumulated other comprehensive loss, which is included in shareholders’ equity.</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282A32"/>
        </w:rPr>
        <w:t>As of July 1, 2018, the Argentina economy was designated as highly-inflationary and was treated as such for accounting purposes starting in the third quarter of 2018.</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A portion of our Euro-denominated notes is accounted for as a hedge of our net investment in our subsidiaries with a Euro-functional currency. For this portion of the Euro-denominated notes, since our net investment in these subsidiaries exceeds the amount of the related borrowings, net of tax, the related translation gains or losses are included as a component of accumulated other comprehensive loss.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Shareholders’ Equity</w:t>
      </w:r>
    </w:p>
    <w:p>
      <w:pPr>
        <w:spacing w:after="0" w:line="203"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282A32"/>
        </w:rPr>
        <w:t xml:space="preserve">The Board of Directors authorized the repurchase of </w:t>
      </w:r>
      <w:r>
        <w:rPr>
          <w:rFonts w:ascii="Arial" w:cs="Arial" w:eastAsia="Arial" w:hAnsi="Arial"/>
          <w:sz w:val="15"/>
          <w:szCs w:val="15"/>
          <w:color w:val="000000"/>
        </w:rPr>
        <w:t>6.0 million</w:t>
      </w:r>
      <w:r>
        <w:rPr>
          <w:rFonts w:ascii="Arial" w:cs="Arial" w:eastAsia="Arial" w:hAnsi="Arial"/>
          <w:sz w:val="15"/>
          <w:szCs w:val="15"/>
          <w:color w:val="282A32"/>
        </w:rPr>
        <w:t xml:space="preserve"> shares of our common stock in each of August 2018, July 2016 and October 2015. Share repurchases may be made from time to time through a variety of methods, including open market purchases, block transactions, privately negotiated transactions or similar facilities. In 2018, we repurchased a total of </w:t>
      </w:r>
      <w:r>
        <w:rPr>
          <w:rFonts w:ascii="Arial" w:cs="Arial" w:eastAsia="Arial" w:hAnsi="Arial"/>
          <w:sz w:val="15"/>
          <w:szCs w:val="15"/>
          <w:color w:val="000000"/>
        </w:rPr>
        <w:t>5.7 million</w:t>
      </w:r>
      <w:r>
        <w:rPr>
          <w:rFonts w:ascii="Arial" w:cs="Arial" w:eastAsia="Arial" w:hAnsi="Arial"/>
          <w:sz w:val="15"/>
          <w:szCs w:val="15"/>
          <w:color w:val="282A32"/>
        </w:rPr>
        <w:t xml:space="preserve"> shares, comprised of </w:t>
      </w:r>
      <w:r>
        <w:rPr>
          <w:rFonts w:ascii="Arial" w:cs="Arial" w:eastAsia="Arial" w:hAnsi="Arial"/>
          <w:sz w:val="15"/>
          <w:szCs w:val="15"/>
          <w:color w:val="000000"/>
        </w:rPr>
        <w:t>2.9 million</w:t>
      </w:r>
      <w:r>
        <w:rPr>
          <w:rFonts w:ascii="Arial" w:cs="Arial" w:eastAsia="Arial" w:hAnsi="Arial"/>
          <w:sz w:val="15"/>
          <w:szCs w:val="15"/>
          <w:color w:val="282A32"/>
        </w:rPr>
        <w:t xml:space="preserve"> shares under the 2018 authorization and </w:t>
      </w:r>
      <w:r>
        <w:rPr>
          <w:rFonts w:ascii="Arial" w:cs="Arial" w:eastAsia="Arial" w:hAnsi="Arial"/>
          <w:sz w:val="15"/>
          <w:szCs w:val="15"/>
          <w:color w:val="000000"/>
        </w:rPr>
        <w:t>2.8 million</w:t>
      </w:r>
      <w:r>
        <w:rPr>
          <w:rFonts w:ascii="Arial" w:cs="Arial" w:eastAsia="Arial" w:hAnsi="Arial"/>
          <w:sz w:val="15"/>
          <w:szCs w:val="15"/>
          <w:color w:val="282A32"/>
        </w:rPr>
        <w:t xml:space="preserve"> shares under the 2016 authorization, at a total cost of </w:t>
      </w:r>
      <w:r>
        <w:rPr>
          <w:rFonts w:ascii="Arial" w:cs="Arial" w:eastAsia="Arial" w:hAnsi="Arial"/>
          <w:sz w:val="15"/>
          <w:szCs w:val="15"/>
          <w:color w:val="000000"/>
        </w:rPr>
        <w:t>$500.7</w:t>
      </w:r>
      <w:r>
        <w:rPr>
          <w:rFonts w:ascii="Arial" w:cs="Arial" w:eastAsia="Arial" w:hAnsi="Arial"/>
          <w:sz w:val="15"/>
          <w:szCs w:val="15"/>
          <w:color w:val="282A32"/>
        </w:rPr>
        <w:t>. In 2017, we repurchased a total of 1.9 million shares at a total cost of $203.9 under the 2016 authorization. In 2016, we repurchased a total of 6.6 million shares, comprised of 1.3 million shares under the 2016 authorization and 5.3 million shares under the 2015 authorization, at a total cost of $482.2. As of December 31, 2018, there were 3.1 million shares remaining authorized for repurchase under the 2018 authorization and no shares remaining under the 2016 and 2015 authorizations.</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During 2018, 2017 and 2016, the Board of Directors declared total cash dividends of $2.02, $1.86 and $1.72 per share, respectively, resulting in total dividend payments of $127.3, $123.7 and $118.4, respectively.</w:t>
      </w:r>
    </w:p>
    <w:p>
      <w:pPr>
        <w:spacing w:after="0" w:line="12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 xml:space="preserve">Noncontrolling interests, included in total shareholders' equity in our Consolidated Balance Sheets, represent amounts related to majority-owned subsidiaries in which we have a controlling financial interest. Net earnings attributable to these noncontrolling interests are recorded in interest and other expenses in our Consolidated Statements of Operations. We recorded income of $4.9 </w:t>
      </w:r>
      <w:r>
        <w:rPr>
          <w:rFonts w:ascii="Arial" w:cs="Arial" w:eastAsia="Arial" w:hAnsi="Arial"/>
          <w:sz w:val="17"/>
          <w:szCs w:val="17"/>
          <w:color w:val="000000"/>
        </w:rPr>
        <w:t>for 2018 and expenses of</w:t>
      </w:r>
      <w:r>
        <w:rPr>
          <w:rFonts w:ascii="Arial" w:cs="Arial" w:eastAsia="Arial" w:hAnsi="Arial"/>
          <w:sz w:val="17"/>
          <w:szCs w:val="17"/>
          <w:color w:val="282A32"/>
        </w:rPr>
        <w:t xml:space="preserve"> $6.5 and $10.1 for 2017 and 2016, respectively. The income recorded in 2018 was </w:t>
      </w:r>
      <w:r>
        <w:rPr>
          <w:rFonts w:ascii="Arial" w:cs="Arial" w:eastAsia="Arial" w:hAnsi="Arial"/>
          <w:sz w:val="17"/>
          <w:szCs w:val="17"/>
          <w:color w:val="000000"/>
        </w:rPr>
        <w:t>due to a revision in</w:t>
      </w:r>
      <w:r>
        <w:rPr>
          <w:rFonts w:ascii="Arial" w:cs="Arial" w:eastAsia="Arial" w:hAnsi="Arial"/>
          <w:sz w:val="17"/>
          <w:szCs w:val="17"/>
          <w:color w:val="282A32"/>
        </w:rPr>
        <w:t xml:space="preserve"> </w:t>
      </w:r>
      <w:r>
        <w:rPr>
          <w:rFonts w:ascii="Arial" w:cs="Arial" w:eastAsia="Arial" w:hAnsi="Arial"/>
          <w:sz w:val="17"/>
          <w:szCs w:val="17"/>
          <w:color w:val="000000"/>
        </w:rPr>
        <w:t>one of our joint venture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Cash and Cash Equivalents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282A32"/>
        </w:rPr>
        <w:t>We consider all highly liquid investments with an original maturity of three months or less when purchased to be cash equivalents.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Payroll Tax Credit</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In January 2013, the French government passed legislation, Credit d’Impôt pour la Compétitivité et l’Emploi (“CICE”), that provides payroll tax credits based on a percentage of wages paid to employees receiving less than two-and-a-half times the French minimum wage. The payroll tax credit was equal to 4% of eligible wages in 2013, 6% of eligible wages in 2014 to 2016, 7% of eligible wages in 2017, and 6% of eligible wages in 2018. The CICE payroll tax credit was accounted for as a reduction of our cost of services in the period earned.</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The payroll tax credit is creditable against our current French income tax payable, with any remaining amount being paid after three years. Given the amount of our current income taxes payable, we would generally receive the vast majority of these payroll tax credits after the three-year period. In April 2018, March 2017 and March 2016, we entered into an agreement to sell substantially all of the credits earned in 2017, 2016 and 2015, respectively, for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351" w:right="239" w:bottom="1440" w:gutter="0" w:footer="0" w:header="0"/>
        </w:sectPr>
      </w:pPr>
    </w:p>
    <w:bookmarkStart w:id="61" w:name="page62"/>
    <w:bookmarkEnd w:id="61"/>
    <w:p>
      <w:pPr>
        <w:jc w:val="both"/>
        <w:spacing w:after="0" w:line="254" w:lineRule="auto"/>
        <w:rPr>
          <w:sz w:val="20"/>
          <w:szCs w:val="20"/>
          <w:color w:val="auto"/>
        </w:rPr>
      </w:pPr>
      <w:r>
        <w:rPr>
          <w:rFonts w:ascii="Arial" w:cs="Arial" w:eastAsia="Arial" w:hAnsi="Arial"/>
          <w:sz w:val="17"/>
          <w:szCs w:val="17"/>
          <w:color w:val="282A32"/>
        </w:rPr>
        <w:t>net proceeds of $234.5 (€190.9), $143.5 (€133.0) and $143.1 (€129.9), respectively. We derecognized these receivables upon the sale as the terms of the agreement are such that the transaction qualifies for sale treatment according to the accounting guidance on the transfer and servicing of assets. The discount on the sale of these receivables was recorded in cost of services as a reduction of the payroll tax credits earned in the respective year.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Recently Issued Accounting Standards</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282A32"/>
        </w:rPr>
        <w:t>In February 2016, the Financial Accounting Standards Board (“FASB”) issued new accounting guidance on leases. The new guidance requires that a lessee recognize right-of-use (“ROU”) assets and lease liabilities on the balance sheet for leases with lease terms longer than 12 months. Similar to the current guidance, the recognition, measurement and presentation of lease expenses and cash flows depends on its classification by the lessee as a finance or operating lease. The new guidance also includes new disclosure requirements providing information on the amounts recorded in the financial statements.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282A32"/>
        </w:rPr>
        <w:t>We adopted the new lease guidance effective January 1, 2019, and will recognize any cumulative effect adjustment to retained earnings as of the effective date, without restating prior periods. We elected the package of three practical expedients which lessens the transitional burden of implementing the new guidance. Accordingly, we will not reassess: 1) whether any expired or existing contracts are or contain leases; 2) the lease classification for any expired or existing leases; or 3) initial direct costs for any existing leases. We also elected the land easements practical expedient allowing us to not reassess whether existing or expired land easements not accounted for as leases under previous guidance are or contain a lease under new guidance. We implemented internal controls and key system functionality, including a new global lease software system, to enable the preparation of financial information upon adoption.</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82A32"/>
        </w:rPr>
        <w:t xml:space="preserve">The new lease guidance will have a material impact on our Consolidated Balance Sheets, but will not have a significant impact on our Consolidated Statements of Operations. The most significant impact will be the recognition of ROU assets and lease liabilities and related deferred tax balances for operating leases; our accounting for financing leases will remain substantially unchanged. At the transition date, we expect the amounts of the new ROU assets and lease liabilities to be within a range of $450 </w:t>
      </w:r>
      <w:r>
        <w:rPr>
          <w:rFonts w:ascii="Arial" w:cs="Arial" w:eastAsia="Arial" w:hAnsi="Arial"/>
          <w:sz w:val="17"/>
          <w:szCs w:val="17"/>
          <w:color w:val="000000"/>
        </w:rPr>
        <w:t xml:space="preserve">to </w:t>
      </w:r>
      <w:r>
        <w:rPr>
          <w:rFonts w:ascii="Arial" w:cs="Arial" w:eastAsia="Arial" w:hAnsi="Arial"/>
          <w:sz w:val="17"/>
          <w:szCs w:val="17"/>
          <w:color w:val="282A32"/>
        </w:rPr>
        <w:t>$500. The impact on retained earnings is expected to be immaterial. The adoption of the new lease guidance is not expected to significantly impact our Consolidated</w:t>
      </w:r>
      <w:r>
        <w:rPr>
          <w:rFonts w:ascii="Arial" w:cs="Arial" w:eastAsia="Arial" w:hAnsi="Arial"/>
          <w:sz w:val="17"/>
          <w:szCs w:val="17"/>
          <w:color w:val="000000"/>
        </w:rPr>
        <w:t xml:space="preserve"> </w:t>
      </w:r>
      <w:r>
        <w:rPr>
          <w:rFonts w:ascii="Arial" w:cs="Arial" w:eastAsia="Arial" w:hAnsi="Arial"/>
          <w:sz w:val="17"/>
          <w:szCs w:val="17"/>
          <w:color w:val="282A32"/>
        </w:rPr>
        <w:t>Statements of Cash Flows.</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82A32"/>
        </w:rPr>
        <w:t>In August 2017, the FASB issued new guidance on hedge accounting. The amendments in this guidance include the elimination of the concept of recognizing periodic hedge ineffectiveness for cash flow and net investment hedges, recognition and presentation of changes in the fair value of the hedging instrument, recognition and presentation of components excluded from an entity's hedge effectiveness assessment, addition of the ability to elect to perform subsequent effectiveness assessments qualitatively, and addition of new disclosure requirements. The guidance is effective for us in 2019. We do not expect the adoption of this guidance to have a material impact on our Consolidated Financial Statements.</w:t>
      </w:r>
    </w:p>
    <w:p>
      <w:pPr>
        <w:spacing w:after="0" w:line="18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 xml:space="preserve">In February 2018, the FASB issued new guidance on reporting comprehensive income. The new guidance allows a reclassification from accumulated other comprehensive income to retained earnings for stranded tax effects resulting from the Tax Act. The guidance was effective for us as of January 1, 2019. </w:t>
      </w:r>
      <w:r>
        <w:rPr>
          <w:rFonts w:ascii="Arial" w:cs="Arial" w:eastAsia="Arial" w:hAnsi="Arial"/>
          <w:sz w:val="17"/>
          <w:szCs w:val="17"/>
          <w:color w:val="282A32"/>
        </w:rPr>
        <w:t>We elected not to adopt this</w:t>
      </w:r>
      <w:r>
        <w:rPr>
          <w:rFonts w:ascii="Arial" w:cs="Arial" w:eastAsia="Arial" w:hAnsi="Arial"/>
          <w:sz w:val="17"/>
          <w:szCs w:val="17"/>
          <w:color w:val="auto"/>
        </w:rPr>
        <w:t xml:space="preserve"> </w:t>
      </w:r>
      <w:r>
        <w:rPr>
          <w:rFonts w:ascii="Arial" w:cs="Arial" w:eastAsia="Arial" w:hAnsi="Arial"/>
          <w:sz w:val="17"/>
          <w:szCs w:val="17"/>
          <w:color w:val="282A32"/>
        </w:rPr>
        <w:t>optional reclassification.</w:t>
      </w:r>
    </w:p>
    <w:p>
      <w:pPr>
        <w:spacing w:after="0" w:line="177"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282A32"/>
        </w:rPr>
        <w:t>In June 2018, the FASB issued new guidance on the accounting for share-based payment awards. The guidance will make the accounting for share-based payment awards issued to nonemployees largely consistent with the accounting for share-based payment awards issued to employees. The guidance is effective for us in 2019. We do not expect the adoption of this guidance to have a material impact on our Consolidated Financial Statements.</w:t>
      </w:r>
    </w:p>
    <w:p>
      <w:pPr>
        <w:spacing w:after="0" w:line="158"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282A32"/>
        </w:rPr>
        <w:t>In August 2018, the FASB issued new guidance on disclosures related to fair value measurements. The guidance is intended to improve the effectiveness of the notes to financial statements by facilitating clearer communication, and it includes multiple new, eliminated and modified disclosure requirements. The guidance is effective for us in 2020. The adoption of this guidance will have no impact on our Consolidated Financial Statements.</w:t>
      </w:r>
    </w:p>
    <w:p>
      <w:pPr>
        <w:spacing w:after="0" w:line="158"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282A32"/>
        </w:rPr>
        <w:t>In August 2018, the FASB issued new guidance on disclosures related to defined benefit plans. The guidance amends the current disclosure requirements to add, remove and clarify disclosure requirements for defined benefit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351" w:right="239" w:bottom="1440" w:gutter="0" w:footer="0" w:header="0"/>
        </w:sectPr>
      </w:pPr>
    </w:p>
    <w:bookmarkStart w:id="62" w:name="page63"/>
    <w:bookmarkEnd w:id="62"/>
    <w:p>
      <w:pPr>
        <w:ind w:right="660"/>
        <w:spacing w:after="0" w:line="265" w:lineRule="auto"/>
        <w:rPr>
          <w:sz w:val="20"/>
          <w:szCs w:val="20"/>
          <w:color w:val="auto"/>
        </w:rPr>
      </w:pPr>
      <w:r>
        <w:rPr>
          <w:rFonts w:ascii="Arial" w:cs="Arial" w:eastAsia="Arial" w:hAnsi="Arial"/>
          <w:sz w:val="17"/>
          <w:szCs w:val="17"/>
          <w:color w:val="282A32"/>
        </w:rPr>
        <w:t>pension and other postretirement plans. The guidance is effective for us in 2021. The adoption of this guidance will have no impact on our Consolidated Financial Statements.</w:t>
      </w:r>
    </w:p>
    <w:p>
      <w:pPr>
        <w:spacing w:after="0" w:line="16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282A32"/>
        </w:rPr>
        <w:t xml:space="preserve">In August 2018, the FASB issued new guidance on the accounting for internal-use software. </w:t>
      </w:r>
      <w:r>
        <w:rPr>
          <w:rFonts w:ascii="Arial" w:cs="Arial" w:eastAsia="Arial" w:hAnsi="Arial"/>
          <w:sz w:val="16"/>
          <w:szCs w:val="16"/>
          <w:color w:val="000000"/>
        </w:rPr>
        <w:t>The guidance aligns the accounting for costs incurred to implement a cloud</w:t>
      </w:r>
      <w:r>
        <w:rPr>
          <w:rFonts w:ascii="Arial" w:cs="Arial" w:eastAsia="Arial" w:hAnsi="Arial"/>
          <w:sz w:val="16"/>
          <w:szCs w:val="16"/>
          <w:color w:val="282A32"/>
        </w:rPr>
        <w:t xml:space="preserve"> </w:t>
      </w:r>
      <w:r>
        <w:rPr>
          <w:rFonts w:ascii="Arial" w:cs="Arial" w:eastAsia="Arial" w:hAnsi="Arial"/>
          <w:sz w:val="16"/>
          <w:szCs w:val="16"/>
          <w:color w:val="000000"/>
        </w:rPr>
        <w:t xml:space="preserve">computing arrangement that is a service arrangement with the guidance on capitalizing costs associated with developing or obtaining internal-use software. The guidance is effective for us in 2020. </w:t>
      </w:r>
      <w:r>
        <w:rPr>
          <w:rFonts w:ascii="Arial" w:cs="Arial" w:eastAsia="Arial" w:hAnsi="Arial"/>
          <w:sz w:val="16"/>
          <w:szCs w:val="16"/>
          <w:color w:val="282A32"/>
        </w:rPr>
        <w:t>We are assessing the impact of the adoption of this guidance on our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Subsequent Events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282A32"/>
        </w:rPr>
        <w:t>We have evaluated events and transactions occurring after the balance sheet date through our filing date and noted no events that are subject to recognition or disclosure.</w:t>
      </w:r>
    </w:p>
    <w:p>
      <w:pPr>
        <w:spacing w:after="0" w:line="200" w:lineRule="exact"/>
        <w:rPr>
          <w:sz w:val="20"/>
          <w:szCs w:val="20"/>
          <w:color w:val="auto"/>
        </w:rPr>
      </w:pPr>
    </w:p>
    <w:p>
      <w:pPr>
        <w:spacing w:after="0" w:line="226" w:lineRule="exact"/>
        <w:rPr>
          <w:sz w:val="20"/>
          <w:szCs w:val="20"/>
          <w:color w:val="auto"/>
        </w:rPr>
      </w:pPr>
    </w:p>
    <w:p>
      <w:pPr>
        <w:ind w:left="240" w:hanging="240"/>
        <w:spacing w:after="0"/>
        <w:tabs>
          <w:tab w:leader="none" w:pos="240" w:val="left"/>
        </w:tabs>
        <w:numPr>
          <w:ilvl w:val="0"/>
          <w:numId w:val="32"/>
        </w:numPr>
        <w:rPr>
          <w:rFonts w:ascii="Arial" w:cs="Arial" w:eastAsia="Arial" w:hAnsi="Arial"/>
          <w:sz w:val="17"/>
          <w:szCs w:val="17"/>
          <w:color w:val="282A32"/>
        </w:rPr>
      </w:pPr>
      <w:r>
        <w:rPr>
          <w:rFonts w:ascii="Arial" w:cs="Arial" w:eastAsia="Arial" w:hAnsi="Arial"/>
          <w:sz w:val="17"/>
          <w:szCs w:val="17"/>
          <w:u w:val="single" w:color="auto"/>
          <w:color w:val="282A32"/>
        </w:rPr>
        <w:t>Acquisitions and Disposals</w:t>
      </w:r>
    </w:p>
    <w:p>
      <w:pPr>
        <w:spacing w:after="0" w:line="15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282A32"/>
        </w:rPr>
        <w:t>From time to time, we acquire and invest in companies throughout the world, including franchises. The total cash consideration paid for acquisitions, net of cash acquired, for the years ended December 31, 2018, 2017 and 2016 was $51.8, $45.7 and $60.5, respectively. The 2018 balance includes initial acquisition payments of $9.1 and contingent consideration payments of $42.7, of which $18.6 had been recognized as a liability at the acquisition date. The 2017 balance includes initial acquisition payments of $32.7 and contingent consideration related to previous acquisitions of $13.0, of which $10.3 was related to our 2015 acquisition of 7S Group GmbH ("7S") in Germany. The 2016 balance includes initial acquisition payments of $57.6 and contingent consideration payments of $2.9.</w:t>
      </w:r>
    </w:p>
    <w:p>
      <w:pPr>
        <w:spacing w:after="0" w:line="15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82A32"/>
        </w:rPr>
        <w:t>As of December 31, 2018, goodwill and intangible assets resulting from the 2018 acquisitions were $6.1 and $0.7, respectively. As of December 31, 2017, goodwill and intangible assets resulting from the 2017 acquisitions were $35.0 and $13.3, respectively, the majority of which took place in India and Hong Kong.</w:t>
      </w:r>
    </w:p>
    <w:p>
      <w:pPr>
        <w:spacing w:after="0" w:line="14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On April 26, 2017, the sellers of 7S formally disputed the contingent consideration related to the acquisition and are claiming an additional $23.9 (€20.8), plus interest. T</w:t>
      </w:r>
      <w:r>
        <w:rPr>
          <w:rFonts w:ascii="Arial" w:cs="Arial" w:eastAsia="Arial" w:hAnsi="Arial"/>
          <w:sz w:val="17"/>
          <w:szCs w:val="17"/>
          <w:color w:val="282A32"/>
        </w:rPr>
        <w:t>he</w:t>
      </w:r>
      <w:r>
        <w:rPr>
          <w:rFonts w:ascii="Arial" w:cs="Arial" w:eastAsia="Arial" w:hAnsi="Arial"/>
          <w:sz w:val="17"/>
          <w:szCs w:val="17"/>
          <w:color w:val="auto"/>
        </w:rPr>
        <w:t xml:space="preserve"> </w:t>
      </w:r>
      <w:r>
        <w:rPr>
          <w:rFonts w:ascii="Arial" w:cs="Arial" w:eastAsia="Arial" w:hAnsi="Arial"/>
          <w:sz w:val="17"/>
          <w:szCs w:val="17"/>
          <w:color w:val="282A32"/>
        </w:rPr>
        <w:t xml:space="preserve">dispute has been heard by an arbitration tribunal in Germany, which is expected to render its decision during 2019. We have vigorously defended these claims in the arbitration, and we believe </w:t>
      </w:r>
      <w:r>
        <w:rPr>
          <w:rFonts w:ascii="Arial" w:cs="Arial" w:eastAsia="Arial" w:hAnsi="Arial"/>
          <w:sz w:val="17"/>
          <w:szCs w:val="17"/>
          <w:color w:val="000000"/>
        </w:rPr>
        <w:t>no</w:t>
      </w:r>
      <w:r>
        <w:rPr>
          <w:rFonts w:ascii="Arial" w:cs="Arial" w:eastAsia="Arial" w:hAnsi="Arial"/>
          <w:sz w:val="17"/>
          <w:szCs w:val="17"/>
          <w:color w:val="282A32"/>
        </w:rPr>
        <w:t xml:space="preserve"> further amounts are due. We are not currently able to predict the outcome of the arbitration, and consequently, </w:t>
      </w:r>
      <w:r>
        <w:rPr>
          <w:rFonts w:ascii="Arial" w:cs="Arial" w:eastAsia="Arial" w:hAnsi="Arial"/>
          <w:sz w:val="17"/>
          <w:szCs w:val="17"/>
          <w:color w:val="000000"/>
        </w:rPr>
        <w:t>no</w:t>
      </w:r>
      <w:r>
        <w:rPr>
          <w:rFonts w:ascii="Arial" w:cs="Arial" w:eastAsia="Arial" w:hAnsi="Arial"/>
          <w:sz w:val="17"/>
          <w:szCs w:val="17"/>
          <w:color w:val="282A32"/>
        </w:rPr>
        <w:t xml:space="preserve"> amounts have been recorded in the Consolidated Financial Statements.</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of January 1, 2018, we adopted the new accounting guidance on statement of cash flows. The guidance provides classification requirements for certain cash receipts and cash payments. In 2018, we classified $24.1 of payments which were in excess of the contingent consideration liabilities initially recognized on the acquisition date as operating cash flows. The excess cash payments for contingent consideration liabilities made during in 2017 and 2016 were not material.</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Occasionally, we dispose of parts of our operations in order to optimize our global strategic positioning and synergies. In December 2018, we sold one of our business units in the Netherlands for an after tax net gain of $3.8 and divested a majority interest in a fully consolidated entity in China for an immaterial gain.</w:t>
      </w:r>
    </w:p>
    <w:p>
      <w:pPr>
        <w:spacing w:after="0" w:line="344" w:lineRule="exact"/>
        <w:rPr>
          <w:sz w:val="20"/>
          <w:szCs w:val="20"/>
          <w:color w:val="auto"/>
        </w:rPr>
      </w:pPr>
    </w:p>
    <w:p>
      <w:pPr>
        <w:ind w:left="240" w:hanging="240"/>
        <w:spacing w:after="0"/>
        <w:tabs>
          <w:tab w:leader="none" w:pos="240" w:val="left"/>
        </w:tabs>
        <w:numPr>
          <w:ilvl w:val="0"/>
          <w:numId w:val="33"/>
        </w:numPr>
        <w:rPr>
          <w:rFonts w:ascii="Arial" w:cs="Arial" w:eastAsia="Arial" w:hAnsi="Arial"/>
          <w:sz w:val="17"/>
          <w:szCs w:val="17"/>
          <w:color w:val="282A32"/>
        </w:rPr>
      </w:pPr>
      <w:r>
        <w:rPr>
          <w:rFonts w:ascii="Arial" w:cs="Arial" w:eastAsia="Arial" w:hAnsi="Arial"/>
          <w:sz w:val="17"/>
          <w:szCs w:val="17"/>
          <w:u w:val="single" w:color="auto"/>
          <w:color w:val="282A32"/>
        </w:rPr>
        <w:t>Revenue Recognition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Adoption of New Accounting Guidance on Revenue Recognition</w:t>
      </w:r>
    </w:p>
    <w:p>
      <w:pPr>
        <w:spacing w:after="0" w:line="203"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282A32"/>
        </w:rPr>
        <w:t>As of January 1, 2018, we adopted the new accounting guidance on revenue recognition using the modified retrospective approach applied to those contracts that were not completed as of January 1, 2018. Results for reporting periods beginning after January 1, 2018 are presented under the new guidance, while prior periods continue to be reported in accordance with previous accounting guidance. We determined that no cumulative effect adjustment to retained earnings was necessary upon adoption as there were no significant revenue recognition differences identified between the new and previous accounting guidance.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351" w:right="239" w:bottom="1440" w:gutter="0" w:footer="0" w:header="0"/>
        </w:sectPr>
      </w:pPr>
    </w:p>
    <w:bookmarkStart w:id="63" w:name="page64"/>
    <w:bookmarkEnd w:id="63"/>
    <w:p>
      <w:pPr>
        <w:spacing w:after="0"/>
        <w:rPr>
          <w:sz w:val="20"/>
          <w:szCs w:val="20"/>
          <w:color w:val="auto"/>
        </w:rPr>
      </w:pPr>
      <w:r>
        <w:rPr>
          <w:rFonts w:ascii="Arial" w:cs="Arial" w:eastAsia="Arial" w:hAnsi="Arial"/>
          <w:sz w:val="17"/>
          <w:szCs w:val="17"/>
          <w:i w:val="1"/>
          <w:iCs w:val="1"/>
          <w:color w:val="auto"/>
        </w:rPr>
        <w:t>Revenue Recognition</w:t>
      </w:r>
    </w:p>
    <w:p>
      <w:pPr>
        <w:spacing w:after="0" w:line="203"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We recognize revenues when control of the promised services is transferred to our clients, in an amount that reflects the consideration we expect to be entitled to receive in exchange for those services. Our revenues are recorded net of any sales, value added, or other taxes collected from our clients.</w:t>
      </w:r>
    </w:p>
    <w:p>
      <w:pPr>
        <w:spacing w:after="0" w:line="167"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A performance obligation is a promise in a contract to transfer a distinct service to the client, and it is the unit of account in the new accounting guidance for revenue recognition. The majority of our contracts have a single performance obligation as the promise to transfer the individual services is not separately identifiable from other promises in our contracts and, therefore, is not distinct. However, we have multiple performance obligations within our Recruitment Process Outsourcing (RPO) contracts as discussed below. For performance obligations that we satisfy over time, revenues are recognized by consistently applying a method of measuring progress toward satisfaction of that performance obligation. We generally utilize an input measure of time (e.g., hours, weeks, months) of service provided, which most accurately depicts the progress toward completion of each performance obligation.</w:t>
      </w:r>
    </w:p>
    <w:p>
      <w:pPr>
        <w:spacing w:after="0" w:line="168" w:lineRule="exact"/>
        <w:rPr>
          <w:sz w:val="20"/>
          <w:szCs w:val="20"/>
          <w:color w:val="auto"/>
        </w:rPr>
      </w:pPr>
    </w:p>
    <w:p>
      <w:pPr>
        <w:ind w:right="100"/>
        <w:spacing w:after="0" w:line="286" w:lineRule="auto"/>
        <w:rPr>
          <w:sz w:val="20"/>
          <w:szCs w:val="20"/>
          <w:color w:val="auto"/>
        </w:rPr>
      </w:pPr>
      <w:r>
        <w:rPr>
          <w:rFonts w:ascii="Arial" w:cs="Arial" w:eastAsia="Arial" w:hAnsi="Arial"/>
          <w:sz w:val="15"/>
          <w:szCs w:val="15"/>
          <w:color w:val="auto"/>
        </w:rPr>
        <w:t>We generally determine standalone selling prices based on the prices included in the client contracts, using expected costs plus margin, or other observable prices. The price as specified in our client contracts is generally considered the standalone selling price as it is an observable input that depicts the price as if sold to a similar client in similar circumstances. Certain client contracts have variable consideration, including credits, sales allowances, rebates or other similar items that generally reduce the transaction price. We estimate variable consideration using whichever method, either the expected value method or most likely amount method, better predicts the amount of consideration to which we will become entitled based on the terms of the client contract and historical evidence. These amounts may be constrained and are only included in revenues to the extent we do not expect a significant reversal when the uncertainty associated with the variable consideration is resolved. Our variable consideration amounts are not material, and we do not believe that there will be significant changes to our estimates.</w:t>
      </w:r>
    </w:p>
    <w:p>
      <w:pPr>
        <w:spacing w:after="0" w:line="156"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Our client contracts generally include standard payment terms acceptable in each of the countries and territories in which we operate. The payment terms vary by the type and location of our clients and services offered. Client payments are typically due approximately 60 days after invoicing, but may be a shorter or longer term depending on the contract. Our client contracts are generally short-term in nature with a term of one year or less. The timing between satisfaction of the performance obligation, invoicing and payment is not significant. For certain services and client types, we may require payment prior to delivery of services to the client, for which deferred revenue is recorded.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vs. Agent</w:t>
      </w:r>
    </w:p>
    <w:p>
      <w:pPr>
        <w:spacing w:after="0" w:line="16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certain scenarios where a third-party vendor is involved in our revenue transactions with our clients, we evaluate whether we are the principal or the agent in the transaction. In situations where we act as principal in the transaction, we control the performance obligation prior to transfer to the client, and we report the related amounts as gross revenues and cost of services. When we act as agent in the transaction, we do not control the performance obligation prior to transfer to the client, and we report the related amounts as revenues on a net basis. A majority of these agent transactions occur within our TAPFIN - Managed Service Provider (MSP) programs where our performance obligation is to manage our client’s contingent workforce, and we earn a commission based on the amount of staffing services that are managed through the program. We are the agent in these transactions as we do not control the third-party providers' staffing services provided to the client through our MSP program prior to those services being transferred to the client.</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Practical Expedients and Exemptions</w:t>
      </w:r>
    </w:p>
    <w:p>
      <w:pPr>
        <w:spacing w:after="0" w:line="203"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For certain client contracts where we recognize revenues over time, we recognize the amount that we have the right to invoice, which corresponds directly to the value provided to the client of our performance to date.</w:t>
      </w:r>
    </w:p>
    <w:p>
      <w:pPr>
        <w:spacing w:after="0" w:line="167" w:lineRule="exact"/>
        <w:rPr>
          <w:sz w:val="20"/>
          <w:szCs w:val="20"/>
          <w:color w:val="auto"/>
        </w:rPr>
      </w:pPr>
    </w:p>
    <w:p>
      <w:pPr>
        <w:jc w:val="both"/>
        <w:ind w:right="20"/>
        <w:spacing w:after="0" w:line="304" w:lineRule="auto"/>
        <w:rPr>
          <w:sz w:val="20"/>
          <w:szCs w:val="20"/>
          <w:color w:val="auto"/>
        </w:rPr>
      </w:pPr>
      <w:r>
        <w:rPr>
          <w:rFonts w:ascii="Arial" w:cs="Arial" w:eastAsia="Arial" w:hAnsi="Arial"/>
          <w:sz w:val="15"/>
          <w:szCs w:val="15"/>
          <w:color w:val="auto"/>
        </w:rPr>
        <w:t>As allowed under the new guidance, 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December 31, 2018 related to remaining performance obligations, which are not material.</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351"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i w:val="1"/>
          <w:iCs w:val="1"/>
          <w:color w:val="auto"/>
        </w:rPr>
        <w:t>Revenue Service Types</w:t>
      </w:r>
    </w:p>
    <w:p>
      <w:pPr>
        <w:spacing w:after="0" w:line="203"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The following is a description of our revenue service types, including Staffing and Interim, Outcome-Based Solutions and Consulting, Permanent Recruitment and Other services.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Staffing and Interim</w:t>
      </w:r>
    </w:p>
    <w:p>
      <w:pPr>
        <w:spacing w:after="0" w:line="203" w:lineRule="exact"/>
        <w:rPr>
          <w:sz w:val="20"/>
          <w:szCs w:val="20"/>
          <w:color w:val="auto"/>
        </w:rPr>
      </w:pPr>
    </w:p>
    <w:p>
      <w:pPr>
        <w:ind w:left="600" w:right="260"/>
        <w:spacing w:after="0" w:line="251" w:lineRule="auto"/>
        <w:rPr>
          <w:sz w:val="20"/>
          <w:szCs w:val="20"/>
          <w:color w:val="auto"/>
        </w:rPr>
      </w:pPr>
      <w:r>
        <w:rPr>
          <w:rFonts w:ascii="Arial" w:cs="Arial" w:eastAsia="Arial" w:hAnsi="Arial"/>
          <w:sz w:val="17"/>
          <w:szCs w:val="17"/>
          <w:color w:val="auto"/>
        </w:rPr>
        <w:t>Staffing and Interim services include the augmentation of clients’ workforce with our contingent employees performing services under the client’s supervision, which provides our clients with a source of flexible labor. Staffing and Interim client contracts are generally short-term in nature, and we generally enter into contracts that include only a single performance obligation. We recognize revenues over time based on a fixed amount for each hour of Staffing and Interim service provided as our clients benefit from our services as we provide them.</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Outcome-Based Solutions and Consulting</w:t>
      </w:r>
    </w:p>
    <w:p>
      <w:pPr>
        <w:spacing w:after="0" w:line="203" w:lineRule="exact"/>
        <w:rPr>
          <w:sz w:val="20"/>
          <w:szCs w:val="20"/>
          <w:color w:val="auto"/>
        </w:rPr>
      </w:pPr>
    </w:p>
    <w:p>
      <w:pPr>
        <w:ind w:left="600" w:right="40"/>
        <w:spacing w:after="0" w:line="266" w:lineRule="auto"/>
        <w:rPr>
          <w:sz w:val="20"/>
          <w:szCs w:val="20"/>
          <w:color w:val="auto"/>
        </w:rPr>
      </w:pPr>
      <w:r>
        <w:rPr>
          <w:rFonts w:ascii="Arial" w:cs="Arial" w:eastAsia="Arial" w:hAnsi="Arial"/>
          <w:sz w:val="16"/>
          <w:szCs w:val="16"/>
          <w:color w:val="auto"/>
        </w:rPr>
        <w:t>Our Outcome-Based Solutions and Consulting services include utilizing consultants and contingent employees who are generally experts in a specific field advising the client to help find strategic solutions to specific matters or achieve a particular outcome. Our services may also include managing certain processes and functions within the client’s organization. We recognize revenues over time based on (i) our clients benefiting from our services as we are providing them, (ii) our clients controlling an asset as it is created or enhanced, or (iii) our performance not creating an asset with an alternative use and having an enforceable right to payment for the services we have provided to date. We generally utilize an input measure of time for the service provided, which most accurately depicts the progress toward completion of these performance obligations. The price as specified in our client contracts is generally considered the standalone selling price as it is an observable input that depicts the price as if sold to a similar client in similar circumstances.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Permanent Recruitment</w:t>
      </w:r>
    </w:p>
    <w:p>
      <w:pPr>
        <w:spacing w:after="0" w:line="203" w:lineRule="exact"/>
        <w:rPr>
          <w:sz w:val="20"/>
          <w:szCs w:val="20"/>
          <w:color w:val="auto"/>
        </w:rPr>
      </w:pPr>
    </w:p>
    <w:p>
      <w:pPr>
        <w:ind w:left="600" w:right="260"/>
        <w:spacing w:after="0" w:line="249" w:lineRule="auto"/>
        <w:rPr>
          <w:sz w:val="20"/>
          <w:szCs w:val="20"/>
          <w:color w:val="auto"/>
        </w:rPr>
      </w:pPr>
      <w:r>
        <w:rPr>
          <w:rFonts w:ascii="Arial" w:cs="Arial" w:eastAsia="Arial" w:hAnsi="Arial"/>
          <w:sz w:val="17"/>
          <w:szCs w:val="17"/>
          <w:color w:val="auto"/>
        </w:rPr>
        <w:t>Permanent Recruitment services include providing qualified candidates to our clients to hire on a permanent basis. We recognize revenues for our Permanent Recruitment services at a point in time when we place the qualified candidate, because we have determined that control of the performance obligation has transferred to the client (i.e., service performed) as we have the right to payment for our service and the client has accepted our service of providing a qualified candidate to fill a permanent position. Revenues recognized from our Permanent Recruitment services are based upon either a fixed fee per placement or as a percentage of the candidate’s salary.</w:t>
      </w:r>
    </w:p>
    <w:p>
      <w:pPr>
        <w:spacing w:after="0" w:line="182" w:lineRule="exact"/>
        <w:rPr>
          <w:sz w:val="20"/>
          <w:szCs w:val="20"/>
          <w:color w:val="auto"/>
        </w:rPr>
      </w:pPr>
    </w:p>
    <w:p>
      <w:pPr>
        <w:ind w:left="600"/>
        <w:spacing w:after="0" w:line="266" w:lineRule="auto"/>
        <w:rPr>
          <w:sz w:val="20"/>
          <w:szCs w:val="20"/>
          <w:color w:val="auto"/>
        </w:rPr>
      </w:pPr>
      <w:r>
        <w:rPr>
          <w:rFonts w:ascii="Arial" w:cs="Arial" w:eastAsia="Arial" w:hAnsi="Arial"/>
          <w:sz w:val="16"/>
          <w:szCs w:val="16"/>
          <w:color w:val="auto"/>
        </w:rPr>
        <w:t>Our RPO services are also included in our Permanent Recruitment revenues. RPO services include the various activities of managing a client's permanent workforce, which can include candidate assessments, screening, conducting candidate interviews, providing sourcing technology, and providing our marketing and recruiting expertise. We perform these activities to fulfill the overall obligation to provide permanent workforce management services, so they are not individually distinct and, therefore, we account for them as a single performance obligation. We generally utilize an input measure of time in months, but we do have a few contracts for which we use labor hours of management services provided as this more accurately depicts the progress toward completion of the performance obligation. We recognize revenues over time for each month of management services provided, as each month of management services is distinct and the client benefits from each month of management services as we provide them.</w:t>
      </w:r>
    </w:p>
    <w:p>
      <w:pPr>
        <w:spacing w:after="0" w:line="168" w:lineRule="exact"/>
        <w:rPr>
          <w:sz w:val="20"/>
          <w:szCs w:val="20"/>
          <w:color w:val="auto"/>
        </w:rPr>
      </w:pPr>
    </w:p>
    <w:p>
      <w:pPr>
        <w:ind w:left="600" w:right="80"/>
        <w:spacing w:after="0" w:line="269" w:lineRule="auto"/>
        <w:rPr>
          <w:sz w:val="20"/>
          <w:szCs w:val="20"/>
          <w:color w:val="auto"/>
        </w:rPr>
      </w:pPr>
      <w:r>
        <w:rPr>
          <w:rFonts w:ascii="Arial" w:cs="Arial" w:eastAsia="Arial" w:hAnsi="Arial"/>
          <w:sz w:val="16"/>
          <w:szCs w:val="16"/>
          <w:color w:val="auto"/>
        </w:rPr>
        <w:t>We consider the RPO management services and placement services to be distinct and, therefore, separate performance obligations within our RPO contracts as (i) our clients can benefit from each service on its own, and (ii) each service is separately identifiable within the client contract. The prices as specified in our contracts will generally be broken out between management fees and placement fees, which we consider the standalone selling price of each service as they are the observable inputs which depict the prices as if they were sold to a similar client in similar circumstances. The consideration from our client contracts is allocated to each performance obligation based on the relative standalone selling price.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351" w:right="239" w:bottom="1440" w:gutter="0" w:footer="0" w:header="0"/>
        </w:sectPr>
      </w:pPr>
    </w:p>
    <w:bookmarkStart w:id="65" w:name="page66"/>
    <w:bookmarkEnd w:id="65"/>
    <w:p>
      <w:pPr>
        <w:ind w:left="600"/>
        <w:spacing w:after="0"/>
        <w:rPr>
          <w:sz w:val="20"/>
          <w:szCs w:val="20"/>
          <w:color w:val="auto"/>
        </w:rPr>
      </w:pPr>
      <w:r>
        <w:rPr>
          <w:rFonts w:ascii="Arial" w:cs="Arial" w:eastAsia="Arial" w:hAnsi="Arial"/>
          <w:sz w:val="17"/>
          <w:szCs w:val="17"/>
          <w:i w:val="1"/>
          <w:iCs w:val="1"/>
          <w:color w:val="auto"/>
        </w:rPr>
        <w:t>Other Services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Other services include revenues from outplacement services, MSP services, training services and franchise fees.</w:t>
      </w:r>
    </w:p>
    <w:p>
      <w:pPr>
        <w:spacing w:after="0" w:line="17" w:lineRule="exact"/>
        <w:rPr>
          <w:sz w:val="20"/>
          <w:szCs w:val="20"/>
          <w:color w:val="auto"/>
        </w:rPr>
      </w:pPr>
    </w:p>
    <w:p>
      <w:pPr>
        <w:ind w:left="1200" w:right="560" w:hanging="303"/>
        <w:spacing w:after="0" w:line="277" w:lineRule="auto"/>
        <w:tabs>
          <w:tab w:leader="none" w:pos="12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Outplacement services include assisting our clients in managing their workforce transitions and their employees in managing career changes by developing additional skills and finding new employment. We recognize revenues over time as we provide the service (i.e., transfer control of the performance obligation) using the input measure of hours of service to measure progress toward completion of the performance obligation.</w:t>
      </w:r>
    </w:p>
    <w:p>
      <w:pPr>
        <w:spacing w:after="0" w:line="1" w:lineRule="exact"/>
        <w:rPr>
          <w:rFonts w:ascii="Arial" w:cs="Arial" w:eastAsia="Arial" w:hAnsi="Arial"/>
          <w:sz w:val="15"/>
          <w:szCs w:val="15"/>
          <w:color w:val="auto"/>
        </w:rPr>
      </w:pPr>
    </w:p>
    <w:p>
      <w:pPr>
        <w:ind w:left="1200" w:right="200" w:hanging="303"/>
        <w:spacing w:after="0" w:line="260" w:lineRule="auto"/>
        <w:tabs>
          <w:tab w:leader="none" w:pos="12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MSP services include overall program management of our clients’ contingent workforce and generally include various activities such as reporting and tracking, supplier selection and management and order distribution, depending on each client contract. We provide these services to fulfill the overall obligation of contingent workforce management services so the individual activities are not distinct and therefore we account for them as a single performance obligation. We recognize revenues over time for each month of MSP services provided, as each month of MSP services is distinct and the client benefits from each month of MSP services as we provide them.</w:t>
      </w:r>
    </w:p>
    <w:p>
      <w:pPr>
        <w:ind w:left="1200" w:right="160" w:hanging="303"/>
        <w:spacing w:after="0" w:line="277" w:lineRule="auto"/>
        <w:tabs>
          <w:tab w:leader="none" w:pos="120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Training services include teaching skills that relate to specific competencies in order for our client’s workforce to acquire knowledge and develop skills proficiencies. We recognize revenues over time for each hour of training service provided as our clients benefit from our services as we provide them.</w:t>
      </w:r>
    </w:p>
    <w:p>
      <w:pPr>
        <w:ind w:left="1200" w:right="20" w:hanging="303"/>
        <w:spacing w:after="0" w:line="246" w:lineRule="auto"/>
        <w:tabs>
          <w:tab w:leader="none" w:pos="1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Our franchise fees include the performance obligation of providing the right to use our intellectual property in a specifically defined exclusive territory as defined in a franchise agreement. Our franchise agreements generally state that franchise fees are calculated based on a percentage of revenues earned by the franchise operations and are payable on a monthly basis. As such, we record franchise fee revenues monthly over time calculated based on the specific fee percentage and the monthly revenues of the franchise operations. </w:t>
      </w:r>
      <w:r>
        <w:rPr>
          <w:rFonts w:ascii="Arial" w:cs="Arial" w:eastAsia="Arial" w:hAnsi="Arial"/>
          <w:sz w:val="17"/>
          <w:szCs w:val="17"/>
          <w:color w:val="282A32"/>
        </w:rPr>
        <w:t>Franchise fees were $24.1, $23.7 and $23.3 for the years ended</w:t>
      </w:r>
      <w:r>
        <w:rPr>
          <w:rFonts w:ascii="Arial" w:cs="Arial" w:eastAsia="Arial" w:hAnsi="Arial"/>
          <w:sz w:val="17"/>
          <w:szCs w:val="17"/>
          <w:color w:val="auto"/>
        </w:rPr>
        <w:t xml:space="preserve"> </w:t>
      </w:r>
      <w:r>
        <w:rPr>
          <w:rFonts w:ascii="Arial" w:cs="Arial" w:eastAsia="Arial" w:hAnsi="Arial"/>
          <w:sz w:val="17"/>
          <w:szCs w:val="17"/>
          <w:color w:val="282A32"/>
        </w:rPr>
        <w:t>December 31, 2018, 2017 and 2016,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Disaggregation of Revenues</w:t>
      </w:r>
    </w:p>
    <w:p>
      <w:pPr>
        <w:spacing w:after="0" w:line="153" w:lineRule="exact"/>
        <w:rPr>
          <w:sz w:val="20"/>
          <w:szCs w:val="20"/>
          <w:color w:val="auto"/>
        </w:rPr>
      </w:pPr>
    </w:p>
    <w:p>
      <w:pPr>
        <w:ind w:right="640"/>
        <w:spacing w:after="0" w:line="265" w:lineRule="auto"/>
        <w:rPr>
          <w:sz w:val="20"/>
          <w:szCs w:val="20"/>
          <w:color w:val="auto"/>
        </w:rPr>
      </w:pPr>
      <w:r>
        <w:rPr>
          <w:rFonts w:ascii="Arial" w:cs="Arial" w:eastAsia="Arial" w:hAnsi="Arial"/>
          <w:sz w:val="17"/>
          <w:szCs w:val="17"/>
          <w:color w:val="auto"/>
        </w:rPr>
        <w:t>In the following table, revenue is disaggregated by service types and timing of revenue recognition, and includes a reconciliation of the disaggregated revenues by reportable segment.</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26035</wp:posOffset>
            </wp:positionV>
            <wp:extent cx="716978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785" cy="762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center"/>
              <w:spacing w:after="0"/>
              <w:rPr>
                <w:sz w:val="20"/>
                <w:szCs w:val="20"/>
                <w:color w:val="auto"/>
              </w:rPr>
            </w:pPr>
            <w:r>
              <w:rPr>
                <w:rFonts w:ascii="Arial" w:cs="Arial" w:eastAsia="Arial" w:hAnsi="Arial"/>
                <w:sz w:val="17"/>
                <w:szCs w:val="17"/>
                <w:color w:val="auto"/>
                <w:w w:val="86"/>
              </w:rPr>
              <w:t>Southern</w:t>
            </w:r>
          </w:p>
        </w:tc>
        <w:tc>
          <w:tcPr>
            <w:tcW w:w="120" w:type="dxa"/>
            <w:vAlign w:val="bottom"/>
          </w:tcPr>
          <w:p>
            <w:pPr>
              <w:spacing w:after="0"/>
              <w:rPr>
                <w:sz w:val="17"/>
                <w:szCs w:val="17"/>
                <w:color w:val="auto"/>
              </w:rPr>
            </w:pPr>
          </w:p>
        </w:tc>
        <w:tc>
          <w:tcPr>
            <w:tcW w:w="1040" w:type="dxa"/>
            <w:vAlign w:val="bottom"/>
            <w:gridSpan w:val="4"/>
          </w:tcPr>
          <w:p>
            <w:pPr>
              <w:jc w:val="right"/>
              <w:ind w:right="97"/>
              <w:spacing w:after="0"/>
              <w:rPr>
                <w:sz w:val="20"/>
                <w:szCs w:val="20"/>
                <w:color w:val="auto"/>
              </w:rPr>
            </w:pPr>
            <w:r>
              <w:rPr>
                <w:rFonts w:ascii="Arial" w:cs="Arial" w:eastAsia="Arial" w:hAnsi="Arial"/>
                <w:sz w:val="17"/>
                <w:szCs w:val="17"/>
                <w:color w:val="auto"/>
              </w:rPr>
              <w:t>Northern</w:t>
            </w: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8"/>
        </w:trPr>
        <w:tc>
          <w:tcPr>
            <w:tcW w:w="80" w:type="dxa"/>
            <w:vAlign w:val="bottom"/>
          </w:tcPr>
          <w:p>
            <w:pPr>
              <w:spacing w:after="0"/>
              <w:rPr>
                <w:sz w:val="20"/>
                <w:szCs w:val="20"/>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Service Types</w:t>
            </w:r>
          </w:p>
        </w:tc>
        <w:tc>
          <w:tcPr>
            <w:tcW w:w="1140" w:type="dxa"/>
            <w:vAlign w:val="bottom"/>
            <w:gridSpan w:val="3"/>
          </w:tcPr>
          <w:p>
            <w:pPr>
              <w:jc w:val="right"/>
              <w:ind w:right="37"/>
              <w:spacing w:after="0" w:line="239" w:lineRule="exact"/>
              <w:rPr>
                <w:sz w:val="20"/>
                <w:szCs w:val="20"/>
                <w:color w:val="auto"/>
              </w:rPr>
            </w:pPr>
            <w:r>
              <w:rPr>
                <w:rFonts w:ascii="Arial" w:cs="Arial" w:eastAsia="Arial" w:hAnsi="Arial"/>
                <w:sz w:val="17"/>
                <w:szCs w:val="17"/>
                <w:color w:val="auto"/>
              </w:rPr>
              <w:t>Americas</w:t>
            </w:r>
            <w:r>
              <w:rPr>
                <w:rFonts w:ascii="Arial" w:cs="Arial" w:eastAsia="Arial" w:hAnsi="Arial"/>
                <w:sz w:val="23"/>
                <w:szCs w:val="23"/>
                <w:color w:val="auto"/>
                <w:vertAlign w:val="superscript"/>
              </w:rPr>
              <w:t>(1)</w:t>
            </w:r>
          </w:p>
        </w:tc>
        <w:tc>
          <w:tcPr>
            <w:tcW w:w="220" w:type="dxa"/>
            <w:vAlign w:val="bottom"/>
          </w:tcPr>
          <w:p>
            <w:pPr>
              <w:spacing w:after="0"/>
              <w:rPr>
                <w:sz w:val="20"/>
                <w:szCs w:val="20"/>
                <w:color w:val="auto"/>
              </w:rPr>
            </w:pPr>
          </w:p>
        </w:tc>
        <w:tc>
          <w:tcPr>
            <w:tcW w:w="840" w:type="dxa"/>
            <w:vAlign w:val="bottom"/>
            <w:gridSpan w:val="2"/>
          </w:tcPr>
          <w:p>
            <w:pPr>
              <w:jc w:val="center"/>
              <w:spacing w:after="0" w:line="239" w:lineRule="exact"/>
              <w:rPr>
                <w:sz w:val="20"/>
                <w:szCs w:val="20"/>
                <w:color w:val="auto"/>
              </w:rPr>
            </w:pPr>
            <w:r>
              <w:rPr>
                <w:rFonts w:ascii="Arial" w:cs="Arial" w:eastAsia="Arial" w:hAnsi="Arial"/>
                <w:sz w:val="17"/>
                <w:szCs w:val="17"/>
                <w:color w:val="auto"/>
                <w:w w:val="84"/>
              </w:rPr>
              <w:t>Europe</w:t>
            </w:r>
            <w:r>
              <w:rPr>
                <w:rFonts w:ascii="Arial" w:cs="Arial" w:eastAsia="Arial" w:hAnsi="Arial"/>
                <w:sz w:val="23"/>
                <w:szCs w:val="23"/>
                <w:color w:val="auto"/>
                <w:w w:val="84"/>
                <w:vertAlign w:val="superscript"/>
              </w:rPr>
              <w:t>(1)</w:t>
            </w:r>
          </w:p>
        </w:tc>
        <w:tc>
          <w:tcPr>
            <w:tcW w:w="120" w:type="dxa"/>
            <w:vAlign w:val="bottom"/>
          </w:tcPr>
          <w:p>
            <w:pPr>
              <w:spacing w:after="0"/>
              <w:rPr>
                <w:sz w:val="20"/>
                <w:szCs w:val="20"/>
                <w:color w:val="auto"/>
              </w:rPr>
            </w:pPr>
          </w:p>
        </w:tc>
        <w:tc>
          <w:tcPr>
            <w:tcW w:w="820" w:type="dxa"/>
            <w:vAlign w:val="bottom"/>
            <w:gridSpan w:val="3"/>
          </w:tcPr>
          <w:p>
            <w:pPr>
              <w:ind w:left="320"/>
              <w:spacing w:after="0"/>
              <w:rPr>
                <w:sz w:val="20"/>
                <w:szCs w:val="20"/>
                <w:color w:val="auto"/>
              </w:rPr>
            </w:pPr>
            <w:r>
              <w:rPr>
                <w:rFonts w:ascii="Arial" w:cs="Arial" w:eastAsia="Arial" w:hAnsi="Arial"/>
                <w:sz w:val="17"/>
                <w:szCs w:val="17"/>
                <w:color w:val="auto"/>
                <w:w w:val="87"/>
              </w:rPr>
              <w:t>Europe</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177"/>
              <w:spacing w:after="0"/>
              <w:rPr>
                <w:sz w:val="20"/>
                <w:szCs w:val="20"/>
                <w:color w:val="auto"/>
              </w:rPr>
            </w:pPr>
            <w:r>
              <w:rPr>
                <w:rFonts w:ascii="Arial" w:cs="Arial" w:eastAsia="Arial" w:hAnsi="Arial"/>
                <w:sz w:val="17"/>
                <w:szCs w:val="17"/>
                <w:color w:val="auto"/>
                <w:w w:val="95"/>
              </w:rPr>
              <w:t>APME</w:t>
            </w:r>
          </w:p>
        </w:tc>
        <w:tc>
          <w:tcPr>
            <w:tcW w:w="1600" w:type="dxa"/>
            <w:vAlign w:val="bottom"/>
            <w:gridSpan w:val="4"/>
          </w:tcPr>
          <w:p>
            <w:pPr>
              <w:jc w:val="right"/>
              <w:ind w:right="17"/>
              <w:spacing w:after="0"/>
              <w:rPr>
                <w:sz w:val="20"/>
                <w:szCs w:val="20"/>
                <w:color w:val="auto"/>
              </w:rPr>
            </w:pPr>
            <w:r>
              <w:rPr>
                <w:rFonts w:ascii="Arial" w:cs="Arial" w:eastAsia="Arial" w:hAnsi="Arial"/>
                <w:sz w:val="17"/>
                <w:szCs w:val="17"/>
                <w:color w:val="auto"/>
              </w:rPr>
              <w:t>Right Management</w:t>
            </w:r>
          </w:p>
        </w:tc>
        <w:tc>
          <w:tcPr>
            <w:tcW w:w="280" w:type="dxa"/>
            <w:vAlign w:val="bottom"/>
          </w:tcPr>
          <w:p>
            <w:pPr>
              <w:spacing w:after="0"/>
              <w:rPr>
                <w:sz w:val="20"/>
                <w:szCs w:val="20"/>
                <w:color w:val="auto"/>
              </w:rPr>
            </w:pPr>
          </w:p>
        </w:tc>
        <w:tc>
          <w:tcPr>
            <w:tcW w:w="940" w:type="dxa"/>
            <w:vAlign w:val="bottom"/>
            <w:gridSpan w:val="2"/>
          </w:tcPr>
          <w:p>
            <w:pPr>
              <w:ind w:left="140"/>
              <w:spacing w:after="0"/>
              <w:rPr>
                <w:sz w:val="20"/>
                <w:szCs w:val="20"/>
                <w:color w:val="auto"/>
              </w:rPr>
            </w:pPr>
            <w:r>
              <w:rPr>
                <w:rFonts w:ascii="Arial" w:cs="Arial" w:eastAsia="Arial" w:hAnsi="Arial"/>
                <w:sz w:val="17"/>
                <w:szCs w:val="17"/>
                <w:color w:val="auto"/>
              </w:rPr>
              <w:t>Total</w:t>
            </w:r>
          </w:p>
        </w:tc>
      </w:tr>
      <w:tr>
        <w:trPr>
          <w:trHeight w:val="222"/>
        </w:trPr>
        <w:tc>
          <w:tcPr>
            <w:tcW w:w="80" w:type="dxa"/>
            <w:vAlign w:val="bottom"/>
          </w:tcPr>
          <w:p>
            <w:pPr>
              <w:spacing w:after="0"/>
              <w:rPr>
                <w:sz w:val="19"/>
                <w:szCs w:val="19"/>
                <w:color w:val="auto"/>
              </w:rPr>
            </w:pPr>
          </w:p>
        </w:tc>
        <w:tc>
          <w:tcPr>
            <w:tcW w:w="402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Staffing and Interim</w:t>
            </w:r>
          </w:p>
        </w:tc>
        <w:tc>
          <w:tcPr>
            <w:tcW w:w="460" w:type="dxa"/>
            <w:vAlign w:val="bottom"/>
            <w:tcBorders>
              <w:top w:val="single" w:sz="8" w:color="auto"/>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3,769.4</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8,588.5</w:t>
            </w: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88"/>
              </w:rPr>
              <w:t>4,746.3</w:t>
            </w:r>
          </w:p>
        </w:tc>
        <w:tc>
          <w:tcPr>
            <w:tcW w:w="40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2,394.0</w:t>
            </w:r>
          </w:p>
        </w:tc>
        <w:tc>
          <w:tcPr>
            <w:tcW w:w="440" w:type="dxa"/>
            <w:vAlign w:val="bottom"/>
            <w:tcBorders>
              <w:top w:val="single" w:sz="8" w:color="auto"/>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CCEEFF"/>
            </w:tcBorders>
            <w:shd w:val="clear" w:color="auto" w:fill="CCEEFF"/>
          </w:tcPr>
          <w:p>
            <w:pPr>
              <w:spacing w:after="0"/>
              <w:rPr>
                <w:sz w:val="19"/>
                <w:szCs w:val="19"/>
                <w:color w:val="auto"/>
              </w:rPr>
            </w:pPr>
          </w:p>
        </w:tc>
        <w:tc>
          <w:tcPr>
            <w:tcW w:w="36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19,498.2</w:t>
            </w:r>
          </w:p>
        </w:tc>
        <w:tc>
          <w:tcPr>
            <w:tcW w:w="60" w:type="dxa"/>
            <w:vAlign w:val="bottom"/>
          </w:tcPr>
          <w:p>
            <w:pPr>
              <w:spacing w:after="0"/>
              <w:rPr>
                <w:sz w:val="19"/>
                <w:szCs w:val="19"/>
                <w:color w:val="auto"/>
              </w:rPr>
            </w:pPr>
          </w:p>
        </w:tc>
      </w:tr>
      <w:tr>
        <w:trPr>
          <w:trHeight w:val="224"/>
        </w:trPr>
        <w:tc>
          <w:tcPr>
            <w:tcW w:w="8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Outcome-Based Solutions and Consulting</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8"/>
              </w:rPr>
              <w:t>176.9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
              <w:spacing w:after="0"/>
              <w:rPr>
                <w:sz w:val="20"/>
                <w:szCs w:val="20"/>
                <w:color w:val="auto"/>
              </w:rPr>
            </w:pPr>
            <w:r>
              <w:rPr>
                <w:rFonts w:ascii="Arial" w:cs="Arial" w:eastAsia="Arial" w:hAnsi="Arial"/>
                <w:sz w:val="17"/>
                <w:szCs w:val="17"/>
                <w:color w:val="auto"/>
              </w:rPr>
              <w:t>579.3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w w:val="89"/>
              </w:rPr>
              <w:t>426.2</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284.9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w w:val="78"/>
              </w:rPr>
              <w:t>49.9</w:t>
            </w:r>
          </w:p>
        </w:tc>
        <w:tc>
          <w:tcPr>
            <w:tcW w:w="28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7"/>
                <w:szCs w:val="17"/>
                <w:color w:val="auto"/>
              </w:rPr>
              <w:t>1,517.2</w:t>
            </w:r>
          </w:p>
        </w:tc>
        <w:tc>
          <w:tcPr>
            <w:tcW w:w="60" w:type="dxa"/>
            <w:vAlign w:val="bottom"/>
          </w:tcPr>
          <w:p>
            <w:pPr>
              <w:spacing w:after="0"/>
              <w:rPr>
                <w:sz w:val="19"/>
                <w:szCs w:val="19"/>
                <w:color w:val="auto"/>
              </w:rPr>
            </w:pPr>
          </w:p>
        </w:tc>
      </w:tr>
      <w:tr>
        <w:trPr>
          <w:trHeight w:val="25"/>
        </w:trPr>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80" w:type="dxa"/>
            <w:vAlign w:val="bottom"/>
          </w:tcPr>
          <w:p>
            <w:pPr>
              <w:spacing w:after="0"/>
              <w:rPr>
                <w:sz w:val="19"/>
                <w:szCs w:val="19"/>
                <w:color w:val="auto"/>
              </w:rPr>
            </w:pPr>
          </w:p>
        </w:tc>
        <w:tc>
          <w:tcPr>
            <w:tcW w:w="4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Permanent Recruitment</w:t>
            </w:r>
          </w:p>
        </w:tc>
        <w:tc>
          <w:tcPr>
            <w:tcW w:w="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117.6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145.6</w:t>
            </w: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164.4</w:t>
            </w: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196.3</w:t>
            </w:r>
          </w:p>
        </w:tc>
        <w:tc>
          <w:tcPr>
            <w:tcW w:w="4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623.9</w:t>
            </w:r>
          </w:p>
        </w:tc>
        <w:tc>
          <w:tcPr>
            <w:tcW w:w="60" w:type="dxa"/>
            <w:vAlign w:val="bottom"/>
          </w:tcPr>
          <w:p>
            <w:pPr>
              <w:spacing w:after="0"/>
              <w:rPr>
                <w:sz w:val="19"/>
                <w:szCs w:val="19"/>
                <w:color w:val="auto"/>
              </w:rPr>
            </w:pPr>
          </w:p>
        </w:tc>
      </w:tr>
      <w:tr>
        <w:trPr>
          <w:trHeight w:val="224"/>
        </w:trPr>
        <w:tc>
          <w:tcPr>
            <w:tcW w:w="8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Other</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
              <w:spacing w:after="0"/>
              <w:rPr>
                <w:sz w:val="20"/>
                <w:szCs w:val="20"/>
                <w:color w:val="auto"/>
              </w:rPr>
            </w:pPr>
            <w:r>
              <w:rPr>
                <w:rFonts w:ascii="Arial" w:cs="Arial" w:eastAsia="Arial" w:hAnsi="Arial"/>
                <w:sz w:val="17"/>
                <w:szCs w:val="17"/>
                <w:color w:val="auto"/>
              </w:rPr>
              <w:t>58.2</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33.6</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15.1</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149.6</w:t>
            </w:r>
          </w:p>
        </w:tc>
        <w:tc>
          <w:tcPr>
            <w:tcW w:w="280" w:type="dxa"/>
            <w:vAlign w:val="bottom"/>
          </w:tcPr>
          <w:p>
            <w:pPr>
              <w:spacing w:after="0"/>
              <w:rPr>
                <w:sz w:val="19"/>
                <w:szCs w:val="19"/>
                <w:color w:val="auto"/>
              </w:rPr>
            </w:pPr>
          </w:p>
        </w:tc>
        <w:tc>
          <w:tcPr>
            <w:tcW w:w="880" w:type="dxa"/>
            <w:vAlign w:val="bottom"/>
          </w:tcPr>
          <w:p>
            <w:pPr>
              <w:jc w:val="right"/>
              <w:ind w:right="37"/>
              <w:spacing w:after="0"/>
              <w:rPr>
                <w:sz w:val="20"/>
                <w:szCs w:val="20"/>
                <w:color w:val="auto"/>
              </w:rPr>
            </w:pPr>
            <w:r>
              <w:rPr>
                <w:rFonts w:ascii="Arial" w:cs="Arial" w:eastAsia="Arial" w:hAnsi="Arial"/>
                <w:sz w:val="17"/>
                <w:szCs w:val="17"/>
                <w:color w:val="auto"/>
              </w:rPr>
              <w:t>351.9</w:t>
            </w:r>
          </w:p>
        </w:tc>
        <w:tc>
          <w:tcPr>
            <w:tcW w:w="60" w:type="dxa"/>
            <w:vAlign w:val="bottom"/>
          </w:tcPr>
          <w:p>
            <w:pPr>
              <w:spacing w:after="0"/>
              <w:rPr>
                <w:sz w:val="19"/>
                <w:szCs w:val="19"/>
                <w:color w:val="auto"/>
              </w:rPr>
            </w:pPr>
          </w:p>
        </w:tc>
      </w:tr>
      <w:tr>
        <w:trPr>
          <w:trHeight w:val="25"/>
        </w:trPr>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80" w:type="dxa"/>
            <w:vAlign w:val="bottom"/>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2560" w:type="dxa"/>
            <w:vAlign w:val="bottom"/>
            <w:tcBorders>
              <w:bottom w:val="single" w:sz="8" w:color="CCEEFF"/>
            </w:tcBorders>
            <w:shd w:val="clear" w:color="auto" w:fill="CCEEFF"/>
          </w:tcPr>
          <w:p>
            <w:pPr>
              <w:ind w:left="2120"/>
              <w:spacing w:after="0"/>
              <w:rPr>
                <w:sz w:val="20"/>
                <w:szCs w:val="20"/>
                <w:color w:val="auto"/>
              </w:rPr>
            </w:pPr>
            <w:r>
              <w:rPr>
                <w:rFonts w:ascii="Arial" w:cs="Arial" w:eastAsia="Arial" w:hAnsi="Arial"/>
                <w:sz w:val="17"/>
                <w:szCs w:val="17"/>
                <w:color w:val="auto"/>
              </w:rPr>
              <w:t>Total</w:t>
            </w:r>
          </w:p>
        </w:tc>
        <w:tc>
          <w:tcPr>
            <w:tcW w:w="4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4,159.3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9,371.6</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88"/>
              </w:rPr>
              <w:t>5,370.5</w:t>
            </w:r>
          </w:p>
        </w:tc>
        <w:tc>
          <w:tcPr>
            <w:tcW w:w="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2,890.3</w:t>
            </w:r>
          </w:p>
        </w:tc>
        <w:tc>
          <w:tcPr>
            <w:tcW w:w="44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199.5</w:t>
            </w:r>
          </w:p>
        </w:tc>
        <w:tc>
          <w:tcPr>
            <w:tcW w:w="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21,991.2</w:t>
            </w:r>
          </w:p>
        </w:tc>
        <w:tc>
          <w:tcPr>
            <w:tcW w:w="6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760" w:type="dxa"/>
            <w:vAlign w:val="bottom"/>
            <w:gridSpan w:val="7"/>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2"/>
        </w:trPr>
        <w:tc>
          <w:tcPr>
            <w:tcW w:w="6300" w:type="dxa"/>
            <w:vAlign w:val="bottom"/>
            <w:gridSpan w:val="9"/>
          </w:tcPr>
          <w:p>
            <w:pPr>
              <w:spacing w:after="0"/>
              <w:rPr>
                <w:sz w:val="20"/>
                <w:szCs w:val="20"/>
                <w:color w:val="auto"/>
              </w:rPr>
            </w:pPr>
            <w:r>
              <w:rPr>
                <w:rFonts w:ascii="Arial" w:cs="Arial" w:eastAsia="Arial" w:hAnsi="Arial"/>
                <w:sz w:val="15"/>
                <w:szCs w:val="15"/>
                <w:color w:val="auto"/>
                <w:w w:val="94"/>
              </w:rPr>
              <w:t>(1) Additional breakdown of Service Type revenue for Americas and Southern Europe are as follows:</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34"/>
        </w:trPr>
        <w:tc>
          <w:tcPr>
            <w:tcW w:w="4100" w:type="dxa"/>
            <w:vAlign w:val="bottom"/>
            <w:gridSpan w:val="3"/>
          </w:tcPr>
          <w:p>
            <w:pPr>
              <w:ind w:left="20"/>
              <w:spacing w:after="0"/>
              <w:rPr>
                <w:sz w:val="20"/>
                <w:szCs w:val="20"/>
                <w:color w:val="auto"/>
              </w:rPr>
            </w:pPr>
            <w:r>
              <w:rPr>
                <w:rFonts w:ascii="Arial" w:cs="Arial" w:eastAsia="Arial" w:hAnsi="Arial"/>
                <w:sz w:val="17"/>
                <w:szCs w:val="17"/>
                <w:color w:val="auto"/>
              </w:rPr>
              <w:t>Year Ended December 31, 2018</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
        </w:trPr>
        <w:tc>
          <w:tcPr>
            <w:tcW w:w="1540" w:type="dxa"/>
            <w:vAlign w:val="bottom"/>
            <w:tcBorders>
              <w:bottom w:val="single" w:sz="8" w:color="auto"/>
            </w:tcBorders>
            <w:gridSpan w:val="2"/>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4"/>
          </w:tcPr>
          <w:p>
            <w:pPr>
              <w:spacing w:after="0"/>
              <w:rPr>
                <w:sz w:val="2"/>
                <w:szCs w:val="2"/>
                <w:color w:val="auto"/>
              </w:rPr>
            </w:pPr>
          </w:p>
        </w:tc>
      </w:tr>
      <w:tr>
        <w:trPr>
          <w:trHeight w:val="217"/>
        </w:trPr>
        <w:tc>
          <w:tcPr>
            <w:tcW w:w="4100" w:type="dxa"/>
            <w:vAlign w:val="bottom"/>
            <w:gridSpan w:val="3"/>
          </w:tcPr>
          <w:p>
            <w:pPr>
              <w:ind w:left="20"/>
              <w:spacing w:after="0"/>
              <w:rPr>
                <w:sz w:val="20"/>
                <w:szCs w:val="20"/>
                <w:color w:val="auto"/>
              </w:rPr>
            </w:pPr>
            <w:r>
              <w:rPr>
                <w:rFonts w:ascii="Arial" w:cs="Arial" w:eastAsia="Arial" w:hAnsi="Arial"/>
                <w:sz w:val="17"/>
                <w:szCs w:val="17"/>
                <w:color w:val="auto"/>
              </w:rPr>
              <w:t>Services Types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3"/>
          </w:tcPr>
          <w:p>
            <w:pPr>
              <w:jc w:val="center"/>
              <w:ind w:left="77"/>
              <w:spacing w:after="0"/>
              <w:rPr>
                <w:sz w:val="20"/>
                <w:szCs w:val="20"/>
                <w:color w:val="auto"/>
              </w:rPr>
            </w:pPr>
            <w:r>
              <w:rPr>
                <w:rFonts w:ascii="Arial" w:cs="Arial" w:eastAsia="Arial" w:hAnsi="Arial"/>
                <w:sz w:val="17"/>
                <w:szCs w:val="17"/>
                <w:color w:val="auto"/>
                <w:w w:val="88"/>
              </w:rPr>
              <w:t>United States</w:t>
            </w:r>
          </w:p>
        </w:tc>
        <w:tc>
          <w:tcPr>
            <w:tcW w:w="120" w:type="dxa"/>
            <w:vAlign w:val="bottom"/>
          </w:tcPr>
          <w:p>
            <w:pPr>
              <w:spacing w:after="0"/>
              <w:rPr>
                <w:sz w:val="18"/>
                <w:szCs w:val="18"/>
                <w:color w:val="auto"/>
              </w:rPr>
            </w:pPr>
          </w:p>
        </w:tc>
        <w:tc>
          <w:tcPr>
            <w:tcW w:w="1440" w:type="dxa"/>
            <w:vAlign w:val="bottom"/>
            <w:gridSpan w:val="5"/>
          </w:tcPr>
          <w:p>
            <w:pPr>
              <w:ind w:left="40"/>
              <w:spacing w:after="0"/>
              <w:rPr>
                <w:sz w:val="20"/>
                <w:szCs w:val="20"/>
                <w:color w:val="auto"/>
              </w:rPr>
            </w:pPr>
            <w:r>
              <w:rPr>
                <w:rFonts w:ascii="Arial" w:cs="Arial" w:eastAsia="Arial" w:hAnsi="Arial"/>
                <w:sz w:val="17"/>
                <w:szCs w:val="17"/>
                <w:color w:val="auto"/>
              </w:rPr>
              <w:t>Other Americas</w:t>
            </w:r>
          </w:p>
        </w:tc>
        <w:tc>
          <w:tcPr>
            <w:tcW w:w="740" w:type="dxa"/>
            <w:vAlign w:val="bottom"/>
          </w:tcPr>
          <w:p>
            <w:pPr>
              <w:jc w:val="right"/>
              <w:ind w:right="157"/>
              <w:spacing w:after="0"/>
              <w:rPr>
                <w:sz w:val="20"/>
                <w:szCs w:val="20"/>
                <w:color w:val="auto"/>
              </w:rPr>
            </w:pPr>
            <w:r>
              <w:rPr>
                <w:rFonts w:ascii="Arial" w:cs="Arial" w:eastAsia="Arial" w:hAnsi="Arial"/>
                <w:sz w:val="17"/>
                <w:szCs w:val="17"/>
                <w:color w:val="auto"/>
                <w:w w:val="90"/>
              </w:rPr>
              <w:t>France</w:t>
            </w:r>
          </w:p>
        </w:tc>
        <w:tc>
          <w:tcPr>
            <w:tcW w:w="440" w:type="dxa"/>
            <w:vAlign w:val="bottom"/>
          </w:tcPr>
          <w:p>
            <w:pPr>
              <w:spacing w:after="0"/>
              <w:rPr>
                <w:sz w:val="18"/>
                <w:szCs w:val="18"/>
                <w:color w:val="auto"/>
              </w:rPr>
            </w:pPr>
          </w:p>
        </w:tc>
        <w:tc>
          <w:tcPr>
            <w:tcW w:w="800" w:type="dxa"/>
            <w:vAlign w:val="bottom"/>
            <w:gridSpan w:val="2"/>
          </w:tcPr>
          <w:p>
            <w:pPr>
              <w:jc w:val="right"/>
              <w:ind w:right="337"/>
              <w:spacing w:after="0"/>
              <w:rPr>
                <w:sz w:val="20"/>
                <w:szCs w:val="20"/>
                <w:color w:val="auto"/>
              </w:rPr>
            </w:pPr>
            <w:r>
              <w:rPr>
                <w:rFonts w:ascii="Arial" w:cs="Arial" w:eastAsia="Arial" w:hAnsi="Arial"/>
                <w:sz w:val="17"/>
                <w:szCs w:val="17"/>
                <w:color w:val="auto"/>
              </w:rPr>
              <w:t>Italy</w:t>
            </w:r>
          </w:p>
        </w:tc>
        <w:tc>
          <w:tcPr>
            <w:tcW w:w="1580" w:type="dxa"/>
            <w:vAlign w:val="bottom"/>
            <w:gridSpan w:val="4"/>
          </w:tcPr>
          <w:p>
            <w:pPr>
              <w:ind w:left="20"/>
              <w:spacing w:after="0"/>
              <w:rPr>
                <w:sz w:val="20"/>
                <w:szCs w:val="20"/>
                <w:color w:val="auto"/>
              </w:rPr>
            </w:pPr>
            <w:r>
              <w:rPr>
                <w:rFonts w:ascii="Arial" w:cs="Arial" w:eastAsia="Arial" w:hAnsi="Arial"/>
                <w:sz w:val="17"/>
                <w:szCs w:val="17"/>
                <w:color w:val="auto"/>
                <w:w w:val="87"/>
              </w:rPr>
              <w:t>Other Southern Europe</w:t>
            </w:r>
          </w:p>
        </w:tc>
      </w:tr>
      <w:tr>
        <w:trPr>
          <w:trHeight w:val="25"/>
        </w:trPr>
        <w:tc>
          <w:tcPr>
            <w:tcW w:w="1540" w:type="dxa"/>
            <w:vAlign w:val="bottom"/>
            <w:tcBorders>
              <w:bottom w:val="single" w:sz="8" w:color="auto"/>
            </w:tcBorders>
            <w:gridSpan w:val="2"/>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22"/>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Staffing and Interim</w:t>
            </w:r>
          </w:p>
        </w:tc>
        <w:tc>
          <w:tcPr>
            <w:tcW w:w="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2,208.3</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91"/>
              </w:rPr>
              <w:t>1,561.1</w:t>
            </w:r>
          </w:p>
        </w:tc>
        <w:tc>
          <w:tcPr>
            <w:tcW w:w="4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5,526.5</w:t>
            </w:r>
          </w:p>
        </w:tc>
        <w:tc>
          <w:tcPr>
            <w:tcW w:w="4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8"/>
              </w:rPr>
              <w:t>1,565.6</w:t>
            </w:r>
          </w:p>
        </w:tc>
        <w:tc>
          <w:tcPr>
            <w:tcW w:w="360" w:type="dxa"/>
            <w:vAlign w:val="bottom"/>
            <w:tcBorders>
              <w:left w:val="single" w:sz="8" w:color="CCEEFF"/>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1,496.4</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4"/>
        </w:trPr>
        <w:tc>
          <w:tcPr>
            <w:tcW w:w="4100" w:type="dxa"/>
            <w:vAlign w:val="bottom"/>
            <w:gridSpan w:val="3"/>
          </w:tcPr>
          <w:p>
            <w:pPr>
              <w:ind w:left="20"/>
              <w:spacing w:after="0"/>
              <w:rPr>
                <w:sz w:val="20"/>
                <w:szCs w:val="20"/>
                <w:color w:val="auto"/>
              </w:rPr>
            </w:pPr>
            <w:r>
              <w:rPr>
                <w:rFonts w:ascii="Arial" w:cs="Arial" w:eastAsia="Arial" w:hAnsi="Arial"/>
                <w:sz w:val="17"/>
                <w:szCs w:val="17"/>
                <w:color w:val="auto"/>
              </w:rPr>
              <w:t>Outcome-Based Solutions and Consulting</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
              <w:spacing w:after="0"/>
              <w:rPr>
                <w:sz w:val="20"/>
                <w:szCs w:val="20"/>
                <w:color w:val="auto"/>
              </w:rPr>
            </w:pPr>
            <w:r>
              <w:rPr>
                <w:rFonts w:ascii="Arial" w:cs="Arial" w:eastAsia="Arial" w:hAnsi="Arial"/>
                <w:sz w:val="17"/>
                <w:szCs w:val="17"/>
                <w:color w:val="auto"/>
              </w:rPr>
              <w:t>129.7</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47.2</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224.7</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37"/>
              <w:spacing w:after="0"/>
              <w:rPr>
                <w:sz w:val="20"/>
                <w:szCs w:val="20"/>
                <w:color w:val="auto"/>
              </w:rPr>
            </w:pPr>
            <w:r>
              <w:rPr>
                <w:rFonts w:ascii="Arial" w:cs="Arial" w:eastAsia="Arial" w:hAnsi="Arial"/>
                <w:sz w:val="17"/>
                <w:szCs w:val="17"/>
                <w:color w:val="auto"/>
              </w:rPr>
              <w:t>48.4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306.2</w:t>
            </w:r>
          </w:p>
        </w:tc>
        <w:tc>
          <w:tcPr>
            <w:tcW w:w="60" w:type="dxa"/>
            <w:vAlign w:val="bottom"/>
          </w:tcPr>
          <w:p>
            <w:pPr>
              <w:spacing w:after="0"/>
              <w:rPr>
                <w:sz w:val="19"/>
                <w:szCs w:val="19"/>
                <w:color w:val="auto"/>
              </w:rPr>
            </w:pPr>
          </w:p>
        </w:tc>
      </w:tr>
      <w:tr>
        <w:trPr>
          <w:trHeight w:val="25"/>
        </w:trPr>
        <w:tc>
          <w:tcPr>
            <w:tcW w:w="154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Permanent Recruitment</w:t>
            </w:r>
          </w:p>
        </w:tc>
        <w:tc>
          <w:tcPr>
            <w:tcW w:w="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92.9</w:t>
            </w: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4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35.9</w:t>
            </w:r>
          </w:p>
        </w:tc>
        <w:tc>
          <w:tcPr>
            <w:tcW w:w="360" w:type="dxa"/>
            <w:vAlign w:val="bottom"/>
            <w:tcBorders>
              <w:left w:val="single" w:sz="8" w:color="CCEEFF"/>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4"/>
        </w:trPr>
        <w:tc>
          <w:tcPr>
            <w:tcW w:w="4100" w:type="dxa"/>
            <w:vAlign w:val="bottom"/>
            <w:gridSpan w:val="3"/>
          </w:tcPr>
          <w:p>
            <w:pPr>
              <w:ind w:left="20"/>
              <w:spacing w:after="0"/>
              <w:rPr>
                <w:sz w:val="20"/>
                <w:szCs w:val="20"/>
                <w:color w:val="auto"/>
              </w:rPr>
            </w:pPr>
            <w:r>
              <w:rPr>
                <w:rFonts w:ascii="Arial" w:cs="Arial" w:eastAsia="Arial" w:hAnsi="Arial"/>
                <w:sz w:val="17"/>
                <w:szCs w:val="17"/>
                <w:color w:val="auto"/>
              </w:rPr>
              <w:t>Other</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24"/>
              <w:spacing w:after="0"/>
              <w:rPr>
                <w:sz w:val="20"/>
                <w:szCs w:val="20"/>
                <w:color w:val="auto"/>
              </w:rPr>
            </w:pPr>
            <w:r>
              <w:rPr>
                <w:rFonts w:ascii="Arial" w:cs="Arial" w:eastAsia="Arial" w:hAnsi="Arial"/>
                <w:sz w:val="17"/>
                <w:szCs w:val="17"/>
                <w:color w:val="auto"/>
              </w:rPr>
              <w:t>91.4</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w w:val="84"/>
              </w:rPr>
              <w:t>4.0</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21.6</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ind w:right="37"/>
              <w:spacing w:after="0"/>
              <w:rPr>
                <w:sz w:val="20"/>
                <w:szCs w:val="20"/>
                <w:color w:val="auto"/>
              </w:rPr>
            </w:pPr>
            <w:r>
              <w:rPr>
                <w:rFonts w:ascii="Arial" w:cs="Arial" w:eastAsia="Arial" w:hAnsi="Arial"/>
                <w:sz w:val="17"/>
                <w:szCs w:val="17"/>
                <w:color w:val="auto"/>
              </w:rPr>
              <w:t>20.7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15.9</w:t>
            </w:r>
          </w:p>
        </w:tc>
        <w:tc>
          <w:tcPr>
            <w:tcW w:w="60" w:type="dxa"/>
            <w:vAlign w:val="bottom"/>
          </w:tcPr>
          <w:p>
            <w:pPr>
              <w:spacing w:after="0"/>
              <w:rPr>
                <w:sz w:val="19"/>
                <w:szCs w:val="19"/>
                <w:color w:val="auto"/>
              </w:rPr>
            </w:pPr>
          </w:p>
        </w:tc>
      </w:tr>
      <w:tr>
        <w:trPr>
          <w:trHeight w:val="25"/>
        </w:trPr>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7"/>
        </w:trPr>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9"/>
              </w:rPr>
              <w:t>Total</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
              <w:spacing w:after="0"/>
              <w:rPr>
                <w:sz w:val="20"/>
                <w:szCs w:val="20"/>
                <w:color w:val="auto"/>
              </w:rPr>
            </w:pPr>
            <w:r>
              <w:rPr>
                <w:rFonts w:ascii="Arial" w:cs="Arial" w:eastAsia="Arial" w:hAnsi="Arial"/>
                <w:sz w:val="17"/>
                <w:szCs w:val="17"/>
                <w:color w:val="auto"/>
              </w:rPr>
              <w:t>2,522.3</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91"/>
              </w:rPr>
              <w:t>1,637.0</w:t>
            </w:r>
          </w:p>
        </w:tc>
        <w:tc>
          <w:tcPr>
            <w:tcW w:w="4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5,827.7</w:t>
            </w:r>
          </w:p>
        </w:tc>
        <w:tc>
          <w:tcPr>
            <w:tcW w:w="4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8"/>
              </w:rPr>
              <w:t>1,670.6</w:t>
            </w:r>
          </w:p>
        </w:tc>
        <w:tc>
          <w:tcPr>
            <w:tcW w:w="360" w:type="dxa"/>
            <w:vAlign w:val="bottom"/>
            <w:tcBorders>
              <w:left w:val="single" w:sz="8" w:color="CCEEFF"/>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1,873.3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342"/>
        </w:trPr>
        <w:tc>
          <w:tcPr>
            <w:tcW w:w="8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Year Ended December 31, 2018</w:t>
            </w: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25"/>
        </w:trPr>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center"/>
              <w:spacing w:after="0"/>
              <w:rPr>
                <w:sz w:val="20"/>
                <w:szCs w:val="20"/>
                <w:color w:val="auto"/>
              </w:rPr>
            </w:pPr>
            <w:r>
              <w:rPr>
                <w:rFonts w:ascii="Arial" w:cs="Arial" w:eastAsia="Arial" w:hAnsi="Arial"/>
                <w:sz w:val="17"/>
                <w:szCs w:val="17"/>
                <w:color w:val="auto"/>
                <w:w w:val="86"/>
              </w:rPr>
              <w:t>Southern</w:t>
            </w:r>
          </w:p>
        </w:tc>
        <w:tc>
          <w:tcPr>
            <w:tcW w:w="740" w:type="dxa"/>
            <w:vAlign w:val="bottom"/>
            <w:gridSpan w:val="3"/>
          </w:tcPr>
          <w:p>
            <w:pPr>
              <w:jc w:val="right"/>
              <w:spacing w:after="0"/>
              <w:rPr>
                <w:sz w:val="20"/>
                <w:szCs w:val="20"/>
                <w:color w:val="auto"/>
              </w:rPr>
            </w:pPr>
            <w:r>
              <w:rPr>
                <w:rFonts w:ascii="Arial" w:cs="Arial" w:eastAsia="Arial" w:hAnsi="Arial"/>
                <w:sz w:val="17"/>
                <w:szCs w:val="17"/>
                <w:color w:val="auto"/>
                <w:w w:val="99"/>
              </w:rPr>
              <w:t>Northern</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gridSpan w:val="2"/>
          </w:tcPr>
          <w:p>
            <w:pPr>
              <w:jc w:val="right"/>
              <w:ind w:right="297"/>
              <w:spacing w:after="0"/>
              <w:rPr>
                <w:sz w:val="20"/>
                <w:szCs w:val="20"/>
                <w:color w:val="auto"/>
              </w:rPr>
            </w:pPr>
            <w:r>
              <w:rPr>
                <w:rFonts w:ascii="Arial" w:cs="Arial" w:eastAsia="Arial" w:hAnsi="Arial"/>
                <w:sz w:val="17"/>
                <w:szCs w:val="17"/>
                <w:color w:val="auto"/>
              </w:rPr>
              <w:t>Right</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8"/>
        </w:trPr>
        <w:tc>
          <w:tcPr>
            <w:tcW w:w="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5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Timing of Revenue Recognition</w:t>
            </w: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ind w:left="100"/>
              <w:spacing w:after="0" w:line="239" w:lineRule="exact"/>
              <w:rPr>
                <w:sz w:val="20"/>
                <w:szCs w:val="20"/>
                <w:color w:val="auto"/>
              </w:rPr>
            </w:pPr>
            <w:r>
              <w:rPr>
                <w:rFonts w:ascii="Arial" w:cs="Arial" w:eastAsia="Arial" w:hAnsi="Arial"/>
                <w:sz w:val="17"/>
                <w:szCs w:val="17"/>
                <w:color w:val="auto"/>
                <w:w w:val="87"/>
              </w:rPr>
              <w:t>Americas</w:t>
            </w:r>
            <w:r>
              <w:rPr>
                <w:rFonts w:ascii="Arial" w:cs="Arial" w:eastAsia="Arial" w:hAnsi="Arial"/>
                <w:sz w:val="23"/>
                <w:szCs w:val="23"/>
                <w:color w:val="auto"/>
                <w:w w:val="87"/>
                <w:vertAlign w:val="superscript"/>
              </w:rPr>
              <w:t>(1)</w:t>
            </w:r>
          </w:p>
        </w:tc>
        <w:tc>
          <w:tcPr>
            <w:tcW w:w="840" w:type="dxa"/>
            <w:vAlign w:val="bottom"/>
            <w:tcBorders>
              <w:bottom w:val="single" w:sz="8" w:color="auto"/>
            </w:tcBorders>
            <w:gridSpan w:val="2"/>
          </w:tcPr>
          <w:p>
            <w:pPr>
              <w:jc w:val="center"/>
              <w:spacing w:after="0" w:line="239" w:lineRule="exact"/>
              <w:rPr>
                <w:sz w:val="20"/>
                <w:szCs w:val="20"/>
                <w:color w:val="auto"/>
              </w:rPr>
            </w:pPr>
            <w:r>
              <w:rPr>
                <w:rFonts w:ascii="Arial" w:cs="Arial" w:eastAsia="Arial" w:hAnsi="Arial"/>
                <w:sz w:val="17"/>
                <w:szCs w:val="17"/>
                <w:color w:val="auto"/>
                <w:w w:val="84"/>
              </w:rPr>
              <w:t>Europe</w:t>
            </w:r>
            <w:r>
              <w:rPr>
                <w:rFonts w:ascii="Arial" w:cs="Arial" w:eastAsia="Arial" w:hAnsi="Arial"/>
                <w:sz w:val="23"/>
                <w:szCs w:val="23"/>
                <w:color w:val="auto"/>
                <w:w w:val="84"/>
                <w:vertAlign w:val="superscript"/>
              </w:rPr>
              <w:t>(1)</w:t>
            </w: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83"/>
              </w:rPr>
              <w:t>Europe</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7"/>
                <w:szCs w:val="17"/>
                <w:color w:val="auto"/>
                <w:w w:val="95"/>
              </w:rPr>
              <w:t>APME</w:t>
            </w:r>
          </w:p>
        </w:tc>
        <w:tc>
          <w:tcPr>
            <w:tcW w:w="118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7"/>
                <w:szCs w:val="17"/>
                <w:color w:val="auto"/>
              </w:rPr>
              <w:t>Management</w:t>
            </w: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Total</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2"/>
        </w:trPr>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4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4,090.7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9,239.9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5,229.1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2,758.3</w:t>
            </w:r>
          </w:p>
        </w:tc>
        <w:tc>
          <w:tcPr>
            <w:tcW w:w="74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9"/>
              </w:rPr>
              <w:t>199.5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0"/>
              </w:rPr>
              <w:t>21,517.5</w:t>
            </w:r>
          </w:p>
        </w:tc>
        <w:tc>
          <w:tcPr>
            <w:tcW w:w="360" w:type="dxa"/>
            <w:vAlign w:val="bottom"/>
            <w:tcBorders>
              <w:left w:val="single" w:sz="8" w:color="CCEEFF"/>
            </w:tcBorders>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560" w:type="dxa"/>
            <w:vAlign w:val="bottom"/>
          </w:tcPr>
          <w:p>
            <w:pPr>
              <w:ind w:left="20"/>
              <w:spacing w:after="0"/>
              <w:rPr>
                <w:sz w:val="20"/>
                <w:szCs w:val="20"/>
                <w:color w:val="auto"/>
              </w:rPr>
            </w:pPr>
            <w:r>
              <w:rPr>
                <w:rFonts w:ascii="Arial" w:cs="Arial" w:eastAsia="Arial" w:hAnsi="Arial"/>
                <w:sz w:val="17"/>
                <w:szCs w:val="17"/>
                <w:color w:val="auto"/>
                <w:w w:val="89"/>
              </w:rPr>
              <w:t>Services transferred at a point in time</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68.6</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131.7</w:t>
            </w:r>
          </w:p>
        </w:tc>
        <w:tc>
          <w:tcPr>
            <w:tcW w:w="1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141.4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132.0</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473.7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
        </w:trPr>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7"/>
        </w:trPr>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5"/>
              </w:rPr>
              <w:t>Total</w:t>
            </w:r>
          </w:p>
        </w:tc>
        <w:tc>
          <w:tcPr>
            <w:tcW w:w="200" w:type="dxa"/>
            <w:vAlign w:val="bottom"/>
          </w:tcPr>
          <w:p>
            <w:pPr>
              <w:ind w:left="8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4,159.3</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9,371.6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5,370.5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2,890.3</w:t>
            </w:r>
          </w:p>
        </w:tc>
        <w:tc>
          <w:tcPr>
            <w:tcW w:w="740" w:type="dxa"/>
            <w:vAlign w:val="bottom"/>
          </w:tcPr>
          <w:p>
            <w:pPr>
              <w:jc w:val="right"/>
              <w:ind w:right="517"/>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89"/>
              </w:rPr>
              <w:t>199.5</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0"/>
              </w:rPr>
              <w:t>21,991.2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
        </w:trPr>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416"/>
        </w:trPr>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417"/>
              <w:spacing w:after="0"/>
              <w:rPr>
                <w:sz w:val="20"/>
                <w:szCs w:val="20"/>
                <w:color w:val="auto"/>
              </w:rPr>
            </w:pPr>
            <w:r>
              <w:rPr>
                <w:rFonts w:ascii="Arial" w:cs="Arial" w:eastAsia="Arial" w:hAnsi="Arial"/>
                <w:sz w:val="17"/>
                <w:szCs w:val="17"/>
                <w:color w:val="auto"/>
                <w:w w:val="94"/>
              </w:rPr>
              <w:t>66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66" w:name="page67"/>
    <w:bookmarkEnd w:id="66"/>
    <w:p>
      <w:pPr>
        <w:spacing w:after="0"/>
        <w:rPr>
          <w:sz w:val="20"/>
          <w:szCs w:val="20"/>
          <w:color w:val="auto"/>
        </w:rPr>
      </w:pPr>
      <w:r>
        <w:rPr>
          <w:rFonts w:ascii="Arial" w:cs="Arial" w:eastAsia="Arial" w:hAnsi="Arial"/>
          <w:sz w:val="15"/>
          <w:szCs w:val="15"/>
          <w:color w:val="auto"/>
        </w:rPr>
        <w:t>(1) Additional breakdown of Timing of Revenue Recognition for Americas and Southern Europe are as follows: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531812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18125" cy="762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197"/>
              <w:spacing w:after="0"/>
              <w:rPr>
                <w:sz w:val="20"/>
                <w:szCs w:val="20"/>
                <w:color w:val="auto"/>
              </w:rPr>
            </w:pPr>
            <w:r>
              <w:rPr>
                <w:rFonts w:ascii="Arial" w:cs="Arial" w:eastAsia="Arial" w:hAnsi="Arial"/>
                <w:sz w:val="17"/>
                <w:szCs w:val="17"/>
                <w:color w:val="auto"/>
              </w:rPr>
              <w:t>Other</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w w:val="92"/>
              </w:rPr>
              <w:t>Other Southern</w:t>
            </w:r>
          </w:p>
        </w:tc>
      </w:tr>
      <w:tr>
        <w:trPr>
          <w:trHeight w:val="212"/>
        </w:trPr>
        <w:tc>
          <w:tcPr>
            <w:tcW w:w="3180" w:type="dxa"/>
            <w:vAlign w:val="bottom"/>
          </w:tcPr>
          <w:p>
            <w:pPr>
              <w:ind w:left="20"/>
              <w:spacing w:after="0"/>
              <w:rPr>
                <w:sz w:val="20"/>
                <w:szCs w:val="20"/>
                <w:color w:val="auto"/>
              </w:rPr>
            </w:pPr>
            <w:r>
              <w:rPr>
                <w:rFonts w:ascii="Arial" w:cs="Arial" w:eastAsia="Arial" w:hAnsi="Arial"/>
                <w:sz w:val="17"/>
                <w:szCs w:val="17"/>
                <w:color w:val="auto"/>
              </w:rPr>
              <w:t>Timing of Revenue Recognition</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w w:val="95"/>
              </w:rPr>
              <w:t>United States</w:t>
            </w:r>
          </w:p>
        </w:tc>
        <w:tc>
          <w:tcPr>
            <w:tcW w:w="140" w:type="dxa"/>
            <w:vAlign w:val="bottom"/>
          </w:tcPr>
          <w:p>
            <w:pPr>
              <w:spacing w:after="0"/>
              <w:rPr>
                <w:sz w:val="18"/>
                <w:szCs w:val="18"/>
                <w:color w:val="auto"/>
              </w:rPr>
            </w:pPr>
          </w:p>
        </w:tc>
        <w:tc>
          <w:tcPr>
            <w:tcW w:w="840" w:type="dxa"/>
            <w:vAlign w:val="bottom"/>
          </w:tcPr>
          <w:p>
            <w:pPr>
              <w:jc w:val="right"/>
              <w:ind w:right="77"/>
              <w:spacing w:after="0"/>
              <w:rPr>
                <w:sz w:val="20"/>
                <w:szCs w:val="20"/>
                <w:color w:val="auto"/>
              </w:rPr>
            </w:pPr>
            <w:r>
              <w:rPr>
                <w:rFonts w:ascii="Arial" w:cs="Arial" w:eastAsia="Arial" w:hAnsi="Arial"/>
                <w:sz w:val="17"/>
                <w:szCs w:val="17"/>
                <w:color w:val="auto"/>
                <w:w w:val="93"/>
              </w:rPr>
              <w:t>Americas</w:t>
            </w:r>
          </w:p>
        </w:tc>
        <w:tc>
          <w:tcPr>
            <w:tcW w:w="220" w:type="dxa"/>
            <w:vAlign w:val="bottom"/>
          </w:tcPr>
          <w:p>
            <w:pPr>
              <w:spacing w:after="0"/>
              <w:rPr>
                <w:sz w:val="18"/>
                <w:szCs w:val="18"/>
                <w:color w:val="auto"/>
              </w:rPr>
            </w:pPr>
          </w:p>
        </w:tc>
        <w:tc>
          <w:tcPr>
            <w:tcW w:w="780" w:type="dxa"/>
            <w:vAlign w:val="bottom"/>
          </w:tcPr>
          <w:p>
            <w:pPr>
              <w:jc w:val="right"/>
              <w:ind w:right="177"/>
              <w:spacing w:after="0"/>
              <w:rPr>
                <w:sz w:val="20"/>
                <w:szCs w:val="20"/>
                <w:color w:val="auto"/>
              </w:rPr>
            </w:pPr>
            <w:r>
              <w:rPr>
                <w:rFonts w:ascii="Arial" w:cs="Arial" w:eastAsia="Arial" w:hAnsi="Arial"/>
                <w:sz w:val="17"/>
                <w:szCs w:val="17"/>
                <w:color w:val="auto"/>
                <w:w w:val="94"/>
              </w:rPr>
              <w:t>France</w:t>
            </w:r>
          </w:p>
        </w:tc>
        <w:tc>
          <w:tcPr>
            <w:tcW w:w="240" w:type="dxa"/>
            <w:vAlign w:val="bottom"/>
          </w:tcPr>
          <w:p>
            <w:pPr>
              <w:spacing w:after="0"/>
              <w:rPr>
                <w:sz w:val="18"/>
                <w:szCs w:val="18"/>
                <w:color w:val="auto"/>
              </w:rPr>
            </w:pPr>
          </w:p>
        </w:tc>
        <w:tc>
          <w:tcPr>
            <w:tcW w:w="760" w:type="dxa"/>
            <w:vAlign w:val="bottom"/>
          </w:tcPr>
          <w:p>
            <w:pPr>
              <w:jc w:val="right"/>
              <w:ind w:right="257"/>
              <w:spacing w:after="0"/>
              <w:rPr>
                <w:sz w:val="20"/>
                <w:szCs w:val="20"/>
                <w:color w:val="auto"/>
              </w:rPr>
            </w:pPr>
            <w:r>
              <w:rPr>
                <w:rFonts w:ascii="Arial" w:cs="Arial" w:eastAsia="Arial" w:hAnsi="Arial"/>
                <w:sz w:val="17"/>
                <w:szCs w:val="17"/>
                <w:color w:val="auto"/>
              </w:rPr>
              <w:t>Italy</w:t>
            </w:r>
          </w:p>
        </w:tc>
        <w:tc>
          <w:tcPr>
            <w:tcW w:w="240" w:type="dxa"/>
            <w:vAlign w:val="bottom"/>
          </w:tcPr>
          <w:p>
            <w:pPr>
              <w:spacing w:after="0"/>
              <w:rPr>
                <w:sz w:val="18"/>
                <w:szCs w:val="18"/>
                <w:color w:val="auto"/>
              </w:rPr>
            </w:pPr>
          </w:p>
        </w:tc>
        <w:tc>
          <w:tcPr>
            <w:tcW w:w="940" w:type="dxa"/>
            <w:vAlign w:val="bottom"/>
          </w:tcPr>
          <w:p>
            <w:pPr>
              <w:jc w:val="right"/>
              <w:ind w:right="257"/>
              <w:spacing w:after="0"/>
              <w:rPr>
                <w:sz w:val="20"/>
                <w:szCs w:val="20"/>
                <w:color w:val="auto"/>
              </w:rPr>
            </w:pPr>
            <w:r>
              <w:rPr>
                <w:rFonts w:ascii="Arial" w:cs="Arial" w:eastAsia="Arial" w:hAnsi="Arial"/>
                <w:sz w:val="17"/>
                <w:szCs w:val="17"/>
                <w:color w:val="auto"/>
              </w:rPr>
              <w:t>Europe</w:t>
            </w:r>
          </w:p>
        </w:tc>
      </w:tr>
      <w:tr>
        <w:trPr>
          <w:trHeight w:val="25"/>
        </w:trPr>
        <w:tc>
          <w:tcPr>
            <w:tcW w:w="3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2"/>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Services transferred over time</w:t>
            </w:r>
          </w:p>
        </w:tc>
        <w:tc>
          <w:tcPr>
            <w:tcW w:w="3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2,471.0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1,619.7</w:t>
            </w:r>
          </w:p>
        </w:tc>
        <w:tc>
          <w:tcPr>
            <w:tcW w:w="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5,775.1</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1,637.1</w:t>
            </w:r>
          </w:p>
        </w:tc>
        <w:tc>
          <w:tcPr>
            <w:tcW w:w="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1,827.7</w:t>
            </w:r>
          </w:p>
        </w:tc>
      </w:tr>
      <w:tr>
        <w:trPr>
          <w:trHeight w:val="224"/>
        </w:trPr>
        <w:tc>
          <w:tcPr>
            <w:tcW w:w="3180" w:type="dxa"/>
            <w:vAlign w:val="bottom"/>
          </w:tcPr>
          <w:p>
            <w:pPr>
              <w:ind w:left="20"/>
              <w:spacing w:after="0"/>
              <w:rPr>
                <w:sz w:val="20"/>
                <w:szCs w:val="20"/>
                <w:color w:val="auto"/>
              </w:rPr>
            </w:pPr>
            <w:r>
              <w:rPr>
                <w:rFonts w:ascii="Arial" w:cs="Arial" w:eastAsia="Arial" w:hAnsi="Arial"/>
                <w:sz w:val="17"/>
                <w:szCs w:val="17"/>
                <w:color w:val="auto"/>
              </w:rPr>
              <w:t>Services transferred at a point in time</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51.3</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17.3</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52.6</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33.5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45.6</w:t>
            </w:r>
          </w:p>
        </w:tc>
      </w:tr>
      <w:tr>
        <w:trPr>
          <w:trHeight w:val="25"/>
        </w:trPr>
        <w:tc>
          <w:tcPr>
            <w:tcW w:w="3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3180" w:type="dxa"/>
            <w:vAlign w:val="bottom"/>
          </w:tcPr>
          <w:p>
            <w:pPr>
              <w:ind w:left="2760"/>
              <w:spacing w:after="0"/>
              <w:rPr>
                <w:sz w:val="20"/>
                <w:szCs w:val="20"/>
                <w:color w:val="auto"/>
              </w:rPr>
            </w:pPr>
            <w:r>
              <w:rPr>
                <w:rFonts w:ascii="Arial" w:cs="Arial" w:eastAsia="Arial" w:hAnsi="Arial"/>
                <w:sz w:val="17"/>
                <w:szCs w:val="17"/>
                <w:color w:val="auto"/>
              </w:rPr>
              <w:t>Total</w:t>
            </w:r>
          </w:p>
        </w:tc>
        <w:tc>
          <w:tcPr>
            <w:tcW w:w="32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2,522.3</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1,637.0</w:t>
            </w:r>
          </w:p>
        </w:tc>
        <w:tc>
          <w:tcPr>
            <w:tcW w:w="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5,827.7</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1,670.6</w:t>
            </w:r>
          </w:p>
        </w:tc>
        <w:tc>
          <w:tcPr>
            <w:tcW w:w="2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1,873.3</w:t>
            </w:r>
          </w:p>
        </w:tc>
      </w:tr>
      <w:tr>
        <w:trPr>
          <w:trHeight w:val="25"/>
        </w:trPr>
        <w:tc>
          <w:tcPr>
            <w:tcW w:w="3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Accounts Receivable, Contract Assets and Contract Liabilities</w:t>
      </w:r>
    </w:p>
    <w:p>
      <w:pPr>
        <w:spacing w:after="0" w:line="203"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7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Our deferred revenue was $42.8 at December 31, 2018 and $48.0 at December 31, 2017. We recognized the entire amount of the deferred revenue balance as of December 31, 2017 as revenue during the year ended December 31, 2018.</w:t>
      </w:r>
    </w:p>
    <w:p>
      <w:pPr>
        <w:spacing w:after="0" w:line="366" w:lineRule="exact"/>
        <w:rPr>
          <w:sz w:val="20"/>
          <w:szCs w:val="20"/>
          <w:color w:val="auto"/>
        </w:rPr>
      </w:pPr>
    </w:p>
    <w:p>
      <w:pPr>
        <w:ind w:left="240" w:hanging="240"/>
        <w:spacing w:after="0"/>
        <w:tabs>
          <w:tab w:leader="none" w:pos="240" w:val="left"/>
        </w:tabs>
        <w:numPr>
          <w:ilvl w:val="0"/>
          <w:numId w:val="35"/>
        </w:numPr>
        <w:rPr>
          <w:rFonts w:ascii="Arial" w:cs="Arial" w:eastAsia="Arial" w:hAnsi="Arial"/>
          <w:sz w:val="17"/>
          <w:szCs w:val="17"/>
          <w:color w:val="282A32"/>
        </w:rPr>
      </w:pPr>
      <w:r>
        <w:rPr>
          <w:rFonts w:ascii="Arial" w:cs="Arial" w:eastAsia="Arial" w:hAnsi="Arial"/>
          <w:sz w:val="17"/>
          <w:szCs w:val="17"/>
          <w:u w:val="single" w:color="auto"/>
          <w:color w:val="282A32"/>
        </w:rPr>
        <w:t>Share-Based Compensation Plans</w:t>
      </w:r>
    </w:p>
    <w:p>
      <w:pPr>
        <w:spacing w:after="0" w:line="153"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282A32"/>
        </w:rPr>
        <w:t>During 2018, 2017 and 2016, we recognized $27.8, $28.7 and $27.1, respectively, in share-based compensation expense related to stock options, deferred stock, restricted stock and performance share units, all of which is recorded in selling and administrative expenses. Consideration received from share-based awards for 2018, 2017 and 2016 was $5.2, $44.2 and $19.7, respectively. The total income tax benefit recognized related to share-based compensation during 2018, 2017 and 2016 was $4.5, $23.7 and $7.4, respectively. We recognize compensation expense on grants of share-based compensation awards on a straight-line basis over the vesting period of each award.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393"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i w:val="1"/>
          <w:iCs w:val="1"/>
          <w:color w:val="282A32"/>
        </w:rPr>
        <w:t>Stock Options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All share-based compensation is granted under the 2011 Equity Incentive Plan of Manpower Inc. (“2011 Plan”). Options and stock appreciation rights are granted at a price not less than 100% of the fair market value of the common stock at the date of grant. Generally, options are granted with a ratable vesting period of up to four years and expire ten years from date of grant. No stock appreciation rights had been granted or were outstanding as of December 31, 2018 or 2017. A summary of stock option activity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5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80" w:type="dxa"/>
            <w:vAlign w:val="bottom"/>
          </w:tcPr>
          <w:p>
            <w:pPr>
              <w:jc w:val="right"/>
              <w:ind w:right="117"/>
              <w:spacing w:after="0"/>
              <w:rPr>
                <w:sz w:val="20"/>
                <w:szCs w:val="20"/>
                <w:color w:val="auto"/>
              </w:rPr>
            </w:pPr>
            <w:r>
              <w:rPr>
                <w:rFonts w:ascii="Arial" w:cs="Arial" w:eastAsia="Arial" w:hAnsi="Arial"/>
                <w:sz w:val="17"/>
                <w:szCs w:val="17"/>
                <w:color w:val="282A32"/>
              </w:rPr>
              <w:t>Wtd. Avg.</w:t>
            </w:r>
          </w:p>
        </w:tc>
        <w:tc>
          <w:tcPr>
            <w:tcW w:w="1280" w:type="dxa"/>
            <w:vAlign w:val="bottom"/>
          </w:tcPr>
          <w:p>
            <w:pPr>
              <w:spacing w:after="0"/>
              <w:rPr>
                <w:sz w:val="17"/>
                <w:szCs w:val="17"/>
                <w:color w:val="auto"/>
              </w:rPr>
            </w:pPr>
          </w:p>
        </w:tc>
      </w:tr>
      <w:tr>
        <w:trPr>
          <w:trHeight w:val="199"/>
        </w:trPr>
        <w:tc>
          <w:tcPr>
            <w:tcW w:w="45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0" w:type="dxa"/>
            <w:vAlign w:val="bottom"/>
          </w:tcPr>
          <w:p>
            <w:pPr>
              <w:jc w:val="right"/>
              <w:ind w:right="117"/>
              <w:spacing w:after="0"/>
              <w:rPr>
                <w:sz w:val="20"/>
                <w:szCs w:val="20"/>
                <w:color w:val="auto"/>
              </w:rPr>
            </w:pPr>
            <w:r>
              <w:rPr>
                <w:rFonts w:ascii="Arial" w:cs="Arial" w:eastAsia="Arial" w:hAnsi="Arial"/>
                <w:sz w:val="17"/>
                <w:szCs w:val="17"/>
                <w:color w:val="282A32"/>
              </w:rPr>
              <w:t>Wtd. Avg.</w:t>
            </w:r>
          </w:p>
        </w:tc>
        <w:tc>
          <w:tcPr>
            <w:tcW w:w="1580" w:type="dxa"/>
            <w:vAlign w:val="bottom"/>
          </w:tcPr>
          <w:p>
            <w:pPr>
              <w:jc w:val="right"/>
              <w:ind w:right="117"/>
              <w:spacing w:after="0"/>
              <w:rPr>
                <w:sz w:val="20"/>
                <w:szCs w:val="20"/>
                <w:color w:val="auto"/>
              </w:rPr>
            </w:pPr>
            <w:r>
              <w:rPr>
                <w:rFonts w:ascii="Arial" w:cs="Arial" w:eastAsia="Arial" w:hAnsi="Arial"/>
                <w:sz w:val="17"/>
                <w:szCs w:val="17"/>
                <w:color w:val="282A32"/>
              </w:rPr>
              <w:t>Remaining</w:t>
            </w:r>
          </w:p>
        </w:tc>
        <w:tc>
          <w:tcPr>
            <w:tcW w:w="1280" w:type="dxa"/>
            <w:vAlign w:val="bottom"/>
          </w:tcPr>
          <w:p>
            <w:pPr>
              <w:jc w:val="right"/>
              <w:ind w:right="17"/>
              <w:spacing w:after="0"/>
              <w:rPr>
                <w:sz w:val="20"/>
                <w:szCs w:val="20"/>
                <w:color w:val="auto"/>
              </w:rPr>
            </w:pPr>
            <w:r>
              <w:rPr>
                <w:rFonts w:ascii="Arial" w:cs="Arial" w:eastAsia="Arial" w:hAnsi="Arial"/>
                <w:sz w:val="17"/>
                <w:szCs w:val="17"/>
                <w:color w:val="282A32"/>
              </w:rPr>
              <w:t>Aggregate</w:t>
            </w:r>
          </w:p>
        </w:tc>
      </w:tr>
      <w:tr>
        <w:trPr>
          <w:trHeight w:val="199"/>
        </w:trPr>
        <w:tc>
          <w:tcPr>
            <w:tcW w:w="458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00" w:type="dxa"/>
            <w:vAlign w:val="bottom"/>
          </w:tcPr>
          <w:p>
            <w:pPr>
              <w:jc w:val="right"/>
              <w:ind w:right="117"/>
              <w:spacing w:after="0"/>
              <w:rPr>
                <w:sz w:val="20"/>
                <w:szCs w:val="20"/>
                <w:color w:val="auto"/>
              </w:rPr>
            </w:pPr>
            <w:r>
              <w:rPr>
                <w:rFonts w:ascii="Arial" w:cs="Arial" w:eastAsia="Arial" w:hAnsi="Arial"/>
                <w:sz w:val="17"/>
                <w:szCs w:val="17"/>
                <w:color w:val="282A32"/>
              </w:rPr>
              <w:t>Exercise Price</w:t>
            </w:r>
          </w:p>
        </w:tc>
        <w:tc>
          <w:tcPr>
            <w:tcW w:w="1580" w:type="dxa"/>
            <w:vAlign w:val="bottom"/>
          </w:tcPr>
          <w:p>
            <w:pPr>
              <w:jc w:val="right"/>
              <w:ind w:right="117"/>
              <w:spacing w:after="0"/>
              <w:rPr>
                <w:sz w:val="20"/>
                <w:szCs w:val="20"/>
                <w:color w:val="auto"/>
              </w:rPr>
            </w:pPr>
            <w:r>
              <w:rPr>
                <w:rFonts w:ascii="Arial" w:cs="Arial" w:eastAsia="Arial" w:hAnsi="Arial"/>
                <w:sz w:val="17"/>
                <w:szCs w:val="17"/>
                <w:color w:val="282A32"/>
              </w:rPr>
              <w:t>Contractual Term</w:t>
            </w:r>
          </w:p>
        </w:tc>
        <w:tc>
          <w:tcPr>
            <w:tcW w:w="1280" w:type="dxa"/>
            <w:vAlign w:val="bottom"/>
          </w:tcPr>
          <w:p>
            <w:pPr>
              <w:jc w:val="right"/>
              <w:ind w:right="17"/>
              <w:spacing w:after="0"/>
              <w:rPr>
                <w:sz w:val="20"/>
                <w:szCs w:val="20"/>
                <w:color w:val="auto"/>
              </w:rPr>
            </w:pPr>
            <w:r>
              <w:rPr>
                <w:rFonts w:ascii="Arial" w:cs="Arial" w:eastAsia="Arial" w:hAnsi="Arial"/>
                <w:sz w:val="17"/>
                <w:szCs w:val="17"/>
                <w:color w:val="282A32"/>
              </w:rPr>
              <w:t>Intrinsic Value</w:t>
            </w:r>
          </w:p>
        </w:tc>
      </w:tr>
      <w:tr>
        <w:trPr>
          <w:trHeight w:val="212"/>
        </w:trPr>
        <w:tc>
          <w:tcPr>
            <w:tcW w:w="4580" w:type="dxa"/>
            <w:vAlign w:val="bottom"/>
          </w:tcPr>
          <w:p>
            <w:pPr>
              <w:spacing w:after="0"/>
              <w:rPr>
                <w:sz w:val="18"/>
                <w:szCs w:val="18"/>
                <w:color w:val="auto"/>
              </w:rPr>
            </w:pPr>
          </w:p>
        </w:tc>
        <w:tc>
          <w:tcPr>
            <w:tcW w:w="2580" w:type="dxa"/>
            <w:vAlign w:val="bottom"/>
          </w:tcPr>
          <w:p>
            <w:pPr>
              <w:jc w:val="right"/>
              <w:ind w:right="217"/>
              <w:spacing w:after="0"/>
              <w:rPr>
                <w:sz w:val="20"/>
                <w:szCs w:val="20"/>
                <w:color w:val="auto"/>
              </w:rPr>
            </w:pPr>
            <w:r>
              <w:rPr>
                <w:rFonts w:ascii="Arial" w:cs="Arial" w:eastAsia="Arial" w:hAnsi="Arial"/>
                <w:sz w:val="17"/>
                <w:szCs w:val="17"/>
                <w:color w:val="282A32"/>
              </w:rPr>
              <w:t>Shares (000)</w:t>
            </w:r>
          </w:p>
        </w:tc>
        <w:tc>
          <w:tcPr>
            <w:tcW w:w="1400" w:type="dxa"/>
            <w:vAlign w:val="bottom"/>
          </w:tcPr>
          <w:p>
            <w:pPr>
              <w:jc w:val="right"/>
              <w:ind w:right="117"/>
              <w:spacing w:after="0"/>
              <w:rPr>
                <w:sz w:val="20"/>
                <w:szCs w:val="20"/>
                <w:color w:val="auto"/>
              </w:rPr>
            </w:pPr>
            <w:r>
              <w:rPr>
                <w:rFonts w:ascii="Arial" w:cs="Arial" w:eastAsia="Arial" w:hAnsi="Arial"/>
                <w:sz w:val="17"/>
                <w:szCs w:val="17"/>
                <w:color w:val="282A32"/>
              </w:rPr>
              <w:t>Per Share</w:t>
            </w:r>
          </w:p>
        </w:tc>
        <w:tc>
          <w:tcPr>
            <w:tcW w:w="1580" w:type="dxa"/>
            <w:vAlign w:val="bottom"/>
          </w:tcPr>
          <w:p>
            <w:pPr>
              <w:jc w:val="right"/>
              <w:ind w:right="117"/>
              <w:spacing w:after="0"/>
              <w:rPr>
                <w:sz w:val="20"/>
                <w:szCs w:val="20"/>
                <w:color w:val="auto"/>
              </w:rPr>
            </w:pPr>
            <w:r>
              <w:rPr>
                <w:rFonts w:ascii="Arial" w:cs="Arial" w:eastAsia="Arial" w:hAnsi="Arial"/>
                <w:sz w:val="17"/>
                <w:szCs w:val="17"/>
                <w:color w:val="282A32"/>
              </w:rPr>
              <w:t>(years)</w:t>
            </w:r>
          </w:p>
        </w:tc>
        <w:tc>
          <w:tcPr>
            <w:tcW w:w="1280" w:type="dxa"/>
            <w:vAlign w:val="bottom"/>
          </w:tcPr>
          <w:p>
            <w:pPr>
              <w:jc w:val="right"/>
              <w:ind w:right="17"/>
              <w:spacing w:after="0"/>
              <w:rPr>
                <w:sz w:val="20"/>
                <w:szCs w:val="20"/>
                <w:color w:val="auto"/>
              </w:rPr>
            </w:pPr>
            <w:r>
              <w:rPr>
                <w:rFonts w:ascii="Arial" w:cs="Arial" w:eastAsia="Arial" w:hAnsi="Arial"/>
                <w:sz w:val="17"/>
                <w:szCs w:val="17"/>
                <w:color w:val="282A32"/>
              </w:rPr>
              <w:t>(in millions)</w:t>
            </w:r>
          </w:p>
        </w:tc>
      </w:tr>
      <w:tr>
        <w:trPr>
          <w:trHeight w:val="25"/>
        </w:trPr>
        <w:tc>
          <w:tcPr>
            <w:tcW w:w="45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Outstanding, January 1, 2016</w:t>
            </w:r>
          </w:p>
        </w:tc>
        <w:tc>
          <w:tcPr>
            <w:tcW w:w="25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1,272</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$64</w:t>
            </w:r>
          </w:p>
        </w:tc>
        <w:tc>
          <w:tcPr>
            <w:tcW w:w="15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24"/>
        </w:trPr>
        <w:tc>
          <w:tcPr>
            <w:tcW w:w="4580" w:type="dxa"/>
            <w:vAlign w:val="bottom"/>
          </w:tcPr>
          <w:p>
            <w:pPr>
              <w:ind w:left="140"/>
              <w:spacing w:after="0"/>
              <w:rPr>
                <w:sz w:val="20"/>
                <w:szCs w:val="20"/>
                <w:color w:val="auto"/>
              </w:rPr>
            </w:pPr>
            <w:r>
              <w:rPr>
                <w:rFonts w:ascii="Arial" w:cs="Arial" w:eastAsia="Arial" w:hAnsi="Arial"/>
                <w:sz w:val="17"/>
                <w:szCs w:val="17"/>
                <w:color w:val="282A32"/>
              </w:rPr>
              <w:t>Granted</w:t>
            </w:r>
          </w:p>
        </w:tc>
        <w:tc>
          <w:tcPr>
            <w:tcW w:w="2580" w:type="dxa"/>
            <w:vAlign w:val="bottom"/>
          </w:tcPr>
          <w:p>
            <w:pPr>
              <w:jc w:val="right"/>
              <w:ind w:right="217"/>
              <w:spacing w:after="0"/>
              <w:rPr>
                <w:sz w:val="20"/>
                <w:szCs w:val="20"/>
                <w:color w:val="auto"/>
              </w:rPr>
            </w:pPr>
            <w:r>
              <w:rPr>
                <w:rFonts w:ascii="Arial" w:cs="Arial" w:eastAsia="Arial" w:hAnsi="Arial"/>
                <w:sz w:val="17"/>
                <w:szCs w:val="17"/>
                <w:color w:val="282A32"/>
              </w:rPr>
              <w:t>166</w:t>
            </w:r>
          </w:p>
        </w:tc>
        <w:tc>
          <w:tcPr>
            <w:tcW w:w="1400" w:type="dxa"/>
            <w:vAlign w:val="bottom"/>
          </w:tcPr>
          <w:p>
            <w:pPr>
              <w:jc w:val="right"/>
              <w:ind w:right="117"/>
              <w:spacing w:after="0"/>
              <w:rPr>
                <w:sz w:val="20"/>
                <w:szCs w:val="20"/>
                <w:color w:val="auto"/>
              </w:rPr>
            </w:pPr>
            <w:r>
              <w:rPr>
                <w:rFonts w:ascii="Arial" w:cs="Arial" w:eastAsia="Arial" w:hAnsi="Arial"/>
                <w:sz w:val="17"/>
                <w:szCs w:val="17"/>
                <w:color w:val="282A32"/>
              </w:rPr>
              <w:t>75</w:t>
            </w:r>
          </w:p>
        </w:tc>
        <w:tc>
          <w:tcPr>
            <w:tcW w:w="15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
        </w:trPr>
        <w:tc>
          <w:tcPr>
            <w:tcW w:w="45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Exercised</w:t>
            </w:r>
          </w:p>
        </w:tc>
        <w:tc>
          <w:tcPr>
            <w:tcW w:w="25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282A32"/>
              </w:rPr>
              <w:t>(279)</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63</w:t>
            </w:r>
          </w:p>
        </w:tc>
        <w:tc>
          <w:tcPr>
            <w:tcW w:w="15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$5</w:t>
            </w:r>
          </w:p>
        </w:tc>
      </w:tr>
      <w:tr>
        <w:trPr>
          <w:trHeight w:val="224"/>
        </w:trPr>
        <w:tc>
          <w:tcPr>
            <w:tcW w:w="4580" w:type="dxa"/>
            <w:vAlign w:val="bottom"/>
          </w:tcPr>
          <w:p>
            <w:pPr>
              <w:ind w:left="140"/>
              <w:spacing w:after="0"/>
              <w:rPr>
                <w:sz w:val="20"/>
                <w:szCs w:val="20"/>
                <w:color w:val="auto"/>
              </w:rPr>
            </w:pPr>
            <w:r>
              <w:rPr>
                <w:rFonts w:ascii="Arial" w:cs="Arial" w:eastAsia="Arial" w:hAnsi="Arial"/>
                <w:sz w:val="17"/>
                <w:szCs w:val="17"/>
                <w:color w:val="282A32"/>
              </w:rPr>
              <w:t>Expired or cancelled</w:t>
            </w:r>
          </w:p>
        </w:tc>
        <w:tc>
          <w:tcPr>
            <w:tcW w:w="2580" w:type="dxa"/>
            <w:vAlign w:val="bottom"/>
          </w:tcPr>
          <w:p>
            <w:pPr>
              <w:jc w:val="right"/>
              <w:ind w:right="157"/>
              <w:spacing w:after="0"/>
              <w:rPr>
                <w:sz w:val="20"/>
                <w:szCs w:val="20"/>
                <w:color w:val="auto"/>
              </w:rPr>
            </w:pPr>
            <w:r>
              <w:rPr>
                <w:rFonts w:ascii="Arial" w:cs="Arial" w:eastAsia="Arial" w:hAnsi="Arial"/>
                <w:sz w:val="17"/>
                <w:szCs w:val="17"/>
                <w:color w:val="282A32"/>
              </w:rPr>
              <w:t>(32)</w:t>
            </w:r>
          </w:p>
        </w:tc>
        <w:tc>
          <w:tcPr>
            <w:tcW w:w="1400" w:type="dxa"/>
            <w:vAlign w:val="bottom"/>
          </w:tcPr>
          <w:p>
            <w:pPr>
              <w:jc w:val="right"/>
              <w:ind w:right="117"/>
              <w:spacing w:after="0"/>
              <w:rPr>
                <w:sz w:val="20"/>
                <w:szCs w:val="20"/>
                <w:color w:val="auto"/>
              </w:rPr>
            </w:pPr>
            <w:r>
              <w:rPr>
                <w:rFonts w:ascii="Arial" w:cs="Arial" w:eastAsia="Arial" w:hAnsi="Arial"/>
                <w:sz w:val="17"/>
                <w:szCs w:val="17"/>
                <w:color w:val="282A32"/>
              </w:rPr>
              <w:t>67</w:t>
            </w:r>
          </w:p>
        </w:tc>
        <w:tc>
          <w:tcPr>
            <w:tcW w:w="15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
        </w:trPr>
        <w:tc>
          <w:tcPr>
            <w:tcW w:w="45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Outstanding, December 31, 2016</w:t>
            </w:r>
          </w:p>
        </w:tc>
        <w:tc>
          <w:tcPr>
            <w:tcW w:w="25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1,127</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$66</w:t>
            </w:r>
          </w:p>
        </w:tc>
        <w:tc>
          <w:tcPr>
            <w:tcW w:w="15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4.9</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$26</w:t>
            </w:r>
          </w:p>
        </w:tc>
      </w:tr>
      <w:tr>
        <w:trPr>
          <w:trHeight w:val="217"/>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Vested or expected to vest, December 31, 2016</w:t>
            </w:r>
          </w:p>
        </w:tc>
        <w:tc>
          <w:tcPr>
            <w:tcW w:w="258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1,122</w:t>
            </w:r>
          </w:p>
        </w:tc>
        <w:tc>
          <w:tcPr>
            <w:tcW w:w="14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$66</w:t>
            </w:r>
          </w:p>
        </w:tc>
        <w:tc>
          <w:tcPr>
            <w:tcW w:w="158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4.9</w:t>
            </w:r>
          </w:p>
        </w:tc>
        <w:tc>
          <w:tcPr>
            <w:tcW w:w="1280" w:type="dxa"/>
            <w:vAlign w:val="bottom"/>
            <w:tcBorders>
              <w:top w:val="single" w:sz="8" w:color="auto"/>
            </w:tcBorders>
          </w:tcPr>
          <w:p>
            <w:pPr>
              <w:spacing w:after="0"/>
              <w:rPr>
                <w:sz w:val="18"/>
                <w:szCs w:val="18"/>
                <w:color w:val="auto"/>
              </w:rPr>
            </w:pPr>
          </w:p>
        </w:tc>
      </w:tr>
      <w:tr>
        <w:trPr>
          <w:trHeight w:val="25"/>
        </w:trPr>
        <w:tc>
          <w:tcPr>
            <w:tcW w:w="45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Exercisable, December 31, 2016</w:t>
            </w:r>
          </w:p>
        </w:tc>
        <w:tc>
          <w:tcPr>
            <w:tcW w:w="25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756</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$62</w:t>
            </w:r>
          </w:p>
        </w:tc>
        <w:tc>
          <w:tcPr>
            <w:tcW w:w="15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3.3</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$20</w:t>
            </w:r>
          </w:p>
        </w:tc>
      </w:tr>
      <w:tr>
        <w:trPr>
          <w:trHeight w:val="217"/>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Outstanding, January 1, 2017</w:t>
            </w:r>
          </w:p>
        </w:tc>
        <w:tc>
          <w:tcPr>
            <w:tcW w:w="258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1,127</w:t>
            </w:r>
          </w:p>
        </w:tc>
        <w:tc>
          <w:tcPr>
            <w:tcW w:w="14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$66</w:t>
            </w:r>
          </w:p>
        </w:tc>
        <w:tc>
          <w:tcPr>
            <w:tcW w:w="15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5"/>
        </w:trPr>
        <w:tc>
          <w:tcPr>
            <w:tcW w:w="45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Granted</w:t>
            </w:r>
          </w:p>
        </w:tc>
        <w:tc>
          <w:tcPr>
            <w:tcW w:w="25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145</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97</w:t>
            </w:r>
          </w:p>
        </w:tc>
        <w:tc>
          <w:tcPr>
            <w:tcW w:w="15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24"/>
        </w:trPr>
        <w:tc>
          <w:tcPr>
            <w:tcW w:w="4580" w:type="dxa"/>
            <w:vAlign w:val="bottom"/>
          </w:tcPr>
          <w:p>
            <w:pPr>
              <w:ind w:left="140"/>
              <w:spacing w:after="0"/>
              <w:rPr>
                <w:sz w:val="20"/>
                <w:szCs w:val="20"/>
                <w:color w:val="auto"/>
              </w:rPr>
            </w:pPr>
            <w:r>
              <w:rPr>
                <w:rFonts w:ascii="Arial" w:cs="Arial" w:eastAsia="Arial" w:hAnsi="Arial"/>
                <w:sz w:val="17"/>
                <w:szCs w:val="17"/>
                <w:color w:val="282A32"/>
              </w:rPr>
              <w:t>Exercised</w:t>
            </w:r>
          </w:p>
        </w:tc>
        <w:tc>
          <w:tcPr>
            <w:tcW w:w="2580" w:type="dxa"/>
            <w:vAlign w:val="bottom"/>
          </w:tcPr>
          <w:p>
            <w:pPr>
              <w:jc w:val="right"/>
              <w:ind w:right="157"/>
              <w:spacing w:after="0"/>
              <w:rPr>
                <w:sz w:val="20"/>
                <w:szCs w:val="20"/>
                <w:color w:val="auto"/>
              </w:rPr>
            </w:pPr>
            <w:r>
              <w:rPr>
                <w:rFonts w:ascii="Arial" w:cs="Arial" w:eastAsia="Arial" w:hAnsi="Arial"/>
                <w:sz w:val="17"/>
                <w:szCs w:val="17"/>
                <w:color w:val="282A32"/>
              </w:rPr>
              <w:t>(680)</w:t>
            </w:r>
          </w:p>
        </w:tc>
        <w:tc>
          <w:tcPr>
            <w:tcW w:w="1400" w:type="dxa"/>
            <w:vAlign w:val="bottom"/>
          </w:tcPr>
          <w:p>
            <w:pPr>
              <w:jc w:val="right"/>
              <w:ind w:right="117"/>
              <w:spacing w:after="0"/>
              <w:rPr>
                <w:sz w:val="20"/>
                <w:szCs w:val="20"/>
                <w:color w:val="auto"/>
              </w:rPr>
            </w:pPr>
            <w:r>
              <w:rPr>
                <w:rFonts w:ascii="Arial" w:cs="Arial" w:eastAsia="Arial" w:hAnsi="Arial"/>
                <w:sz w:val="17"/>
                <w:szCs w:val="17"/>
                <w:color w:val="282A32"/>
              </w:rPr>
              <w:t>64</w:t>
            </w:r>
          </w:p>
        </w:tc>
        <w:tc>
          <w:tcPr>
            <w:tcW w:w="1580" w:type="dxa"/>
            <w:vAlign w:val="bottom"/>
          </w:tcPr>
          <w:p>
            <w:pPr>
              <w:spacing w:after="0"/>
              <w:rPr>
                <w:sz w:val="19"/>
                <w:szCs w:val="19"/>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282A32"/>
              </w:rPr>
              <w:t>$24</w:t>
            </w:r>
          </w:p>
        </w:tc>
      </w:tr>
      <w:tr>
        <w:trPr>
          <w:trHeight w:val="25"/>
        </w:trPr>
        <w:tc>
          <w:tcPr>
            <w:tcW w:w="45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4"/>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Expired or cancelled</w:t>
            </w:r>
          </w:p>
        </w:tc>
        <w:tc>
          <w:tcPr>
            <w:tcW w:w="25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282A32"/>
              </w:rPr>
              <w:t>(18)</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75</w:t>
            </w:r>
          </w:p>
        </w:tc>
        <w:tc>
          <w:tcPr>
            <w:tcW w:w="1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17"/>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Outstanding, December 31, 2017</w:t>
            </w:r>
          </w:p>
        </w:tc>
        <w:tc>
          <w:tcPr>
            <w:tcW w:w="258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574</w:t>
            </w:r>
          </w:p>
        </w:tc>
        <w:tc>
          <w:tcPr>
            <w:tcW w:w="14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$77</w:t>
            </w:r>
          </w:p>
        </w:tc>
        <w:tc>
          <w:tcPr>
            <w:tcW w:w="158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7.1</w:t>
            </w: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$28</w:t>
            </w:r>
          </w:p>
        </w:tc>
      </w:tr>
      <w:tr>
        <w:trPr>
          <w:trHeight w:val="25"/>
        </w:trPr>
        <w:tc>
          <w:tcPr>
            <w:tcW w:w="45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Vested or expected to vest, December 31, 2017</w:t>
            </w:r>
          </w:p>
        </w:tc>
        <w:tc>
          <w:tcPr>
            <w:tcW w:w="25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571</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$77</w:t>
            </w:r>
          </w:p>
        </w:tc>
        <w:tc>
          <w:tcPr>
            <w:tcW w:w="15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7.1</w:t>
            </w:r>
          </w:p>
        </w:tc>
        <w:tc>
          <w:tcPr>
            <w:tcW w:w="1280" w:type="dxa"/>
            <w:vAlign w:val="bottom"/>
            <w:tcBorders>
              <w:bottom w:val="single" w:sz="8" w:color="CCEEFF"/>
            </w:tcBorders>
            <w:shd w:val="clear" w:color="auto" w:fill="CCEEFF"/>
          </w:tcPr>
          <w:p>
            <w:pPr>
              <w:spacing w:after="0"/>
              <w:rPr>
                <w:sz w:val="21"/>
                <w:szCs w:val="21"/>
                <w:color w:val="auto"/>
              </w:rPr>
            </w:pPr>
          </w:p>
        </w:tc>
      </w:tr>
      <w:tr>
        <w:trPr>
          <w:trHeight w:val="217"/>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Exercisable, December 31, 2017</w:t>
            </w:r>
          </w:p>
        </w:tc>
        <w:tc>
          <w:tcPr>
            <w:tcW w:w="258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220</w:t>
            </w:r>
          </w:p>
        </w:tc>
        <w:tc>
          <w:tcPr>
            <w:tcW w:w="14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$65</w:t>
            </w:r>
          </w:p>
        </w:tc>
        <w:tc>
          <w:tcPr>
            <w:tcW w:w="158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5.3</w:t>
            </w: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$14</w:t>
            </w:r>
          </w:p>
        </w:tc>
      </w:tr>
      <w:tr>
        <w:trPr>
          <w:trHeight w:val="25"/>
        </w:trPr>
        <w:tc>
          <w:tcPr>
            <w:tcW w:w="45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Outstanding, January 1, 2018</w:t>
            </w:r>
          </w:p>
        </w:tc>
        <w:tc>
          <w:tcPr>
            <w:tcW w:w="25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574</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$77</w:t>
            </w:r>
          </w:p>
        </w:tc>
        <w:tc>
          <w:tcPr>
            <w:tcW w:w="15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24"/>
        </w:trPr>
        <w:tc>
          <w:tcPr>
            <w:tcW w:w="4580" w:type="dxa"/>
            <w:vAlign w:val="bottom"/>
          </w:tcPr>
          <w:p>
            <w:pPr>
              <w:ind w:left="140"/>
              <w:spacing w:after="0"/>
              <w:rPr>
                <w:sz w:val="20"/>
                <w:szCs w:val="20"/>
                <w:color w:val="auto"/>
              </w:rPr>
            </w:pPr>
            <w:r>
              <w:rPr>
                <w:rFonts w:ascii="Arial" w:cs="Arial" w:eastAsia="Arial" w:hAnsi="Arial"/>
                <w:sz w:val="17"/>
                <w:szCs w:val="17"/>
                <w:color w:val="282A32"/>
              </w:rPr>
              <w:t>Granted</w:t>
            </w:r>
          </w:p>
        </w:tc>
        <w:tc>
          <w:tcPr>
            <w:tcW w:w="2580" w:type="dxa"/>
            <w:vAlign w:val="bottom"/>
          </w:tcPr>
          <w:p>
            <w:pPr>
              <w:jc w:val="right"/>
              <w:ind w:right="217"/>
              <w:spacing w:after="0"/>
              <w:rPr>
                <w:sz w:val="20"/>
                <w:szCs w:val="20"/>
                <w:color w:val="auto"/>
              </w:rPr>
            </w:pPr>
            <w:r>
              <w:rPr>
                <w:rFonts w:ascii="Arial" w:cs="Arial" w:eastAsia="Arial" w:hAnsi="Arial"/>
                <w:sz w:val="17"/>
                <w:szCs w:val="17"/>
                <w:color w:val="282A32"/>
              </w:rPr>
              <w:t>122</w:t>
            </w:r>
          </w:p>
        </w:tc>
        <w:tc>
          <w:tcPr>
            <w:tcW w:w="1400" w:type="dxa"/>
            <w:vAlign w:val="bottom"/>
          </w:tcPr>
          <w:p>
            <w:pPr>
              <w:jc w:val="right"/>
              <w:ind w:right="117"/>
              <w:spacing w:after="0"/>
              <w:rPr>
                <w:sz w:val="20"/>
                <w:szCs w:val="20"/>
                <w:color w:val="auto"/>
              </w:rPr>
            </w:pPr>
            <w:r>
              <w:rPr>
                <w:rFonts w:ascii="Arial" w:cs="Arial" w:eastAsia="Arial" w:hAnsi="Arial"/>
                <w:sz w:val="17"/>
                <w:szCs w:val="17"/>
                <w:color w:val="282A32"/>
              </w:rPr>
              <w:t>123</w:t>
            </w:r>
          </w:p>
        </w:tc>
        <w:tc>
          <w:tcPr>
            <w:tcW w:w="15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
        </w:trPr>
        <w:tc>
          <w:tcPr>
            <w:tcW w:w="45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Exercised</w:t>
            </w:r>
          </w:p>
        </w:tc>
        <w:tc>
          <w:tcPr>
            <w:tcW w:w="25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282A32"/>
              </w:rPr>
              <w:t>(24)</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78</w:t>
            </w:r>
          </w:p>
        </w:tc>
        <w:tc>
          <w:tcPr>
            <w:tcW w:w="15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w:t>
            </w:r>
          </w:p>
        </w:tc>
      </w:tr>
      <w:tr>
        <w:trPr>
          <w:trHeight w:val="224"/>
        </w:trPr>
        <w:tc>
          <w:tcPr>
            <w:tcW w:w="4580" w:type="dxa"/>
            <w:vAlign w:val="bottom"/>
          </w:tcPr>
          <w:p>
            <w:pPr>
              <w:ind w:left="140"/>
              <w:spacing w:after="0"/>
              <w:rPr>
                <w:sz w:val="20"/>
                <w:szCs w:val="20"/>
                <w:color w:val="auto"/>
              </w:rPr>
            </w:pPr>
            <w:r>
              <w:rPr>
                <w:rFonts w:ascii="Arial" w:cs="Arial" w:eastAsia="Arial" w:hAnsi="Arial"/>
                <w:sz w:val="17"/>
                <w:szCs w:val="17"/>
                <w:color w:val="282A32"/>
              </w:rPr>
              <w:t>Expired or cancelled</w:t>
            </w:r>
          </w:p>
        </w:tc>
        <w:tc>
          <w:tcPr>
            <w:tcW w:w="2580" w:type="dxa"/>
            <w:vAlign w:val="bottom"/>
          </w:tcPr>
          <w:p>
            <w:pPr>
              <w:jc w:val="right"/>
              <w:ind w:right="217"/>
              <w:spacing w:after="0"/>
              <w:rPr>
                <w:sz w:val="20"/>
                <w:szCs w:val="20"/>
                <w:color w:val="auto"/>
              </w:rPr>
            </w:pPr>
            <w:r>
              <w:rPr>
                <w:rFonts w:ascii="Arial" w:cs="Arial" w:eastAsia="Arial" w:hAnsi="Arial"/>
                <w:sz w:val="17"/>
                <w:szCs w:val="17"/>
                <w:color w:val="282A32"/>
              </w:rPr>
              <w:t>—</w:t>
            </w:r>
          </w:p>
        </w:tc>
        <w:tc>
          <w:tcPr>
            <w:tcW w:w="1400" w:type="dxa"/>
            <w:vAlign w:val="bottom"/>
          </w:tcPr>
          <w:p>
            <w:pPr>
              <w:jc w:val="right"/>
              <w:ind w:right="117"/>
              <w:spacing w:after="0"/>
              <w:rPr>
                <w:sz w:val="20"/>
                <w:szCs w:val="20"/>
                <w:color w:val="auto"/>
              </w:rPr>
            </w:pPr>
            <w:r>
              <w:rPr>
                <w:rFonts w:ascii="Arial" w:cs="Arial" w:eastAsia="Arial" w:hAnsi="Arial"/>
                <w:sz w:val="17"/>
                <w:szCs w:val="17"/>
                <w:color w:val="282A32"/>
              </w:rPr>
              <w:t>—</w:t>
            </w:r>
          </w:p>
        </w:tc>
        <w:tc>
          <w:tcPr>
            <w:tcW w:w="15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
        </w:trPr>
        <w:tc>
          <w:tcPr>
            <w:tcW w:w="45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Outstanding, December 31, 2018</w:t>
            </w:r>
          </w:p>
        </w:tc>
        <w:tc>
          <w:tcPr>
            <w:tcW w:w="25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672</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$85</w:t>
            </w:r>
          </w:p>
        </w:tc>
        <w:tc>
          <w:tcPr>
            <w:tcW w:w="15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5.9</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w:t>
            </w:r>
          </w:p>
        </w:tc>
      </w:tr>
      <w:tr>
        <w:trPr>
          <w:trHeight w:val="217"/>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Vested or expected to vest, December 31, 2018</w:t>
            </w:r>
          </w:p>
        </w:tc>
        <w:tc>
          <w:tcPr>
            <w:tcW w:w="258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670</w:t>
            </w:r>
          </w:p>
        </w:tc>
        <w:tc>
          <w:tcPr>
            <w:tcW w:w="140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$85</w:t>
            </w:r>
          </w:p>
        </w:tc>
        <w:tc>
          <w:tcPr>
            <w:tcW w:w="158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282A32"/>
              </w:rPr>
              <w:t>5.9</w:t>
            </w:r>
          </w:p>
        </w:tc>
        <w:tc>
          <w:tcPr>
            <w:tcW w:w="1280" w:type="dxa"/>
            <w:vAlign w:val="bottom"/>
            <w:tcBorders>
              <w:top w:val="single" w:sz="8" w:color="auto"/>
            </w:tcBorders>
          </w:tcPr>
          <w:p>
            <w:pPr>
              <w:spacing w:after="0"/>
              <w:rPr>
                <w:sz w:val="18"/>
                <w:szCs w:val="18"/>
                <w:color w:val="auto"/>
              </w:rPr>
            </w:pPr>
          </w:p>
        </w:tc>
      </w:tr>
      <w:tr>
        <w:trPr>
          <w:trHeight w:val="25"/>
        </w:trPr>
        <w:tc>
          <w:tcPr>
            <w:tcW w:w="45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2"/>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Exercisable, December 31, 2018</w:t>
            </w:r>
          </w:p>
        </w:tc>
        <w:tc>
          <w:tcPr>
            <w:tcW w:w="25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401</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$76</w:t>
            </w:r>
          </w:p>
        </w:tc>
        <w:tc>
          <w:tcPr>
            <w:tcW w:w="15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282A32"/>
              </w:rPr>
              <w:t>4.5</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w:t>
            </w:r>
          </w:p>
        </w:tc>
      </w:tr>
      <w:tr>
        <w:trPr>
          <w:trHeight w:val="20"/>
        </w:trPr>
        <w:tc>
          <w:tcPr>
            <w:tcW w:w="458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gridSpan w:val="2"/>
          </w:tcPr>
          <w:p>
            <w:pPr>
              <w:jc w:val="right"/>
              <w:spacing w:after="0"/>
              <w:rPr>
                <w:sz w:val="20"/>
                <w:szCs w:val="20"/>
                <w:color w:val="auto"/>
              </w:rPr>
            </w:pPr>
            <w:r>
              <w:rPr>
                <w:rFonts w:ascii="Arial" w:cs="Arial" w:eastAsia="Arial" w:hAnsi="Arial"/>
                <w:sz w:val="17"/>
                <w:szCs w:val="17"/>
                <w:color w:val="282A32"/>
                <w:w w:val="87"/>
              </w:rPr>
              <w:t>Options outstanding and exercisable as of December 31, 2018 were as follows:</w:t>
            </w: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86"/>
        </w:trPr>
        <w:tc>
          <w:tcPr>
            <w:tcW w:w="28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300" w:type="dxa"/>
            <w:vAlign w:val="bottom"/>
            <w:gridSpan w:val="3"/>
          </w:tcPr>
          <w:p>
            <w:pPr>
              <w:jc w:val="right"/>
              <w:ind w:right="340"/>
              <w:spacing w:after="0"/>
              <w:rPr>
                <w:sz w:val="20"/>
                <w:szCs w:val="20"/>
                <w:color w:val="auto"/>
              </w:rPr>
            </w:pPr>
            <w:r>
              <w:rPr>
                <w:rFonts w:ascii="Arial" w:cs="Arial" w:eastAsia="Arial" w:hAnsi="Arial"/>
                <w:sz w:val="17"/>
                <w:szCs w:val="17"/>
                <w:color w:val="282A32"/>
              </w:rPr>
              <w:t>Options Outstanding</w:t>
            </w:r>
          </w:p>
        </w:tc>
        <w:tc>
          <w:tcPr>
            <w:tcW w:w="1600" w:type="dxa"/>
            <w:vAlign w:val="bottom"/>
          </w:tcPr>
          <w:p>
            <w:pPr>
              <w:spacing w:after="0"/>
              <w:rPr>
                <w:sz w:val="24"/>
                <w:szCs w:val="24"/>
                <w:color w:val="auto"/>
              </w:rPr>
            </w:pPr>
          </w:p>
        </w:tc>
        <w:tc>
          <w:tcPr>
            <w:tcW w:w="2260" w:type="dxa"/>
            <w:vAlign w:val="bottom"/>
            <w:gridSpan w:val="2"/>
          </w:tcPr>
          <w:p>
            <w:pPr>
              <w:jc w:val="right"/>
              <w:ind w:right="100"/>
              <w:spacing w:after="0"/>
              <w:rPr>
                <w:sz w:val="20"/>
                <w:szCs w:val="20"/>
                <w:color w:val="auto"/>
              </w:rPr>
            </w:pPr>
            <w:r>
              <w:rPr>
                <w:rFonts w:ascii="Arial" w:cs="Arial" w:eastAsia="Arial" w:hAnsi="Arial"/>
                <w:sz w:val="17"/>
                <w:szCs w:val="17"/>
                <w:color w:val="282A32"/>
              </w:rPr>
              <w:t>Options Exercisable</w:t>
            </w:r>
          </w:p>
        </w:tc>
      </w:tr>
      <w:tr>
        <w:trPr>
          <w:trHeight w:val="25"/>
        </w:trPr>
        <w:tc>
          <w:tcPr>
            <w:tcW w:w="286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Borders>
              <w:bottom w:val="single" w:sz="8" w:color="55565A"/>
            </w:tcBorders>
          </w:tcPr>
          <w:p>
            <w:pPr>
              <w:spacing w:after="0"/>
              <w:rPr>
                <w:sz w:val="2"/>
                <w:szCs w:val="2"/>
                <w:color w:val="auto"/>
              </w:rPr>
            </w:pPr>
          </w:p>
        </w:tc>
        <w:tc>
          <w:tcPr>
            <w:tcW w:w="2160" w:type="dxa"/>
            <w:vAlign w:val="bottom"/>
            <w:tcBorders>
              <w:bottom w:val="single" w:sz="8" w:color="55565A"/>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4"/>
        </w:trPr>
        <w:tc>
          <w:tcPr>
            <w:tcW w:w="2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282A32"/>
              </w:rPr>
              <w:t>Weighted-</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282A32"/>
              </w:rPr>
              <w:t>Average</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282A32"/>
                <w:w w:val="95"/>
              </w:rPr>
              <w:t>Remaining</w:t>
            </w:r>
          </w:p>
        </w:tc>
        <w:tc>
          <w:tcPr>
            <w:tcW w:w="1400" w:type="dxa"/>
            <w:vAlign w:val="bottom"/>
            <w:gridSpan w:val="2"/>
          </w:tcPr>
          <w:p>
            <w:pPr>
              <w:jc w:val="right"/>
              <w:ind w:right="340"/>
              <w:spacing w:after="0"/>
              <w:rPr>
                <w:sz w:val="20"/>
                <w:szCs w:val="20"/>
                <w:color w:val="auto"/>
              </w:rPr>
            </w:pPr>
            <w:r>
              <w:rPr>
                <w:rFonts w:ascii="Arial" w:cs="Arial" w:eastAsia="Arial" w:hAnsi="Arial"/>
                <w:sz w:val="17"/>
                <w:szCs w:val="17"/>
                <w:color w:val="282A32"/>
              </w:rPr>
              <w:t>Weighted-</w:t>
            </w:r>
          </w:p>
        </w:tc>
        <w:tc>
          <w:tcPr>
            <w:tcW w:w="16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28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282A32"/>
                <w:w w:val="89"/>
              </w:rPr>
              <w:t>Contractual</w:t>
            </w:r>
          </w:p>
        </w:tc>
        <w:tc>
          <w:tcPr>
            <w:tcW w:w="1400" w:type="dxa"/>
            <w:vAlign w:val="bottom"/>
            <w:gridSpan w:val="2"/>
          </w:tcPr>
          <w:p>
            <w:pPr>
              <w:jc w:val="right"/>
              <w:ind w:right="340"/>
              <w:spacing w:after="0"/>
              <w:rPr>
                <w:sz w:val="20"/>
                <w:szCs w:val="20"/>
                <w:color w:val="auto"/>
              </w:rPr>
            </w:pPr>
            <w:r>
              <w:rPr>
                <w:rFonts w:ascii="Arial" w:cs="Arial" w:eastAsia="Arial" w:hAnsi="Arial"/>
                <w:sz w:val="17"/>
                <w:szCs w:val="17"/>
                <w:color w:val="282A32"/>
              </w:rPr>
              <w:t>Average</w:t>
            </w:r>
          </w:p>
        </w:tc>
        <w:tc>
          <w:tcPr>
            <w:tcW w:w="1600" w:type="dxa"/>
            <w:vAlign w:val="bottom"/>
          </w:tcPr>
          <w:p>
            <w:pPr>
              <w:jc w:val="right"/>
              <w:ind w:right="717"/>
              <w:spacing w:after="0"/>
              <w:rPr>
                <w:sz w:val="20"/>
                <w:szCs w:val="20"/>
                <w:color w:val="auto"/>
              </w:rPr>
            </w:pPr>
            <w:r>
              <w:rPr>
                <w:rFonts w:ascii="Arial" w:cs="Arial" w:eastAsia="Arial" w:hAnsi="Arial"/>
                <w:sz w:val="17"/>
                <w:szCs w:val="17"/>
                <w:color w:val="282A32"/>
              </w:rPr>
              <w:t>Shares</w:t>
            </w:r>
          </w:p>
        </w:tc>
        <w:tc>
          <w:tcPr>
            <w:tcW w:w="2260" w:type="dxa"/>
            <w:vAlign w:val="bottom"/>
            <w:gridSpan w:val="2"/>
          </w:tcPr>
          <w:p>
            <w:pPr>
              <w:jc w:val="right"/>
              <w:ind w:right="100"/>
              <w:spacing w:after="0"/>
              <w:rPr>
                <w:sz w:val="20"/>
                <w:szCs w:val="20"/>
                <w:color w:val="auto"/>
              </w:rPr>
            </w:pPr>
            <w:r>
              <w:rPr>
                <w:rFonts w:ascii="Arial" w:cs="Arial" w:eastAsia="Arial" w:hAnsi="Arial"/>
                <w:sz w:val="17"/>
                <w:szCs w:val="17"/>
                <w:color w:val="282A32"/>
              </w:rPr>
              <w:t>Weighted-Average</w:t>
            </w:r>
          </w:p>
        </w:tc>
      </w:tr>
      <w:tr>
        <w:trPr>
          <w:trHeight w:val="212"/>
        </w:trPr>
        <w:tc>
          <w:tcPr>
            <w:tcW w:w="2860" w:type="dxa"/>
            <w:vAlign w:val="bottom"/>
          </w:tcPr>
          <w:p>
            <w:pPr>
              <w:ind w:left="20"/>
              <w:spacing w:after="0"/>
              <w:rPr>
                <w:sz w:val="20"/>
                <w:szCs w:val="20"/>
                <w:color w:val="auto"/>
              </w:rPr>
            </w:pPr>
            <w:r>
              <w:rPr>
                <w:rFonts w:ascii="Arial" w:cs="Arial" w:eastAsia="Arial" w:hAnsi="Arial"/>
                <w:sz w:val="17"/>
                <w:szCs w:val="17"/>
                <w:color w:val="282A32"/>
              </w:rPr>
              <w:t>Exercise Price</w:t>
            </w:r>
          </w:p>
        </w:tc>
        <w:tc>
          <w:tcPr>
            <w:tcW w:w="2400" w:type="dxa"/>
            <w:vAlign w:val="bottom"/>
          </w:tcPr>
          <w:p>
            <w:pPr>
              <w:jc w:val="right"/>
              <w:ind w:right="1157"/>
              <w:spacing w:after="0"/>
              <w:rPr>
                <w:sz w:val="20"/>
                <w:szCs w:val="20"/>
                <w:color w:val="auto"/>
              </w:rPr>
            </w:pPr>
            <w:r>
              <w:rPr>
                <w:rFonts w:ascii="Arial" w:cs="Arial" w:eastAsia="Arial" w:hAnsi="Arial"/>
                <w:sz w:val="17"/>
                <w:szCs w:val="17"/>
                <w:color w:val="282A32"/>
              </w:rPr>
              <w:t>Shares (000)</w:t>
            </w:r>
          </w:p>
        </w:tc>
        <w:tc>
          <w:tcPr>
            <w:tcW w:w="900" w:type="dxa"/>
            <w:vAlign w:val="bottom"/>
          </w:tcPr>
          <w:p>
            <w:pPr>
              <w:jc w:val="right"/>
              <w:ind w:right="17"/>
              <w:spacing w:after="0"/>
              <w:rPr>
                <w:sz w:val="20"/>
                <w:szCs w:val="20"/>
                <w:color w:val="auto"/>
              </w:rPr>
            </w:pPr>
            <w:r>
              <w:rPr>
                <w:rFonts w:ascii="Arial" w:cs="Arial" w:eastAsia="Arial" w:hAnsi="Arial"/>
                <w:sz w:val="17"/>
                <w:szCs w:val="17"/>
                <w:color w:val="282A32"/>
                <w:w w:val="91"/>
              </w:rPr>
              <w:t>Life (years)</w:t>
            </w:r>
          </w:p>
        </w:tc>
        <w:tc>
          <w:tcPr>
            <w:tcW w:w="1400" w:type="dxa"/>
            <w:vAlign w:val="bottom"/>
            <w:gridSpan w:val="2"/>
          </w:tcPr>
          <w:p>
            <w:pPr>
              <w:jc w:val="right"/>
              <w:ind w:right="340"/>
              <w:spacing w:after="0"/>
              <w:rPr>
                <w:sz w:val="20"/>
                <w:szCs w:val="20"/>
                <w:color w:val="auto"/>
              </w:rPr>
            </w:pPr>
            <w:r>
              <w:rPr>
                <w:rFonts w:ascii="Arial" w:cs="Arial" w:eastAsia="Arial" w:hAnsi="Arial"/>
                <w:sz w:val="17"/>
                <w:szCs w:val="17"/>
                <w:color w:val="282A32"/>
                <w:w w:val="95"/>
              </w:rPr>
              <w:t>Exercise Price</w:t>
            </w:r>
          </w:p>
        </w:tc>
        <w:tc>
          <w:tcPr>
            <w:tcW w:w="1600" w:type="dxa"/>
            <w:vAlign w:val="bottom"/>
          </w:tcPr>
          <w:p>
            <w:pPr>
              <w:jc w:val="right"/>
              <w:ind w:right="717"/>
              <w:spacing w:after="0"/>
              <w:rPr>
                <w:sz w:val="20"/>
                <w:szCs w:val="20"/>
                <w:color w:val="auto"/>
              </w:rPr>
            </w:pPr>
            <w:r>
              <w:rPr>
                <w:rFonts w:ascii="Arial" w:cs="Arial" w:eastAsia="Arial" w:hAnsi="Arial"/>
                <w:sz w:val="17"/>
                <w:szCs w:val="17"/>
                <w:color w:val="282A32"/>
              </w:rPr>
              <w:t>(000)</w:t>
            </w:r>
          </w:p>
        </w:tc>
        <w:tc>
          <w:tcPr>
            <w:tcW w:w="2260" w:type="dxa"/>
            <w:vAlign w:val="bottom"/>
            <w:gridSpan w:val="2"/>
          </w:tcPr>
          <w:p>
            <w:pPr>
              <w:jc w:val="right"/>
              <w:ind w:right="100"/>
              <w:spacing w:after="0"/>
              <w:rPr>
                <w:sz w:val="20"/>
                <w:szCs w:val="20"/>
                <w:color w:val="auto"/>
              </w:rPr>
            </w:pPr>
            <w:r>
              <w:rPr>
                <w:rFonts w:ascii="Arial" w:cs="Arial" w:eastAsia="Arial" w:hAnsi="Arial"/>
                <w:sz w:val="17"/>
                <w:szCs w:val="17"/>
                <w:color w:val="282A32"/>
              </w:rPr>
              <w:t>Exercise Price</w:t>
            </w:r>
          </w:p>
        </w:tc>
      </w:tr>
      <w:tr>
        <w:trPr>
          <w:trHeight w:val="25"/>
        </w:trPr>
        <w:tc>
          <w:tcPr>
            <w:tcW w:w="2860" w:type="dxa"/>
            <w:vAlign w:val="bottom"/>
            <w:tcBorders>
              <w:bottom w:val="single" w:sz="8" w:color="55565A"/>
            </w:tcBorders>
          </w:tcPr>
          <w:p>
            <w:pPr>
              <w:spacing w:after="0"/>
              <w:rPr>
                <w:sz w:val="2"/>
                <w:szCs w:val="2"/>
                <w:color w:val="auto"/>
              </w:rPr>
            </w:pPr>
          </w:p>
        </w:tc>
        <w:tc>
          <w:tcPr>
            <w:tcW w:w="2400" w:type="dxa"/>
            <w:vAlign w:val="bottom"/>
            <w:tcBorders>
              <w:bottom w:val="single" w:sz="8" w:color="55565A"/>
            </w:tcBorders>
          </w:tcPr>
          <w:p>
            <w:pPr>
              <w:spacing w:after="0"/>
              <w:rPr>
                <w:sz w:val="2"/>
                <w:szCs w:val="2"/>
                <w:color w:val="auto"/>
              </w:rPr>
            </w:pPr>
          </w:p>
        </w:tc>
        <w:tc>
          <w:tcPr>
            <w:tcW w:w="900" w:type="dxa"/>
            <w:vAlign w:val="bottom"/>
            <w:tcBorders>
              <w:bottom w:val="single" w:sz="8" w:color="55565A"/>
            </w:tcBorders>
          </w:tcPr>
          <w:p>
            <w:pPr>
              <w:spacing w:after="0"/>
              <w:rPr>
                <w:sz w:val="2"/>
                <w:szCs w:val="2"/>
                <w:color w:val="auto"/>
              </w:rPr>
            </w:pPr>
          </w:p>
        </w:tc>
        <w:tc>
          <w:tcPr>
            <w:tcW w:w="1160" w:type="dxa"/>
            <w:vAlign w:val="bottom"/>
            <w:tcBorders>
              <w:bottom w:val="single" w:sz="8" w:color="55565A"/>
            </w:tcBorders>
          </w:tcPr>
          <w:p>
            <w:pPr>
              <w:spacing w:after="0"/>
              <w:rPr>
                <w:sz w:val="2"/>
                <w:szCs w:val="2"/>
                <w:color w:val="auto"/>
              </w:rPr>
            </w:pPr>
          </w:p>
        </w:tc>
        <w:tc>
          <w:tcPr>
            <w:tcW w:w="240" w:type="dxa"/>
            <w:vAlign w:val="bottom"/>
            <w:tcBorders>
              <w:bottom w:val="single" w:sz="8" w:color="55565A"/>
            </w:tcBorders>
          </w:tcPr>
          <w:p>
            <w:pPr>
              <w:spacing w:after="0"/>
              <w:rPr>
                <w:sz w:val="2"/>
                <w:szCs w:val="2"/>
                <w:color w:val="auto"/>
              </w:rPr>
            </w:pPr>
          </w:p>
        </w:tc>
        <w:tc>
          <w:tcPr>
            <w:tcW w:w="1600" w:type="dxa"/>
            <w:vAlign w:val="bottom"/>
            <w:tcBorders>
              <w:bottom w:val="single" w:sz="8" w:color="55565A"/>
            </w:tcBorders>
          </w:tcPr>
          <w:p>
            <w:pPr>
              <w:spacing w:after="0"/>
              <w:rPr>
                <w:sz w:val="2"/>
                <w:szCs w:val="2"/>
                <w:color w:val="auto"/>
              </w:rPr>
            </w:pPr>
          </w:p>
        </w:tc>
        <w:tc>
          <w:tcPr>
            <w:tcW w:w="2160" w:type="dxa"/>
            <w:vAlign w:val="bottom"/>
            <w:tcBorders>
              <w:bottom w:val="single" w:sz="8" w:color="55565A"/>
            </w:tcBorders>
          </w:tcPr>
          <w:p>
            <w:pPr>
              <w:spacing w:after="0"/>
              <w:rPr>
                <w:sz w:val="2"/>
                <w:szCs w:val="2"/>
                <w:color w:val="auto"/>
              </w:rPr>
            </w:pPr>
          </w:p>
        </w:tc>
        <w:tc>
          <w:tcPr>
            <w:tcW w:w="100" w:type="dxa"/>
            <w:vAlign w:val="bottom"/>
            <w:tcBorders>
              <w:bottom w:val="single" w:sz="8" w:color="55565A"/>
            </w:tcBorders>
          </w:tcPr>
          <w:p>
            <w:pPr>
              <w:spacing w:after="0"/>
              <w:rPr>
                <w:sz w:val="2"/>
                <w:szCs w:val="2"/>
                <w:color w:val="auto"/>
              </w:rPr>
            </w:pPr>
          </w:p>
        </w:tc>
      </w:tr>
      <w:tr>
        <w:trPr>
          <w:trHeight w:val="222"/>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$27-$49</w:t>
            </w:r>
          </w:p>
        </w:tc>
        <w:tc>
          <w:tcPr>
            <w:tcW w:w="2400" w:type="dxa"/>
            <w:vAlign w:val="bottom"/>
            <w:tcBorders>
              <w:bottom w:val="single" w:sz="8" w:color="CCEEFF"/>
            </w:tcBorders>
            <w:shd w:val="clear" w:color="auto" w:fill="CCEEFF"/>
          </w:tcPr>
          <w:p>
            <w:pPr>
              <w:jc w:val="right"/>
              <w:ind w:right="1157"/>
              <w:spacing w:after="0"/>
              <w:rPr>
                <w:sz w:val="20"/>
                <w:szCs w:val="20"/>
                <w:color w:val="auto"/>
              </w:rPr>
            </w:pPr>
            <w:r>
              <w:rPr>
                <w:rFonts w:ascii="Arial" w:cs="Arial" w:eastAsia="Arial" w:hAnsi="Arial"/>
                <w:sz w:val="17"/>
                <w:szCs w:val="17"/>
                <w:color w:val="282A32"/>
              </w:rPr>
              <w:t>35</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1.8</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$39</w:t>
            </w: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7"/>
                <w:szCs w:val="17"/>
                <w:color w:val="282A32"/>
              </w:rPr>
              <w:t>35</w:t>
            </w:r>
          </w:p>
        </w:tc>
        <w:tc>
          <w:tcPr>
            <w:tcW w:w="2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282A32"/>
              </w:rPr>
              <w:t>$39</w:t>
            </w:r>
          </w:p>
        </w:tc>
      </w:tr>
      <w:tr>
        <w:trPr>
          <w:trHeight w:val="224"/>
        </w:trPr>
        <w:tc>
          <w:tcPr>
            <w:tcW w:w="2860" w:type="dxa"/>
            <w:vAlign w:val="bottom"/>
          </w:tcPr>
          <w:p>
            <w:pPr>
              <w:ind w:left="20"/>
              <w:spacing w:after="0"/>
              <w:rPr>
                <w:sz w:val="20"/>
                <w:szCs w:val="20"/>
                <w:color w:val="auto"/>
              </w:rPr>
            </w:pPr>
            <w:r>
              <w:rPr>
                <w:rFonts w:ascii="Arial" w:cs="Arial" w:eastAsia="Arial" w:hAnsi="Arial"/>
                <w:sz w:val="17"/>
                <w:szCs w:val="17"/>
                <w:color w:val="282A32"/>
              </w:rPr>
              <w:t>$50-$73</w:t>
            </w:r>
          </w:p>
        </w:tc>
        <w:tc>
          <w:tcPr>
            <w:tcW w:w="2400" w:type="dxa"/>
            <w:vAlign w:val="bottom"/>
          </w:tcPr>
          <w:p>
            <w:pPr>
              <w:jc w:val="right"/>
              <w:ind w:right="1157"/>
              <w:spacing w:after="0"/>
              <w:rPr>
                <w:sz w:val="20"/>
                <w:szCs w:val="20"/>
                <w:color w:val="auto"/>
              </w:rPr>
            </w:pPr>
            <w:r>
              <w:rPr>
                <w:rFonts w:ascii="Arial" w:cs="Arial" w:eastAsia="Arial" w:hAnsi="Arial"/>
                <w:sz w:val="17"/>
                <w:szCs w:val="17"/>
                <w:color w:val="282A32"/>
              </w:rPr>
              <w:t>67</w:t>
            </w:r>
          </w:p>
        </w:tc>
        <w:tc>
          <w:tcPr>
            <w:tcW w:w="900" w:type="dxa"/>
            <w:vAlign w:val="bottom"/>
          </w:tcPr>
          <w:p>
            <w:pPr>
              <w:jc w:val="right"/>
              <w:ind w:right="17"/>
              <w:spacing w:after="0"/>
              <w:rPr>
                <w:sz w:val="20"/>
                <w:szCs w:val="20"/>
                <w:color w:val="auto"/>
              </w:rPr>
            </w:pPr>
            <w:r>
              <w:rPr>
                <w:rFonts w:ascii="Arial" w:cs="Arial" w:eastAsia="Arial" w:hAnsi="Arial"/>
                <w:sz w:val="17"/>
                <w:szCs w:val="17"/>
                <w:color w:val="282A32"/>
              </w:rPr>
              <w:t>2.8</w:t>
            </w:r>
          </w:p>
        </w:tc>
        <w:tc>
          <w:tcPr>
            <w:tcW w:w="1160" w:type="dxa"/>
            <w:vAlign w:val="bottom"/>
          </w:tcPr>
          <w:p>
            <w:pPr>
              <w:jc w:val="right"/>
              <w:ind w:right="17"/>
              <w:spacing w:after="0"/>
              <w:rPr>
                <w:sz w:val="20"/>
                <w:szCs w:val="20"/>
                <w:color w:val="auto"/>
              </w:rPr>
            </w:pPr>
            <w:r>
              <w:rPr>
                <w:rFonts w:ascii="Arial" w:cs="Arial" w:eastAsia="Arial" w:hAnsi="Arial"/>
                <w:sz w:val="17"/>
                <w:szCs w:val="17"/>
                <w:color w:val="282A32"/>
              </w:rPr>
              <w:t>55</w:t>
            </w:r>
          </w:p>
        </w:tc>
        <w:tc>
          <w:tcPr>
            <w:tcW w:w="240" w:type="dxa"/>
            <w:vAlign w:val="bottom"/>
          </w:tcPr>
          <w:p>
            <w:pPr>
              <w:spacing w:after="0"/>
              <w:rPr>
                <w:sz w:val="19"/>
                <w:szCs w:val="19"/>
                <w:color w:val="auto"/>
              </w:rPr>
            </w:pPr>
          </w:p>
        </w:tc>
        <w:tc>
          <w:tcPr>
            <w:tcW w:w="1600" w:type="dxa"/>
            <w:vAlign w:val="bottom"/>
          </w:tcPr>
          <w:p>
            <w:pPr>
              <w:jc w:val="right"/>
              <w:ind w:right="717"/>
              <w:spacing w:after="0"/>
              <w:rPr>
                <w:sz w:val="20"/>
                <w:szCs w:val="20"/>
                <w:color w:val="auto"/>
              </w:rPr>
            </w:pPr>
            <w:r>
              <w:rPr>
                <w:rFonts w:ascii="Arial" w:cs="Arial" w:eastAsia="Arial" w:hAnsi="Arial"/>
                <w:sz w:val="17"/>
                <w:szCs w:val="17"/>
                <w:color w:val="282A32"/>
              </w:rPr>
              <w:t>67</w:t>
            </w:r>
          </w:p>
        </w:tc>
        <w:tc>
          <w:tcPr>
            <w:tcW w:w="2260" w:type="dxa"/>
            <w:vAlign w:val="bottom"/>
            <w:gridSpan w:val="2"/>
          </w:tcPr>
          <w:p>
            <w:pPr>
              <w:jc w:val="right"/>
              <w:ind w:right="100"/>
              <w:spacing w:after="0"/>
              <w:rPr>
                <w:sz w:val="20"/>
                <w:szCs w:val="20"/>
                <w:color w:val="auto"/>
              </w:rPr>
            </w:pPr>
            <w:r>
              <w:rPr>
                <w:rFonts w:ascii="Arial" w:cs="Arial" w:eastAsia="Arial" w:hAnsi="Arial"/>
                <w:sz w:val="17"/>
                <w:szCs w:val="17"/>
                <w:color w:val="282A32"/>
              </w:rPr>
              <w:t>55</w:t>
            </w:r>
          </w:p>
        </w:tc>
      </w:tr>
      <w:tr>
        <w:trPr>
          <w:trHeight w:val="25"/>
        </w:trPr>
        <w:tc>
          <w:tcPr>
            <w:tcW w:w="28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$74-$85</w:t>
            </w:r>
          </w:p>
        </w:tc>
        <w:tc>
          <w:tcPr>
            <w:tcW w:w="2400" w:type="dxa"/>
            <w:vAlign w:val="bottom"/>
            <w:tcBorders>
              <w:bottom w:val="single" w:sz="8" w:color="CCEEFF"/>
            </w:tcBorders>
            <w:shd w:val="clear" w:color="auto" w:fill="CCEEFF"/>
          </w:tcPr>
          <w:p>
            <w:pPr>
              <w:jc w:val="right"/>
              <w:ind w:right="1157"/>
              <w:spacing w:after="0"/>
              <w:rPr>
                <w:sz w:val="20"/>
                <w:szCs w:val="20"/>
                <w:color w:val="auto"/>
              </w:rPr>
            </w:pPr>
            <w:r>
              <w:rPr>
                <w:rFonts w:ascii="Arial" w:cs="Arial" w:eastAsia="Arial" w:hAnsi="Arial"/>
                <w:sz w:val="17"/>
                <w:szCs w:val="17"/>
                <w:color w:val="282A32"/>
              </w:rPr>
              <w:t>309</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5.8</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77</w:t>
            </w:r>
          </w:p>
        </w:tc>
        <w:tc>
          <w:tcPr>
            <w:tcW w:w="24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7"/>
                <w:szCs w:val="17"/>
                <w:color w:val="282A32"/>
              </w:rPr>
              <w:t>223</w:t>
            </w:r>
          </w:p>
        </w:tc>
        <w:tc>
          <w:tcPr>
            <w:tcW w:w="2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282A32"/>
              </w:rPr>
              <w:t>77</w:t>
            </w:r>
          </w:p>
        </w:tc>
      </w:tr>
      <w:tr>
        <w:trPr>
          <w:trHeight w:val="224"/>
        </w:trPr>
        <w:tc>
          <w:tcPr>
            <w:tcW w:w="2860" w:type="dxa"/>
            <w:vAlign w:val="bottom"/>
          </w:tcPr>
          <w:p>
            <w:pPr>
              <w:ind w:left="20"/>
              <w:spacing w:after="0"/>
              <w:rPr>
                <w:sz w:val="20"/>
                <w:szCs w:val="20"/>
                <w:color w:val="auto"/>
              </w:rPr>
            </w:pPr>
            <w:r>
              <w:rPr>
                <w:rFonts w:ascii="Arial" w:cs="Arial" w:eastAsia="Arial" w:hAnsi="Arial"/>
                <w:sz w:val="17"/>
                <w:szCs w:val="17"/>
                <w:color w:val="282A32"/>
              </w:rPr>
              <w:t>$86-$123</w:t>
            </w:r>
          </w:p>
        </w:tc>
        <w:tc>
          <w:tcPr>
            <w:tcW w:w="2400" w:type="dxa"/>
            <w:vAlign w:val="bottom"/>
          </w:tcPr>
          <w:p>
            <w:pPr>
              <w:jc w:val="right"/>
              <w:ind w:right="1157"/>
              <w:spacing w:after="0"/>
              <w:rPr>
                <w:sz w:val="20"/>
                <w:szCs w:val="20"/>
                <w:color w:val="auto"/>
              </w:rPr>
            </w:pPr>
            <w:r>
              <w:rPr>
                <w:rFonts w:ascii="Arial" w:cs="Arial" w:eastAsia="Arial" w:hAnsi="Arial"/>
                <w:sz w:val="17"/>
                <w:szCs w:val="17"/>
                <w:color w:val="282A32"/>
              </w:rPr>
              <w:t>261</w:t>
            </w:r>
          </w:p>
        </w:tc>
        <w:tc>
          <w:tcPr>
            <w:tcW w:w="900" w:type="dxa"/>
            <w:vAlign w:val="bottom"/>
          </w:tcPr>
          <w:p>
            <w:pPr>
              <w:jc w:val="right"/>
              <w:ind w:right="17"/>
              <w:spacing w:after="0"/>
              <w:rPr>
                <w:sz w:val="20"/>
                <w:szCs w:val="20"/>
                <w:color w:val="auto"/>
              </w:rPr>
            </w:pPr>
            <w:r>
              <w:rPr>
                <w:rFonts w:ascii="Arial" w:cs="Arial" w:eastAsia="Arial" w:hAnsi="Arial"/>
                <w:sz w:val="17"/>
                <w:szCs w:val="17"/>
                <w:color w:val="282A32"/>
              </w:rPr>
              <w:t>7.4</w:t>
            </w:r>
          </w:p>
        </w:tc>
        <w:tc>
          <w:tcPr>
            <w:tcW w:w="1160" w:type="dxa"/>
            <w:vAlign w:val="bottom"/>
          </w:tcPr>
          <w:p>
            <w:pPr>
              <w:jc w:val="right"/>
              <w:ind w:right="17"/>
              <w:spacing w:after="0"/>
              <w:rPr>
                <w:sz w:val="20"/>
                <w:szCs w:val="20"/>
                <w:color w:val="auto"/>
              </w:rPr>
            </w:pPr>
            <w:r>
              <w:rPr>
                <w:rFonts w:ascii="Arial" w:cs="Arial" w:eastAsia="Arial" w:hAnsi="Arial"/>
                <w:sz w:val="17"/>
                <w:szCs w:val="17"/>
                <w:color w:val="282A32"/>
              </w:rPr>
              <w:t>109</w:t>
            </w:r>
          </w:p>
        </w:tc>
        <w:tc>
          <w:tcPr>
            <w:tcW w:w="240" w:type="dxa"/>
            <w:vAlign w:val="bottom"/>
          </w:tcPr>
          <w:p>
            <w:pPr>
              <w:spacing w:after="0"/>
              <w:rPr>
                <w:sz w:val="19"/>
                <w:szCs w:val="19"/>
                <w:color w:val="auto"/>
              </w:rPr>
            </w:pPr>
          </w:p>
        </w:tc>
        <w:tc>
          <w:tcPr>
            <w:tcW w:w="1600" w:type="dxa"/>
            <w:vAlign w:val="bottom"/>
          </w:tcPr>
          <w:p>
            <w:pPr>
              <w:jc w:val="right"/>
              <w:ind w:right="717"/>
              <w:spacing w:after="0"/>
              <w:rPr>
                <w:sz w:val="20"/>
                <w:szCs w:val="20"/>
                <w:color w:val="auto"/>
              </w:rPr>
            </w:pPr>
            <w:r>
              <w:rPr>
                <w:rFonts w:ascii="Arial" w:cs="Arial" w:eastAsia="Arial" w:hAnsi="Arial"/>
                <w:sz w:val="17"/>
                <w:szCs w:val="17"/>
                <w:color w:val="282A32"/>
              </w:rPr>
              <w:t>76</w:t>
            </w:r>
          </w:p>
        </w:tc>
        <w:tc>
          <w:tcPr>
            <w:tcW w:w="2260" w:type="dxa"/>
            <w:vAlign w:val="bottom"/>
            <w:gridSpan w:val="2"/>
          </w:tcPr>
          <w:p>
            <w:pPr>
              <w:jc w:val="right"/>
              <w:ind w:right="100"/>
              <w:spacing w:after="0"/>
              <w:rPr>
                <w:sz w:val="20"/>
                <w:szCs w:val="20"/>
                <w:color w:val="auto"/>
              </w:rPr>
            </w:pPr>
            <w:r>
              <w:rPr>
                <w:rFonts w:ascii="Arial" w:cs="Arial" w:eastAsia="Arial" w:hAnsi="Arial"/>
                <w:sz w:val="17"/>
                <w:szCs w:val="17"/>
                <w:color w:val="282A32"/>
              </w:rPr>
              <w:t>105</w:t>
            </w:r>
          </w:p>
        </w:tc>
      </w:tr>
      <w:tr>
        <w:trPr>
          <w:trHeight w:val="25"/>
        </w:trPr>
        <w:tc>
          <w:tcPr>
            <w:tcW w:w="2860" w:type="dxa"/>
            <w:vAlign w:val="bottom"/>
            <w:tcBorders>
              <w:bottom w:val="single" w:sz="8" w:color="55565A"/>
            </w:tcBorders>
          </w:tcPr>
          <w:p>
            <w:pPr>
              <w:spacing w:after="0"/>
              <w:rPr>
                <w:sz w:val="2"/>
                <w:szCs w:val="2"/>
                <w:color w:val="auto"/>
              </w:rPr>
            </w:pPr>
          </w:p>
        </w:tc>
        <w:tc>
          <w:tcPr>
            <w:tcW w:w="2400" w:type="dxa"/>
            <w:vAlign w:val="bottom"/>
            <w:tcBorders>
              <w:bottom w:val="single" w:sz="8" w:color="55565A"/>
            </w:tcBorders>
          </w:tcPr>
          <w:p>
            <w:pPr>
              <w:spacing w:after="0"/>
              <w:rPr>
                <w:sz w:val="2"/>
                <w:szCs w:val="2"/>
                <w:color w:val="auto"/>
              </w:rPr>
            </w:pPr>
          </w:p>
        </w:tc>
        <w:tc>
          <w:tcPr>
            <w:tcW w:w="900" w:type="dxa"/>
            <w:vAlign w:val="bottom"/>
            <w:tcBorders>
              <w:bottom w:val="single" w:sz="8" w:color="55565A"/>
            </w:tcBorders>
          </w:tcPr>
          <w:p>
            <w:pPr>
              <w:spacing w:after="0"/>
              <w:rPr>
                <w:sz w:val="2"/>
                <w:szCs w:val="2"/>
                <w:color w:val="auto"/>
              </w:rPr>
            </w:pPr>
          </w:p>
        </w:tc>
        <w:tc>
          <w:tcPr>
            <w:tcW w:w="1160" w:type="dxa"/>
            <w:vAlign w:val="bottom"/>
            <w:tcBorders>
              <w:bottom w:val="single" w:sz="8" w:color="55565A"/>
            </w:tcBorders>
          </w:tcPr>
          <w:p>
            <w:pPr>
              <w:spacing w:after="0"/>
              <w:rPr>
                <w:sz w:val="2"/>
                <w:szCs w:val="2"/>
                <w:color w:val="auto"/>
              </w:rPr>
            </w:pPr>
          </w:p>
        </w:tc>
        <w:tc>
          <w:tcPr>
            <w:tcW w:w="240" w:type="dxa"/>
            <w:vAlign w:val="bottom"/>
            <w:tcBorders>
              <w:bottom w:val="single" w:sz="8" w:color="55565A"/>
            </w:tcBorders>
          </w:tcPr>
          <w:p>
            <w:pPr>
              <w:spacing w:after="0"/>
              <w:rPr>
                <w:sz w:val="2"/>
                <w:szCs w:val="2"/>
                <w:color w:val="auto"/>
              </w:rPr>
            </w:pPr>
          </w:p>
        </w:tc>
        <w:tc>
          <w:tcPr>
            <w:tcW w:w="1600" w:type="dxa"/>
            <w:vAlign w:val="bottom"/>
            <w:tcBorders>
              <w:bottom w:val="single" w:sz="8" w:color="55565A"/>
            </w:tcBorders>
          </w:tcPr>
          <w:p>
            <w:pPr>
              <w:spacing w:after="0"/>
              <w:rPr>
                <w:sz w:val="2"/>
                <w:szCs w:val="2"/>
                <w:color w:val="auto"/>
              </w:rPr>
            </w:pPr>
          </w:p>
        </w:tc>
        <w:tc>
          <w:tcPr>
            <w:tcW w:w="2160" w:type="dxa"/>
            <w:vAlign w:val="bottom"/>
            <w:tcBorders>
              <w:bottom w:val="single" w:sz="8" w:color="55565A"/>
            </w:tcBorders>
          </w:tcPr>
          <w:p>
            <w:pPr>
              <w:spacing w:after="0"/>
              <w:rPr>
                <w:sz w:val="2"/>
                <w:szCs w:val="2"/>
                <w:color w:val="auto"/>
              </w:rPr>
            </w:pPr>
          </w:p>
        </w:tc>
        <w:tc>
          <w:tcPr>
            <w:tcW w:w="100" w:type="dxa"/>
            <w:vAlign w:val="bottom"/>
            <w:tcBorders>
              <w:bottom w:val="single" w:sz="8" w:color="55565A"/>
            </w:tcBorders>
          </w:tcPr>
          <w:p>
            <w:pPr>
              <w:spacing w:after="0"/>
              <w:rPr>
                <w:sz w:val="2"/>
                <w:szCs w:val="2"/>
                <w:color w:val="auto"/>
              </w:rPr>
            </w:pPr>
          </w:p>
        </w:tc>
      </w:tr>
      <w:tr>
        <w:trPr>
          <w:trHeight w:val="247"/>
        </w:trPr>
        <w:tc>
          <w:tcPr>
            <w:tcW w:w="286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right"/>
              <w:ind w:right="1157"/>
              <w:spacing w:after="0"/>
              <w:rPr>
                <w:sz w:val="20"/>
                <w:szCs w:val="20"/>
                <w:color w:val="auto"/>
              </w:rPr>
            </w:pPr>
            <w:r>
              <w:rPr>
                <w:rFonts w:ascii="Arial" w:cs="Arial" w:eastAsia="Arial" w:hAnsi="Arial"/>
                <w:sz w:val="17"/>
                <w:szCs w:val="17"/>
                <w:color w:val="282A32"/>
              </w:rPr>
              <w:t>672</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5.9</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$85</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7"/>
                <w:szCs w:val="17"/>
                <w:color w:val="282A32"/>
              </w:rPr>
              <w:t>401</w:t>
            </w:r>
          </w:p>
        </w:tc>
        <w:tc>
          <w:tcPr>
            <w:tcW w:w="2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282A32"/>
              </w:rPr>
              <w:t>$76</w:t>
            </w:r>
          </w:p>
        </w:tc>
      </w:tr>
      <w:tr>
        <w:trPr>
          <w:trHeight w:val="616"/>
        </w:trPr>
        <w:tc>
          <w:tcPr>
            <w:tcW w:w="2860" w:type="dxa"/>
            <w:vAlign w:val="bottom"/>
            <w:tcBorders>
              <w:top w:val="single" w:sz="8" w:color="55565A"/>
            </w:tcBorders>
          </w:tcPr>
          <w:p>
            <w:pPr>
              <w:spacing w:after="0"/>
              <w:rPr>
                <w:sz w:val="24"/>
                <w:szCs w:val="24"/>
                <w:color w:val="auto"/>
              </w:rPr>
            </w:pPr>
          </w:p>
        </w:tc>
        <w:tc>
          <w:tcPr>
            <w:tcW w:w="2400" w:type="dxa"/>
            <w:vAlign w:val="bottom"/>
            <w:tcBorders>
              <w:top w:val="single" w:sz="8" w:color="55565A"/>
            </w:tcBorders>
          </w:tcPr>
          <w:p>
            <w:pPr>
              <w:spacing w:after="0"/>
              <w:rPr>
                <w:sz w:val="24"/>
                <w:szCs w:val="24"/>
                <w:color w:val="auto"/>
              </w:rPr>
            </w:pPr>
          </w:p>
        </w:tc>
        <w:tc>
          <w:tcPr>
            <w:tcW w:w="900" w:type="dxa"/>
            <w:vAlign w:val="bottom"/>
            <w:tcBorders>
              <w:top w:val="single" w:sz="8" w:color="55565A"/>
            </w:tcBorders>
          </w:tcPr>
          <w:p>
            <w:pPr>
              <w:jc w:val="right"/>
              <w:ind w:right="277"/>
              <w:spacing w:after="0"/>
              <w:rPr>
                <w:sz w:val="20"/>
                <w:szCs w:val="20"/>
                <w:color w:val="auto"/>
              </w:rPr>
            </w:pPr>
            <w:r>
              <w:rPr>
                <w:rFonts w:ascii="Arial" w:cs="Arial" w:eastAsia="Arial" w:hAnsi="Arial"/>
                <w:sz w:val="17"/>
                <w:szCs w:val="17"/>
                <w:color w:val="auto"/>
              </w:rPr>
              <w:t>68</w:t>
            </w:r>
          </w:p>
        </w:tc>
        <w:tc>
          <w:tcPr>
            <w:tcW w:w="1160" w:type="dxa"/>
            <w:vAlign w:val="bottom"/>
            <w:tcBorders>
              <w:top w:val="single" w:sz="8" w:color="55565A"/>
            </w:tcBorders>
          </w:tcPr>
          <w:p>
            <w:pPr>
              <w:spacing w:after="0"/>
              <w:rPr>
                <w:sz w:val="24"/>
                <w:szCs w:val="24"/>
                <w:color w:val="auto"/>
              </w:rPr>
            </w:pPr>
          </w:p>
        </w:tc>
        <w:tc>
          <w:tcPr>
            <w:tcW w:w="240" w:type="dxa"/>
            <w:vAlign w:val="bottom"/>
            <w:tcBorders>
              <w:top w:val="single" w:sz="8" w:color="55565A"/>
            </w:tcBorders>
          </w:tcPr>
          <w:p>
            <w:pPr>
              <w:spacing w:after="0"/>
              <w:rPr>
                <w:sz w:val="24"/>
                <w:szCs w:val="24"/>
                <w:color w:val="auto"/>
              </w:rPr>
            </w:pPr>
          </w:p>
        </w:tc>
        <w:tc>
          <w:tcPr>
            <w:tcW w:w="1600" w:type="dxa"/>
            <w:vAlign w:val="bottom"/>
            <w:tcBorders>
              <w:top w:val="single" w:sz="8" w:color="55565A"/>
            </w:tcBorders>
          </w:tcPr>
          <w:p>
            <w:pPr>
              <w:spacing w:after="0"/>
              <w:rPr>
                <w:sz w:val="24"/>
                <w:szCs w:val="24"/>
                <w:color w:val="auto"/>
              </w:rPr>
            </w:pPr>
          </w:p>
        </w:tc>
        <w:tc>
          <w:tcPr>
            <w:tcW w:w="2160" w:type="dxa"/>
            <w:vAlign w:val="bottom"/>
            <w:tcBorders>
              <w:top w:val="single" w:sz="8" w:color="55565A"/>
            </w:tcBorders>
          </w:tcPr>
          <w:p>
            <w:pPr>
              <w:spacing w:after="0"/>
              <w:rPr>
                <w:sz w:val="24"/>
                <w:szCs w:val="24"/>
                <w:color w:val="auto"/>
              </w:rPr>
            </w:pPr>
          </w:p>
        </w:tc>
        <w:tc>
          <w:tcPr>
            <w:tcW w:w="100" w:type="dxa"/>
            <w:vAlign w:val="bottom"/>
            <w:tcBorders>
              <w:top w:val="single" w:sz="8" w:color="55565A"/>
            </w:tcBorders>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68" w:name="page69"/>
    <w:bookmarkEnd w:id="68"/>
    <w:p>
      <w:pPr>
        <w:jc w:val="both"/>
        <w:spacing w:after="0" w:line="278" w:lineRule="auto"/>
        <w:rPr>
          <w:sz w:val="20"/>
          <w:szCs w:val="20"/>
          <w:color w:val="auto"/>
        </w:rPr>
      </w:pPr>
      <w:r>
        <w:rPr>
          <w:rFonts w:ascii="Arial" w:cs="Arial" w:eastAsia="Arial" w:hAnsi="Arial"/>
          <w:sz w:val="16"/>
          <w:szCs w:val="16"/>
          <w:color w:val="282A32"/>
        </w:rPr>
        <w:t>We have recognized expense of $4.0, $3.7 and $3.0 related to stock options for the years ended December 31, 2018, 2017 and 2016, respectively. The total fair value of options vested during the same periods was $3.1, $2.3 and $2.5, respectively. As of December 31, 2018, total unrecognized compensation cost was approximately $3.6, net of estimated forfeitures, which we expect to recognize over a weighted-average period of approximately 1.7 years.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282A32"/>
        </w:rPr>
        <w:t>We estimated the fair value of each stock option on the date of grant using the Black-Scholes option pricing model and the following assumptions: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0" w:type="dxa"/>
            <w:vAlign w:val="bottom"/>
          </w:tcPr>
          <w:p>
            <w:pPr>
              <w:ind w:left="20"/>
              <w:spacing w:after="0"/>
              <w:rPr>
                <w:sz w:val="20"/>
                <w:szCs w:val="20"/>
                <w:color w:val="auto"/>
              </w:rPr>
            </w:pPr>
            <w:r>
              <w:rPr>
                <w:rFonts w:ascii="Arial" w:cs="Arial" w:eastAsia="Arial" w:hAnsi="Arial"/>
                <w:sz w:val="17"/>
                <w:szCs w:val="17"/>
                <w:color w:val="282A32"/>
              </w:rPr>
              <w:t>Year Ended December 31</w:t>
            </w:r>
          </w:p>
        </w:tc>
        <w:tc>
          <w:tcPr>
            <w:tcW w:w="3920" w:type="dxa"/>
            <w:vAlign w:val="bottom"/>
          </w:tcPr>
          <w:p>
            <w:pPr>
              <w:jc w:val="right"/>
              <w:ind w:right="517"/>
              <w:spacing w:after="0"/>
              <w:rPr>
                <w:sz w:val="20"/>
                <w:szCs w:val="20"/>
                <w:color w:val="auto"/>
              </w:rPr>
            </w:pPr>
            <w:r>
              <w:rPr>
                <w:rFonts w:ascii="Arial" w:cs="Arial" w:eastAsia="Arial" w:hAnsi="Arial"/>
                <w:sz w:val="17"/>
                <w:szCs w:val="17"/>
                <w:color w:val="auto"/>
              </w:rPr>
              <w:t>2018</w:t>
            </w:r>
          </w:p>
        </w:tc>
        <w:tc>
          <w:tcPr>
            <w:tcW w:w="1400" w:type="dxa"/>
            <w:vAlign w:val="bottom"/>
          </w:tcPr>
          <w:p>
            <w:pPr>
              <w:jc w:val="right"/>
              <w:ind w:right="517"/>
              <w:spacing w:after="0"/>
              <w:rPr>
                <w:sz w:val="20"/>
                <w:szCs w:val="20"/>
                <w:color w:val="auto"/>
              </w:rPr>
            </w:pPr>
            <w:r>
              <w:rPr>
                <w:rFonts w:ascii="Arial" w:cs="Arial" w:eastAsia="Arial" w:hAnsi="Arial"/>
                <w:sz w:val="17"/>
                <w:szCs w:val="17"/>
                <w:color w:val="282A32"/>
              </w:rPr>
              <w:t>2017</w:t>
            </w:r>
          </w:p>
        </w:tc>
        <w:tc>
          <w:tcPr>
            <w:tcW w:w="980" w:type="dxa"/>
            <w:vAlign w:val="bottom"/>
          </w:tcPr>
          <w:p>
            <w:pPr>
              <w:jc w:val="right"/>
              <w:ind w:right="97"/>
              <w:spacing w:after="0"/>
              <w:rPr>
                <w:sz w:val="20"/>
                <w:szCs w:val="20"/>
                <w:color w:val="auto"/>
              </w:rPr>
            </w:pPr>
            <w:r>
              <w:rPr>
                <w:rFonts w:ascii="Arial" w:cs="Arial" w:eastAsia="Arial" w:hAnsi="Arial"/>
                <w:sz w:val="17"/>
                <w:szCs w:val="17"/>
                <w:color w:val="282A32"/>
              </w:rPr>
              <w:t>2016</w:t>
            </w:r>
          </w:p>
        </w:tc>
      </w:tr>
      <w:tr>
        <w:trPr>
          <w:trHeight w:val="25"/>
        </w:trPr>
        <w:tc>
          <w:tcPr>
            <w:tcW w:w="50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Average risk-free interest rate</w:t>
            </w:r>
          </w:p>
        </w:tc>
        <w:tc>
          <w:tcPr>
            <w:tcW w:w="392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2.6%</w:t>
            </w:r>
          </w:p>
        </w:tc>
        <w:tc>
          <w:tcPr>
            <w:tcW w:w="140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282A32"/>
              </w:rPr>
              <w:t>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1.4%</w:t>
            </w:r>
          </w:p>
        </w:tc>
      </w:tr>
      <w:tr>
        <w:trPr>
          <w:trHeight w:val="224"/>
        </w:trPr>
        <w:tc>
          <w:tcPr>
            <w:tcW w:w="5000" w:type="dxa"/>
            <w:vAlign w:val="bottom"/>
          </w:tcPr>
          <w:p>
            <w:pPr>
              <w:ind w:left="20"/>
              <w:spacing w:after="0"/>
              <w:rPr>
                <w:sz w:val="20"/>
                <w:szCs w:val="20"/>
                <w:color w:val="auto"/>
              </w:rPr>
            </w:pPr>
            <w:r>
              <w:rPr>
                <w:rFonts w:ascii="Arial" w:cs="Arial" w:eastAsia="Arial" w:hAnsi="Arial"/>
                <w:sz w:val="17"/>
                <w:szCs w:val="17"/>
                <w:color w:val="282A32"/>
              </w:rPr>
              <w:t>Expected dividend yield</w:t>
            </w:r>
          </w:p>
        </w:tc>
        <w:tc>
          <w:tcPr>
            <w:tcW w:w="3920" w:type="dxa"/>
            <w:vAlign w:val="bottom"/>
          </w:tcPr>
          <w:p>
            <w:pPr>
              <w:jc w:val="right"/>
              <w:ind w:right="377"/>
              <w:spacing w:after="0"/>
              <w:rPr>
                <w:sz w:val="20"/>
                <w:szCs w:val="20"/>
                <w:color w:val="auto"/>
              </w:rPr>
            </w:pPr>
            <w:r>
              <w:rPr>
                <w:rFonts w:ascii="Arial" w:cs="Arial" w:eastAsia="Arial" w:hAnsi="Arial"/>
                <w:sz w:val="17"/>
                <w:szCs w:val="17"/>
                <w:color w:val="auto"/>
              </w:rPr>
              <w:t>1.6%</w:t>
            </w:r>
          </w:p>
        </w:tc>
        <w:tc>
          <w:tcPr>
            <w:tcW w:w="1400" w:type="dxa"/>
            <w:vAlign w:val="bottom"/>
          </w:tcPr>
          <w:p>
            <w:pPr>
              <w:jc w:val="right"/>
              <w:ind w:right="377"/>
              <w:spacing w:after="0"/>
              <w:rPr>
                <w:sz w:val="20"/>
                <w:szCs w:val="20"/>
                <w:color w:val="auto"/>
              </w:rPr>
            </w:pPr>
            <w:r>
              <w:rPr>
                <w:rFonts w:ascii="Arial" w:cs="Arial" w:eastAsia="Arial" w:hAnsi="Arial"/>
                <w:sz w:val="17"/>
                <w:szCs w:val="17"/>
                <w:color w:val="282A32"/>
              </w:rPr>
              <w:t>2.0%</w:t>
            </w:r>
          </w:p>
        </w:tc>
        <w:tc>
          <w:tcPr>
            <w:tcW w:w="980" w:type="dxa"/>
            <w:vAlign w:val="bottom"/>
          </w:tcPr>
          <w:p>
            <w:pPr>
              <w:jc w:val="right"/>
              <w:spacing w:after="0"/>
              <w:rPr>
                <w:sz w:val="20"/>
                <w:szCs w:val="20"/>
                <w:color w:val="auto"/>
              </w:rPr>
            </w:pPr>
            <w:r>
              <w:rPr>
                <w:rFonts w:ascii="Arial" w:cs="Arial" w:eastAsia="Arial" w:hAnsi="Arial"/>
                <w:sz w:val="17"/>
                <w:szCs w:val="17"/>
                <w:color w:val="282A32"/>
              </w:rPr>
              <w:t>2.1%</w:t>
            </w:r>
          </w:p>
        </w:tc>
      </w:tr>
      <w:tr>
        <w:trPr>
          <w:trHeight w:val="25"/>
        </w:trPr>
        <w:tc>
          <w:tcPr>
            <w:tcW w:w="50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Expected volatility</w:t>
            </w:r>
          </w:p>
        </w:tc>
        <w:tc>
          <w:tcPr>
            <w:tcW w:w="392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27.0%</w:t>
            </w:r>
          </w:p>
        </w:tc>
        <w:tc>
          <w:tcPr>
            <w:tcW w:w="140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282A32"/>
              </w:rPr>
              <w:t>31.0%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282A32"/>
              </w:rPr>
              <w:t>33.0%</w:t>
            </w:r>
          </w:p>
        </w:tc>
      </w:tr>
      <w:tr>
        <w:trPr>
          <w:trHeight w:val="224"/>
        </w:trPr>
        <w:tc>
          <w:tcPr>
            <w:tcW w:w="5000" w:type="dxa"/>
            <w:vAlign w:val="bottom"/>
          </w:tcPr>
          <w:p>
            <w:pPr>
              <w:ind w:left="20"/>
              <w:spacing w:after="0"/>
              <w:rPr>
                <w:sz w:val="20"/>
                <w:szCs w:val="20"/>
                <w:color w:val="auto"/>
              </w:rPr>
            </w:pPr>
            <w:r>
              <w:rPr>
                <w:rFonts w:ascii="Arial" w:cs="Arial" w:eastAsia="Arial" w:hAnsi="Arial"/>
                <w:sz w:val="17"/>
                <w:szCs w:val="17"/>
                <w:color w:val="282A32"/>
              </w:rPr>
              <w:t>Expected term (years)</w:t>
            </w:r>
          </w:p>
        </w:tc>
        <w:tc>
          <w:tcPr>
            <w:tcW w:w="3920" w:type="dxa"/>
            <w:vAlign w:val="bottom"/>
          </w:tcPr>
          <w:p>
            <w:pPr>
              <w:jc w:val="right"/>
              <w:ind w:right="517"/>
              <w:spacing w:after="0"/>
              <w:rPr>
                <w:sz w:val="20"/>
                <w:szCs w:val="20"/>
                <w:color w:val="auto"/>
              </w:rPr>
            </w:pPr>
            <w:r>
              <w:rPr>
                <w:rFonts w:ascii="Arial" w:cs="Arial" w:eastAsia="Arial" w:hAnsi="Arial"/>
                <w:sz w:val="17"/>
                <w:szCs w:val="17"/>
                <w:color w:val="auto"/>
              </w:rPr>
              <w:t>6.0</w:t>
            </w:r>
          </w:p>
        </w:tc>
        <w:tc>
          <w:tcPr>
            <w:tcW w:w="1400" w:type="dxa"/>
            <w:vAlign w:val="bottom"/>
          </w:tcPr>
          <w:p>
            <w:pPr>
              <w:jc w:val="right"/>
              <w:ind w:right="517"/>
              <w:spacing w:after="0"/>
              <w:rPr>
                <w:sz w:val="20"/>
                <w:szCs w:val="20"/>
                <w:color w:val="auto"/>
              </w:rPr>
            </w:pPr>
            <w:r>
              <w:rPr>
                <w:rFonts w:ascii="Arial" w:cs="Arial" w:eastAsia="Arial" w:hAnsi="Arial"/>
                <w:sz w:val="17"/>
                <w:szCs w:val="17"/>
                <w:color w:val="282A32"/>
              </w:rPr>
              <w:t>6.0</w:t>
            </w:r>
          </w:p>
        </w:tc>
        <w:tc>
          <w:tcPr>
            <w:tcW w:w="980" w:type="dxa"/>
            <w:vAlign w:val="bottom"/>
          </w:tcPr>
          <w:p>
            <w:pPr>
              <w:jc w:val="right"/>
              <w:ind w:right="97"/>
              <w:spacing w:after="0"/>
              <w:rPr>
                <w:sz w:val="20"/>
                <w:szCs w:val="20"/>
                <w:color w:val="auto"/>
              </w:rPr>
            </w:pPr>
            <w:r>
              <w:rPr>
                <w:rFonts w:ascii="Arial" w:cs="Arial" w:eastAsia="Arial" w:hAnsi="Arial"/>
                <w:sz w:val="17"/>
                <w:szCs w:val="17"/>
                <w:color w:val="282A32"/>
              </w:rPr>
              <w:t>6.0</w:t>
            </w:r>
          </w:p>
        </w:tc>
      </w:tr>
      <w:tr>
        <w:trPr>
          <w:trHeight w:val="25"/>
        </w:trPr>
        <w:tc>
          <w:tcPr>
            <w:tcW w:w="500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99"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282A32"/>
        </w:rPr>
        <w:t>The average risk-free interest rate is based on United States Treasury security rates corresponding to the expected term in effect as of the grant date. The expected dividend yield is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per option granted during the year was $31.46, $25.58 and $19.68 in 2018, 2017 and 2016,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Deferred Stock</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2011 Plan; the deferred stock is settled in shares of common stock according to these terms and conditions. During December 31, 2018, 2017 and 2016, there were 5,551, 3,647 and 3,714, respectively, shares of deferred stock awarded under this arrangement, all of which are vested.</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282A32"/>
        </w:rPr>
        <w:t>Non-employee directors also receive an annual grant of deferred stock (or restricted stock, if they so elect) as additional compensation for board service. The award vests in equal quarterly installments over one year and the vested portion of the deferred stock is settled in shares of common stock either upon a director’s termination of service or three years after the date of grant (which may in most cases be extended at the directors’ election) in accordance with the terms and conditions under the 2011 Plan. During 2018, 2017 and 2016, there were 10,152, 9,857 and 8,388, respectively, shares of deferred stock and 6,345, 9,792 and 9,966, respectively, shares of restricted stock granted under this arrangement, all of which are vested except for 1,666 shares of restricted stock granted in 2018 that were cancelled. We recognized expense of $1.9, $1.4 and $1.1 related to deferred stock in 2018, 2017 and 2016,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Restricted Stock</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We grant restricted stock and restricted stock unit awards to certain employees and to non-employee directors who may elect to receive restricted stock rather than deferred stock as described above. Restrictions lapse over periods ranging up to six years, and in some cases upon retirement. We value restricted stock awards at the closing market value of our common stock on the date of grant.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351"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2"/>
        </w:trPr>
        <w:tc>
          <w:tcPr>
            <w:tcW w:w="4740" w:type="dxa"/>
            <w:vAlign w:val="bottom"/>
          </w:tcPr>
          <w:p>
            <w:pPr>
              <w:spacing w:after="0"/>
              <w:rPr>
                <w:sz w:val="20"/>
                <w:szCs w:val="20"/>
                <w:color w:val="auto"/>
              </w:rPr>
            </w:pPr>
            <w:r>
              <w:rPr>
                <w:rFonts w:ascii="Arial" w:cs="Arial" w:eastAsia="Arial" w:hAnsi="Arial"/>
                <w:sz w:val="17"/>
                <w:szCs w:val="17"/>
                <w:color w:val="282A32"/>
              </w:rPr>
              <w:t>A summary of restricted stock activity is as follows:</w:t>
            </w:r>
          </w:p>
        </w:tc>
        <w:tc>
          <w:tcPr>
            <w:tcW w:w="2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6"/>
        </w:trPr>
        <w:tc>
          <w:tcPr>
            <w:tcW w:w="47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jc w:val="right"/>
              <w:ind w:right="137"/>
              <w:spacing w:after="0"/>
              <w:rPr>
                <w:sz w:val="20"/>
                <w:szCs w:val="20"/>
                <w:color w:val="auto"/>
              </w:rPr>
            </w:pPr>
            <w:r>
              <w:rPr>
                <w:rFonts w:ascii="Arial" w:cs="Arial" w:eastAsia="Arial" w:hAnsi="Arial"/>
                <w:sz w:val="17"/>
                <w:szCs w:val="17"/>
                <w:color w:val="282A32"/>
              </w:rPr>
              <w:t>Wtd. Avg.</w:t>
            </w:r>
          </w:p>
        </w:tc>
        <w:tc>
          <w:tcPr>
            <w:tcW w:w="1280" w:type="dxa"/>
            <w:vAlign w:val="bottom"/>
          </w:tcPr>
          <w:p>
            <w:pPr>
              <w:spacing w:after="0"/>
              <w:rPr>
                <w:sz w:val="24"/>
                <w:szCs w:val="24"/>
                <w:color w:val="auto"/>
              </w:rPr>
            </w:pPr>
          </w:p>
        </w:tc>
      </w:tr>
      <w:tr>
        <w:trPr>
          <w:trHeight w:val="199"/>
        </w:trPr>
        <w:tc>
          <w:tcPr>
            <w:tcW w:w="47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20" w:type="dxa"/>
            <w:vAlign w:val="bottom"/>
          </w:tcPr>
          <w:p>
            <w:pPr>
              <w:jc w:val="right"/>
              <w:ind w:right="137"/>
              <w:spacing w:after="0"/>
              <w:rPr>
                <w:sz w:val="20"/>
                <w:szCs w:val="20"/>
                <w:color w:val="auto"/>
              </w:rPr>
            </w:pPr>
            <w:r>
              <w:rPr>
                <w:rFonts w:ascii="Arial" w:cs="Arial" w:eastAsia="Arial" w:hAnsi="Arial"/>
                <w:sz w:val="17"/>
                <w:szCs w:val="17"/>
                <w:color w:val="282A32"/>
              </w:rPr>
              <w:t>Remaining</w:t>
            </w:r>
          </w:p>
        </w:tc>
        <w:tc>
          <w:tcPr>
            <w:tcW w:w="1280" w:type="dxa"/>
            <w:vAlign w:val="bottom"/>
          </w:tcPr>
          <w:p>
            <w:pPr>
              <w:jc w:val="right"/>
              <w:ind w:right="17"/>
              <w:spacing w:after="0"/>
              <w:rPr>
                <w:sz w:val="20"/>
                <w:szCs w:val="20"/>
                <w:color w:val="auto"/>
              </w:rPr>
            </w:pPr>
            <w:r>
              <w:rPr>
                <w:rFonts w:ascii="Arial" w:cs="Arial" w:eastAsia="Arial" w:hAnsi="Arial"/>
                <w:sz w:val="17"/>
                <w:szCs w:val="17"/>
                <w:color w:val="282A32"/>
              </w:rPr>
              <w:t>Aggregate</w:t>
            </w:r>
          </w:p>
        </w:tc>
      </w:tr>
      <w:tr>
        <w:trPr>
          <w:trHeight w:val="199"/>
        </w:trPr>
        <w:tc>
          <w:tcPr>
            <w:tcW w:w="47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580" w:type="dxa"/>
            <w:vAlign w:val="bottom"/>
          </w:tcPr>
          <w:p>
            <w:pPr>
              <w:jc w:val="right"/>
              <w:ind w:right="257"/>
              <w:spacing w:after="0"/>
              <w:rPr>
                <w:sz w:val="20"/>
                <w:szCs w:val="20"/>
                <w:color w:val="auto"/>
              </w:rPr>
            </w:pPr>
            <w:r>
              <w:rPr>
                <w:rFonts w:ascii="Arial" w:cs="Arial" w:eastAsia="Arial" w:hAnsi="Arial"/>
                <w:sz w:val="17"/>
                <w:szCs w:val="17"/>
                <w:color w:val="282A32"/>
              </w:rPr>
              <w:t>Wtd. Avg.</w:t>
            </w:r>
          </w:p>
        </w:tc>
        <w:tc>
          <w:tcPr>
            <w:tcW w:w="1420" w:type="dxa"/>
            <w:vAlign w:val="bottom"/>
          </w:tcPr>
          <w:p>
            <w:pPr>
              <w:jc w:val="right"/>
              <w:ind w:right="137"/>
              <w:spacing w:after="0"/>
              <w:rPr>
                <w:sz w:val="20"/>
                <w:szCs w:val="20"/>
                <w:color w:val="auto"/>
              </w:rPr>
            </w:pPr>
            <w:r>
              <w:rPr>
                <w:rFonts w:ascii="Arial" w:cs="Arial" w:eastAsia="Arial" w:hAnsi="Arial"/>
                <w:sz w:val="17"/>
                <w:szCs w:val="17"/>
                <w:color w:val="282A32"/>
              </w:rPr>
              <w:t>Contractual</w:t>
            </w:r>
          </w:p>
        </w:tc>
        <w:tc>
          <w:tcPr>
            <w:tcW w:w="1280" w:type="dxa"/>
            <w:vAlign w:val="bottom"/>
          </w:tcPr>
          <w:p>
            <w:pPr>
              <w:jc w:val="right"/>
              <w:ind w:right="17"/>
              <w:spacing w:after="0"/>
              <w:rPr>
                <w:sz w:val="20"/>
                <w:szCs w:val="20"/>
                <w:color w:val="auto"/>
              </w:rPr>
            </w:pPr>
            <w:r>
              <w:rPr>
                <w:rFonts w:ascii="Arial" w:cs="Arial" w:eastAsia="Arial" w:hAnsi="Arial"/>
                <w:sz w:val="17"/>
                <w:szCs w:val="17"/>
                <w:color w:val="282A32"/>
              </w:rPr>
              <w:t>Intrinsic Value</w:t>
            </w:r>
          </w:p>
        </w:tc>
      </w:tr>
      <w:tr>
        <w:trPr>
          <w:trHeight w:val="212"/>
        </w:trPr>
        <w:tc>
          <w:tcPr>
            <w:tcW w:w="4740" w:type="dxa"/>
            <w:vAlign w:val="bottom"/>
          </w:tcPr>
          <w:p>
            <w:pPr>
              <w:spacing w:after="0"/>
              <w:rPr>
                <w:sz w:val="18"/>
                <w:szCs w:val="18"/>
                <w:color w:val="auto"/>
              </w:rPr>
            </w:pPr>
          </w:p>
        </w:tc>
        <w:tc>
          <w:tcPr>
            <w:tcW w:w="2380" w:type="dxa"/>
            <w:vAlign w:val="bottom"/>
          </w:tcPr>
          <w:p>
            <w:pPr>
              <w:jc w:val="right"/>
              <w:ind w:right="177"/>
              <w:spacing w:after="0"/>
              <w:rPr>
                <w:sz w:val="20"/>
                <w:szCs w:val="20"/>
                <w:color w:val="auto"/>
              </w:rPr>
            </w:pPr>
            <w:r>
              <w:rPr>
                <w:rFonts w:ascii="Arial" w:cs="Arial" w:eastAsia="Arial" w:hAnsi="Arial"/>
                <w:sz w:val="17"/>
                <w:szCs w:val="17"/>
                <w:color w:val="282A32"/>
              </w:rPr>
              <w:t>Shares (000)</w:t>
            </w:r>
          </w:p>
        </w:tc>
        <w:tc>
          <w:tcPr>
            <w:tcW w:w="1580" w:type="dxa"/>
            <w:vAlign w:val="bottom"/>
          </w:tcPr>
          <w:p>
            <w:pPr>
              <w:jc w:val="right"/>
              <w:ind w:right="257"/>
              <w:spacing w:after="0"/>
              <w:rPr>
                <w:sz w:val="20"/>
                <w:szCs w:val="20"/>
                <w:color w:val="auto"/>
              </w:rPr>
            </w:pPr>
            <w:r>
              <w:rPr>
                <w:rFonts w:ascii="Arial" w:cs="Arial" w:eastAsia="Arial" w:hAnsi="Arial"/>
                <w:sz w:val="17"/>
                <w:szCs w:val="17"/>
                <w:color w:val="282A32"/>
              </w:rPr>
              <w:t>Price Per Share</w:t>
            </w:r>
          </w:p>
        </w:tc>
        <w:tc>
          <w:tcPr>
            <w:tcW w:w="1420" w:type="dxa"/>
            <w:vAlign w:val="bottom"/>
          </w:tcPr>
          <w:p>
            <w:pPr>
              <w:jc w:val="right"/>
              <w:ind w:right="137"/>
              <w:spacing w:after="0"/>
              <w:rPr>
                <w:sz w:val="20"/>
                <w:szCs w:val="20"/>
                <w:color w:val="auto"/>
              </w:rPr>
            </w:pPr>
            <w:r>
              <w:rPr>
                <w:rFonts w:ascii="Arial" w:cs="Arial" w:eastAsia="Arial" w:hAnsi="Arial"/>
                <w:sz w:val="17"/>
                <w:szCs w:val="17"/>
                <w:color w:val="282A32"/>
              </w:rPr>
              <w:t>Term (years)</w:t>
            </w:r>
          </w:p>
        </w:tc>
        <w:tc>
          <w:tcPr>
            <w:tcW w:w="1280" w:type="dxa"/>
            <w:vAlign w:val="bottom"/>
          </w:tcPr>
          <w:p>
            <w:pPr>
              <w:jc w:val="right"/>
              <w:ind w:right="17"/>
              <w:spacing w:after="0"/>
              <w:rPr>
                <w:sz w:val="20"/>
                <w:szCs w:val="20"/>
                <w:color w:val="auto"/>
              </w:rPr>
            </w:pPr>
            <w:r>
              <w:rPr>
                <w:rFonts w:ascii="Arial" w:cs="Arial" w:eastAsia="Arial" w:hAnsi="Arial"/>
                <w:sz w:val="17"/>
                <w:szCs w:val="17"/>
                <w:color w:val="282A32"/>
              </w:rPr>
              <w:t>(in millions)</w:t>
            </w:r>
          </w:p>
        </w:tc>
      </w:tr>
      <w:tr>
        <w:trPr>
          <w:trHeight w:val="25"/>
        </w:trPr>
        <w:tc>
          <w:tcPr>
            <w:tcW w:w="47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Unvested, January 1, 2016</w:t>
            </w:r>
          </w:p>
        </w:tc>
        <w:tc>
          <w:tcPr>
            <w:tcW w:w="2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405</w:t>
            </w:r>
          </w:p>
        </w:tc>
        <w:tc>
          <w:tcPr>
            <w:tcW w:w="15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$64</w:t>
            </w:r>
          </w:p>
        </w:tc>
        <w:tc>
          <w:tcPr>
            <w:tcW w:w="14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1.3</w:t>
            </w:r>
          </w:p>
        </w:tc>
        <w:tc>
          <w:tcPr>
            <w:tcW w:w="1280" w:type="dxa"/>
            <w:vAlign w:val="bottom"/>
            <w:tcBorders>
              <w:bottom w:val="single" w:sz="8" w:color="CCEEFF"/>
            </w:tcBorders>
            <w:shd w:val="clear" w:color="auto" w:fill="CCEEFF"/>
          </w:tcPr>
          <w:p>
            <w:pPr>
              <w:spacing w:after="0"/>
              <w:rPr>
                <w:sz w:val="19"/>
                <w:szCs w:val="19"/>
                <w:color w:val="auto"/>
              </w:rPr>
            </w:pPr>
          </w:p>
        </w:tc>
      </w:tr>
      <w:tr>
        <w:trPr>
          <w:trHeight w:val="224"/>
        </w:trPr>
        <w:tc>
          <w:tcPr>
            <w:tcW w:w="4740" w:type="dxa"/>
            <w:vAlign w:val="bottom"/>
          </w:tcPr>
          <w:p>
            <w:pPr>
              <w:ind w:left="140"/>
              <w:spacing w:after="0"/>
              <w:rPr>
                <w:sz w:val="20"/>
                <w:szCs w:val="20"/>
                <w:color w:val="auto"/>
              </w:rPr>
            </w:pPr>
            <w:r>
              <w:rPr>
                <w:rFonts w:ascii="Arial" w:cs="Arial" w:eastAsia="Arial" w:hAnsi="Arial"/>
                <w:sz w:val="17"/>
                <w:szCs w:val="17"/>
                <w:color w:val="282A32"/>
              </w:rPr>
              <w:t>Granted</w:t>
            </w:r>
          </w:p>
        </w:tc>
        <w:tc>
          <w:tcPr>
            <w:tcW w:w="2380" w:type="dxa"/>
            <w:vAlign w:val="bottom"/>
          </w:tcPr>
          <w:p>
            <w:pPr>
              <w:jc w:val="right"/>
              <w:ind w:right="177"/>
              <w:spacing w:after="0"/>
              <w:rPr>
                <w:sz w:val="20"/>
                <w:szCs w:val="20"/>
                <w:color w:val="auto"/>
              </w:rPr>
            </w:pPr>
            <w:r>
              <w:rPr>
                <w:rFonts w:ascii="Arial" w:cs="Arial" w:eastAsia="Arial" w:hAnsi="Arial"/>
                <w:sz w:val="17"/>
                <w:szCs w:val="17"/>
                <w:color w:val="282A32"/>
              </w:rPr>
              <w:t>232</w:t>
            </w:r>
          </w:p>
        </w:tc>
        <w:tc>
          <w:tcPr>
            <w:tcW w:w="1580" w:type="dxa"/>
            <w:vAlign w:val="bottom"/>
          </w:tcPr>
          <w:p>
            <w:pPr>
              <w:jc w:val="right"/>
              <w:ind w:right="257"/>
              <w:spacing w:after="0"/>
              <w:rPr>
                <w:sz w:val="20"/>
                <w:szCs w:val="20"/>
                <w:color w:val="auto"/>
              </w:rPr>
            </w:pPr>
            <w:r>
              <w:rPr>
                <w:rFonts w:ascii="Arial" w:cs="Arial" w:eastAsia="Arial" w:hAnsi="Arial"/>
                <w:sz w:val="17"/>
                <w:szCs w:val="17"/>
                <w:color w:val="282A32"/>
              </w:rPr>
              <w:t>75</w:t>
            </w: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
        </w:trPr>
        <w:tc>
          <w:tcPr>
            <w:tcW w:w="4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Vested</w:t>
            </w:r>
          </w:p>
        </w:tc>
        <w:tc>
          <w:tcPr>
            <w:tcW w:w="23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(172)</w:t>
            </w:r>
          </w:p>
        </w:tc>
        <w:tc>
          <w:tcPr>
            <w:tcW w:w="15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62</w:t>
            </w:r>
          </w:p>
        </w:tc>
        <w:tc>
          <w:tcPr>
            <w:tcW w:w="1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24"/>
        </w:trPr>
        <w:tc>
          <w:tcPr>
            <w:tcW w:w="4740" w:type="dxa"/>
            <w:vAlign w:val="bottom"/>
          </w:tcPr>
          <w:p>
            <w:pPr>
              <w:ind w:left="140"/>
              <w:spacing w:after="0"/>
              <w:rPr>
                <w:sz w:val="20"/>
                <w:szCs w:val="20"/>
                <w:color w:val="auto"/>
              </w:rPr>
            </w:pPr>
            <w:r>
              <w:rPr>
                <w:rFonts w:ascii="Arial" w:cs="Arial" w:eastAsia="Arial" w:hAnsi="Arial"/>
                <w:sz w:val="17"/>
                <w:szCs w:val="17"/>
                <w:color w:val="282A32"/>
              </w:rPr>
              <w:t>Forfeited</w:t>
            </w:r>
          </w:p>
        </w:tc>
        <w:tc>
          <w:tcPr>
            <w:tcW w:w="2380" w:type="dxa"/>
            <w:vAlign w:val="bottom"/>
          </w:tcPr>
          <w:p>
            <w:pPr>
              <w:jc w:val="right"/>
              <w:ind w:right="137"/>
              <w:spacing w:after="0"/>
              <w:rPr>
                <w:sz w:val="20"/>
                <w:szCs w:val="20"/>
                <w:color w:val="auto"/>
              </w:rPr>
            </w:pPr>
            <w:r>
              <w:rPr>
                <w:rFonts w:ascii="Arial" w:cs="Arial" w:eastAsia="Arial" w:hAnsi="Arial"/>
                <w:sz w:val="17"/>
                <w:szCs w:val="17"/>
                <w:color w:val="282A32"/>
              </w:rPr>
              <w:t>(14)</w:t>
            </w:r>
          </w:p>
        </w:tc>
        <w:tc>
          <w:tcPr>
            <w:tcW w:w="1580" w:type="dxa"/>
            <w:vAlign w:val="bottom"/>
          </w:tcPr>
          <w:p>
            <w:pPr>
              <w:jc w:val="right"/>
              <w:ind w:right="257"/>
              <w:spacing w:after="0"/>
              <w:rPr>
                <w:sz w:val="20"/>
                <w:szCs w:val="20"/>
                <w:color w:val="auto"/>
              </w:rPr>
            </w:pPr>
            <w:r>
              <w:rPr>
                <w:rFonts w:ascii="Arial" w:cs="Arial" w:eastAsia="Arial" w:hAnsi="Arial"/>
                <w:sz w:val="17"/>
                <w:szCs w:val="17"/>
                <w:color w:val="282A32"/>
              </w:rPr>
              <w:t>76</w:t>
            </w: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
        </w:trPr>
        <w:tc>
          <w:tcPr>
            <w:tcW w:w="47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Unvested, December 31, 2016</w:t>
            </w:r>
          </w:p>
        </w:tc>
        <w:tc>
          <w:tcPr>
            <w:tcW w:w="2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451</w:t>
            </w:r>
          </w:p>
        </w:tc>
        <w:tc>
          <w:tcPr>
            <w:tcW w:w="15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$70</w:t>
            </w:r>
          </w:p>
        </w:tc>
        <w:tc>
          <w:tcPr>
            <w:tcW w:w="14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1.4</w:t>
            </w:r>
          </w:p>
        </w:tc>
        <w:tc>
          <w:tcPr>
            <w:tcW w:w="1280" w:type="dxa"/>
            <w:vAlign w:val="bottom"/>
            <w:tcBorders>
              <w:bottom w:val="single" w:sz="8" w:color="CCEEFF"/>
            </w:tcBorders>
            <w:shd w:val="clear" w:color="auto" w:fill="CCEEFF"/>
          </w:tcPr>
          <w:p>
            <w:pPr>
              <w:spacing w:after="0"/>
              <w:rPr>
                <w:sz w:val="21"/>
                <w:szCs w:val="21"/>
                <w:color w:val="auto"/>
              </w:rPr>
            </w:pPr>
          </w:p>
        </w:tc>
      </w:tr>
      <w:tr>
        <w:trPr>
          <w:trHeight w:val="217"/>
        </w:trPr>
        <w:tc>
          <w:tcPr>
            <w:tcW w:w="474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282A32"/>
              </w:rPr>
              <w:t>Granted</w:t>
            </w:r>
          </w:p>
        </w:tc>
        <w:tc>
          <w:tcPr>
            <w:tcW w:w="238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282A32"/>
              </w:rPr>
              <w:t>167</w:t>
            </w:r>
          </w:p>
        </w:tc>
        <w:tc>
          <w:tcPr>
            <w:tcW w:w="158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282A32"/>
              </w:rPr>
              <w:t>$98</w:t>
            </w:r>
          </w:p>
        </w:tc>
        <w:tc>
          <w:tcPr>
            <w:tcW w:w="14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5"/>
        </w:trPr>
        <w:tc>
          <w:tcPr>
            <w:tcW w:w="4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Vested</w:t>
            </w:r>
          </w:p>
        </w:tc>
        <w:tc>
          <w:tcPr>
            <w:tcW w:w="23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(133)</w:t>
            </w:r>
          </w:p>
        </w:tc>
        <w:tc>
          <w:tcPr>
            <w:tcW w:w="15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79</w:t>
            </w:r>
          </w:p>
        </w:tc>
        <w:tc>
          <w:tcPr>
            <w:tcW w:w="1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24"/>
        </w:trPr>
        <w:tc>
          <w:tcPr>
            <w:tcW w:w="4740" w:type="dxa"/>
            <w:vAlign w:val="bottom"/>
          </w:tcPr>
          <w:p>
            <w:pPr>
              <w:ind w:left="140"/>
              <w:spacing w:after="0"/>
              <w:rPr>
                <w:sz w:val="20"/>
                <w:szCs w:val="20"/>
                <w:color w:val="auto"/>
              </w:rPr>
            </w:pPr>
            <w:r>
              <w:rPr>
                <w:rFonts w:ascii="Arial" w:cs="Arial" w:eastAsia="Arial" w:hAnsi="Arial"/>
                <w:sz w:val="17"/>
                <w:szCs w:val="17"/>
                <w:color w:val="282A32"/>
              </w:rPr>
              <w:t>Forfeited</w:t>
            </w:r>
          </w:p>
        </w:tc>
        <w:tc>
          <w:tcPr>
            <w:tcW w:w="2380" w:type="dxa"/>
            <w:vAlign w:val="bottom"/>
          </w:tcPr>
          <w:p>
            <w:pPr>
              <w:jc w:val="right"/>
              <w:ind w:right="137"/>
              <w:spacing w:after="0"/>
              <w:rPr>
                <w:sz w:val="20"/>
                <w:szCs w:val="20"/>
                <w:color w:val="auto"/>
              </w:rPr>
            </w:pPr>
            <w:r>
              <w:rPr>
                <w:rFonts w:ascii="Arial" w:cs="Arial" w:eastAsia="Arial" w:hAnsi="Arial"/>
                <w:sz w:val="17"/>
                <w:szCs w:val="17"/>
                <w:color w:val="282A32"/>
              </w:rPr>
              <w:t>(37)</w:t>
            </w:r>
          </w:p>
        </w:tc>
        <w:tc>
          <w:tcPr>
            <w:tcW w:w="1580" w:type="dxa"/>
            <w:vAlign w:val="bottom"/>
          </w:tcPr>
          <w:p>
            <w:pPr>
              <w:jc w:val="right"/>
              <w:ind w:right="257"/>
              <w:spacing w:after="0"/>
              <w:rPr>
                <w:sz w:val="20"/>
                <w:szCs w:val="20"/>
                <w:color w:val="auto"/>
              </w:rPr>
            </w:pPr>
            <w:r>
              <w:rPr>
                <w:rFonts w:ascii="Arial" w:cs="Arial" w:eastAsia="Arial" w:hAnsi="Arial"/>
                <w:sz w:val="17"/>
                <w:szCs w:val="17"/>
                <w:color w:val="282A32"/>
              </w:rPr>
              <w:t>80</w:t>
            </w: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
        </w:trPr>
        <w:tc>
          <w:tcPr>
            <w:tcW w:w="47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Unvested, December 31, 2017</w:t>
            </w:r>
          </w:p>
        </w:tc>
        <w:tc>
          <w:tcPr>
            <w:tcW w:w="2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448</w:t>
            </w:r>
          </w:p>
        </w:tc>
        <w:tc>
          <w:tcPr>
            <w:tcW w:w="15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$77</w:t>
            </w:r>
          </w:p>
        </w:tc>
        <w:tc>
          <w:tcPr>
            <w:tcW w:w="14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1.2</w:t>
            </w:r>
          </w:p>
        </w:tc>
        <w:tc>
          <w:tcPr>
            <w:tcW w:w="1280" w:type="dxa"/>
            <w:vAlign w:val="bottom"/>
            <w:tcBorders>
              <w:bottom w:val="single" w:sz="8" w:color="CCEEFF"/>
            </w:tcBorders>
            <w:shd w:val="clear" w:color="auto" w:fill="CCEEFF"/>
          </w:tcPr>
          <w:p>
            <w:pPr>
              <w:spacing w:after="0"/>
              <w:rPr>
                <w:sz w:val="21"/>
                <w:szCs w:val="21"/>
                <w:color w:val="auto"/>
              </w:rPr>
            </w:pPr>
          </w:p>
        </w:tc>
      </w:tr>
      <w:tr>
        <w:trPr>
          <w:trHeight w:val="217"/>
        </w:trPr>
        <w:tc>
          <w:tcPr>
            <w:tcW w:w="474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282A32"/>
              </w:rPr>
              <w:t>Granted</w:t>
            </w:r>
          </w:p>
        </w:tc>
        <w:tc>
          <w:tcPr>
            <w:tcW w:w="238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282A32"/>
              </w:rPr>
              <w:t>145</w:t>
            </w:r>
          </w:p>
        </w:tc>
        <w:tc>
          <w:tcPr>
            <w:tcW w:w="158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282A32"/>
              </w:rPr>
              <w:t>$119</w:t>
            </w:r>
          </w:p>
        </w:tc>
        <w:tc>
          <w:tcPr>
            <w:tcW w:w="14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5"/>
        </w:trPr>
        <w:tc>
          <w:tcPr>
            <w:tcW w:w="47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282A32"/>
              </w:rPr>
              <w:t>Vested</w:t>
            </w:r>
          </w:p>
        </w:tc>
        <w:tc>
          <w:tcPr>
            <w:tcW w:w="23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(174)</w:t>
            </w:r>
          </w:p>
        </w:tc>
        <w:tc>
          <w:tcPr>
            <w:tcW w:w="15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77</w:t>
            </w:r>
          </w:p>
        </w:tc>
        <w:tc>
          <w:tcPr>
            <w:tcW w:w="14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24"/>
        </w:trPr>
        <w:tc>
          <w:tcPr>
            <w:tcW w:w="4740" w:type="dxa"/>
            <w:vAlign w:val="bottom"/>
          </w:tcPr>
          <w:p>
            <w:pPr>
              <w:ind w:left="140"/>
              <w:spacing w:after="0"/>
              <w:rPr>
                <w:sz w:val="20"/>
                <w:szCs w:val="20"/>
                <w:color w:val="auto"/>
              </w:rPr>
            </w:pPr>
            <w:r>
              <w:rPr>
                <w:rFonts w:ascii="Arial" w:cs="Arial" w:eastAsia="Arial" w:hAnsi="Arial"/>
                <w:sz w:val="17"/>
                <w:szCs w:val="17"/>
                <w:color w:val="282A32"/>
              </w:rPr>
              <w:t>Forfeited</w:t>
            </w:r>
          </w:p>
        </w:tc>
        <w:tc>
          <w:tcPr>
            <w:tcW w:w="2380" w:type="dxa"/>
            <w:vAlign w:val="bottom"/>
          </w:tcPr>
          <w:p>
            <w:pPr>
              <w:jc w:val="right"/>
              <w:ind w:right="137"/>
              <w:spacing w:after="0"/>
              <w:rPr>
                <w:sz w:val="20"/>
                <w:szCs w:val="20"/>
                <w:color w:val="auto"/>
              </w:rPr>
            </w:pPr>
            <w:r>
              <w:rPr>
                <w:rFonts w:ascii="Arial" w:cs="Arial" w:eastAsia="Arial" w:hAnsi="Arial"/>
                <w:sz w:val="17"/>
                <w:szCs w:val="17"/>
                <w:color w:val="282A32"/>
              </w:rPr>
              <w:t>(23)</w:t>
            </w:r>
          </w:p>
        </w:tc>
        <w:tc>
          <w:tcPr>
            <w:tcW w:w="1580" w:type="dxa"/>
            <w:vAlign w:val="bottom"/>
          </w:tcPr>
          <w:p>
            <w:pPr>
              <w:jc w:val="right"/>
              <w:ind w:right="257"/>
              <w:spacing w:after="0"/>
              <w:rPr>
                <w:sz w:val="20"/>
                <w:szCs w:val="20"/>
                <w:color w:val="auto"/>
              </w:rPr>
            </w:pPr>
            <w:r>
              <w:rPr>
                <w:rFonts w:ascii="Arial" w:cs="Arial" w:eastAsia="Arial" w:hAnsi="Arial"/>
                <w:sz w:val="17"/>
                <w:szCs w:val="17"/>
                <w:color w:val="282A32"/>
              </w:rPr>
              <w:t>89</w:t>
            </w:r>
          </w:p>
        </w:tc>
        <w:tc>
          <w:tcPr>
            <w:tcW w:w="14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5"/>
        </w:trPr>
        <w:tc>
          <w:tcPr>
            <w:tcW w:w="47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Unvested, December 31, 2018</w:t>
            </w:r>
          </w:p>
        </w:tc>
        <w:tc>
          <w:tcPr>
            <w:tcW w:w="23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282A32"/>
              </w:rPr>
              <w:t>396</w:t>
            </w:r>
          </w:p>
        </w:tc>
        <w:tc>
          <w:tcPr>
            <w:tcW w:w="158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$92</w:t>
            </w:r>
          </w:p>
        </w:tc>
        <w:tc>
          <w:tcPr>
            <w:tcW w:w="142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282A32"/>
              </w:rPr>
              <w:t>1.3</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$26</w:t>
            </w:r>
          </w:p>
        </w:tc>
      </w:tr>
      <w:tr>
        <w:trPr>
          <w:trHeight w:val="20"/>
        </w:trPr>
        <w:tc>
          <w:tcPr>
            <w:tcW w:w="474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During 2018, 2017 and 2016, we recognized $13.3, $12.3 and $13.8, respectively, of expense related to restricted stock awards. As of December 31, 2018, there was approximately $15.2 of total unrecognized compensation cost related to unvested restricted stock, which we expect to recognize over a weighted-average period of approximately 2.0 years.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Performance Share Units</w:t>
      </w: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82A32"/>
        </w:rPr>
        <w:t>Our 2011 Plan allows us to grant performance share units. We grant performance share units typically with a performance period of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or in certain cases all of the units vest.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is applied to the units awarded based on the performance criteria determined by the Executive Compensation and Human Resources Committee of the Board of Directors at the time of grant.</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In the event the performance criteria exceeds the Target Award level, an additional number of shares, up to the Outstanding Award level, may be granted. In the event the performance criteria falls below the Target Award level, a reduced number of shares, as low as the Threshold Award level, may be granted. If the performance criteria falls below the Threshold Award level, no shares will be granted.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351"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A summary of the performance share units detail by grant year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2340" w:type="dxa"/>
            <w:vAlign w:val="bottom"/>
          </w:tcPr>
          <w:p>
            <w:pPr>
              <w:jc w:val="right"/>
              <w:ind w:right="217"/>
              <w:spacing w:after="0"/>
              <w:rPr>
                <w:sz w:val="20"/>
                <w:szCs w:val="20"/>
                <w:color w:val="auto"/>
              </w:rPr>
            </w:pPr>
            <w:r>
              <w:rPr>
                <w:rFonts w:ascii="Arial" w:cs="Arial" w:eastAsia="Arial" w:hAnsi="Arial"/>
                <w:sz w:val="17"/>
                <w:szCs w:val="17"/>
                <w:color w:val="282A32"/>
              </w:rPr>
              <w:t>2015</w:t>
            </w:r>
          </w:p>
        </w:tc>
        <w:tc>
          <w:tcPr>
            <w:tcW w:w="1840" w:type="dxa"/>
            <w:vAlign w:val="bottom"/>
          </w:tcPr>
          <w:p>
            <w:pPr>
              <w:jc w:val="right"/>
              <w:ind w:right="257"/>
              <w:spacing w:after="0"/>
              <w:rPr>
                <w:sz w:val="20"/>
                <w:szCs w:val="20"/>
                <w:color w:val="auto"/>
              </w:rPr>
            </w:pPr>
            <w:r>
              <w:rPr>
                <w:rFonts w:ascii="Arial" w:cs="Arial" w:eastAsia="Arial" w:hAnsi="Arial"/>
                <w:sz w:val="17"/>
                <w:szCs w:val="17"/>
                <w:color w:val="282A32"/>
              </w:rPr>
              <w:t>2016</w:t>
            </w:r>
          </w:p>
        </w:tc>
        <w:tc>
          <w:tcPr>
            <w:tcW w:w="1760" w:type="dxa"/>
            <w:vAlign w:val="bottom"/>
          </w:tcPr>
          <w:p>
            <w:pPr>
              <w:jc w:val="right"/>
              <w:ind w:right="197"/>
              <w:spacing w:after="0"/>
              <w:rPr>
                <w:sz w:val="20"/>
                <w:szCs w:val="20"/>
                <w:color w:val="auto"/>
              </w:rPr>
            </w:pPr>
            <w:r>
              <w:rPr>
                <w:rFonts w:ascii="Arial" w:cs="Arial" w:eastAsia="Arial" w:hAnsi="Arial"/>
                <w:sz w:val="17"/>
                <w:szCs w:val="17"/>
                <w:color w:val="282A32"/>
              </w:rPr>
              <w:t>2017</w:t>
            </w:r>
          </w:p>
        </w:tc>
        <w:tc>
          <w:tcPr>
            <w:tcW w:w="1640" w:type="dxa"/>
            <w:vAlign w:val="bottom"/>
          </w:tcPr>
          <w:p>
            <w:pPr>
              <w:jc w:val="right"/>
              <w:ind w:right="37"/>
              <w:spacing w:after="0"/>
              <w:rPr>
                <w:sz w:val="20"/>
                <w:szCs w:val="20"/>
                <w:color w:val="auto"/>
              </w:rPr>
            </w:pPr>
            <w:r>
              <w:rPr>
                <w:rFonts w:ascii="Arial" w:cs="Arial" w:eastAsia="Arial" w:hAnsi="Arial"/>
                <w:sz w:val="17"/>
                <w:szCs w:val="17"/>
                <w:color w:val="282A32"/>
              </w:rPr>
              <w:t>2018</w:t>
            </w:r>
          </w:p>
        </w:tc>
      </w:tr>
      <w:tr>
        <w:trPr>
          <w:trHeight w:val="25"/>
        </w:trPr>
        <w:tc>
          <w:tcPr>
            <w:tcW w:w="3740" w:type="dxa"/>
            <w:vAlign w:val="bottom"/>
            <w:tcBorders>
              <w:bottom w:val="single" w:sz="8" w:color="55565A"/>
            </w:tcBorders>
          </w:tcPr>
          <w:p>
            <w:pPr>
              <w:spacing w:after="0"/>
              <w:rPr>
                <w:sz w:val="2"/>
                <w:szCs w:val="2"/>
                <w:color w:val="auto"/>
              </w:rPr>
            </w:pPr>
          </w:p>
        </w:tc>
        <w:tc>
          <w:tcPr>
            <w:tcW w:w="2340" w:type="dxa"/>
            <w:vAlign w:val="bottom"/>
            <w:tcBorders>
              <w:bottom w:val="single" w:sz="8" w:color="55565A"/>
            </w:tcBorders>
          </w:tcPr>
          <w:p>
            <w:pPr>
              <w:spacing w:after="0"/>
              <w:rPr>
                <w:sz w:val="2"/>
                <w:szCs w:val="2"/>
                <w:color w:val="auto"/>
              </w:rPr>
            </w:pPr>
          </w:p>
        </w:tc>
        <w:tc>
          <w:tcPr>
            <w:tcW w:w="1840" w:type="dxa"/>
            <w:vAlign w:val="bottom"/>
            <w:tcBorders>
              <w:bottom w:val="single" w:sz="8" w:color="55565A"/>
            </w:tcBorders>
          </w:tcPr>
          <w:p>
            <w:pPr>
              <w:spacing w:after="0"/>
              <w:rPr>
                <w:sz w:val="2"/>
                <w:szCs w:val="2"/>
                <w:color w:val="auto"/>
              </w:rPr>
            </w:pPr>
          </w:p>
        </w:tc>
        <w:tc>
          <w:tcPr>
            <w:tcW w:w="1760" w:type="dxa"/>
            <w:vAlign w:val="bottom"/>
            <w:tcBorders>
              <w:bottom w:val="single" w:sz="8" w:color="55565A"/>
            </w:tcBorders>
          </w:tcPr>
          <w:p>
            <w:pPr>
              <w:spacing w:after="0"/>
              <w:rPr>
                <w:sz w:val="2"/>
                <w:szCs w:val="2"/>
                <w:color w:val="auto"/>
              </w:rPr>
            </w:pPr>
          </w:p>
        </w:tc>
        <w:tc>
          <w:tcPr>
            <w:tcW w:w="1640" w:type="dxa"/>
            <w:vAlign w:val="bottom"/>
            <w:tcBorders>
              <w:bottom w:val="single" w:sz="8" w:color="55565A"/>
            </w:tcBorders>
          </w:tcPr>
          <w:p>
            <w:pPr>
              <w:spacing w:after="0"/>
              <w:rPr>
                <w:sz w:val="2"/>
                <w:szCs w:val="2"/>
                <w:color w:val="auto"/>
              </w:rPr>
            </w:pPr>
          </w:p>
        </w:tc>
      </w:tr>
      <w:tr>
        <w:trPr>
          <w:trHeight w:val="222"/>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Grant Date(s)</w:t>
            </w:r>
          </w:p>
        </w:tc>
        <w:tc>
          <w:tcPr>
            <w:tcW w:w="23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February 11, 2015</w:t>
            </w:r>
          </w:p>
        </w:tc>
        <w:tc>
          <w:tcPr>
            <w:tcW w:w="18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February 16, 2016</w:t>
            </w:r>
          </w:p>
        </w:tc>
        <w:tc>
          <w:tcPr>
            <w:tcW w:w="17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February 9, 2017</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February 15, 2018</w:t>
            </w:r>
          </w:p>
        </w:tc>
      </w:tr>
      <w:tr>
        <w:trPr>
          <w:trHeight w:val="224"/>
        </w:trPr>
        <w:tc>
          <w:tcPr>
            <w:tcW w:w="3740" w:type="dxa"/>
            <w:vAlign w:val="bottom"/>
          </w:tcPr>
          <w:p>
            <w:pPr>
              <w:ind w:left="20"/>
              <w:spacing w:after="0"/>
              <w:rPr>
                <w:sz w:val="20"/>
                <w:szCs w:val="20"/>
                <w:color w:val="auto"/>
              </w:rPr>
            </w:pPr>
            <w:r>
              <w:rPr>
                <w:rFonts w:ascii="Arial" w:cs="Arial" w:eastAsia="Arial" w:hAnsi="Arial"/>
                <w:sz w:val="17"/>
                <w:szCs w:val="17"/>
                <w:color w:val="282A32"/>
              </w:rPr>
              <w:t>Performance Period (years)</w:t>
            </w:r>
          </w:p>
        </w:tc>
        <w:tc>
          <w:tcPr>
            <w:tcW w:w="2340" w:type="dxa"/>
            <w:vAlign w:val="bottom"/>
          </w:tcPr>
          <w:p>
            <w:pPr>
              <w:jc w:val="right"/>
              <w:ind w:right="217"/>
              <w:spacing w:after="0"/>
              <w:rPr>
                <w:sz w:val="20"/>
                <w:szCs w:val="20"/>
                <w:color w:val="auto"/>
              </w:rPr>
            </w:pPr>
            <w:r>
              <w:rPr>
                <w:rFonts w:ascii="Arial" w:cs="Arial" w:eastAsia="Arial" w:hAnsi="Arial"/>
                <w:sz w:val="17"/>
                <w:szCs w:val="17"/>
                <w:color w:val="282A32"/>
              </w:rPr>
              <w:t>2015-2017</w:t>
            </w:r>
          </w:p>
        </w:tc>
        <w:tc>
          <w:tcPr>
            <w:tcW w:w="1840" w:type="dxa"/>
            <w:vAlign w:val="bottom"/>
          </w:tcPr>
          <w:p>
            <w:pPr>
              <w:jc w:val="right"/>
              <w:ind w:right="257"/>
              <w:spacing w:after="0"/>
              <w:rPr>
                <w:sz w:val="20"/>
                <w:szCs w:val="20"/>
                <w:color w:val="auto"/>
              </w:rPr>
            </w:pPr>
            <w:r>
              <w:rPr>
                <w:rFonts w:ascii="Arial" w:cs="Arial" w:eastAsia="Arial" w:hAnsi="Arial"/>
                <w:sz w:val="17"/>
                <w:szCs w:val="17"/>
                <w:color w:val="282A32"/>
              </w:rPr>
              <w:t>2016-2018</w:t>
            </w:r>
          </w:p>
        </w:tc>
        <w:tc>
          <w:tcPr>
            <w:tcW w:w="1760" w:type="dxa"/>
            <w:vAlign w:val="bottom"/>
          </w:tcPr>
          <w:p>
            <w:pPr>
              <w:jc w:val="right"/>
              <w:ind w:right="197"/>
              <w:spacing w:after="0"/>
              <w:rPr>
                <w:sz w:val="20"/>
                <w:szCs w:val="20"/>
                <w:color w:val="auto"/>
              </w:rPr>
            </w:pPr>
            <w:r>
              <w:rPr>
                <w:rFonts w:ascii="Arial" w:cs="Arial" w:eastAsia="Arial" w:hAnsi="Arial"/>
                <w:sz w:val="17"/>
                <w:szCs w:val="17"/>
                <w:color w:val="282A32"/>
              </w:rPr>
              <w:t>2017-2019</w:t>
            </w:r>
          </w:p>
        </w:tc>
        <w:tc>
          <w:tcPr>
            <w:tcW w:w="1640" w:type="dxa"/>
            <w:vAlign w:val="bottom"/>
          </w:tcPr>
          <w:p>
            <w:pPr>
              <w:jc w:val="right"/>
              <w:ind w:right="37"/>
              <w:spacing w:after="0"/>
              <w:rPr>
                <w:sz w:val="20"/>
                <w:szCs w:val="20"/>
                <w:color w:val="auto"/>
              </w:rPr>
            </w:pPr>
            <w:r>
              <w:rPr>
                <w:rFonts w:ascii="Arial" w:cs="Arial" w:eastAsia="Arial" w:hAnsi="Arial"/>
                <w:sz w:val="17"/>
                <w:szCs w:val="17"/>
                <w:color w:val="282A32"/>
              </w:rPr>
              <w:t>2018-2020</w:t>
            </w:r>
          </w:p>
        </w:tc>
      </w:tr>
      <w:tr>
        <w:trPr>
          <w:trHeight w:val="25"/>
        </w:trPr>
        <w:tc>
          <w:tcPr>
            <w:tcW w:w="3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9"/>
        </w:trPr>
        <w:tc>
          <w:tcPr>
            <w:tcW w:w="3740" w:type="dxa"/>
            <w:vAlign w:val="bottom"/>
            <w:shd w:val="clear" w:color="auto" w:fill="CCEEFF"/>
          </w:tcPr>
          <w:p>
            <w:pPr>
              <w:ind w:left="20"/>
              <w:spacing w:after="0"/>
              <w:rPr>
                <w:sz w:val="20"/>
                <w:szCs w:val="20"/>
                <w:color w:val="auto"/>
              </w:rPr>
            </w:pPr>
            <w:r>
              <w:rPr>
                <w:rFonts w:ascii="Arial" w:cs="Arial" w:eastAsia="Arial" w:hAnsi="Arial"/>
                <w:sz w:val="17"/>
                <w:szCs w:val="17"/>
                <w:color w:val="282A32"/>
              </w:rPr>
              <w:t>Vesting Date</w:t>
            </w:r>
          </w:p>
        </w:tc>
        <w:tc>
          <w:tcPr>
            <w:tcW w:w="2340" w:type="dxa"/>
            <w:vAlign w:val="bottom"/>
            <w:shd w:val="clear" w:color="auto" w:fill="CCEEFF"/>
          </w:tcPr>
          <w:p>
            <w:pPr>
              <w:jc w:val="right"/>
              <w:ind w:right="217"/>
              <w:spacing w:after="0"/>
              <w:rPr>
                <w:sz w:val="20"/>
                <w:szCs w:val="20"/>
                <w:color w:val="auto"/>
              </w:rPr>
            </w:pPr>
            <w:r>
              <w:rPr>
                <w:rFonts w:ascii="Arial" w:cs="Arial" w:eastAsia="Arial" w:hAnsi="Arial"/>
                <w:sz w:val="17"/>
                <w:szCs w:val="17"/>
                <w:color w:val="282A32"/>
              </w:rPr>
              <w:t>February 2018</w:t>
            </w:r>
          </w:p>
        </w:tc>
        <w:tc>
          <w:tcPr>
            <w:tcW w:w="1840" w:type="dxa"/>
            <w:vAlign w:val="bottom"/>
            <w:shd w:val="clear" w:color="auto" w:fill="CCEEFF"/>
          </w:tcPr>
          <w:p>
            <w:pPr>
              <w:jc w:val="right"/>
              <w:ind w:right="257"/>
              <w:spacing w:after="0" w:line="250" w:lineRule="exact"/>
              <w:rPr>
                <w:sz w:val="20"/>
                <w:szCs w:val="20"/>
                <w:color w:val="auto"/>
              </w:rPr>
            </w:pPr>
            <w:r>
              <w:rPr>
                <w:rFonts w:ascii="Arial" w:cs="Arial" w:eastAsia="Arial" w:hAnsi="Arial"/>
                <w:sz w:val="17"/>
                <w:szCs w:val="17"/>
                <w:color w:val="282A32"/>
              </w:rPr>
              <w:t>February 2019</w:t>
            </w:r>
            <w:r>
              <w:rPr>
                <w:rFonts w:ascii="Arial" w:cs="Arial" w:eastAsia="Arial" w:hAnsi="Arial"/>
                <w:sz w:val="23"/>
                <w:szCs w:val="23"/>
                <w:color w:val="282A32"/>
                <w:vertAlign w:val="superscript"/>
              </w:rPr>
              <w:t>(a)</w:t>
            </w:r>
          </w:p>
        </w:tc>
        <w:tc>
          <w:tcPr>
            <w:tcW w:w="1760" w:type="dxa"/>
            <w:vAlign w:val="bottom"/>
            <w:shd w:val="clear" w:color="auto" w:fill="CCEEFF"/>
          </w:tcPr>
          <w:p>
            <w:pPr>
              <w:jc w:val="right"/>
              <w:ind w:right="197"/>
              <w:spacing w:after="0" w:line="250" w:lineRule="exact"/>
              <w:rPr>
                <w:sz w:val="20"/>
                <w:szCs w:val="20"/>
                <w:color w:val="auto"/>
              </w:rPr>
            </w:pPr>
            <w:r>
              <w:rPr>
                <w:rFonts w:ascii="Arial" w:cs="Arial" w:eastAsia="Arial" w:hAnsi="Arial"/>
                <w:sz w:val="17"/>
                <w:szCs w:val="17"/>
                <w:color w:val="282A32"/>
              </w:rPr>
              <w:t>February 2020</w:t>
            </w:r>
            <w:r>
              <w:rPr>
                <w:rFonts w:ascii="Arial" w:cs="Arial" w:eastAsia="Arial" w:hAnsi="Arial"/>
                <w:sz w:val="23"/>
                <w:szCs w:val="23"/>
                <w:color w:val="282A32"/>
                <w:vertAlign w:val="superscript"/>
              </w:rPr>
              <w:t>(a)</w:t>
            </w:r>
          </w:p>
        </w:tc>
        <w:tc>
          <w:tcPr>
            <w:tcW w:w="1640" w:type="dxa"/>
            <w:vAlign w:val="bottom"/>
            <w:shd w:val="clear" w:color="auto" w:fill="CCEEFF"/>
          </w:tcPr>
          <w:p>
            <w:pPr>
              <w:jc w:val="right"/>
              <w:ind w:right="37"/>
              <w:spacing w:after="0" w:line="250" w:lineRule="exact"/>
              <w:rPr>
                <w:sz w:val="20"/>
                <w:szCs w:val="20"/>
                <w:color w:val="auto"/>
              </w:rPr>
            </w:pPr>
            <w:r>
              <w:rPr>
                <w:rFonts w:ascii="Arial" w:cs="Arial" w:eastAsia="Arial" w:hAnsi="Arial"/>
                <w:sz w:val="17"/>
                <w:szCs w:val="17"/>
                <w:color w:val="282A32"/>
              </w:rPr>
              <w:t>February 2021</w:t>
            </w:r>
            <w:r>
              <w:rPr>
                <w:rFonts w:ascii="Arial" w:cs="Arial" w:eastAsia="Arial" w:hAnsi="Arial"/>
                <w:sz w:val="23"/>
                <w:szCs w:val="23"/>
                <w:color w:val="282A32"/>
                <w:vertAlign w:val="superscript"/>
              </w:rPr>
              <w:t>(a)</w:t>
            </w:r>
          </w:p>
        </w:tc>
      </w:tr>
      <w:tr>
        <w:trPr>
          <w:trHeight w:val="224"/>
        </w:trPr>
        <w:tc>
          <w:tcPr>
            <w:tcW w:w="3740" w:type="dxa"/>
            <w:vAlign w:val="bottom"/>
          </w:tcPr>
          <w:p>
            <w:pPr>
              <w:ind w:left="20"/>
              <w:spacing w:after="0"/>
              <w:rPr>
                <w:sz w:val="20"/>
                <w:szCs w:val="20"/>
                <w:color w:val="auto"/>
              </w:rPr>
            </w:pPr>
            <w:r>
              <w:rPr>
                <w:rFonts w:ascii="Arial" w:cs="Arial" w:eastAsia="Arial" w:hAnsi="Arial"/>
                <w:sz w:val="17"/>
                <w:szCs w:val="17"/>
                <w:color w:val="282A32"/>
              </w:rPr>
              <w:t>Payout Levels (in units):</w:t>
            </w:r>
          </w:p>
        </w:tc>
        <w:tc>
          <w:tcPr>
            <w:tcW w:w="23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5"/>
        </w:trPr>
        <w:tc>
          <w:tcPr>
            <w:tcW w:w="3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282A32"/>
              </w:rPr>
              <w:t>Threshold Award</w:t>
            </w:r>
          </w:p>
        </w:tc>
        <w:tc>
          <w:tcPr>
            <w:tcW w:w="23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82,298</w:t>
            </w:r>
          </w:p>
        </w:tc>
        <w:tc>
          <w:tcPr>
            <w:tcW w:w="18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65,141</w:t>
            </w:r>
          </w:p>
        </w:tc>
        <w:tc>
          <w:tcPr>
            <w:tcW w:w="17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57,563</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47,003</w:t>
            </w:r>
          </w:p>
        </w:tc>
      </w:tr>
      <w:tr>
        <w:trPr>
          <w:trHeight w:val="224"/>
        </w:trPr>
        <w:tc>
          <w:tcPr>
            <w:tcW w:w="3740" w:type="dxa"/>
            <w:vAlign w:val="bottom"/>
          </w:tcPr>
          <w:p>
            <w:pPr>
              <w:ind w:left="180"/>
              <w:spacing w:after="0"/>
              <w:rPr>
                <w:sz w:val="20"/>
                <w:szCs w:val="20"/>
                <w:color w:val="auto"/>
              </w:rPr>
            </w:pPr>
            <w:r>
              <w:rPr>
                <w:rFonts w:ascii="Arial" w:cs="Arial" w:eastAsia="Arial" w:hAnsi="Arial"/>
                <w:sz w:val="17"/>
                <w:szCs w:val="17"/>
                <w:color w:val="282A32"/>
              </w:rPr>
              <w:t>Target Award</w:t>
            </w:r>
          </w:p>
        </w:tc>
        <w:tc>
          <w:tcPr>
            <w:tcW w:w="2340" w:type="dxa"/>
            <w:vAlign w:val="bottom"/>
          </w:tcPr>
          <w:p>
            <w:pPr>
              <w:jc w:val="right"/>
              <w:ind w:right="217"/>
              <w:spacing w:after="0"/>
              <w:rPr>
                <w:sz w:val="20"/>
                <w:szCs w:val="20"/>
                <w:color w:val="auto"/>
              </w:rPr>
            </w:pPr>
            <w:r>
              <w:rPr>
                <w:rFonts w:ascii="Arial" w:cs="Arial" w:eastAsia="Arial" w:hAnsi="Arial"/>
                <w:sz w:val="17"/>
                <w:szCs w:val="17"/>
                <w:color w:val="282A32"/>
              </w:rPr>
              <w:t>164,595</w:t>
            </w:r>
          </w:p>
        </w:tc>
        <w:tc>
          <w:tcPr>
            <w:tcW w:w="1840" w:type="dxa"/>
            <w:vAlign w:val="bottom"/>
          </w:tcPr>
          <w:p>
            <w:pPr>
              <w:jc w:val="right"/>
              <w:ind w:right="257"/>
              <w:spacing w:after="0"/>
              <w:rPr>
                <w:sz w:val="20"/>
                <w:szCs w:val="20"/>
                <w:color w:val="auto"/>
              </w:rPr>
            </w:pPr>
            <w:r>
              <w:rPr>
                <w:rFonts w:ascii="Arial" w:cs="Arial" w:eastAsia="Arial" w:hAnsi="Arial"/>
                <w:sz w:val="17"/>
                <w:szCs w:val="17"/>
                <w:color w:val="282A32"/>
              </w:rPr>
              <w:t>130,282</w:t>
            </w:r>
          </w:p>
        </w:tc>
        <w:tc>
          <w:tcPr>
            <w:tcW w:w="1760" w:type="dxa"/>
            <w:vAlign w:val="bottom"/>
          </w:tcPr>
          <w:p>
            <w:pPr>
              <w:jc w:val="right"/>
              <w:ind w:right="197"/>
              <w:spacing w:after="0"/>
              <w:rPr>
                <w:sz w:val="20"/>
                <w:szCs w:val="20"/>
                <w:color w:val="auto"/>
              </w:rPr>
            </w:pPr>
            <w:r>
              <w:rPr>
                <w:rFonts w:ascii="Arial" w:cs="Arial" w:eastAsia="Arial" w:hAnsi="Arial"/>
                <w:sz w:val="17"/>
                <w:szCs w:val="17"/>
                <w:color w:val="282A32"/>
              </w:rPr>
              <w:t>115,125</w:t>
            </w:r>
          </w:p>
        </w:tc>
        <w:tc>
          <w:tcPr>
            <w:tcW w:w="1640" w:type="dxa"/>
            <w:vAlign w:val="bottom"/>
          </w:tcPr>
          <w:p>
            <w:pPr>
              <w:jc w:val="right"/>
              <w:ind w:right="37"/>
              <w:spacing w:after="0"/>
              <w:rPr>
                <w:sz w:val="20"/>
                <w:szCs w:val="20"/>
                <w:color w:val="auto"/>
              </w:rPr>
            </w:pPr>
            <w:r>
              <w:rPr>
                <w:rFonts w:ascii="Arial" w:cs="Arial" w:eastAsia="Arial" w:hAnsi="Arial"/>
                <w:sz w:val="17"/>
                <w:szCs w:val="17"/>
                <w:color w:val="282A32"/>
              </w:rPr>
              <w:t>94,005</w:t>
            </w:r>
          </w:p>
        </w:tc>
      </w:tr>
      <w:tr>
        <w:trPr>
          <w:trHeight w:val="25"/>
        </w:trPr>
        <w:tc>
          <w:tcPr>
            <w:tcW w:w="3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4"/>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282A32"/>
              </w:rPr>
              <w:t>Outstanding Award</w:t>
            </w:r>
          </w:p>
        </w:tc>
        <w:tc>
          <w:tcPr>
            <w:tcW w:w="23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329,190</w:t>
            </w:r>
          </w:p>
        </w:tc>
        <w:tc>
          <w:tcPr>
            <w:tcW w:w="18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260,564</w:t>
            </w:r>
          </w:p>
        </w:tc>
        <w:tc>
          <w:tcPr>
            <w:tcW w:w="17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230,250</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188,010</w:t>
            </w:r>
          </w:p>
        </w:tc>
      </w:tr>
      <w:tr>
        <w:trPr>
          <w:trHeight w:val="217"/>
        </w:trPr>
        <w:tc>
          <w:tcPr>
            <w:tcW w:w="37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282A32"/>
              </w:rPr>
              <w:t>Shares Issued in 2018</w:t>
            </w:r>
          </w:p>
        </w:tc>
        <w:tc>
          <w:tcPr>
            <w:tcW w:w="234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282A32"/>
              </w:rPr>
              <w:t>219,519</w:t>
            </w:r>
          </w:p>
        </w:tc>
        <w:tc>
          <w:tcPr>
            <w:tcW w:w="184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282A32"/>
              </w:rPr>
              <w:t>—</w:t>
            </w:r>
          </w:p>
        </w:tc>
        <w:tc>
          <w:tcPr>
            <w:tcW w:w="176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282A32"/>
              </w:rPr>
              <w:t>—</w:t>
            </w:r>
          </w:p>
        </w:tc>
        <w:tc>
          <w:tcPr>
            <w:tcW w:w="164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282A32"/>
              </w:rPr>
              <w:t>—</w:t>
            </w:r>
          </w:p>
        </w:tc>
      </w:tr>
      <w:tr>
        <w:trPr>
          <w:trHeight w:val="25"/>
        </w:trPr>
        <w:tc>
          <w:tcPr>
            <w:tcW w:w="3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Payout Achieved Over Performance Period</w:t>
            </w:r>
          </w:p>
        </w:tc>
        <w:tc>
          <w:tcPr>
            <w:tcW w:w="23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282A32"/>
              </w:rPr>
              <w:t>—</w:t>
            </w:r>
          </w:p>
        </w:tc>
        <w:tc>
          <w:tcPr>
            <w:tcW w:w="18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282A32"/>
              </w:rPr>
              <w:t>123,767</w:t>
            </w:r>
          </w:p>
        </w:tc>
        <w:tc>
          <w:tcPr>
            <w:tcW w:w="176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282A32"/>
              </w:rPr>
              <w:t>—</w:t>
            </w:r>
          </w:p>
        </w:tc>
        <w:tc>
          <w:tcPr>
            <w:tcW w:w="16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282A32"/>
              </w:rPr>
              <w:t>—</w:t>
            </w:r>
          </w:p>
        </w:tc>
      </w:tr>
      <w:tr>
        <w:trPr>
          <w:trHeight w:val="20"/>
        </w:trPr>
        <w:tc>
          <w:tcPr>
            <w:tcW w:w="374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42" w:lineRule="exact"/>
        <w:rPr>
          <w:sz w:val="20"/>
          <w:szCs w:val="20"/>
          <w:color w:val="auto"/>
        </w:rPr>
      </w:pPr>
    </w:p>
    <w:p>
      <w:pPr>
        <w:spacing w:after="0" w:line="266" w:lineRule="auto"/>
        <w:tabs>
          <w:tab w:leader="none" w:pos="209" w:val="left"/>
        </w:tabs>
        <w:numPr>
          <w:ilvl w:val="0"/>
          <w:numId w:val="36"/>
        </w:numPr>
        <w:rPr>
          <w:rFonts w:ascii="Arial" w:cs="Arial" w:eastAsia="Arial" w:hAnsi="Arial"/>
          <w:sz w:val="15"/>
          <w:szCs w:val="15"/>
          <w:color w:val="282A32"/>
        </w:rPr>
      </w:pPr>
      <w:r>
        <w:rPr>
          <w:rFonts w:ascii="Arial" w:cs="Arial" w:eastAsia="Arial" w:hAnsi="Arial"/>
          <w:sz w:val="15"/>
          <w:szCs w:val="15"/>
          <w:color w:val="282A32"/>
        </w:rPr>
        <w:t>2016, 2017 and 2018 awards are scheduled to vest in February 2019, 2020, and 2021, respectively, when the Executive Compensation and Human Resources Committee of the Board of Directors determines the achievement of the performance criteria.</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have recognized total compensation expense of $8.4, $10.8 and $9.1 in 2018, 2017 and 2016, respectively, related to the performance share units.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Other Stock Plans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Under the 1990 Employee Stock Purchase Plan, designated employees meeting certain service requirements may purchase shares of our common stock through payroll deductions. These shares may be purchased at their fair market value on a monthly basis. The current plan is non-compensatory according to the accounting guidance on share-based payments.</w:t>
      </w:r>
    </w:p>
    <w:p>
      <w:pPr>
        <w:spacing w:after="0" w:line="17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282A32"/>
        </w:rPr>
        <w:t xml:space="preserve">We also maintain the Savings Related Share Option Scheme for United Kingdom employees with at least one year of service. The employees are offered the opportunity to obtain an option for a specified number of shares of common stock at not less than 85% of its market value on the day prior to the offer to participate in the plan. Options vest after either three </w:t>
      </w:r>
      <w:r>
        <w:rPr>
          <w:rFonts w:ascii="Arial" w:cs="Arial" w:eastAsia="Arial" w:hAnsi="Arial"/>
          <w:sz w:val="15"/>
          <w:szCs w:val="15"/>
          <w:color w:val="000000"/>
        </w:rPr>
        <w:t>or</w:t>
      </w:r>
      <w:r>
        <w:rPr>
          <w:rFonts w:ascii="Arial" w:cs="Arial" w:eastAsia="Arial" w:hAnsi="Arial"/>
          <w:sz w:val="15"/>
          <w:szCs w:val="15"/>
          <w:color w:val="282A32"/>
        </w:rPr>
        <w:t xml:space="preserve"> five years, but may lapse earlier. Funds used to purchase the shares are accumulated through specified payroll deductions over a 60-month period. We recognized an expense of $0.2, $0.5 and $0.1 for shares purchased under the plan in 2018, 2017 and 2016,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Adoption of New Accounting Guidance on Share-Based Payment Awards</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As of January 1, 2018, we adopted the new accounting guidance on share-based payment awards. The guidance clarifies when to account for a change to the terms or conditions of a share-based payment award as a modification. Under the guidance, modification accounting is required only if the fair value, vesting conditions or the classification of the award (as equity or liability) changes as a result of the change in terms or conditions. Adoption of this guidance had no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351"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5"/>
        </w:trPr>
        <w:tc>
          <w:tcPr>
            <w:tcW w:w="7520" w:type="dxa"/>
            <w:vAlign w:val="bottom"/>
            <w:gridSpan w:val="3"/>
          </w:tcPr>
          <w:p>
            <w:pPr>
              <w:spacing w:after="0"/>
              <w:rPr>
                <w:sz w:val="20"/>
                <w:szCs w:val="20"/>
                <w:color w:val="auto"/>
              </w:rPr>
            </w:pPr>
            <w:r>
              <w:rPr>
                <w:rFonts w:ascii="Arial" w:cs="Arial" w:eastAsia="Arial" w:hAnsi="Arial"/>
                <w:sz w:val="17"/>
                <w:szCs w:val="17"/>
                <w:color w:val="282A32"/>
              </w:rPr>
              <w:t>(5) Net Earnings Per Share</w:t>
            </w:r>
          </w:p>
        </w:tc>
        <w:tc>
          <w:tcPr>
            <w:tcW w:w="17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240" w:type="dxa"/>
            <w:vAlign w:val="bottom"/>
          </w:tcPr>
          <w:p>
            <w:pPr>
              <w:spacing w:after="0" w:line="20" w:lineRule="exact"/>
              <w:rPr>
                <w:sz w:val="1"/>
                <w:szCs w:val="1"/>
                <w:color w:val="auto"/>
              </w:rPr>
            </w:pPr>
          </w:p>
        </w:tc>
        <w:tc>
          <w:tcPr>
            <w:tcW w:w="1540" w:type="dxa"/>
            <w:vAlign w:val="bottom"/>
            <w:shd w:val="clear" w:color="auto" w:fill="282A3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42"/>
        </w:trPr>
        <w:tc>
          <w:tcPr>
            <w:tcW w:w="7520" w:type="dxa"/>
            <w:vAlign w:val="bottom"/>
            <w:gridSpan w:val="3"/>
          </w:tcPr>
          <w:p>
            <w:pPr>
              <w:spacing w:after="0"/>
              <w:rPr>
                <w:sz w:val="20"/>
                <w:szCs w:val="20"/>
                <w:color w:val="auto"/>
              </w:rPr>
            </w:pPr>
            <w:r>
              <w:rPr>
                <w:rFonts w:ascii="Arial" w:cs="Arial" w:eastAsia="Arial" w:hAnsi="Arial"/>
                <w:sz w:val="17"/>
                <w:szCs w:val="17"/>
                <w:color w:val="282A32"/>
                <w:w w:val="98"/>
              </w:rPr>
              <w:t>The calculation of net earnings per share - basic and net earnings per share - diluted were as follows:</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49"/>
        </w:trPr>
        <w:tc>
          <w:tcPr>
            <w:tcW w:w="7520" w:type="dxa"/>
            <w:vAlign w:val="bottom"/>
            <w:gridSpan w:val="3"/>
          </w:tcPr>
          <w:p>
            <w:pPr>
              <w:ind w:left="20"/>
              <w:spacing w:after="0"/>
              <w:rPr>
                <w:sz w:val="20"/>
                <w:szCs w:val="20"/>
                <w:color w:val="auto"/>
              </w:rPr>
            </w:pPr>
            <w:r>
              <w:rPr>
                <w:rFonts w:ascii="Arial" w:cs="Arial" w:eastAsia="Arial" w:hAnsi="Arial"/>
                <w:sz w:val="17"/>
                <w:szCs w:val="17"/>
                <w:color w:val="282A32"/>
              </w:rPr>
              <w:t>Year Ended December 31</w:t>
            </w:r>
          </w:p>
        </w:tc>
        <w:tc>
          <w:tcPr>
            <w:tcW w:w="1700" w:type="dxa"/>
            <w:vAlign w:val="bottom"/>
          </w:tcPr>
          <w:p>
            <w:pPr>
              <w:jc w:val="right"/>
              <w:ind w:right="317"/>
              <w:spacing w:after="0"/>
              <w:rPr>
                <w:sz w:val="20"/>
                <w:szCs w:val="20"/>
                <w:color w:val="auto"/>
              </w:rPr>
            </w:pPr>
            <w:r>
              <w:rPr>
                <w:rFonts w:ascii="Arial" w:cs="Arial" w:eastAsia="Arial" w:hAnsi="Arial"/>
                <w:sz w:val="17"/>
                <w:szCs w:val="17"/>
                <w:color w:val="auto"/>
              </w:rPr>
              <w:t>2018</w:t>
            </w:r>
          </w:p>
        </w:tc>
        <w:tc>
          <w:tcPr>
            <w:tcW w:w="1240" w:type="dxa"/>
            <w:vAlign w:val="bottom"/>
          </w:tcPr>
          <w:p>
            <w:pPr>
              <w:jc w:val="right"/>
              <w:ind w:right="317"/>
              <w:spacing w:after="0"/>
              <w:rPr>
                <w:sz w:val="20"/>
                <w:szCs w:val="20"/>
                <w:color w:val="auto"/>
              </w:rPr>
            </w:pPr>
            <w:r>
              <w:rPr>
                <w:rFonts w:ascii="Arial" w:cs="Arial" w:eastAsia="Arial" w:hAnsi="Arial"/>
                <w:sz w:val="17"/>
                <w:szCs w:val="17"/>
                <w:color w:val="282A32"/>
              </w:rPr>
              <w:t>2017</w:t>
            </w:r>
          </w:p>
        </w:tc>
        <w:tc>
          <w:tcPr>
            <w:tcW w:w="960" w:type="dxa"/>
            <w:vAlign w:val="bottom"/>
          </w:tcPr>
          <w:p>
            <w:pPr>
              <w:jc w:val="right"/>
              <w:ind w:right="17"/>
              <w:spacing w:after="0"/>
              <w:rPr>
                <w:sz w:val="20"/>
                <w:szCs w:val="20"/>
                <w:color w:val="auto"/>
              </w:rPr>
            </w:pPr>
            <w:r>
              <w:rPr>
                <w:rFonts w:ascii="Arial" w:cs="Arial" w:eastAsia="Arial" w:hAnsi="Arial"/>
                <w:sz w:val="17"/>
                <w:szCs w:val="17"/>
                <w:color w:val="282A32"/>
              </w:rPr>
              <w:t>2016</w:t>
            </w:r>
          </w:p>
        </w:tc>
      </w:tr>
      <w:tr>
        <w:trPr>
          <w:trHeight w:val="25"/>
        </w:trPr>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7"/>
        </w:trPr>
        <w:tc>
          <w:tcPr>
            <w:tcW w:w="7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282A32"/>
              </w:rPr>
              <w:t>Net earnings available to common shareholders:</w:t>
            </w:r>
          </w:p>
        </w:tc>
        <w:tc>
          <w:tcPr>
            <w:tcW w:w="17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$556.7</w:t>
            </w:r>
          </w:p>
        </w:tc>
        <w:tc>
          <w:tcPr>
            <w:tcW w:w="124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282A32"/>
              </w:rPr>
              <w:t>$545.4</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$443.7</w:t>
            </w:r>
          </w:p>
        </w:tc>
      </w:tr>
      <w:tr>
        <w:trPr>
          <w:trHeight w:val="217"/>
        </w:trPr>
        <w:tc>
          <w:tcPr>
            <w:tcW w:w="752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color w:val="auto"/>
              </w:rPr>
              <w:t>Weighted-average common shares outstanding (in millions):</w:t>
            </w:r>
          </w:p>
        </w:tc>
        <w:tc>
          <w:tcPr>
            <w:tcW w:w="17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5"/>
        </w:trPr>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75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7"/>
                <w:szCs w:val="17"/>
                <w:color w:val="auto"/>
              </w:rPr>
              <w:t>Weighted-average common shares outstanding - basic</w:t>
            </w:r>
          </w:p>
        </w:tc>
        <w:tc>
          <w:tcPr>
            <w:tcW w:w="17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64.6</w:t>
            </w:r>
          </w:p>
        </w:tc>
        <w:tc>
          <w:tcPr>
            <w:tcW w:w="124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282A32"/>
              </w:rPr>
              <w:t>67.1</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70.1</w:t>
            </w:r>
          </w:p>
        </w:tc>
      </w:tr>
      <w:tr>
        <w:trPr>
          <w:trHeight w:val="224"/>
        </w:trPr>
        <w:tc>
          <w:tcPr>
            <w:tcW w:w="240" w:type="dxa"/>
            <w:vAlign w:val="bottom"/>
          </w:tcPr>
          <w:p>
            <w:pPr>
              <w:spacing w:after="0"/>
              <w:rPr>
                <w:sz w:val="19"/>
                <w:szCs w:val="19"/>
                <w:color w:val="auto"/>
              </w:rPr>
            </w:pPr>
          </w:p>
        </w:tc>
        <w:tc>
          <w:tcPr>
            <w:tcW w:w="7280" w:type="dxa"/>
            <w:vAlign w:val="bottom"/>
            <w:gridSpan w:val="2"/>
          </w:tcPr>
          <w:p>
            <w:pPr>
              <w:ind w:left="40"/>
              <w:spacing w:after="0"/>
              <w:rPr>
                <w:sz w:val="20"/>
                <w:szCs w:val="20"/>
                <w:color w:val="auto"/>
              </w:rPr>
            </w:pPr>
            <w:r>
              <w:rPr>
                <w:rFonts w:ascii="Arial" w:cs="Arial" w:eastAsia="Arial" w:hAnsi="Arial"/>
                <w:sz w:val="17"/>
                <w:szCs w:val="17"/>
                <w:color w:val="282A32"/>
              </w:rPr>
              <w:t>Effect of dilutive securities - stock options</w:t>
            </w:r>
          </w:p>
        </w:tc>
        <w:tc>
          <w:tcPr>
            <w:tcW w:w="1700" w:type="dxa"/>
            <w:vAlign w:val="bottom"/>
          </w:tcPr>
          <w:p>
            <w:pPr>
              <w:jc w:val="right"/>
              <w:ind w:right="317"/>
              <w:spacing w:after="0"/>
              <w:rPr>
                <w:sz w:val="20"/>
                <w:szCs w:val="20"/>
                <w:color w:val="auto"/>
              </w:rPr>
            </w:pPr>
            <w:r>
              <w:rPr>
                <w:rFonts w:ascii="Arial" w:cs="Arial" w:eastAsia="Arial" w:hAnsi="Arial"/>
                <w:sz w:val="17"/>
                <w:szCs w:val="17"/>
                <w:color w:val="auto"/>
              </w:rPr>
              <w:t>0.1</w:t>
            </w:r>
          </w:p>
        </w:tc>
        <w:tc>
          <w:tcPr>
            <w:tcW w:w="1240" w:type="dxa"/>
            <w:vAlign w:val="bottom"/>
          </w:tcPr>
          <w:p>
            <w:pPr>
              <w:jc w:val="right"/>
              <w:ind w:right="317"/>
              <w:spacing w:after="0"/>
              <w:rPr>
                <w:sz w:val="20"/>
                <w:szCs w:val="20"/>
                <w:color w:val="auto"/>
              </w:rPr>
            </w:pPr>
            <w:r>
              <w:rPr>
                <w:rFonts w:ascii="Arial" w:cs="Arial" w:eastAsia="Arial" w:hAnsi="Arial"/>
                <w:sz w:val="17"/>
                <w:szCs w:val="17"/>
                <w:color w:val="282A32"/>
              </w:rPr>
              <w:t>0.2</w:t>
            </w:r>
          </w:p>
        </w:tc>
        <w:tc>
          <w:tcPr>
            <w:tcW w:w="960" w:type="dxa"/>
            <w:vAlign w:val="bottom"/>
          </w:tcPr>
          <w:p>
            <w:pPr>
              <w:jc w:val="right"/>
              <w:ind w:right="17"/>
              <w:spacing w:after="0"/>
              <w:rPr>
                <w:sz w:val="20"/>
                <w:szCs w:val="20"/>
                <w:color w:val="auto"/>
              </w:rPr>
            </w:pPr>
            <w:r>
              <w:rPr>
                <w:rFonts w:ascii="Arial" w:cs="Arial" w:eastAsia="Arial" w:hAnsi="Arial"/>
                <w:sz w:val="17"/>
                <w:szCs w:val="17"/>
                <w:color w:val="282A32"/>
              </w:rPr>
              <w:t>0.2</w:t>
            </w:r>
          </w:p>
        </w:tc>
      </w:tr>
      <w:tr>
        <w:trPr>
          <w:trHeight w:val="25"/>
        </w:trPr>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4"/>
        </w:trPr>
        <w:tc>
          <w:tcPr>
            <w:tcW w:w="24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282A32"/>
              </w:rPr>
              <w:t>Effect of other share-based awards</w:t>
            </w:r>
          </w:p>
        </w:tc>
        <w:tc>
          <w:tcPr>
            <w:tcW w:w="17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0.4</w:t>
            </w:r>
          </w:p>
        </w:tc>
        <w:tc>
          <w:tcPr>
            <w:tcW w:w="12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282A32"/>
              </w:rPr>
              <w:t>0.6</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0.5</w:t>
            </w:r>
          </w:p>
        </w:tc>
      </w:tr>
      <w:tr>
        <w:trPr>
          <w:trHeight w:val="217"/>
        </w:trPr>
        <w:tc>
          <w:tcPr>
            <w:tcW w:w="7520" w:type="dxa"/>
            <w:vAlign w:val="bottom"/>
            <w:tcBorders>
              <w:top w:val="single" w:sz="8" w:color="auto"/>
            </w:tcBorders>
            <w:gridSpan w:val="3"/>
          </w:tcPr>
          <w:p>
            <w:pPr>
              <w:ind w:left="60"/>
              <w:spacing w:after="0"/>
              <w:rPr>
                <w:sz w:val="20"/>
                <w:szCs w:val="20"/>
                <w:color w:val="auto"/>
              </w:rPr>
            </w:pPr>
            <w:r>
              <w:rPr>
                <w:rFonts w:ascii="Arial" w:cs="Arial" w:eastAsia="Arial" w:hAnsi="Arial"/>
                <w:sz w:val="17"/>
                <w:szCs w:val="17"/>
                <w:color w:val="auto"/>
              </w:rPr>
              <w:t>Weighted-average common shares outstanding - diluted</w:t>
            </w:r>
          </w:p>
        </w:tc>
        <w:tc>
          <w:tcPr>
            <w:tcW w:w="1700" w:type="dxa"/>
            <w:vAlign w:val="bottom"/>
            <w:tcBorders>
              <w:top w:val="single" w:sz="8" w:color="auto"/>
            </w:tcBorders>
          </w:tcPr>
          <w:p>
            <w:pPr>
              <w:jc w:val="right"/>
              <w:ind w:right="317"/>
              <w:spacing w:after="0"/>
              <w:rPr>
                <w:sz w:val="20"/>
                <w:szCs w:val="20"/>
                <w:color w:val="auto"/>
              </w:rPr>
            </w:pPr>
            <w:r>
              <w:rPr>
                <w:rFonts w:ascii="Arial" w:cs="Arial" w:eastAsia="Arial" w:hAnsi="Arial"/>
                <w:sz w:val="17"/>
                <w:szCs w:val="17"/>
                <w:color w:val="auto"/>
              </w:rPr>
              <w:t>65.1</w:t>
            </w:r>
          </w:p>
        </w:tc>
        <w:tc>
          <w:tcPr>
            <w:tcW w:w="1240" w:type="dxa"/>
            <w:vAlign w:val="bottom"/>
            <w:tcBorders>
              <w:top w:val="single" w:sz="8" w:color="auto"/>
            </w:tcBorders>
          </w:tcPr>
          <w:p>
            <w:pPr>
              <w:jc w:val="right"/>
              <w:ind w:right="297"/>
              <w:spacing w:after="0"/>
              <w:rPr>
                <w:sz w:val="20"/>
                <w:szCs w:val="20"/>
                <w:color w:val="auto"/>
              </w:rPr>
            </w:pPr>
            <w:r>
              <w:rPr>
                <w:rFonts w:ascii="Arial" w:cs="Arial" w:eastAsia="Arial" w:hAnsi="Arial"/>
                <w:sz w:val="17"/>
                <w:szCs w:val="17"/>
                <w:color w:val="282A32"/>
              </w:rPr>
              <w:t>67.9</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70.8</w:t>
            </w:r>
          </w:p>
        </w:tc>
      </w:tr>
      <w:tr>
        <w:trPr>
          <w:trHeight w:val="25"/>
        </w:trPr>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7"/>
        </w:trPr>
        <w:tc>
          <w:tcPr>
            <w:tcW w:w="75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282A32"/>
              </w:rPr>
              <w:t>Net earnings per share - basic</w:t>
            </w:r>
          </w:p>
        </w:tc>
        <w:tc>
          <w:tcPr>
            <w:tcW w:w="170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$8.62</w:t>
            </w:r>
          </w:p>
        </w:tc>
        <w:tc>
          <w:tcPr>
            <w:tcW w:w="124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282A32"/>
              </w:rPr>
              <w:t>$8.13</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$6.33</w:t>
            </w:r>
          </w:p>
        </w:tc>
      </w:tr>
      <w:tr>
        <w:trPr>
          <w:trHeight w:val="217"/>
        </w:trPr>
        <w:tc>
          <w:tcPr>
            <w:tcW w:w="752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color w:val="282A32"/>
              </w:rPr>
              <w:t>Net earnings per share - diluted</w:t>
            </w:r>
          </w:p>
        </w:tc>
        <w:tc>
          <w:tcPr>
            <w:tcW w:w="1700" w:type="dxa"/>
            <w:vAlign w:val="bottom"/>
            <w:tcBorders>
              <w:top w:val="single" w:sz="8" w:color="auto"/>
            </w:tcBorders>
          </w:tcPr>
          <w:p>
            <w:pPr>
              <w:jc w:val="right"/>
              <w:ind w:right="317"/>
              <w:spacing w:after="0"/>
              <w:rPr>
                <w:sz w:val="20"/>
                <w:szCs w:val="20"/>
                <w:color w:val="auto"/>
              </w:rPr>
            </w:pPr>
            <w:r>
              <w:rPr>
                <w:rFonts w:ascii="Arial" w:cs="Arial" w:eastAsia="Arial" w:hAnsi="Arial"/>
                <w:sz w:val="17"/>
                <w:szCs w:val="17"/>
                <w:color w:val="auto"/>
              </w:rPr>
              <w:t>$8.56</w:t>
            </w:r>
          </w:p>
        </w:tc>
        <w:tc>
          <w:tcPr>
            <w:tcW w:w="1240" w:type="dxa"/>
            <w:vAlign w:val="bottom"/>
            <w:tcBorders>
              <w:top w:val="single" w:sz="8" w:color="auto"/>
            </w:tcBorders>
          </w:tcPr>
          <w:p>
            <w:pPr>
              <w:jc w:val="right"/>
              <w:ind w:right="317"/>
              <w:spacing w:after="0"/>
              <w:rPr>
                <w:sz w:val="20"/>
                <w:szCs w:val="20"/>
                <w:color w:val="auto"/>
              </w:rPr>
            </w:pPr>
            <w:r>
              <w:rPr>
                <w:rFonts w:ascii="Arial" w:cs="Arial" w:eastAsia="Arial" w:hAnsi="Arial"/>
                <w:sz w:val="17"/>
                <w:szCs w:val="17"/>
                <w:color w:val="282A32"/>
              </w:rPr>
              <w:t>$8.04</w:t>
            </w:r>
          </w:p>
        </w:tc>
        <w:tc>
          <w:tcPr>
            <w:tcW w:w="9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282A32"/>
              </w:rPr>
              <w:t>$6.27</w:t>
            </w:r>
          </w:p>
        </w:tc>
      </w:tr>
      <w:tr>
        <w:trPr>
          <w:trHeight w:val="25"/>
        </w:trPr>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7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There were certain share-based awards excluded from the calculation of net earnings per share - diluted for the year ended December 31, 2018 and 2016, because the their impact was anti-dilutive. No share-based awards were excluded from the calculation for the year ended December 31, 2017. The number, exercise prices and weighted-average remaining life of these antidilutive awards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2018</w:t>
            </w:r>
          </w:p>
        </w:tc>
        <w:tc>
          <w:tcPr>
            <w:tcW w:w="500" w:type="dxa"/>
            <w:vAlign w:val="bottom"/>
          </w:tcPr>
          <w:p>
            <w:pPr>
              <w:spacing w:after="0"/>
              <w:rPr>
                <w:sz w:val="18"/>
                <w:szCs w:val="18"/>
                <w:color w:val="auto"/>
              </w:rPr>
            </w:pPr>
          </w:p>
        </w:tc>
        <w:tc>
          <w:tcPr>
            <w:tcW w:w="1100" w:type="dxa"/>
            <w:vAlign w:val="bottom"/>
          </w:tcPr>
          <w:p>
            <w:pPr>
              <w:jc w:val="right"/>
              <w:ind w:right="357"/>
              <w:spacing w:after="0"/>
              <w:rPr>
                <w:sz w:val="20"/>
                <w:szCs w:val="20"/>
                <w:color w:val="auto"/>
              </w:rPr>
            </w:pPr>
            <w:r>
              <w:rPr>
                <w:rFonts w:ascii="Arial" w:cs="Arial" w:eastAsia="Arial" w:hAnsi="Arial"/>
                <w:sz w:val="17"/>
                <w:szCs w:val="17"/>
                <w:color w:val="282A32"/>
              </w:rPr>
              <w:t>2017</w:t>
            </w:r>
          </w:p>
        </w:tc>
        <w:tc>
          <w:tcPr>
            <w:tcW w:w="920" w:type="dxa"/>
            <w:vAlign w:val="bottom"/>
          </w:tcPr>
          <w:p>
            <w:pPr>
              <w:jc w:val="right"/>
              <w:ind w:right="17"/>
              <w:spacing w:after="0"/>
              <w:rPr>
                <w:sz w:val="20"/>
                <w:szCs w:val="20"/>
                <w:color w:val="auto"/>
              </w:rPr>
            </w:pPr>
            <w:r>
              <w:rPr>
                <w:rFonts w:ascii="Arial" w:cs="Arial" w:eastAsia="Arial" w:hAnsi="Arial"/>
                <w:sz w:val="17"/>
                <w:szCs w:val="17"/>
                <w:color w:val="282A32"/>
              </w:rPr>
              <w:t>2016</w:t>
            </w:r>
          </w:p>
        </w:tc>
      </w:tr>
      <w:tr>
        <w:trPr>
          <w:trHeight w:val="25"/>
        </w:trPr>
        <w:tc>
          <w:tcPr>
            <w:tcW w:w="7660" w:type="dxa"/>
            <w:vAlign w:val="bottom"/>
            <w:tcBorders>
              <w:bottom w:val="single" w:sz="8" w:color="55565A"/>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2"/>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Shares (in thousands)</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5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282A32"/>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20</w:t>
            </w:r>
          </w:p>
        </w:tc>
      </w:tr>
      <w:tr>
        <w:trPr>
          <w:trHeight w:val="224"/>
        </w:trPr>
        <w:tc>
          <w:tcPr>
            <w:tcW w:w="7660" w:type="dxa"/>
            <w:vAlign w:val="bottom"/>
          </w:tcPr>
          <w:p>
            <w:pPr>
              <w:ind w:left="20"/>
              <w:spacing w:after="0"/>
              <w:rPr>
                <w:sz w:val="20"/>
                <w:szCs w:val="20"/>
                <w:color w:val="auto"/>
              </w:rPr>
            </w:pPr>
            <w:r>
              <w:rPr>
                <w:rFonts w:ascii="Arial" w:cs="Arial" w:eastAsia="Arial" w:hAnsi="Arial"/>
                <w:sz w:val="17"/>
                <w:szCs w:val="17"/>
                <w:color w:val="282A32"/>
              </w:rPr>
              <w:t>Exercise price</w:t>
            </w: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109</w:t>
            </w:r>
          </w:p>
        </w:tc>
        <w:tc>
          <w:tcPr>
            <w:tcW w:w="500" w:type="dxa"/>
            <w:vAlign w:val="bottom"/>
          </w:tcPr>
          <w:p>
            <w:pPr>
              <w:jc w:val="right"/>
              <w:ind w:right="277"/>
              <w:spacing w:after="0"/>
              <w:rPr>
                <w:sz w:val="20"/>
                <w:szCs w:val="20"/>
                <w:color w:val="auto"/>
              </w:rPr>
            </w:pPr>
            <w:r>
              <w:rPr>
                <w:rFonts w:ascii="Arial" w:cs="Arial" w:eastAsia="Arial" w:hAnsi="Arial"/>
                <w:sz w:val="17"/>
                <w:szCs w:val="17"/>
                <w:color w:val="282A32"/>
              </w:rPr>
              <w:t>$</w:t>
            </w:r>
          </w:p>
        </w:tc>
        <w:tc>
          <w:tcPr>
            <w:tcW w:w="1100" w:type="dxa"/>
            <w:vAlign w:val="bottom"/>
          </w:tcPr>
          <w:p>
            <w:pPr>
              <w:jc w:val="right"/>
              <w:ind w:right="117"/>
              <w:spacing w:after="0"/>
              <w:rPr>
                <w:sz w:val="20"/>
                <w:szCs w:val="20"/>
                <w:color w:val="auto"/>
              </w:rPr>
            </w:pPr>
            <w:r>
              <w:rPr>
                <w:rFonts w:ascii="Arial" w:cs="Arial" w:eastAsia="Arial" w:hAnsi="Arial"/>
                <w:sz w:val="17"/>
                <w:szCs w:val="17"/>
                <w:color w:val="282A32"/>
              </w:rPr>
              <w:t>—  $</w:t>
            </w:r>
          </w:p>
        </w:tc>
        <w:tc>
          <w:tcPr>
            <w:tcW w:w="920" w:type="dxa"/>
            <w:vAlign w:val="bottom"/>
          </w:tcPr>
          <w:p>
            <w:pPr>
              <w:jc w:val="right"/>
              <w:ind w:right="17"/>
              <w:spacing w:after="0"/>
              <w:rPr>
                <w:sz w:val="20"/>
                <w:szCs w:val="20"/>
                <w:color w:val="auto"/>
              </w:rPr>
            </w:pPr>
            <w:r>
              <w:rPr>
                <w:rFonts w:ascii="Arial" w:cs="Arial" w:eastAsia="Arial" w:hAnsi="Arial"/>
                <w:sz w:val="17"/>
                <w:szCs w:val="17"/>
                <w:color w:val="282A32"/>
              </w:rPr>
              <w:t>93</w:t>
            </w:r>
          </w:p>
        </w:tc>
      </w:tr>
      <w:tr>
        <w:trPr>
          <w:trHeight w:val="25"/>
        </w:trPr>
        <w:tc>
          <w:tcPr>
            <w:tcW w:w="7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282A32"/>
              </w:rPr>
              <w:t>Weighted-average remaining life</w:t>
            </w: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 years</w:t>
            </w:r>
          </w:p>
        </w:tc>
        <w:tc>
          <w:tcPr>
            <w:tcW w:w="5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282A32"/>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282A32"/>
              </w:rPr>
              <w:t>0.4 years</w:t>
            </w:r>
          </w:p>
        </w:tc>
      </w:tr>
      <w:tr>
        <w:trPr>
          <w:trHeight w:val="20"/>
        </w:trPr>
        <w:tc>
          <w:tcPr>
            <w:tcW w:w="7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399" w:lineRule="exact"/>
        <w:rPr>
          <w:sz w:val="20"/>
          <w:szCs w:val="20"/>
          <w:color w:val="auto"/>
        </w:rPr>
      </w:pPr>
    </w:p>
    <w:p>
      <w:pPr>
        <w:ind w:left="240" w:hanging="240"/>
        <w:spacing w:after="0"/>
        <w:tabs>
          <w:tab w:leader="none" w:pos="240" w:val="left"/>
        </w:tabs>
        <w:numPr>
          <w:ilvl w:val="0"/>
          <w:numId w:val="37"/>
        </w:numPr>
        <w:rPr>
          <w:rFonts w:ascii="Arial" w:cs="Arial" w:eastAsia="Arial" w:hAnsi="Arial"/>
          <w:sz w:val="17"/>
          <w:szCs w:val="17"/>
          <w:color w:val="282A32"/>
        </w:rPr>
      </w:pPr>
      <w:r>
        <w:rPr>
          <w:rFonts w:ascii="Arial" w:cs="Arial" w:eastAsia="Arial" w:hAnsi="Arial"/>
          <w:sz w:val="17"/>
          <w:szCs w:val="17"/>
          <w:u w:val="single" w:color="auto"/>
          <w:color w:val="282A32"/>
        </w:rPr>
        <w:t>Income Taxes</w:t>
      </w:r>
    </w:p>
    <w:p>
      <w:pPr>
        <w:spacing w:after="0" w:line="22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282A32"/>
        </w:rPr>
        <w:t>On December 22, 2017, the United States enacted the Tax Act, which made broad changes to the tax code including a reduction of the United States federal corporate income tax rate from 35% to 21% effective January 1, 2018 as well as a transition to a Territorial Tax regime. Due to the timing and complexity of the Tax Act, we recorded provisional amounts based on reasonable estimates for the year ended and as of December 31, 2017. As allowed by the Securities and Exchange Commission, we revised our provisional amounts based on new guidance and additional analysis during a measurement period of one year from the enactment date ("one-year measurement period"). Our accounting for the effects of the Tax Act was completed in the fourth quarter of 2018.</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key provisions of the Tax Act and their related impacts, including the impact during the one-year measurement period, are as follows:</w:t>
      </w:r>
    </w:p>
    <w:p>
      <w:pPr>
        <w:spacing w:after="0" w:line="203" w:lineRule="exact"/>
        <w:rPr>
          <w:sz w:val="20"/>
          <w:szCs w:val="20"/>
          <w:color w:val="auto"/>
        </w:rPr>
      </w:pPr>
    </w:p>
    <w:p>
      <w:pPr>
        <w:jc w:val="both"/>
        <w:ind w:left="600" w:hanging="301"/>
        <w:spacing w:after="0" w:line="295" w:lineRule="auto"/>
        <w:tabs>
          <w:tab w:leader="none" w:pos="600" w:val="left"/>
        </w:tabs>
        <w:numPr>
          <w:ilvl w:val="0"/>
          <w:numId w:val="38"/>
        </w:numPr>
        <w:rPr>
          <w:rFonts w:ascii="Arial" w:cs="Arial" w:eastAsia="Arial" w:hAnsi="Arial"/>
          <w:sz w:val="15"/>
          <w:szCs w:val="15"/>
          <w:color w:val="auto"/>
        </w:rPr>
      </w:pPr>
      <w:r>
        <w:rPr>
          <w:rFonts w:ascii="Arial" w:cs="Arial" w:eastAsia="Arial" w:hAnsi="Arial"/>
          <w:sz w:val="15"/>
          <w:szCs w:val="15"/>
          <w:color w:val="282A32"/>
        </w:rPr>
        <w:t>As a result of the Tax Act, the deferred tax liability previously recorded for non-United States earnings that were not permanently invested was reduced with a corresponding benefit to tax expense for the year ended December 31, 2017 of $275.8. This was comprised of the deferred tax liability recorded as of December 22, 2017, offset by $5.5 tax expense related to non-United States withholding tax. During the one-year measurement period, we increased the deferred tax liability by $9.2 due to non-United States withholding and other taxes provided on non-United States prior-year earnings that may be remitted.</w:t>
      </w:r>
    </w:p>
    <w:p>
      <w:pPr>
        <w:spacing w:after="0" w:line="148" w:lineRule="exact"/>
        <w:rPr>
          <w:rFonts w:ascii="Arial" w:cs="Arial" w:eastAsia="Arial" w:hAnsi="Arial"/>
          <w:sz w:val="15"/>
          <w:szCs w:val="15"/>
          <w:color w:val="auto"/>
        </w:rPr>
      </w:pPr>
    </w:p>
    <w:p>
      <w:pPr>
        <w:jc w:val="both"/>
        <w:ind w:left="600" w:hanging="301"/>
        <w:spacing w:after="0" w:line="254" w:lineRule="auto"/>
        <w:tabs>
          <w:tab w:leader="none" w:pos="600" w:val="left"/>
        </w:tabs>
        <w:numPr>
          <w:ilvl w:val="0"/>
          <w:numId w:val="38"/>
        </w:numPr>
        <w:rPr>
          <w:rFonts w:ascii="Arial" w:cs="Arial" w:eastAsia="Arial" w:hAnsi="Arial"/>
          <w:sz w:val="17"/>
          <w:szCs w:val="17"/>
          <w:color w:val="282A32"/>
        </w:rPr>
      </w:pPr>
      <w:r>
        <w:rPr>
          <w:rFonts w:ascii="Arial" w:cs="Arial" w:eastAsia="Arial" w:hAnsi="Arial"/>
          <w:sz w:val="17"/>
          <w:szCs w:val="17"/>
          <w:color w:val="282A32"/>
        </w:rPr>
        <w:t>As part of the transition to a Territorial Tax regime, a tax was imposed on our unremitted post-1986 non-United States earnings. In 2017, we estimated and recorded a transition tax expense of $170.2. During the one-year measurement period, the Transition tax recorded was reduced by a net $6.0 during the year ended December 31, 2018.</w:t>
      </w:r>
    </w:p>
    <w:p>
      <w:pPr>
        <w:spacing w:after="0" w:line="177" w:lineRule="exact"/>
        <w:rPr>
          <w:rFonts w:ascii="Arial" w:cs="Arial" w:eastAsia="Arial" w:hAnsi="Arial"/>
          <w:sz w:val="17"/>
          <w:szCs w:val="17"/>
          <w:color w:val="282A32"/>
        </w:rPr>
      </w:pPr>
    </w:p>
    <w:p>
      <w:pPr>
        <w:ind w:left="600" w:hanging="301"/>
        <w:spacing w:after="0" w:line="265" w:lineRule="auto"/>
        <w:tabs>
          <w:tab w:leader="none" w:pos="600" w:val="left"/>
        </w:tabs>
        <w:numPr>
          <w:ilvl w:val="0"/>
          <w:numId w:val="38"/>
        </w:numPr>
        <w:rPr>
          <w:rFonts w:ascii="Arial" w:cs="Arial" w:eastAsia="Arial" w:hAnsi="Arial"/>
          <w:sz w:val="17"/>
          <w:szCs w:val="17"/>
          <w:color w:val="282A32"/>
        </w:rPr>
      </w:pPr>
      <w:r>
        <w:rPr>
          <w:rFonts w:ascii="Arial" w:cs="Arial" w:eastAsia="Arial" w:hAnsi="Arial"/>
          <w:sz w:val="17"/>
          <w:szCs w:val="17"/>
          <w:color w:val="282A32"/>
        </w:rPr>
        <w:t>The impact of the Tax Act on our deferred tax assets and liabilities balance, excluding the provision for unremitted earnings, was a tax expense of $1.2. This amount remained unchanged during the year ended December 31, 2018.</w:t>
      </w:r>
    </w:p>
    <w:p>
      <w:pPr>
        <w:spacing w:after="0" w:line="166" w:lineRule="exact"/>
        <w:rPr>
          <w:rFonts w:ascii="Arial" w:cs="Arial" w:eastAsia="Arial" w:hAnsi="Arial"/>
          <w:sz w:val="17"/>
          <w:szCs w:val="17"/>
          <w:color w:val="282A32"/>
        </w:rPr>
      </w:pPr>
    </w:p>
    <w:p>
      <w:pPr>
        <w:jc w:val="both"/>
        <w:ind w:left="600" w:hanging="301"/>
        <w:spacing w:after="0" w:line="254" w:lineRule="auto"/>
        <w:tabs>
          <w:tab w:leader="none" w:pos="600" w:val="left"/>
        </w:tabs>
        <w:numPr>
          <w:ilvl w:val="0"/>
          <w:numId w:val="38"/>
        </w:numPr>
        <w:rPr>
          <w:rFonts w:ascii="Arial" w:cs="Arial" w:eastAsia="Arial" w:hAnsi="Arial"/>
          <w:sz w:val="17"/>
          <w:szCs w:val="17"/>
          <w:color w:val="282A32"/>
        </w:rPr>
      </w:pPr>
      <w:r>
        <w:rPr>
          <w:rFonts w:ascii="Arial" w:cs="Arial" w:eastAsia="Arial" w:hAnsi="Arial"/>
          <w:sz w:val="17"/>
          <w:szCs w:val="17"/>
          <w:color w:val="282A32"/>
        </w:rPr>
        <w:t>The Tax Act created a new Global Intangible Low-Taxed Income (“GILTI”) tax regime. Under GILTI, income earned after December 31, 2017 by certain non-United States subsidiaries may be included currently in the gross income of the United States parent company. We made a policy decision to treat GILTI taxes as a current period expense.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330"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12"/>
        </w:trPr>
        <w:tc>
          <w:tcPr>
            <w:tcW w:w="5760" w:type="dxa"/>
            <w:vAlign w:val="bottom"/>
          </w:tcPr>
          <w:p>
            <w:pPr>
              <w:spacing w:after="0"/>
              <w:rPr>
                <w:sz w:val="20"/>
                <w:szCs w:val="20"/>
                <w:color w:val="auto"/>
              </w:rPr>
            </w:pPr>
            <w:r>
              <w:rPr>
                <w:rFonts w:ascii="Arial" w:cs="Arial" w:eastAsia="Arial" w:hAnsi="Arial"/>
                <w:sz w:val="17"/>
                <w:szCs w:val="17"/>
                <w:color w:val="282A32"/>
              </w:rPr>
              <w:t>The provision for income taxes was as follows:</w:t>
            </w:r>
          </w:p>
        </w:tc>
        <w:tc>
          <w:tcPr>
            <w:tcW w:w="3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24"/>
        </w:trPr>
        <w:tc>
          <w:tcPr>
            <w:tcW w:w="5760" w:type="dxa"/>
            <w:vAlign w:val="bottom"/>
          </w:tcPr>
          <w:p>
            <w:pPr>
              <w:ind w:left="20"/>
              <w:spacing w:after="0"/>
              <w:rPr>
                <w:sz w:val="20"/>
                <w:szCs w:val="20"/>
                <w:color w:val="auto"/>
              </w:rPr>
            </w:pPr>
            <w:r>
              <w:rPr>
                <w:rFonts w:ascii="Arial" w:cs="Arial" w:eastAsia="Arial" w:hAnsi="Arial"/>
                <w:sz w:val="17"/>
                <w:szCs w:val="17"/>
                <w:color w:val="auto"/>
              </w:rPr>
              <w:t>Year Ended December 31</w:t>
            </w:r>
          </w:p>
        </w:tc>
        <w:tc>
          <w:tcPr>
            <w:tcW w:w="3480" w:type="dxa"/>
            <w:vAlign w:val="bottom"/>
          </w:tcPr>
          <w:p>
            <w:pPr>
              <w:jc w:val="right"/>
              <w:ind w:right="337"/>
              <w:spacing w:after="0"/>
              <w:rPr>
                <w:sz w:val="20"/>
                <w:szCs w:val="20"/>
                <w:color w:val="auto"/>
              </w:rPr>
            </w:pPr>
            <w:r>
              <w:rPr>
                <w:rFonts w:ascii="Arial" w:cs="Arial" w:eastAsia="Arial" w:hAnsi="Arial"/>
                <w:sz w:val="17"/>
                <w:szCs w:val="17"/>
                <w:color w:val="auto"/>
              </w:rPr>
              <w:t>2018</w:t>
            </w:r>
          </w:p>
        </w:tc>
        <w:tc>
          <w:tcPr>
            <w:tcW w:w="1260" w:type="dxa"/>
            <w:vAlign w:val="bottom"/>
          </w:tcPr>
          <w:p>
            <w:pPr>
              <w:jc w:val="right"/>
              <w:ind w:right="357"/>
              <w:spacing w:after="0"/>
              <w:rPr>
                <w:sz w:val="20"/>
                <w:szCs w:val="20"/>
                <w:color w:val="auto"/>
              </w:rPr>
            </w:pPr>
            <w:r>
              <w:rPr>
                <w:rFonts w:ascii="Arial" w:cs="Arial" w:eastAsia="Arial" w:hAnsi="Arial"/>
                <w:sz w:val="17"/>
                <w:szCs w:val="17"/>
                <w:color w:val="auto"/>
              </w:rPr>
              <w:t>2017</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2016</w:t>
            </w:r>
          </w:p>
        </w:tc>
      </w:tr>
      <w:tr>
        <w:trPr>
          <w:trHeight w:val="25"/>
        </w:trPr>
        <w:tc>
          <w:tcPr>
            <w:tcW w:w="57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Current</w:t>
            </w:r>
          </w:p>
        </w:tc>
        <w:tc>
          <w:tcPr>
            <w:tcW w:w="34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r>
      <w:tr>
        <w:trPr>
          <w:trHeight w:val="224"/>
        </w:trPr>
        <w:tc>
          <w:tcPr>
            <w:tcW w:w="576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
        </w:trPr>
        <w:tc>
          <w:tcPr>
            <w:tcW w:w="5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Federal</w:t>
            </w:r>
          </w:p>
        </w:tc>
        <w:tc>
          <w:tcPr>
            <w:tcW w:w="348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$17.2</w:t>
            </w:r>
          </w:p>
        </w:tc>
        <w:tc>
          <w:tcPr>
            <w:tcW w:w="12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rPr>
              <w:t>$211.7</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$35.6</w:t>
            </w:r>
          </w:p>
        </w:tc>
      </w:tr>
      <w:tr>
        <w:trPr>
          <w:trHeight w:val="224"/>
        </w:trPr>
        <w:tc>
          <w:tcPr>
            <w:tcW w:w="5760" w:type="dxa"/>
            <w:vAlign w:val="bottom"/>
          </w:tcPr>
          <w:p>
            <w:pPr>
              <w:ind w:left="280"/>
              <w:spacing w:after="0"/>
              <w:rPr>
                <w:sz w:val="20"/>
                <w:szCs w:val="20"/>
                <w:color w:val="auto"/>
              </w:rPr>
            </w:pPr>
            <w:r>
              <w:rPr>
                <w:rFonts w:ascii="Arial" w:cs="Arial" w:eastAsia="Arial" w:hAnsi="Arial"/>
                <w:sz w:val="17"/>
                <w:szCs w:val="17"/>
                <w:color w:val="auto"/>
              </w:rPr>
              <w:t>State</w:t>
            </w:r>
          </w:p>
        </w:tc>
        <w:tc>
          <w:tcPr>
            <w:tcW w:w="3480" w:type="dxa"/>
            <w:vAlign w:val="bottom"/>
          </w:tcPr>
          <w:p>
            <w:pPr>
              <w:jc w:val="right"/>
              <w:ind w:right="337"/>
              <w:spacing w:after="0"/>
              <w:rPr>
                <w:sz w:val="20"/>
                <w:szCs w:val="20"/>
                <w:color w:val="auto"/>
              </w:rPr>
            </w:pPr>
            <w:r>
              <w:rPr>
                <w:rFonts w:ascii="Arial" w:cs="Arial" w:eastAsia="Arial" w:hAnsi="Arial"/>
                <w:sz w:val="17"/>
                <w:szCs w:val="17"/>
                <w:color w:val="auto"/>
              </w:rPr>
              <w:t>10.8</w:t>
            </w:r>
          </w:p>
        </w:tc>
        <w:tc>
          <w:tcPr>
            <w:tcW w:w="1260" w:type="dxa"/>
            <w:vAlign w:val="bottom"/>
          </w:tcPr>
          <w:p>
            <w:pPr>
              <w:jc w:val="right"/>
              <w:ind w:right="357"/>
              <w:spacing w:after="0"/>
              <w:rPr>
                <w:sz w:val="20"/>
                <w:szCs w:val="20"/>
                <w:color w:val="auto"/>
              </w:rPr>
            </w:pPr>
            <w:r>
              <w:rPr>
                <w:rFonts w:ascii="Arial" w:cs="Arial" w:eastAsia="Arial" w:hAnsi="Arial"/>
                <w:sz w:val="17"/>
                <w:szCs w:val="17"/>
                <w:color w:val="auto"/>
              </w:rPr>
              <w:t>8.4</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4.0</w:t>
            </w:r>
          </w:p>
        </w:tc>
      </w:tr>
      <w:tr>
        <w:trPr>
          <w:trHeight w:val="25"/>
        </w:trPr>
        <w:tc>
          <w:tcPr>
            <w:tcW w:w="5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Non-United States</w:t>
            </w:r>
          </w:p>
        </w:tc>
        <w:tc>
          <w:tcPr>
            <w:tcW w:w="348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181.9</w:t>
            </w:r>
          </w:p>
        </w:tc>
        <w:tc>
          <w:tcPr>
            <w:tcW w:w="12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rPr>
              <w:t>168.6</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144.0</w:t>
            </w:r>
          </w:p>
        </w:tc>
      </w:tr>
      <w:tr>
        <w:trPr>
          <w:trHeight w:val="217"/>
        </w:trPr>
        <w:tc>
          <w:tcPr>
            <w:tcW w:w="57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Total current</w:t>
            </w:r>
          </w:p>
        </w:tc>
        <w:tc>
          <w:tcPr>
            <w:tcW w:w="3480" w:type="dxa"/>
            <w:vAlign w:val="bottom"/>
            <w:tcBorders>
              <w:top w:val="single" w:sz="8" w:color="auto"/>
            </w:tcBorders>
          </w:tcPr>
          <w:p>
            <w:pPr>
              <w:jc w:val="right"/>
              <w:ind w:right="337"/>
              <w:spacing w:after="0"/>
              <w:rPr>
                <w:sz w:val="20"/>
                <w:szCs w:val="20"/>
                <w:color w:val="auto"/>
              </w:rPr>
            </w:pPr>
            <w:r>
              <w:rPr>
                <w:rFonts w:ascii="Arial" w:cs="Arial" w:eastAsia="Arial" w:hAnsi="Arial"/>
                <w:sz w:val="17"/>
                <w:szCs w:val="17"/>
                <w:color w:val="auto"/>
              </w:rPr>
              <w:t>209.9</w:t>
            </w:r>
          </w:p>
        </w:tc>
        <w:tc>
          <w:tcPr>
            <w:tcW w:w="1260" w:type="dxa"/>
            <w:vAlign w:val="bottom"/>
            <w:tcBorders>
              <w:top w:val="single" w:sz="8" w:color="auto"/>
            </w:tcBorders>
          </w:tcPr>
          <w:p>
            <w:pPr>
              <w:jc w:val="right"/>
              <w:ind w:right="357"/>
              <w:spacing w:after="0"/>
              <w:rPr>
                <w:sz w:val="20"/>
                <w:szCs w:val="20"/>
                <w:color w:val="auto"/>
              </w:rPr>
            </w:pPr>
            <w:r>
              <w:rPr>
                <w:rFonts w:ascii="Arial" w:cs="Arial" w:eastAsia="Arial" w:hAnsi="Arial"/>
                <w:sz w:val="17"/>
                <w:szCs w:val="17"/>
                <w:color w:val="auto"/>
              </w:rPr>
              <w:t>388.7</w:t>
            </w: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183.6</w:t>
            </w:r>
          </w:p>
        </w:tc>
      </w:tr>
      <w:tr>
        <w:trPr>
          <w:trHeight w:val="25"/>
        </w:trPr>
        <w:tc>
          <w:tcPr>
            <w:tcW w:w="57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Deferred</w:t>
            </w:r>
          </w:p>
        </w:tc>
        <w:tc>
          <w:tcPr>
            <w:tcW w:w="34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r>
      <w:tr>
        <w:trPr>
          <w:trHeight w:val="224"/>
        </w:trPr>
        <w:tc>
          <w:tcPr>
            <w:tcW w:w="576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3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
        </w:trPr>
        <w:tc>
          <w:tcPr>
            <w:tcW w:w="5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Federal</w:t>
            </w:r>
          </w:p>
        </w:tc>
        <w:tc>
          <w:tcPr>
            <w:tcW w:w="3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(7.5)</w:t>
            </w:r>
          </w:p>
        </w:tc>
        <w:tc>
          <w:tcPr>
            <w:tcW w:w="12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auto"/>
              </w:rPr>
              <w:t>(178.2)</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69.7</w:t>
            </w:r>
          </w:p>
        </w:tc>
      </w:tr>
      <w:tr>
        <w:trPr>
          <w:trHeight w:val="224"/>
        </w:trPr>
        <w:tc>
          <w:tcPr>
            <w:tcW w:w="5760" w:type="dxa"/>
            <w:vAlign w:val="bottom"/>
          </w:tcPr>
          <w:p>
            <w:pPr>
              <w:ind w:left="280"/>
              <w:spacing w:after="0"/>
              <w:rPr>
                <w:sz w:val="20"/>
                <w:szCs w:val="20"/>
                <w:color w:val="auto"/>
              </w:rPr>
            </w:pPr>
            <w:r>
              <w:rPr>
                <w:rFonts w:ascii="Arial" w:cs="Arial" w:eastAsia="Arial" w:hAnsi="Arial"/>
                <w:sz w:val="17"/>
                <w:szCs w:val="17"/>
                <w:color w:val="auto"/>
              </w:rPr>
              <w:t>State</w:t>
            </w:r>
          </w:p>
        </w:tc>
        <w:tc>
          <w:tcPr>
            <w:tcW w:w="3480" w:type="dxa"/>
            <w:vAlign w:val="bottom"/>
          </w:tcPr>
          <w:p>
            <w:pPr>
              <w:jc w:val="right"/>
              <w:ind w:right="337"/>
              <w:spacing w:after="0"/>
              <w:rPr>
                <w:sz w:val="20"/>
                <w:szCs w:val="20"/>
                <w:color w:val="auto"/>
              </w:rPr>
            </w:pPr>
            <w:r>
              <w:rPr>
                <w:rFonts w:ascii="Arial" w:cs="Arial" w:eastAsia="Arial" w:hAnsi="Arial"/>
                <w:sz w:val="17"/>
                <w:szCs w:val="17"/>
                <w:color w:val="auto"/>
              </w:rPr>
              <w:t>1.0</w:t>
            </w:r>
          </w:p>
        </w:tc>
        <w:tc>
          <w:tcPr>
            <w:tcW w:w="1260" w:type="dxa"/>
            <w:vAlign w:val="bottom"/>
          </w:tcPr>
          <w:p>
            <w:pPr>
              <w:jc w:val="right"/>
              <w:ind w:right="297"/>
              <w:spacing w:after="0"/>
              <w:rPr>
                <w:sz w:val="20"/>
                <w:szCs w:val="20"/>
                <w:color w:val="auto"/>
              </w:rPr>
            </w:pPr>
            <w:r>
              <w:rPr>
                <w:rFonts w:ascii="Arial" w:cs="Arial" w:eastAsia="Arial" w:hAnsi="Arial"/>
                <w:sz w:val="17"/>
                <w:szCs w:val="17"/>
                <w:color w:val="auto"/>
              </w:rPr>
              <w:t>(0.8)</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0.5</w:t>
            </w:r>
          </w:p>
        </w:tc>
      </w:tr>
      <w:tr>
        <w:trPr>
          <w:trHeight w:val="25"/>
        </w:trPr>
        <w:tc>
          <w:tcPr>
            <w:tcW w:w="57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Non-United States</w:t>
            </w:r>
          </w:p>
        </w:tc>
        <w:tc>
          <w:tcPr>
            <w:tcW w:w="3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(5.4)</w:t>
            </w:r>
          </w:p>
        </w:tc>
        <w:tc>
          <w:tcPr>
            <w:tcW w:w="12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auto"/>
              </w:rPr>
              <w:t>(17.8)</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3.8</w:t>
            </w:r>
          </w:p>
        </w:tc>
      </w:tr>
      <w:tr>
        <w:trPr>
          <w:trHeight w:val="217"/>
        </w:trPr>
        <w:tc>
          <w:tcPr>
            <w:tcW w:w="57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Total deferred</w:t>
            </w:r>
          </w:p>
        </w:tc>
        <w:tc>
          <w:tcPr>
            <w:tcW w:w="348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auto"/>
              </w:rPr>
              <w:t>(11.9)</w:t>
            </w:r>
          </w:p>
        </w:tc>
        <w:tc>
          <w:tcPr>
            <w:tcW w:w="1260" w:type="dxa"/>
            <w:vAlign w:val="bottom"/>
            <w:tcBorders>
              <w:top w:val="single" w:sz="8" w:color="auto"/>
            </w:tcBorders>
          </w:tcPr>
          <w:p>
            <w:pPr>
              <w:jc w:val="right"/>
              <w:ind w:right="297"/>
              <w:spacing w:after="0"/>
              <w:rPr>
                <w:sz w:val="20"/>
                <w:szCs w:val="20"/>
                <w:color w:val="auto"/>
              </w:rPr>
            </w:pPr>
            <w:r>
              <w:rPr>
                <w:rFonts w:ascii="Arial" w:cs="Arial" w:eastAsia="Arial" w:hAnsi="Arial"/>
                <w:sz w:val="17"/>
                <w:szCs w:val="17"/>
                <w:color w:val="auto"/>
              </w:rPr>
              <w:t>(196.8)</w:t>
            </w: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74.0</w:t>
            </w:r>
          </w:p>
        </w:tc>
      </w:tr>
      <w:tr>
        <w:trPr>
          <w:trHeight w:val="25"/>
        </w:trPr>
        <w:tc>
          <w:tcPr>
            <w:tcW w:w="57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2"/>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provision</w:t>
            </w:r>
          </w:p>
        </w:tc>
        <w:tc>
          <w:tcPr>
            <w:tcW w:w="348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$198.0</w:t>
            </w:r>
          </w:p>
        </w:tc>
        <w:tc>
          <w:tcPr>
            <w:tcW w:w="126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$191.9</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$257.6</w:t>
            </w:r>
          </w:p>
        </w:tc>
      </w:tr>
      <w:tr>
        <w:trPr>
          <w:trHeight w:val="20"/>
        </w:trPr>
        <w:tc>
          <w:tcPr>
            <w:tcW w:w="5760" w:type="dxa"/>
            <w:vAlign w:val="bottom"/>
            <w:shd w:val="clear" w:color="auto" w:fill="000000"/>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A tax reconciliation between taxes computed at the United States federal statutory rate of 21% for 2018 and 35% for 2017 and 2016 and the consolidated effective tax rate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80" w:type="dxa"/>
            <w:vAlign w:val="bottom"/>
          </w:tcPr>
          <w:p>
            <w:pPr>
              <w:ind w:left="20"/>
              <w:spacing w:after="0"/>
              <w:rPr>
                <w:sz w:val="20"/>
                <w:szCs w:val="20"/>
                <w:color w:val="auto"/>
              </w:rPr>
            </w:pPr>
            <w:r>
              <w:rPr>
                <w:rFonts w:ascii="Arial" w:cs="Arial" w:eastAsia="Arial" w:hAnsi="Arial"/>
                <w:sz w:val="17"/>
                <w:szCs w:val="17"/>
                <w:color w:val="auto"/>
              </w:rPr>
              <w:t>Year Ended December 31</w:t>
            </w:r>
          </w:p>
        </w:tc>
        <w:tc>
          <w:tcPr>
            <w:tcW w:w="3360" w:type="dxa"/>
            <w:vAlign w:val="bottom"/>
          </w:tcPr>
          <w:p>
            <w:pPr>
              <w:jc w:val="right"/>
              <w:ind w:right="337"/>
              <w:spacing w:after="0"/>
              <w:rPr>
                <w:sz w:val="20"/>
                <w:szCs w:val="20"/>
                <w:color w:val="auto"/>
              </w:rPr>
            </w:pPr>
            <w:r>
              <w:rPr>
                <w:rFonts w:ascii="Arial" w:cs="Arial" w:eastAsia="Arial" w:hAnsi="Arial"/>
                <w:sz w:val="17"/>
                <w:szCs w:val="17"/>
                <w:color w:val="auto"/>
              </w:rPr>
              <w:t>2018</w:t>
            </w:r>
          </w:p>
        </w:tc>
        <w:tc>
          <w:tcPr>
            <w:tcW w:w="1260" w:type="dxa"/>
            <w:vAlign w:val="bottom"/>
          </w:tcPr>
          <w:p>
            <w:pPr>
              <w:jc w:val="right"/>
              <w:ind w:right="357"/>
              <w:spacing w:after="0"/>
              <w:rPr>
                <w:sz w:val="20"/>
                <w:szCs w:val="20"/>
                <w:color w:val="auto"/>
              </w:rPr>
            </w:pPr>
            <w:r>
              <w:rPr>
                <w:rFonts w:ascii="Arial" w:cs="Arial" w:eastAsia="Arial" w:hAnsi="Arial"/>
                <w:sz w:val="17"/>
                <w:szCs w:val="17"/>
                <w:color w:val="auto"/>
              </w:rPr>
              <w:t>2017</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2016</w:t>
            </w:r>
          </w:p>
        </w:tc>
      </w:tr>
      <w:tr>
        <w:trPr>
          <w:trHeight w:val="25"/>
        </w:trPr>
        <w:tc>
          <w:tcPr>
            <w:tcW w:w="5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4"/>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based on statutory rate</w:t>
            </w:r>
          </w:p>
        </w:tc>
        <w:tc>
          <w:tcPr>
            <w:tcW w:w="336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$158.5</w:t>
            </w:r>
          </w:p>
        </w:tc>
        <w:tc>
          <w:tcPr>
            <w:tcW w:w="126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$258.1</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$245.5</w:t>
            </w:r>
          </w:p>
        </w:tc>
      </w:tr>
      <w:tr>
        <w:trPr>
          <w:trHeight w:val="224"/>
        </w:trPr>
        <w:tc>
          <w:tcPr>
            <w:tcW w:w="5880" w:type="dxa"/>
            <w:vAlign w:val="bottom"/>
          </w:tcPr>
          <w:p>
            <w:pPr>
              <w:ind w:left="20"/>
              <w:spacing w:after="0"/>
              <w:rPr>
                <w:sz w:val="20"/>
                <w:szCs w:val="20"/>
                <w:color w:val="auto"/>
              </w:rPr>
            </w:pPr>
            <w:r>
              <w:rPr>
                <w:rFonts w:ascii="Arial" w:cs="Arial" w:eastAsia="Arial" w:hAnsi="Arial"/>
                <w:sz w:val="17"/>
                <w:szCs w:val="17"/>
                <w:color w:val="auto"/>
              </w:rPr>
              <w:t>Increase (decrease) resulting from:</w:t>
            </w:r>
          </w:p>
        </w:tc>
        <w:tc>
          <w:tcPr>
            <w:tcW w:w="3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
        </w:trPr>
        <w:tc>
          <w:tcPr>
            <w:tcW w:w="5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Non-United States tax rate difference:</w:t>
            </w:r>
          </w:p>
        </w:tc>
        <w:tc>
          <w:tcPr>
            <w:tcW w:w="33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49"/>
        </w:trPr>
        <w:tc>
          <w:tcPr>
            <w:tcW w:w="5880" w:type="dxa"/>
            <w:vAlign w:val="bottom"/>
          </w:tcPr>
          <w:p>
            <w:pPr>
              <w:ind w:left="500"/>
              <w:spacing w:after="0" w:line="250" w:lineRule="exact"/>
              <w:rPr>
                <w:sz w:val="20"/>
                <w:szCs w:val="20"/>
                <w:color w:val="auto"/>
              </w:rPr>
            </w:pPr>
            <w:r>
              <w:rPr>
                <w:rFonts w:ascii="Arial" w:cs="Arial" w:eastAsia="Arial" w:hAnsi="Arial"/>
                <w:sz w:val="17"/>
                <w:szCs w:val="17"/>
                <w:color w:val="auto"/>
              </w:rPr>
              <w:t>French business tax</w:t>
            </w:r>
            <w:r>
              <w:rPr>
                <w:rFonts w:ascii="Arial" w:cs="Arial" w:eastAsia="Arial" w:hAnsi="Arial"/>
                <w:sz w:val="23"/>
                <w:szCs w:val="23"/>
                <w:color w:val="auto"/>
                <w:vertAlign w:val="superscript"/>
              </w:rPr>
              <w:t>(1)</w:t>
            </w:r>
          </w:p>
        </w:tc>
        <w:tc>
          <w:tcPr>
            <w:tcW w:w="3360" w:type="dxa"/>
            <w:vAlign w:val="bottom"/>
          </w:tcPr>
          <w:p>
            <w:pPr>
              <w:jc w:val="right"/>
              <w:ind w:right="337"/>
              <w:spacing w:after="0"/>
              <w:rPr>
                <w:sz w:val="20"/>
                <w:szCs w:val="20"/>
                <w:color w:val="auto"/>
              </w:rPr>
            </w:pPr>
            <w:r>
              <w:rPr>
                <w:rFonts w:ascii="Arial" w:cs="Arial" w:eastAsia="Arial" w:hAnsi="Arial"/>
                <w:sz w:val="17"/>
                <w:szCs w:val="17"/>
                <w:color w:val="auto"/>
              </w:rPr>
              <w:t>59.1</w:t>
            </w:r>
          </w:p>
        </w:tc>
        <w:tc>
          <w:tcPr>
            <w:tcW w:w="1260" w:type="dxa"/>
            <w:vAlign w:val="bottom"/>
          </w:tcPr>
          <w:p>
            <w:pPr>
              <w:jc w:val="right"/>
              <w:ind w:right="337"/>
              <w:spacing w:after="0"/>
              <w:rPr>
                <w:sz w:val="20"/>
                <w:szCs w:val="20"/>
                <w:color w:val="auto"/>
              </w:rPr>
            </w:pPr>
            <w:r>
              <w:rPr>
                <w:rFonts w:ascii="Arial" w:cs="Arial" w:eastAsia="Arial" w:hAnsi="Arial"/>
                <w:sz w:val="17"/>
                <w:szCs w:val="17"/>
                <w:color w:val="auto"/>
              </w:rPr>
              <w:t>46.9</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41.0</w:t>
            </w:r>
          </w:p>
        </w:tc>
      </w:tr>
      <w:tr>
        <w:trPr>
          <w:trHeight w:val="249"/>
        </w:trPr>
        <w:tc>
          <w:tcPr>
            <w:tcW w:w="5880" w:type="dxa"/>
            <w:vAlign w:val="bottom"/>
            <w:shd w:val="clear" w:color="auto" w:fill="CCEEFF"/>
          </w:tcPr>
          <w:p>
            <w:pPr>
              <w:ind w:left="500"/>
              <w:spacing w:after="0" w:line="250" w:lineRule="exact"/>
              <w:rPr>
                <w:sz w:val="20"/>
                <w:szCs w:val="20"/>
                <w:color w:val="auto"/>
              </w:rPr>
            </w:pPr>
            <w:r>
              <w:rPr>
                <w:rFonts w:ascii="Arial" w:cs="Arial" w:eastAsia="Arial" w:hAnsi="Arial"/>
                <w:sz w:val="17"/>
                <w:szCs w:val="17"/>
                <w:color w:val="auto"/>
              </w:rPr>
              <w:t>French CICE</w:t>
            </w:r>
            <w:r>
              <w:rPr>
                <w:rFonts w:ascii="Arial" w:cs="Arial" w:eastAsia="Arial" w:hAnsi="Arial"/>
                <w:sz w:val="23"/>
                <w:szCs w:val="23"/>
                <w:color w:val="auto"/>
                <w:vertAlign w:val="superscript"/>
              </w:rPr>
              <w:t>(2)</w:t>
            </w:r>
          </w:p>
        </w:tc>
        <w:tc>
          <w:tcPr>
            <w:tcW w:w="3360" w:type="dxa"/>
            <w:vAlign w:val="bottom"/>
            <w:shd w:val="clear" w:color="auto" w:fill="CCEEFF"/>
          </w:tcPr>
          <w:p>
            <w:pPr>
              <w:jc w:val="right"/>
              <w:ind w:right="277"/>
              <w:spacing w:after="0"/>
              <w:rPr>
                <w:sz w:val="20"/>
                <w:szCs w:val="20"/>
                <w:color w:val="auto"/>
              </w:rPr>
            </w:pPr>
            <w:r>
              <w:rPr>
                <w:rFonts w:ascii="Arial" w:cs="Arial" w:eastAsia="Arial" w:hAnsi="Arial"/>
                <w:sz w:val="17"/>
                <w:szCs w:val="17"/>
                <w:color w:val="auto"/>
              </w:rPr>
              <w:t>(39.9)</w:t>
            </w:r>
          </w:p>
        </w:tc>
        <w:tc>
          <w:tcPr>
            <w:tcW w:w="1260" w:type="dxa"/>
            <w:vAlign w:val="bottom"/>
            <w:shd w:val="clear" w:color="auto" w:fill="CCEEFF"/>
          </w:tcPr>
          <w:p>
            <w:pPr>
              <w:jc w:val="right"/>
              <w:ind w:right="297"/>
              <w:spacing w:after="0"/>
              <w:rPr>
                <w:sz w:val="20"/>
                <w:szCs w:val="20"/>
                <w:color w:val="auto"/>
              </w:rPr>
            </w:pPr>
            <w:r>
              <w:rPr>
                <w:rFonts w:ascii="Arial" w:cs="Arial" w:eastAsia="Arial" w:hAnsi="Arial"/>
                <w:sz w:val="17"/>
                <w:szCs w:val="17"/>
                <w:color w:val="auto"/>
              </w:rPr>
              <w:t>(77.1)</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49"/>
        </w:trPr>
        <w:tc>
          <w:tcPr>
            <w:tcW w:w="5880" w:type="dxa"/>
            <w:vAlign w:val="bottom"/>
          </w:tcPr>
          <w:p>
            <w:pPr>
              <w:ind w:left="500"/>
              <w:spacing w:after="0" w:line="249" w:lineRule="exact"/>
              <w:rPr>
                <w:sz w:val="20"/>
                <w:szCs w:val="20"/>
                <w:color w:val="auto"/>
              </w:rPr>
            </w:pPr>
            <w:r>
              <w:rPr>
                <w:rFonts w:ascii="Arial" w:cs="Arial" w:eastAsia="Arial" w:hAnsi="Arial"/>
                <w:sz w:val="28"/>
                <w:szCs w:val="28"/>
                <w:color w:val="auto"/>
                <w:vertAlign w:val="subscript"/>
              </w:rPr>
              <w:t>Other</w:t>
            </w:r>
            <w:r>
              <w:rPr>
                <w:rFonts w:ascii="Arial" w:cs="Arial" w:eastAsia="Arial" w:hAnsi="Arial"/>
                <w:sz w:val="11"/>
                <w:szCs w:val="11"/>
                <w:color w:val="auto"/>
              </w:rPr>
              <w:t>(1)(2)</w:t>
            </w:r>
          </w:p>
        </w:tc>
        <w:tc>
          <w:tcPr>
            <w:tcW w:w="3360" w:type="dxa"/>
            <w:vAlign w:val="bottom"/>
          </w:tcPr>
          <w:p>
            <w:pPr>
              <w:jc w:val="right"/>
              <w:ind w:right="337"/>
              <w:spacing w:after="0"/>
              <w:rPr>
                <w:sz w:val="20"/>
                <w:szCs w:val="20"/>
                <w:color w:val="auto"/>
              </w:rPr>
            </w:pPr>
            <w:r>
              <w:rPr>
                <w:rFonts w:ascii="Arial" w:cs="Arial" w:eastAsia="Arial" w:hAnsi="Arial"/>
                <w:sz w:val="17"/>
                <w:szCs w:val="17"/>
                <w:color w:val="auto"/>
              </w:rPr>
              <w:t>20.0</w:t>
            </w:r>
          </w:p>
        </w:tc>
        <w:tc>
          <w:tcPr>
            <w:tcW w:w="1260" w:type="dxa"/>
            <w:vAlign w:val="bottom"/>
          </w:tcPr>
          <w:p>
            <w:pPr>
              <w:jc w:val="right"/>
              <w:ind w:right="297"/>
              <w:spacing w:after="0"/>
              <w:rPr>
                <w:sz w:val="20"/>
                <w:szCs w:val="20"/>
                <w:color w:val="auto"/>
              </w:rPr>
            </w:pPr>
            <w:r>
              <w:rPr>
                <w:rFonts w:ascii="Arial" w:cs="Arial" w:eastAsia="Arial" w:hAnsi="Arial"/>
                <w:sz w:val="17"/>
                <w:szCs w:val="17"/>
                <w:color w:val="auto"/>
              </w:rPr>
              <w:t>(28.6)</w:t>
            </w:r>
          </w:p>
        </w:tc>
        <w:tc>
          <w:tcPr>
            <w:tcW w:w="920" w:type="dxa"/>
            <w:vAlign w:val="bottom"/>
          </w:tcPr>
          <w:p>
            <w:pPr>
              <w:jc w:val="right"/>
              <w:spacing w:after="0"/>
              <w:rPr>
                <w:sz w:val="20"/>
                <w:szCs w:val="20"/>
                <w:color w:val="auto"/>
              </w:rPr>
            </w:pPr>
            <w:r>
              <w:rPr>
                <w:rFonts w:ascii="Arial" w:cs="Arial" w:eastAsia="Arial" w:hAnsi="Arial"/>
                <w:sz w:val="17"/>
                <w:szCs w:val="17"/>
                <w:color w:val="auto"/>
              </w:rPr>
              <w:t>(23.5)</w:t>
            </w:r>
          </w:p>
        </w:tc>
      </w:tr>
      <w:tr>
        <w:trPr>
          <w:trHeight w:val="249"/>
        </w:trPr>
        <w:tc>
          <w:tcPr>
            <w:tcW w:w="5880" w:type="dxa"/>
            <w:vAlign w:val="bottom"/>
            <w:shd w:val="clear" w:color="auto" w:fill="CCEEFF"/>
          </w:tcPr>
          <w:p>
            <w:pPr>
              <w:ind w:left="280"/>
              <w:spacing w:after="0" w:line="250" w:lineRule="exact"/>
              <w:rPr>
                <w:sz w:val="20"/>
                <w:szCs w:val="20"/>
                <w:color w:val="auto"/>
              </w:rPr>
            </w:pPr>
            <w:r>
              <w:rPr>
                <w:rFonts w:ascii="Arial" w:cs="Arial" w:eastAsia="Arial" w:hAnsi="Arial"/>
                <w:sz w:val="17"/>
                <w:szCs w:val="17"/>
                <w:color w:val="auto"/>
              </w:rPr>
              <w:t>Repatriation of non-United States earnings</w:t>
            </w:r>
            <w:r>
              <w:rPr>
                <w:rFonts w:ascii="Arial" w:cs="Arial" w:eastAsia="Arial" w:hAnsi="Arial"/>
                <w:sz w:val="23"/>
                <w:szCs w:val="23"/>
                <w:color w:val="auto"/>
                <w:vertAlign w:val="superscript"/>
              </w:rPr>
              <w:t>(2)(3)</w:t>
            </w:r>
          </w:p>
        </w:tc>
        <w:tc>
          <w:tcPr>
            <w:tcW w:w="336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2.5</w:t>
            </w:r>
          </w:p>
        </w:tc>
        <w:tc>
          <w:tcPr>
            <w:tcW w:w="1260" w:type="dxa"/>
            <w:vAlign w:val="bottom"/>
            <w:shd w:val="clear" w:color="auto" w:fill="CCEEFF"/>
          </w:tcPr>
          <w:p>
            <w:pPr>
              <w:jc w:val="right"/>
              <w:ind w:right="337"/>
              <w:spacing w:after="0"/>
              <w:rPr>
                <w:sz w:val="20"/>
                <w:szCs w:val="20"/>
                <w:color w:val="auto"/>
              </w:rPr>
            </w:pPr>
            <w:r>
              <w:rPr>
                <w:rFonts w:ascii="Arial" w:cs="Arial" w:eastAsia="Arial" w:hAnsi="Arial"/>
                <w:sz w:val="17"/>
                <w:szCs w:val="17"/>
                <w:color w:val="auto"/>
              </w:rPr>
              <w:t>69.7</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r>
      <w:tr>
        <w:trPr>
          <w:trHeight w:val="224"/>
        </w:trPr>
        <w:tc>
          <w:tcPr>
            <w:tcW w:w="5880" w:type="dxa"/>
            <w:vAlign w:val="bottom"/>
          </w:tcPr>
          <w:p>
            <w:pPr>
              <w:ind w:left="280"/>
              <w:spacing w:after="0"/>
              <w:rPr>
                <w:sz w:val="20"/>
                <w:szCs w:val="20"/>
                <w:color w:val="auto"/>
              </w:rPr>
            </w:pPr>
            <w:r>
              <w:rPr>
                <w:rFonts w:ascii="Arial" w:cs="Arial" w:eastAsia="Arial" w:hAnsi="Arial"/>
                <w:sz w:val="17"/>
                <w:szCs w:val="17"/>
                <w:color w:val="auto"/>
              </w:rPr>
              <w:t>State income taxes, net of federal benefit</w:t>
            </w:r>
          </w:p>
        </w:tc>
        <w:tc>
          <w:tcPr>
            <w:tcW w:w="3360" w:type="dxa"/>
            <w:vAlign w:val="bottom"/>
          </w:tcPr>
          <w:p>
            <w:pPr>
              <w:jc w:val="right"/>
              <w:ind w:right="337"/>
              <w:spacing w:after="0"/>
              <w:rPr>
                <w:sz w:val="20"/>
                <w:szCs w:val="20"/>
                <w:color w:val="auto"/>
              </w:rPr>
            </w:pPr>
            <w:r>
              <w:rPr>
                <w:rFonts w:ascii="Arial" w:cs="Arial" w:eastAsia="Arial" w:hAnsi="Arial"/>
                <w:sz w:val="17"/>
                <w:szCs w:val="17"/>
                <w:color w:val="auto"/>
              </w:rPr>
              <w:t>8.2</w:t>
            </w:r>
          </w:p>
        </w:tc>
        <w:tc>
          <w:tcPr>
            <w:tcW w:w="1260" w:type="dxa"/>
            <w:vAlign w:val="bottom"/>
          </w:tcPr>
          <w:p>
            <w:pPr>
              <w:jc w:val="right"/>
              <w:ind w:right="357"/>
              <w:spacing w:after="0"/>
              <w:rPr>
                <w:sz w:val="20"/>
                <w:szCs w:val="20"/>
                <w:color w:val="auto"/>
              </w:rPr>
            </w:pPr>
            <w:r>
              <w:rPr>
                <w:rFonts w:ascii="Arial" w:cs="Arial" w:eastAsia="Arial" w:hAnsi="Arial"/>
                <w:sz w:val="17"/>
                <w:szCs w:val="17"/>
                <w:color w:val="auto"/>
              </w:rPr>
              <w:t>1.1</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2.2</w:t>
            </w:r>
          </w:p>
        </w:tc>
      </w:tr>
      <w:tr>
        <w:trPr>
          <w:trHeight w:val="25"/>
        </w:trPr>
        <w:tc>
          <w:tcPr>
            <w:tcW w:w="5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Change in valuation allowance</w:t>
            </w:r>
          </w:p>
        </w:tc>
        <w:tc>
          <w:tcPr>
            <w:tcW w:w="336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0.7</w:t>
            </w:r>
          </w:p>
        </w:tc>
        <w:tc>
          <w:tcPr>
            <w:tcW w:w="12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auto"/>
              </w:rPr>
              <w:t>(6.9)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24"/>
        </w:trPr>
        <w:tc>
          <w:tcPr>
            <w:tcW w:w="5880" w:type="dxa"/>
            <w:vAlign w:val="bottom"/>
          </w:tcPr>
          <w:p>
            <w:pPr>
              <w:ind w:left="280"/>
              <w:spacing w:after="0"/>
              <w:rPr>
                <w:sz w:val="20"/>
                <w:szCs w:val="20"/>
                <w:color w:val="auto"/>
              </w:rPr>
            </w:pPr>
            <w:r>
              <w:rPr>
                <w:rFonts w:ascii="Arial" w:cs="Arial" w:eastAsia="Arial" w:hAnsi="Arial"/>
                <w:sz w:val="17"/>
                <w:szCs w:val="17"/>
                <w:color w:val="auto"/>
              </w:rPr>
              <w:t>Work Opportunity Tax Credit</w:t>
            </w:r>
          </w:p>
        </w:tc>
        <w:tc>
          <w:tcPr>
            <w:tcW w:w="3360" w:type="dxa"/>
            <w:vAlign w:val="bottom"/>
          </w:tcPr>
          <w:p>
            <w:pPr>
              <w:jc w:val="right"/>
              <w:ind w:right="277"/>
              <w:spacing w:after="0"/>
              <w:rPr>
                <w:sz w:val="20"/>
                <w:szCs w:val="20"/>
                <w:color w:val="auto"/>
              </w:rPr>
            </w:pPr>
            <w:r>
              <w:rPr>
                <w:rFonts w:ascii="Arial" w:cs="Arial" w:eastAsia="Arial" w:hAnsi="Arial"/>
                <w:sz w:val="17"/>
                <w:szCs w:val="17"/>
                <w:color w:val="auto"/>
              </w:rPr>
              <w:t>(8.8)</w:t>
            </w:r>
          </w:p>
        </w:tc>
        <w:tc>
          <w:tcPr>
            <w:tcW w:w="1260" w:type="dxa"/>
            <w:vAlign w:val="bottom"/>
          </w:tcPr>
          <w:p>
            <w:pPr>
              <w:jc w:val="right"/>
              <w:ind w:right="297"/>
              <w:spacing w:after="0"/>
              <w:rPr>
                <w:sz w:val="20"/>
                <w:szCs w:val="20"/>
                <w:color w:val="auto"/>
              </w:rPr>
            </w:pPr>
            <w:r>
              <w:rPr>
                <w:rFonts w:ascii="Arial" w:cs="Arial" w:eastAsia="Arial" w:hAnsi="Arial"/>
                <w:sz w:val="17"/>
                <w:szCs w:val="17"/>
                <w:color w:val="auto"/>
              </w:rPr>
              <w:t>(10.5)</w:t>
            </w:r>
          </w:p>
        </w:tc>
        <w:tc>
          <w:tcPr>
            <w:tcW w:w="92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5"/>
        </w:trPr>
        <w:tc>
          <w:tcPr>
            <w:tcW w:w="58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Foreign-Derived Intangible Income deduction</w:t>
            </w:r>
          </w:p>
        </w:tc>
        <w:tc>
          <w:tcPr>
            <w:tcW w:w="336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(12.5)</w:t>
            </w:r>
          </w:p>
        </w:tc>
        <w:tc>
          <w:tcPr>
            <w:tcW w:w="12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49"/>
        </w:trPr>
        <w:tc>
          <w:tcPr>
            <w:tcW w:w="5880" w:type="dxa"/>
            <w:vAlign w:val="bottom"/>
          </w:tcPr>
          <w:p>
            <w:pPr>
              <w:ind w:left="280"/>
              <w:spacing w:after="0" w:line="250" w:lineRule="exact"/>
              <w:rPr>
                <w:sz w:val="20"/>
                <w:szCs w:val="20"/>
                <w:color w:val="auto"/>
              </w:rPr>
            </w:pPr>
            <w:r>
              <w:rPr>
                <w:rFonts w:ascii="Arial" w:cs="Arial" w:eastAsia="Arial" w:hAnsi="Arial"/>
                <w:sz w:val="17"/>
                <w:szCs w:val="17"/>
                <w:color w:val="auto"/>
              </w:rPr>
              <w:t>United States Tax Act and French tax reform</w:t>
            </w:r>
            <w:r>
              <w:rPr>
                <w:rFonts w:ascii="Arial" w:cs="Arial" w:eastAsia="Arial" w:hAnsi="Arial"/>
                <w:sz w:val="23"/>
                <w:szCs w:val="23"/>
                <w:color w:val="auto"/>
                <w:vertAlign w:val="superscript"/>
              </w:rPr>
              <w:t>(3)</w:t>
            </w:r>
          </w:p>
        </w:tc>
        <w:tc>
          <w:tcPr>
            <w:tcW w:w="3360" w:type="dxa"/>
            <w:vAlign w:val="bottom"/>
          </w:tcPr>
          <w:p>
            <w:pPr>
              <w:jc w:val="right"/>
              <w:ind w:right="337"/>
              <w:spacing w:after="0"/>
              <w:rPr>
                <w:sz w:val="20"/>
                <w:szCs w:val="20"/>
                <w:color w:val="auto"/>
              </w:rPr>
            </w:pPr>
            <w:r>
              <w:rPr>
                <w:rFonts w:ascii="Arial" w:cs="Arial" w:eastAsia="Arial" w:hAnsi="Arial"/>
                <w:sz w:val="17"/>
                <w:szCs w:val="17"/>
                <w:color w:val="auto"/>
              </w:rPr>
              <w:t>3.2</w:t>
            </w:r>
          </w:p>
        </w:tc>
        <w:tc>
          <w:tcPr>
            <w:tcW w:w="1260" w:type="dxa"/>
            <w:vAlign w:val="bottom"/>
          </w:tcPr>
          <w:p>
            <w:pPr>
              <w:jc w:val="right"/>
              <w:ind w:right="297"/>
              <w:spacing w:after="0"/>
              <w:rPr>
                <w:sz w:val="20"/>
                <w:szCs w:val="20"/>
                <w:color w:val="auto"/>
              </w:rPr>
            </w:pPr>
            <w:r>
              <w:rPr>
                <w:rFonts w:ascii="Arial" w:cs="Arial" w:eastAsia="Arial" w:hAnsi="Arial"/>
                <w:sz w:val="17"/>
                <w:szCs w:val="17"/>
                <w:color w:val="auto"/>
              </w:rPr>
              <w:t>(73.7)</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4"/>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net</w:t>
            </w:r>
          </w:p>
        </w:tc>
        <w:tc>
          <w:tcPr>
            <w:tcW w:w="336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7.0</w:t>
            </w:r>
          </w:p>
        </w:tc>
        <w:tc>
          <w:tcPr>
            <w:tcW w:w="126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12.9</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19.9</w:t>
            </w:r>
          </w:p>
        </w:tc>
      </w:tr>
      <w:tr>
        <w:trPr>
          <w:trHeight w:val="217"/>
        </w:trPr>
        <w:tc>
          <w:tcPr>
            <w:tcW w:w="58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Tax provision</w:t>
            </w:r>
          </w:p>
        </w:tc>
        <w:tc>
          <w:tcPr>
            <w:tcW w:w="3360" w:type="dxa"/>
            <w:vAlign w:val="bottom"/>
            <w:tcBorders>
              <w:top w:val="single" w:sz="8" w:color="auto"/>
            </w:tcBorders>
          </w:tcPr>
          <w:p>
            <w:pPr>
              <w:jc w:val="right"/>
              <w:ind w:right="337"/>
              <w:spacing w:after="0"/>
              <w:rPr>
                <w:sz w:val="20"/>
                <w:szCs w:val="20"/>
                <w:color w:val="auto"/>
              </w:rPr>
            </w:pPr>
            <w:r>
              <w:rPr>
                <w:rFonts w:ascii="Arial" w:cs="Arial" w:eastAsia="Arial" w:hAnsi="Arial"/>
                <w:sz w:val="17"/>
                <w:szCs w:val="17"/>
                <w:color w:val="auto"/>
              </w:rPr>
              <w:t>$198.0</w:t>
            </w:r>
          </w:p>
        </w:tc>
        <w:tc>
          <w:tcPr>
            <w:tcW w:w="1260" w:type="dxa"/>
            <w:vAlign w:val="bottom"/>
            <w:tcBorders>
              <w:top w:val="single" w:sz="8" w:color="auto"/>
            </w:tcBorders>
          </w:tcPr>
          <w:p>
            <w:pPr>
              <w:jc w:val="right"/>
              <w:ind w:right="337"/>
              <w:spacing w:after="0"/>
              <w:rPr>
                <w:sz w:val="20"/>
                <w:szCs w:val="20"/>
                <w:color w:val="auto"/>
              </w:rPr>
            </w:pPr>
            <w:r>
              <w:rPr>
                <w:rFonts w:ascii="Arial" w:cs="Arial" w:eastAsia="Arial" w:hAnsi="Arial"/>
                <w:sz w:val="17"/>
                <w:szCs w:val="17"/>
                <w:color w:val="auto"/>
              </w:rPr>
              <w:t>$191.9</w:t>
            </w: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741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9" w:lineRule="exact"/>
        <w:rPr>
          <w:sz w:val="20"/>
          <w:szCs w:val="20"/>
          <w:color w:val="auto"/>
        </w:rPr>
      </w:pPr>
    </w:p>
    <w:p>
      <w:pPr>
        <w:jc w:val="both"/>
        <w:spacing w:after="0" w:line="284" w:lineRule="auto"/>
        <w:tabs>
          <w:tab w:leader="none" w:pos="222" w:val="left"/>
        </w:tabs>
        <w:numPr>
          <w:ilvl w:val="0"/>
          <w:numId w:val="39"/>
        </w:numPr>
        <w:rPr>
          <w:rFonts w:ascii="Arial" w:cs="Arial" w:eastAsia="Arial" w:hAnsi="Arial"/>
          <w:sz w:val="13"/>
          <w:szCs w:val="13"/>
          <w:color w:val="282A32"/>
        </w:rPr>
      </w:pPr>
      <w:r>
        <w:rPr>
          <w:rFonts w:ascii="Arial" w:cs="Arial" w:eastAsia="Arial" w:hAnsi="Arial"/>
          <w:sz w:val="13"/>
          <w:szCs w:val="13"/>
          <w:color w:val="282A32"/>
        </w:rPr>
        <w:t>The French business tax is allowed as a deduction for French income tax purposes. The gross amount of the French business tax was $74.8, $72.1 and $63.1 for 2018, 2017 and 2016, respectively. The amounts in the table above of $59.1, $46.9 and $41.0 for 2018, 2017 and 2016, respectively, represent the French business tax expense net of the French tax benefit using the United States federal rate of 21% for 2018 and 35% for 2017 and 2016. Included in Other Non-United States tax rate differences are a benefit of $10.1 for 2018 and an expense of $0.4 for both 2017 and 2016 related to the difference between the United States federal rate and the French tax rate applied to the respective gross amounts of the French business tax.</w:t>
      </w:r>
    </w:p>
    <w:p>
      <w:pPr>
        <w:spacing w:after="0" w:line="2" w:lineRule="exact"/>
        <w:rPr>
          <w:rFonts w:ascii="Arial" w:cs="Arial" w:eastAsia="Arial" w:hAnsi="Arial"/>
          <w:sz w:val="13"/>
          <w:szCs w:val="13"/>
          <w:color w:val="282A32"/>
        </w:rPr>
      </w:pPr>
    </w:p>
    <w:p>
      <w:pPr>
        <w:jc w:val="both"/>
        <w:spacing w:after="0" w:line="260" w:lineRule="auto"/>
        <w:tabs>
          <w:tab w:leader="none" w:pos="215" w:val="left"/>
        </w:tabs>
        <w:numPr>
          <w:ilvl w:val="0"/>
          <w:numId w:val="39"/>
        </w:numPr>
        <w:rPr>
          <w:rFonts w:ascii="Arial" w:cs="Arial" w:eastAsia="Arial" w:hAnsi="Arial"/>
          <w:sz w:val="14"/>
          <w:szCs w:val="14"/>
          <w:color w:val="282A32"/>
        </w:rPr>
      </w:pPr>
      <w:r>
        <w:rPr>
          <w:rFonts w:ascii="Arial" w:cs="Arial" w:eastAsia="Arial" w:hAnsi="Arial"/>
          <w:sz w:val="14"/>
          <w:szCs w:val="14"/>
          <w:color w:val="282A32"/>
        </w:rPr>
        <w:t>The French CICE was a payroll tax credit that was tax-free for French tax purposes and increased French earnings. The amounts in the table above of $39.9 and $77.1 for 2018 and 2017, respectively, represent the French tax benefits using the United States federal rate of 21% for 2018 and 35% for 2017. Included in Other Non-United States tax rate differences are a benefit of $25.5 for 2018 and an expense of $1.3 for 2017 related to the difference between the United States federal rate and French tax rate applied to the respective gross French CICE amounts. The French tax benefits related to the CICE were $58.9 for 2016. Prior to the Tax Act, this increase in French earnings resulted in a United States tax expense as these French earnings were deemed to be not permanently invested, which was included in Repatriation of non-United States earnings. Included in Other Non-United States tax rate differences were benefits of $2.4 and $1.8 for 2017 and 2016, respectively, that related to French earnings that were deemed to be permanently invested.</w:t>
      </w:r>
    </w:p>
    <w:p>
      <w:pPr>
        <w:jc w:val="both"/>
        <w:spacing w:after="0" w:line="302" w:lineRule="auto"/>
        <w:tabs>
          <w:tab w:leader="none" w:pos="222" w:val="left"/>
        </w:tabs>
        <w:numPr>
          <w:ilvl w:val="0"/>
          <w:numId w:val="39"/>
        </w:numPr>
        <w:rPr>
          <w:rFonts w:ascii="Arial" w:cs="Arial" w:eastAsia="Arial" w:hAnsi="Arial"/>
          <w:sz w:val="13"/>
          <w:szCs w:val="13"/>
          <w:color w:val="282A32"/>
        </w:rPr>
      </w:pPr>
      <w:r>
        <w:rPr>
          <w:rFonts w:ascii="Arial" w:cs="Arial" w:eastAsia="Arial" w:hAnsi="Arial"/>
          <w:sz w:val="13"/>
          <w:szCs w:val="13"/>
          <w:color w:val="282A32"/>
        </w:rPr>
        <w:t>Prior to the enactment of the Tax Act on December 22, 2017, we recorded $83.3 of tax expense in 2017 related to non-United States earnings that were deemed to be not permanently invested. This amount was included in the Repatriation of non-United States earnings consistent with prior years. As a result of the Tax Act, this $83.3 was reversed as we were no longer recording United States federal income tax expense on these earnings, and this tax benefit was included in the United States Tax Act and French tax reform benefit of $73.7.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339" w:right="239" w:bottom="1440" w:gutter="0" w:footer="0" w:header="0"/>
        </w:sectPr>
      </w:pPr>
    </w:p>
    <w:bookmarkStart w:id="73" w:name="page74"/>
    <w:bookmarkEnd w:id="73"/>
    <w:p>
      <w:pPr>
        <w:jc w:val="both"/>
        <w:spacing w:after="0" w:line="265" w:lineRule="auto"/>
        <w:rPr>
          <w:sz w:val="20"/>
          <w:szCs w:val="20"/>
          <w:color w:val="auto"/>
        </w:rPr>
      </w:pPr>
      <w:r>
        <w:rPr>
          <w:rFonts w:ascii="Arial" w:cs="Arial" w:eastAsia="Arial" w:hAnsi="Arial"/>
          <w:sz w:val="17"/>
          <w:szCs w:val="17"/>
          <w:color w:val="282A32"/>
        </w:rPr>
        <w:t>Deferred income taxes are recorded based on temporary differences at the tax rate expected to be in effect when the temporary differences reverse. The Tax Act significantly impacted our deferred income taxes. Temporary differences, which give rise to the deferred taxes,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40" w:type="dxa"/>
            <w:vAlign w:val="bottom"/>
          </w:tcPr>
          <w:p>
            <w:pPr>
              <w:ind w:left="20"/>
              <w:spacing w:after="0"/>
              <w:rPr>
                <w:sz w:val="20"/>
                <w:szCs w:val="20"/>
                <w:color w:val="auto"/>
              </w:rPr>
            </w:pPr>
            <w:r>
              <w:rPr>
                <w:rFonts w:ascii="Arial" w:cs="Arial" w:eastAsia="Arial" w:hAnsi="Arial"/>
                <w:sz w:val="17"/>
                <w:szCs w:val="17"/>
                <w:color w:val="auto"/>
              </w:rPr>
              <w:t>December 31</w:t>
            </w:r>
          </w:p>
        </w:tc>
        <w:tc>
          <w:tcPr>
            <w:tcW w:w="4240" w:type="dxa"/>
            <w:vAlign w:val="bottom"/>
          </w:tcPr>
          <w:p>
            <w:pPr>
              <w:jc w:val="right"/>
              <w:ind w:right="457"/>
              <w:spacing w:after="0"/>
              <w:rPr>
                <w:sz w:val="20"/>
                <w:szCs w:val="20"/>
                <w:color w:val="auto"/>
              </w:rPr>
            </w:pPr>
            <w:r>
              <w:rPr>
                <w:rFonts w:ascii="Arial" w:cs="Arial" w:eastAsia="Arial" w:hAnsi="Arial"/>
                <w:sz w:val="17"/>
                <w:szCs w:val="17"/>
                <w:color w:val="auto"/>
              </w:rPr>
              <w:t>2018</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2017</w:t>
            </w:r>
          </w:p>
        </w:tc>
      </w:tr>
      <w:tr>
        <w:trPr>
          <w:trHeight w:val="25"/>
        </w:trPr>
        <w:tc>
          <w:tcPr>
            <w:tcW w:w="61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Future Income Tax Benefits (Expense)</w:t>
            </w:r>
          </w:p>
        </w:tc>
        <w:tc>
          <w:tcPr>
            <w:tcW w:w="42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r>
      <w:tr>
        <w:trPr>
          <w:trHeight w:val="224"/>
        </w:trPr>
        <w:tc>
          <w:tcPr>
            <w:tcW w:w="6140" w:type="dxa"/>
            <w:vAlign w:val="bottom"/>
          </w:tcPr>
          <w:p>
            <w:pPr>
              <w:ind w:left="20"/>
              <w:spacing w:after="0"/>
              <w:rPr>
                <w:sz w:val="20"/>
                <w:szCs w:val="20"/>
                <w:color w:val="auto"/>
              </w:rPr>
            </w:pPr>
            <w:r>
              <w:rPr>
                <w:rFonts w:ascii="Arial" w:cs="Arial" w:eastAsia="Arial" w:hAnsi="Arial"/>
                <w:sz w:val="17"/>
                <w:szCs w:val="17"/>
                <w:color w:val="auto"/>
              </w:rPr>
              <w:t>Accrued payroll taxes and insurance</w:t>
            </w:r>
          </w:p>
        </w:tc>
        <w:tc>
          <w:tcPr>
            <w:tcW w:w="4240" w:type="dxa"/>
            <w:vAlign w:val="bottom"/>
          </w:tcPr>
          <w:p>
            <w:pPr>
              <w:jc w:val="right"/>
              <w:ind w:right="457"/>
              <w:spacing w:after="0"/>
              <w:rPr>
                <w:sz w:val="20"/>
                <w:szCs w:val="20"/>
                <w:color w:val="auto"/>
              </w:rPr>
            </w:pPr>
            <w:r>
              <w:rPr>
                <w:rFonts w:ascii="Arial" w:cs="Arial" w:eastAsia="Arial" w:hAnsi="Arial"/>
                <w:sz w:val="17"/>
                <w:szCs w:val="17"/>
                <w:color w:val="auto"/>
              </w:rPr>
              <w:t>$13.8</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$17.3</w:t>
            </w:r>
          </w:p>
        </w:tc>
      </w:tr>
      <w:tr>
        <w:trPr>
          <w:trHeight w:val="25"/>
        </w:trPr>
        <w:tc>
          <w:tcPr>
            <w:tcW w:w="6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Employee compensation payable</w:t>
            </w:r>
          </w:p>
        </w:tc>
        <w:tc>
          <w:tcPr>
            <w:tcW w:w="424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7"/>
                <w:szCs w:val="17"/>
                <w:color w:val="auto"/>
              </w:rPr>
              <w:t>17.8</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20.2</w:t>
            </w:r>
          </w:p>
        </w:tc>
      </w:tr>
      <w:tr>
        <w:trPr>
          <w:trHeight w:val="224"/>
        </w:trPr>
        <w:tc>
          <w:tcPr>
            <w:tcW w:w="6140" w:type="dxa"/>
            <w:vAlign w:val="bottom"/>
          </w:tcPr>
          <w:p>
            <w:pPr>
              <w:ind w:left="20"/>
              <w:spacing w:after="0"/>
              <w:rPr>
                <w:sz w:val="20"/>
                <w:szCs w:val="20"/>
                <w:color w:val="auto"/>
              </w:rPr>
            </w:pPr>
            <w:r>
              <w:rPr>
                <w:rFonts w:ascii="Arial" w:cs="Arial" w:eastAsia="Arial" w:hAnsi="Arial"/>
                <w:sz w:val="17"/>
                <w:szCs w:val="17"/>
                <w:color w:val="auto"/>
              </w:rPr>
              <w:t>Pension and postretirement benefits</w:t>
            </w:r>
          </w:p>
        </w:tc>
        <w:tc>
          <w:tcPr>
            <w:tcW w:w="4240" w:type="dxa"/>
            <w:vAlign w:val="bottom"/>
          </w:tcPr>
          <w:p>
            <w:pPr>
              <w:jc w:val="right"/>
              <w:ind w:right="457"/>
              <w:spacing w:after="0"/>
              <w:rPr>
                <w:sz w:val="20"/>
                <w:szCs w:val="20"/>
                <w:color w:val="auto"/>
              </w:rPr>
            </w:pPr>
            <w:r>
              <w:rPr>
                <w:rFonts w:ascii="Arial" w:cs="Arial" w:eastAsia="Arial" w:hAnsi="Arial"/>
                <w:sz w:val="17"/>
                <w:szCs w:val="17"/>
                <w:color w:val="auto"/>
              </w:rPr>
              <w:t>46.9</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49.0</w:t>
            </w:r>
          </w:p>
        </w:tc>
      </w:tr>
      <w:tr>
        <w:trPr>
          <w:trHeight w:val="25"/>
        </w:trPr>
        <w:tc>
          <w:tcPr>
            <w:tcW w:w="6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424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7"/>
                <w:szCs w:val="17"/>
                <w:color w:val="auto"/>
              </w:rPr>
              <w:t>(102.1)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(103.0)</w:t>
            </w:r>
          </w:p>
        </w:tc>
      </w:tr>
      <w:tr>
        <w:trPr>
          <w:trHeight w:val="224"/>
        </w:trPr>
        <w:tc>
          <w:tcPr>
            <w:tcW w:w="6140" w:type="dxa"/>
            <w:vAlign w:val="bottom"/>
          </w:tcPr>
          <w:p>
            <w:pPr>
              <w:ind w:left="20"/>
              <w:spacing w:after="0"/>
              <w:rPr>
                <w:sz w:val="20"/>
                <w:szCs w:val="20"/>
                <w:color w:val="auto"/>
              </w:rPr>
            </w:pPr>
            <w:r>
              <w:rPr>
                <w:rFonts w:ascii="Arial" w:cs="Arial" w:eastAsia="Arial" w:hAnsi="Arial"/>
                <w:sz w:val="17"/>
                <w:szCs w:val="17"/>
                <w:color w:val="auto"/>
              </w:rPr>
              <w:t>Repatriation of non-United States earnings</w:t>
            </w:r>
          </w:p>
        </w:tc>
        <w:tc>
          <w:tcPr>
            <w:tcW w:w="4240" w:type="dxa"/>
            <w:vAlign w:val="bottom"/>
          </w:tcPr>
          <w:p>
            <w:pPr>
              <w:jc w:val="right"/>
              <w:ind w:right="397"/>
              <w:spacing w:after="0"/>
              <w:rPr>
                <w:sz w:val="20"/>
                <w:szCs w:val="20"/>
                <w:color w:val="auto"/>
              </w:rPr>
            </w:pPr>
            <w:r>
              <w:rPr>
                <w:rFonts w:ascii="Arial" w:cs="Arial" w:eastAsia="Arial" w:hAnsi="Arial"/>
                <w:sz w:val="17"/>
                <w:szCs w:val="17"/>
                <w:color w:val="auto"/>
              </w:rPr>
              <w:t>(15.3)</w:t>
            </w:r>
          </w:p>
        </w:tc>
        <w:tc>
          <w:tcPr>
            <w:tcW w:w="10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5"/>
        </w:trPr>
        <w:tc>
          <w:tcPr>
            <w:tcW w:w="6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Loans denominated in foreign currencies</w:t>
            </w:r>
          </w:p>
        </w:tc>
        <w:tc>
          <w:tcPr>
            <w:tcW w:w="424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7"/>
                <w:szCs w:val="17"/>
                <w:color w:val="auto"/>
              </w:rPr>
              <w:t>(19.6)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(13.5)</w:t>
            </w:r>
          </w:p>
        </w:tc>
      </w:tr>
      <w:tr>
        <w:trPr>
          <w:trHeight w:val="224"/>
        </w:trPr>
        <w:tc>
          <w:tcPr>
            <w:tcW w:w="6140" w:type="dxa"/>
            <w:vAlign w:val="bottom"/>
          </w:tcPr>
          <w:p>
            <w:pPr>
              <w:ind w:left="20"/>
              <w:spacing w:after="0"/>
              <w:rPr>
                <w:sz w:val="20"/>
                <w:szCs w:val="20"/>
                <w:color w:val="auto"/>
              </w:rPr>
            </w:pPr>
            <w:r>
              <w:rPr>
                <w:rFonts w:ascii="Arial" w:cs="Arial" w:eastAsia="Arial" w:hAnsi="Arial"/>
                <w:sz w:val="17"/>
                <w:szCs w:val="17"/>
                <w:color w:val="auto"/>
              </w:rPr>
              <w:t>Net operating losses</w:t>
            </w:r>
          </w:p>
        </w:tc>
        <w:tc>
          <w:tcPr>
            <w:tcW w:w="4240" w:type="dxa"/>
            <w:vAlign w:val="bottom"/>
          </w:tcPr>
          <w:p>
            <w:pPr>
              <w:jc w:val="right"/>
              <w:ind w:right="457"/>
              <w:spacing w:after="0"/>
              <w:rPr>
                <w:sz w:val="20"/>
                <w:szCs w:val="20"/>
                <w:color w:val="auto"/>
              </w:rPr>
            </w:pPr>
            <w:r>
              <w:rPr>
                <w:rFonts w:ascii="Arial" w:cs="Arial" w:eastAsia="Arial" w:hAnsi="Arial"/>
                <w:sz w:val="17"/>
                <w:szCs w:val="17"/>
                <w:color w:val="auto"/>
              </w:rPr>
              <w:t>100.5</w:t>
            </w:r>
          </w:p>
        </w:tc>
        <w:tc>
          <w:tcPr>
            <w:tcW w:w="1040" w:type="dxa"/>
            <w:vAlign w:val="bottom"/>
          </w:tcPr>
          <w:p>
            <w:pPr>
              <w:jc w:val="right"/>
              <w:ind w:right="17"/>
              <w:spacing w:after="0"/>
              <w:rPr>
                <w:sz w:val="20"/>
                <w:szCs w:val="20"/>
                <w:color w:val="auto"/>
              </w:rPr>
            </w:pPr>
            <w:r>
              <w:rPr>
                <w:rFonts w:ascii="Arial" w:cs="Arial" w:eastAsia="Arial" w:hAnsi="Arial"/>
                <w:sz w:val="17"/>
                <w:szCs w:val="17"/>
                <w:color w:val="auto"/>
              </w:rPr>
              <w:t>104.1</w:t>
            </w:r>
          </w:p>
        </w:tc>
      </w:tr>
      <w:tr>
        <w:trPr>
          <w:trHeight w:val="25"/>
        </w:trPr>
        <w:tc>
          <w:tcPr>
            <w:tcW w:w="6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24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7"/>
                <w:szCs w:val="17"/>
                <w:color w:val="auto"/>
              </w:rPr>
              <w:t>97.4</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77.6</w:t>
            </w:r>
          </w:p>
        </w:tc>
      </w:tr>
      <w:tr>
        <w:trPr>
          <w:trHeight w:val="224"/>
        </w:trPr>
        <w:tc>
          <w:tcPr>
            <w:tcW w:w="6140" w:type="dxa"/>
            <w:vAlign w:val="bottom"/>
          </w:tcPr>
          <w:p>
            <w:pPr>
              <w:ind w:left="20"/>
              <w:spacing w:after="0"/>
              <w:rPr>
                <w:sz w:val="20"/>
                <w:szCs w:val="20"/>
                <w:color w:val="auto"/>
              </w:rPr>
            </w:pPr>
            <w:r>
              <w:rPr>
                <w:rFonts w:ascii="Arial" w:cs="Arial" w:eastAsia="Arial" w:hAnsi="Arial"/>
                <w:sz w:val="17"/>
                <w:szCs w:val="17"/>
                <w:color w:val="auto"/>
              </w:rPr>
              <w:t>Valuation allowance</w:t>
            </w:r>
          </w:p>
        </w:tc>
        <w:tc>
          <w:tcPr>
            <w:tcW w:w="4240" w:type="dxa"/>
            <w:vAlign w:val="bottom"/>
          </w:tcPr>
          <w:p>
            <w:pPr>
              <w:jc w:val="right"/>
              <w:ind w:right="397"/>
              <w:spacing w:after="0"/>
              <w:rPr>
                <w:sz w:val="20"/>
                <w:szCs w:val="20"/>
                <w:color w:val="auto"/>
              </w:rPr>
            </w:pPr>
            <w:r>
              <w:rPr>
                <w:rFonts w:ascii="Arial" w:cs="Arial" w:eastAsia="Arial" w:hAnsi="Arial"/>
                <w:sz w:val="17"/>
                <w:szCs w:val="17"/>
                <w:color w:val="auto"/>
              </w:rPr>
              <w:t>(72.4)</w:t>
            </w:r>
          </w:p>
        </w:tc>
        <w:tc>
          <w:tcPr>
            <w:tcW w:w="1040" w:type="dxa"/>
            <w:vAlign w:val="bottom"/>
          </w:tcPr>
          <w:p>
            <w:pPr>
              <w:jc w:val="right"/>
              <w:spacing w:after="0"/>
              <w:rPr>
                <w:sz w:val="20"/>
                <w:szCs w:val="20"/>
                <w:color w:val="auto"/>
              </w:rPr>
            </w:pPr>
            <w:r>
              <w:rPr>
                <w:rFonts w:ascii="Arial" w:cs="Arial" w:eastAsia="Arial" w:hAnsi="Arial"/>
                <w:sz w:val="17"/>
                <w:szCs w:val="17"/>
                <w:color w:val="auto"/>
              </w:rPr>
              <w:t>(77.5)</w:t>
            </w:r>
          </w:p>
        </w:tc>
      </w:tr>
      <w:tr>
        <w:trPr>
          <w:trHeight w:val="25"/>
        </w:trPr>
        <w:tc>
          <w:tcPr>
            <w:tcW w:w="61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7"/>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future tax benefits</w:t>
            </w:r>
          </w:p>
        </w:tc>
        <w:tc>
          <w:tcPr>
            <w:tcW w:w="424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7"/>
                <w:szCs w:val="17"/>
                <w:color w:val="auto"/>
              </w:rPr>
              <w:t>$67.0</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$68.7</w:t>
            </w:r>
          </w:p>
        </w:tc>
      </w:tr>
      <w:tr>
        <w:trPr>
          <w:trHeight w:val="217"/>
        </w:trPr>
        <w:tc>
          <w:tcPr>
            <w:tcW w:w="61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Deferred tax asset</w:t>
            </w:r>
          </w:p>
        </w:tc>
        <w:tc>
          <w:tcPr>
            <w:tcW w:w="4240" w:type="dxa"/>
            <w:vAlign w:val="bottom"/>
            <w:tcBorders>
              <w:top w:val="single" w:sz="8" w:color="auto"/>
            </w:tcBorders>
          </w:tcPr>
          <w:p>
            <w:pPr>
              <w:jc w:val="right"/>
              <w:ind w:right="457"/>
              <w:spacing w:after="0"/>
              <w:rPr>
                <w:sz w:val="20"/>
                <w:szCs w:val="20"/>
                <w:color w:val="auto"/>
              </w:rPr>
            </w:pPr>
            <w:r>
              <w:rPr>
                <w:rFonts w:ascii="Arial" w:cs="Arial" w:eastAsia="Arial" w:hAnsi="Arial"/>
                <w:sz w:val="17"/>
                <w:szCs w:val="17"/>
                <w:color w:val="auto"/>
              </w:rPr>
              <w:t>$99.3</w:t>
            </w: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$101.0</w:t>
            </w:r>
          </w:p>
        </w:tc>
      </w:tr>
      <w:tr>
        <w:trPr>
          <w:trHeight w:val="25"/>
        </w:trPr>
        <w:tc>
          <w:tcPr>
            <w:tcW w:w="61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liability</w:t>
            </w:r>
          </w:p>
        </w:tc>
        <w:tc>
          <w:tcPr>
            <w:tcW w:w="424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7"/>
                <w:szCs w:val="17"/>
                <w:color w:val="auto"/>
              </w:rPr>
              <w:t>(32.3)</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(32.3)</w:t>
            </w:r>
          </w:p>
        </w:tc>
      </w:tr>
      <w:tr>
        <w:trPr>
          <w:trHeight w:val="217"/>
        </w:trPr>
        <w:tc>
          <w:tcPr>
            <w:tcW w:w="61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Total future tax benefits</w:t>
            </w:r>
          </w:p>
        </w:tc>
        <w:tc>
          <w:tcPr>
            <w:tcW w:w="4240" w:type="dxa"/>
            <w:vAlign w:val="bottom"/>
            <w:tcBorders>
              <w:top w:val="single" w:sz="8" w:color="auto"/>
            </w:tcBorders>
          </w:tcPr>
          <w:p>
            <w:pPr>
              <w:jc w:val="right"/>
              <w:ind w:right="457"/>
              <w:spacing w:after="0"/>
              <w:rPr>
                <w:sz w:val="20"/>
                <w:szCs w:val="20"/>
                <w:color w:val="auto"/>
              </w:rPr>
            </w:pPr>
            <w:r>
              <w:rPr>
                <w:rFonts w:ascii="Arial" w:cs="Arial" w:eastAsia="Arial" w:hAnsi="Arial"/>
                <w:sz w:val="17"/>
                <w:szCs w:val="17"/>
                <w:color w:val="auto"/>
              </w:rPr>
              <w:t>$67.0</w:t>
            </w: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$68.7</w:t>
            </w:r>
          </w:p>
        </w:tc>
      </w:tr>
      <w:tr>
        <w:trPr>
          <w:trHeight w:val="25"/>
        </w:trPr>
        <w:tc>
          <w:tcPr>
            <w:tcW w:w="61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282A32"/>
        </w:rPr>
        <w:t>Pre-tax earnings of non-United States operations were $551.0, $514.9 and $482.2 in 2018, 2017 and 2016, respectively. We have not provided deferred taxes on $292.5 of unremitted earnings of non-United States subsidiaries that are considered permanently invested. As of December 31, 2018, deferred taxes for non-United States withholding and other taxes were provided on $1,729.3 of unremitted earnings of non-United States subsidiaries that may be remitted to the United States. As of December 31, 2018 and 2017, we have recorded a deferred tax liability of $15.3 and $5.5, respectively, related to these non-United States earnings that may be remitted.</w:t>
      </w:r>
    </w:p>
    <w:p>
      <w:pPr>
        <w:spacing w:after="0" w:line="14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We had United States federal and non-United States net operating loss carryforwards and United States state net operating loss carryforwards totaling $410.1 and $174.6, respectively, as of December 31, 2018. The net operating loss carryforwards expire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40" w:type="dxa"/>
            <w:vAlign w:val="bottom"/>
          </w:tcPr>
          <w:p>
            <w:pPr>
              <w:spacing w:after="0"/>
              <w:rPr>
                <w:sz w:val="17"/>
                <w:szCs w:val="17"/>
                <w:color w:val="auto"/>
              </w:rPr>
            </w:pPr>
          </w:p>
        </w:tc>
        <w:tc>
          <w:tcPr>
            <w:tcW w:w="4700" w:type="dxa"/>
            <w:vAlign w:val="bottom"/>
          </w:tcPr>
          <w:p>
            <w:pPr>
              <w:jc w:val="right"/>
              <w:ind w:right="217"/>
              <w:spacing w:after="0"/>
              <w:rPr>
                <w:sz w:val="20"/>
                <w:szCs w:val="20"/>
                <w:color w:val="auto"/>
              </w:rPr>
            </w:pPr>
            <w:r>
              <w:rPr>
                <w:rFonts w:ascii="Arial" w:cs="Arial" w:eastAsia="Arial" w:hAnsi="Arial"/>
                <w:sz w:val="17"/>
                <w:szCs w:val="17"/>
                <w:color w:val="auto"/>
              </w:rPr>
              <w:t>United States Federal</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United States</w:t>
            </w:r>
          </w:p>
        </w:tc>
      </w:tr>
      <w:tr>
        <w:trPr>
          <w:trHeight w:val="212"/>
        </w:trPr>
        <w:tc>
          <w:tcPr>
            <w:tcW w:w="5440" w:type="dxa"/>
            <w:vAlign w:val="bottom"/>
          </w:tcPr>
          <w:p>
            <w:pPr>
              <w:spacing w:after="0"/>
              <w:rPr>
                <w:sz w:val="18"/>
                <w:szCs w:val="18"/>
                <w:color w:val="auto"/>
              </w:rPr>
            </w:pPr>
          </w:p>
        </w:tc>
        <w:tc>
          <w:tcPr>
            <w:tcW w:w="4700" w:type="dxa"/>
            <w:vAlign w:val="bottom"/>
          </w:tcPr>
          <w:p>
            <w:pPr>
              <w:jc w:val="right"/>
              <w:ind w:right="217"/>
              <w:spacing w:after="0"/>
              <w:rPr>
                <w:sz w:val="20"/>
                <w:szCs w:val="20"/>
                <w:color w:val="auto"/>
              </w:rPr>
            </w:pPr>
            <w:r>
              <w:rPr>
                <w:rFonts w:ascii="Arial" w:cs="Arial" w:eastAsia="Arial" w:hAnsi="Arial"/>
                <w:sz w:val="17"/>
                <w:szCs w:val="17"/>
                <w:color w:val="auto"/>
              </w:rPr>
              <w:t>and Non-United States</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State</w:t>
            </w:r>
          </w:p>
        </w:tc>
      </w:tr>
      <w:tr>
        <w:trPr>
          <w:trHeight w:val="25"/>
        </w:trPr>
        <w:tc>
          <w:tcPr>
            <w:tcW w:w="544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47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$6.1</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w:t>
            </w:r>
          </w:p>
        </w:tc>
      </w:tr>
      <w:tr>
        <w:trPr>
          <w:trHeight w:val="224"/>
        </w:trPr>
        <w:tc>
          <w:tcPr>
            <w:tcW w:w="5440" w:type="dxa"/>
            <w:vAlign w:val="bottom"/>
          </w:tcPr>
          <w:p>
            <w:pPr>
              <w:ind w:left="20"/>
              <w:spacing w:after="0"/>
              <w:rPr>
                <w:sz w:val="20"/>
                <w:szCs w:val="20"/>
                <w:color w:val="auto"/>
              </w:rPr>
            </w:pPr>
            <w:r>
              <w:rPr>
                <w:rFonts w:ascii="Arial" w:cs="Arial" w:eastAsia="Arial" w:hAnsi="Arial"/>
                <w:sz w:val="17"/>
                <w:szCs w:val="17"/>
                <w:color w:val="auto"/>
              </w:rPr>
              <w:t>2020</w:t>
            </w:r>
          </w:p>
        </w:tc>
        <w:tc>
          <w:tcPr>
            <w:tcW w:w="4700" w:type="dxa"/>
            <w:vAlign w:val="bottom"/>
          </w:tcPr>
          <w:p>
            <w:pPr>
              <w:jc w:val="right"/>
              <w:ind w:right="217"/>
              <w:spacing w:after="0"/>
              <w:rPr>
                <w:sz w:val="20"/>
                <w:szCs w:val="20"/>
                <w:color w:val="auto"/>
              </w:rPr>
            </w:pPr>
            <w:r>
              <w:rPr>
                <w:rFonts w:ascii="Arial" w:cs="Arial" w:eastAsia="Arial" w:hAnsi="Arial"/>
                <w:sz w:val="17"/>
                <w:szCs w:val="17"/>
                <w:color w:val="auto"/>
              </w:rPr>
              <w:t>3.1</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0.2</w:t>
            </w:r>
          </w:p>
        </w:tc>
      </w:tr>
      <w:tr>
        <w:trPr>
          <w:trHeight w:val="25"/>
        </w:trPr>
        <w:tc>
          <w:tcPr>
            <w:tcW w:w="54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47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5.3</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w:t>
            </w:r>
          </w:p>
        </w:tc>
      </w:tr>
      <w:tr>
        <w:trPr>
          <w:trHeight w:val="224"/>
        </w:trPr>
        <w:tc>
          <w:tcPr>
            <w:tcW w:w="5440" w:type="dxa"/>
            <w:vAlign w:val="bottom"/>
          </w:tcPr>
          <w:p>
            <w:pPr>
              <w:ind w:left="20"/>
              <w:spacing w:after="0"/>
              <w:rPr>
                <w:sz w:val="20"/>
                <w:szCs w:val="20"/>
                <w:color w:val="auto"/>
              </w:rPr>
            </w:pPr>
            <w:r>
              <w:rPr>
                <w:rFonts w:ascii="Arial" w:cs="Arial" w:eastAsia="Arial" w:hAnsi="Arial"/>
                <w:sz w:val="17"/>
                <w:szCs w:val="17"/>
                <w:color w:val="auto"/>
              </w:rPr>
              <w:t>2022</w:t>
            </w:r>
          </w:p>
        </w:tc>
        <w:tc>
          <w:tcPr>
            <w:tcW w:w="4700" w:type="dxa"/>
            <w:vAlign w:val="bottom"/>
          </w:tcPr>
          <w:p>
            <w:pPr>
              <w:jc w:val="right"/>
              <w:ind w:right="217"/>
              <w:spacing w:after="0"/>
              <w:rPr>
                <w:sz w:val="20"/>
                <w:szCs w:val="20"/>
                <w:color w:val="auto"/>
              </w:rPr>
            </w:pPr>
            <w:r>
              <w:rPr>
                <w:rFonts w:ascii="Arial" w:cs="Arial" w:eastAsia="Arial" w:hAnsi="Arial"/>
                <w:sz w:val="17"/>
                <w:szCs w:val="17"/>
                <w:color w:val="auto"/>
              </w:rPr>
              <w:t>4.5</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4.0</w:t>
            </w:r>
          </w:p>
        </w:tc>
      </w:tr>
      <w:tr>
        <w:trPr>
          <w:trHeight w:val="25"/>
        </w:trPr>
        <w:tc>
          <w:tcPr>
            <w:tcW w:w="54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7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1.9</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9.6</w:t>
            </w:r>
          </w:p>
        </w:tc>
      </w:tr>
      <w:tr>
        <w:trPr>
          <w:trHeight w:val="224"/>
        </w:trPr>
        <w:tc>
          <w:tcPr>
            <w:tcW w:w="544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4700" w:type="dxa"/>
            <w:vAlign w:val="bottom"/>
          </w:tcPr>
          <w:p>
            <w:pPr>
              <w:jc w:val="right"/>
              <w:ind w:right="217"/>
              <w:spacing w:after="0"/>
              <w:rPr>
                <w:sz w:val="20"/>
                <w:szCs w:val="20"/>
                <w:color w:val="auto"/>
              </w:rPr>
            </w:pPr>
            <w:r>
              <w:rPr>
                <w:rFonts w:ascii="Arial" w:cs="Arial" w:eastAsia="Arial" w:hAnsi="Arial"/>
                <w:sz w:val="17"/>
                <w:szCs w:val="17"/>
                <w:color w:val="auto"/>
              </w:rPr>
              <w:t>22.2</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153.2</w:t>
            </w:r>
          </w:p>
        </w:tc>
      </w:tr>
      <w:tr>
        <w:trPr>
          <w:trHeight w:val="25"/>
        </w:trPr>
        <w:tc>
          <w:tcPr>
            <w:tcW w:w="54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 expirations</w:t>
            </w:r>
          </w:p>
        </w:tc>
        <w:tc>
          <w:tcPr>
            <w:tcW w:w="470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367.0</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17"/>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Total net operating loss carryforwards</w:t>
            </w:r>
          </w:p>
        </w:tc>
        <w:tc>
          <w:tcPr>
            <w:tcW w:w="470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rPr>
              <w:t>$410.1</w:t>
            </w:r>
          </w:p>
        </w:tc>
        <w:tc>
          <w:tcPr>
            <w:tcW w:w="12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$174.6</w:t>
            </w:r>
          </w:p>
        </w:tc>
      </w:tr>
      <w:tr>
        <w:trPr>
          <w:trHeight w:val="25"/>
        </w:trPr>
        <w:tc>
          <w:tcPr>
            <w:tcW w:w="5440" w:type="dxa"/>
            <w:vAlign w:val="bottom"/>
            <w:tcBorders>
              <w:bottom w:val="single" w:sz="8" w:color="auto"/>
            </w:tcBorders>
          </w:tcPr>
          <w:p>
            <w:pPr>
              <w:spacing w:after="0"/>
              <w:rPr>
                <w:sz w:val="2"/>
                <w:szCs w:val="2"/>
                <w:color w:val="auto"/>
              </w:rPr>
            </w:pPr>
          </w:p>
        </w:tc>
        <w:tc>
          <w:tcPr>
            <w:tcW w:w="4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We have recorded a deferred tax asset of $100.5 as of December 31, 2018, for the benefit of these net operating losses. Realization of this asset is dependent on generating sufficient taxable income prior to the expiration of the loss carryforwards. A related valuation allowance of $66.3 was recorded as of December 31, 2018, as management believed that realization of certain net operating loss carryforwards is unlikely.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551" w:right="239" w:bottom="1440" w:gutter="0" w:footer="0" w:header="0"/>
        </w:sectPr>
      </w:pPr>
    </w:p>
    <w:bookmarkStart w:id="74" w:name="page75"/>
    <w:bookmarkEnd w:id="74"/>
    <w:p>
      <w:pPr>
        <w:jc w:val="both"/>
        <w:spacing w:after="0" w:line="304" w:lineRule="auto"/>
        <w:rPr>
          <w:sz w:val="20"/>
          <w:szCs w:val="20"/>
          <w:color w:val="auto"/>
        </w:rPr>
      </w:pPr>
      <w:r>
        <w:rPr>
          <w:rFonts w:ascii="Arial" w:cs="Arial" w:eastAsia="Arial" w:hAnsi="Arial"/>
          <w:sz w:val="15"/>
          <w:szCs w:val="15"/>
          <w:color w:val="282A32"/>
        </w:rPr>
        <w:t>As of December 31, 2018, we had gross unrecognized tax benefits related to various tax jurisdictions, including interest and penalties, of $34.2 that would favorably affect the effective tax rate if recognized. During 2018, we settled non-United States tax litigation unfavorably, resulting in a reduction to our unrecognized tax benefits of $42.4 with minimal impact to the tax provision. We do not expect our unrecognized tax benefits to change significantly over the next year.</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282A32"/>
        </w:rPr>
        <w:t>As of December 31, 2017, we had gross unrecognized tax benefits related to various tax jurisdictions, including interest and penalties, of $66.5.</w:t>
      </w:r>
    </w:p>
    <w:p>
      <w:pPr>
        <w:spacing w:after="0" w:line="2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82A32"/>
        </w:rPr>
        <w:t>We recognize accrued interest and penalties related to unrecognized tax benefits in income tax expense. In 2018, we recognized a reduction of interest and penalties due to the aforementioned tax litigation of $18.4. We accrued net interest and penalties of $0.2 and $0.3 in 2017 and in 2016, respectively.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20"/>
                <w:szCs w:val="20"/>
                <w:color w:val="auto"/>
              </w:rPr>
            </w:pPr>
            <w:r>
              <w:rPr>
                <w:rFonts w:ascii="Arial" w:cs="Arial" w:eastAsia="Arial" w:hAnsi="Arial"/>
                <w:sz w:val="17"/>
                <w:szCs w:val="17"/>
                <w:color w:val="282A32"/>
                <w:w w:val="94"/>
              </w:rPr>
              <w:t>The following table summarizes the activity related to our unrecognized tax benefits during 2018, 2017 and 2016:</w:t>
            </w:r>
          </w:p>
        </w:tc>
        <w:tc>
          <w:tcPr>
            <w:tcW w:w="1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49"/>
        </w:trPr>
        <w:tc>
          <w:tcPr>
            <w:tcW w:w="8000" w:type="dxa"/>
            <w:vAlign w:val="bottom"/>
          </w:tcPr>
          <w:p>
            <w:pPr>
              <w:spacing w:after="0"/>
              <w:rPr>
                <w:sz w:val="24"/>
                <w:szCs w:val="24"/>
                <w:color w:val="auto"/>
              </w:rPr>
            </w:pPr>
          </w:p>
        </w:tc>
        <w:tc>
          <w:tcPr>
            <w:tcW w:w="1280" w:type="dxa"/>
            <w:vAlign w:val="bottom"/>
          </w:tcPr>
          <w:p>
            <w:pPr>
              <w:jc w:val="right"/>
              <w:ind w:right="377"/>
              <w:spacing w:after="0"/>
              <w:rPr>
                <w:sz w:val="20"/>
                <w:szCs w:val="20"/>
                <w:color w:val="auto"/>
              </w:rPr>
            </w:pPr>
            <w:r>
              <w:rPr>
                <w:rFonts w:ascii="Arial" w:cs="Arial" w:eastAsia="Arial" w:hAnsi="Arial"/>
                <w:sz w:val="17"/>
                <w:szCs w:val="17"/>
                <w:color w:val="auto"/>
              </w:rPr>
              <w:t>2018</w:t>
            </w:r>
          </w:p>
        </w:tc>
        <w:tc>
          <w:tcPr>
            <w:tcW w:w="1260" w:type="dxa"/>
            <w:vAlign w:val="bottom"/>
          </w:tcPr>
          <w:p>
            <w:pPr>
              <w:jc w:val="right"/>
              <w:ind w:right="397"/>
              <w:spacing w:after="0"/>
              <w:rPr>
                <w:sz w:val="20"/>
                <w:szCs w:val="20"/>
                <w:color w:val="auto"/>
              </w:rPr>
            </w:pPr>
            <w:r>
              <w:rPr>
                <w:rFonts w:ascii="Arial" w:cs="Arial" w:eastAsia="Arial" w:hAnsi="Arial"/>
                <w:sz w:val="17"/>
                <w:szCs w:val="17"/>
                <w:color w:val="auto"/>
              </w:rPr>
              <w:t>2017</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2016</w:t>
            </w:r>
          </w:p>
        </w:tc>
      </w:tr>
      <w:tr>
        <w:trPr>
          <w:trHeight w:val="25"/>
        </w:trPr>
        <w:tc>
          <w:tcPr>
            <w:tcW w:w="8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unrecognized tax benefits, beginning of year</w:t>
            </w:r>
          </w:p>
        </w:tc>
        <w:tc>
          <w:tcPr>
            <w:tcW w:w="128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$46.1</w:t>
            </w:r>
          </w:p>
        </w:tc>
        <w:tc>
          <w:tcPr>
            <w:tcW w:w="126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7"/>
                <w:szCs w:val="17"/>
                <w:color w:val="auto"/>
              </w:rPr>
              <w:t>$23.8</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$19.0</w:t>
            </w:r>
          </w:p>
        </w:tc>
      </w:tr>
      <w:tr>
        <w:trPr>
          <w:trHeight w:val="224"/>
        </w:trPr>
        <w:tc>
          <w:tcPr>
            <w:tcW w:w="8000" w:type="dxa"/>
            <w:vAlign w:val="bottom"/>
          </w:tcPr>
          <w:p>
            <w:pPr>
              <w:ind w:left="280"/>
              <w:spacing w:after="0"/>
              <w:rPr>
                <w:sz w:val="20"/>
                <w:szCs w:val="20"/>
                <w:color w:val="auto"/>
              </w:rPr>
            </w:pPr>
            <w:r>
              <w:rPr>
                <w:rFonts w:ascii="Arial" w:cs="Arial" w:eastAsia="Arial" w:hAnsi="Arial"/>
                <w:sz w:val="17"/>
                <w:szCs w:val="17"/>
                <w:color w:val="auto"/>
              </w:rPr>
              <w:t>Increases in prior year tax positions</w:t>
            </w:r>
          </w:p>
        </w:tc>
        <w:tc>
          <w:tcPr>
            <w:tcW w:w="1280" w:type="dxa"/>
            <w:vAlign w:val="bottom"/>
          </w:tcPr>
          <w:p>
            <w:pPr>
              <w:jc w:val="right"/>
              <w:ind w:right="377"/>
              <w:spacing w:after="0"/>
              <w:rPr>
                <w:sz w:val="20"/>
                <w:szCs w:val="20"/>
                <w:color w:val="auto"/>
              </w:rPr>
            </w:pPr>
            <w:r>
              <w:rPr>
                <w:rFonts w:ascii="Arial" w:cs="Arial" w:eastAsia="Arial" w:hAnsi="Arial"/>
                <w:sz w:val="17"/>
                <w:szCs w:val="17"/>
                <w:color w:val="auto"/>
              </w:rPr>
              <w:t>11.4</w:t>
            </w:r>
          </w:p>
        </w:tc>
        <w:tc>
          <w:tcPr>
            <w:tcW w:w="1260" w:type="dxa"/>
            <w:vAlign w:val="bottom"/>
          </w:tcPr>
          <w:p>
            <w:pPr>
              <w:jc w:val="right"/>
              <w:ind w:right="377"/>
              <w:spacing w:after="0"/>
              <w:rPr>
                <w:sz w:val="20"/>
                <w:szCs w:val="20"/>
                <w:color w:val="auto"/>
              </w:rPr>
            </w:pPr>
            <w:r>
              <w:rPr>
                <w:rFonts w:ascii="Arial" w:cs="Arial" w:eastAsia="Arial" w:hAnsi="Arial"/>
                <w:sz w:val="17"/>
                <w:szCs w:val="17"/>
                <w:color w:val="auto"/>
              </w:rPr>
              <w:t>27.1</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4.1</w:t>
            </w:r>
          </w:p>
        </w:tc>
      </w:tr>
      <w:tr>
        <w:trPr>
          <w:trHeight w:val="25"/>
        </w:trPr>
        <w:tc>
          <w:tcPr>
            <w:tcW w:w="8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Decreases in prior year tax positions</w:t>
            </w:r>
          </w:p>
        </w:tc>
        <w:tc>
          <w:tcPr>
            <w:tcW w:w="128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(1.8)</w:t>
            </w:r>
          </w:p>
        </w:tc>
        <w:tc>
          <w:tcPr>
            <w:tcW w:w="126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(1.2)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24"/>
        </w:trPr>
        <w:tc>
          <w:tcPr>
            <w:tcW w:w="8000" w:type="dxa"/>
            <w:vAlign w:val="bottom"/>
          </w:tcPr>
          <w:p>
            <w:pPr>
              <w:ind w:left="280"/>
              <w:spacing w:after="0"/>
              <w:rPr>
                <w:sz w:val="20"/>
                <w:szCs w:val="20"/>
                <w:color w:val="auto"/>
              </w:rPr>
            </w:pPr>
            <w:r>
              <w:rPr>
                <w:rFonts w:ascii="Arial" w:cs="Arial" w:eastAsia="Arial" w:hAnsi="Arial"/>
                <w:sz w:val="17"/>
                <w:szCs w:val="17"/>
                <w:color w:val="auto"/>
              </w:rPr>
              <w:t>Increases for current year tax positions</w:t>
            </w:r>
          </w:p>
        </w:tc>
        <w:tc>
          <w:tcPr>
            <w:tcW w:w="1280" w:type="dxa"/>
            <w:vAlign w:val="bottom"/>
          </w:tcPr>
          <w:p>
            <w:pPr>
              <w:jc w:val="right"/>
              <w:ind w:right="377"/>
              <w:spacing w:after="0"/>
              <w:rPr>
                <w:sz w:val="20"/>
                <w:szCs w:val="20"/>
                <w:color w:val="auto"/>
              </w:rPr>
            </w:pPr>
            <w:r>
              <w:rPr>
                <w:rFonts w:ascii="Arial" w:cs="Arial" w:eastAsia="Arial" w:hAnsi="Arial"/>
                <w:sz w:val="17"/>
                <w:szCs w:val="17"/>
                <w:color w:val="auto"/>
              </w:rPr>
              <w:t>5.9</w:t>
            </w:r>
          </w:p>
        </w:tc>
        <w:tc>
          <w:tcPr>
            <w:tcW w:w="1260" w:type="dxa"/>
            <w:vAlign w:val="bottom"/>
          </w:tcPr>
          <w:p>
            <w:pPr>
              <w:jc w:val="right"/>
              <w:ind w:right="397"/>
              <w:spacing w:after="0"/>
              <w:rPr>
                <w:sz w:val="20"/>
                <w:szCs w:val="20"/>
                <w:color w:val="auto"/>
              </w:rPr>
            </w:pPr>
            <w:r>
              <w:rPr>
                <w:rFonts w:ascii="Arial" w:cs="Arial" w:eastAsia="Arial" w:hAnsi="Arial"/>
                <w:sz w:val="17"/>
                <w:szCs w:val="17"/>
                <w:color w:val="auto"/>
              </w:rPr>
              <w:t>6.6</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4.1</w:t>
            </w:r>
          </w:p>
        </w:tc>
      </w:tr>
      <w:tr>
        <w:trPr>
          <w:trHeight w:val="25"/>
        </w:trPr>
        <w:tc>
          <w:tcPr>
            <w:tcW w:w="8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4"/>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Expiration of statute of limitations and audit settlements</w:t>
            </w:r>
          </w:p>
        </w:tc>
        <w:tc>
          <w:tcPr>
            <w:tcW w:w="128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(29.4)</w:t>
            </w:r>
          </w:p>
        </w:tc>
        <w:tc>
          <w:tcPr>
            <w:tcW w:w="126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(10.2)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7"/>
        </w:trPr>
        <w:tc>
          <w:tcPr>
            <w:tcW w:w="80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Gross unrecognized tax benefits, end of year</w:t>
            </w:r>
          </w:p>
        </w:tc>
        <w:tc>
          <w:tcPr>
            <w:tcW w:w="1280" w:type="dxa"/>
            <w:vAlign w:val="bottom"/>
            <w:tcBorders>
              <w:top w:val="single" w:sz="8" w:color="auto"/>
            </w:tcBorders>
          </w:tcPr>
          <w:p>
            <w:pPr>
              <w:jc w:val="right"/>
              <w:ind w:right="377"/>
              <w:spacing w:after="0"/>
              <w:rPr>
                <w:sz w:val="20"/>
                <w:szCs w:val="20"/>
                <w:color w:val="auto"/>
              </w:rPr>
            </w:pPr>
            <w:r>
              <w:rPr>
                <w:rFonts w:ascii="Arial" w:cs="Arial" w:eastAsia="Arial" w:hAnsi="Arial"/>
                <w:sz w:val="17"/>
                <w:szCs w:val="17"/>
                <w:color w:val="auto"/>
              </w:rPr>
              <w:t>$32.2</w:t>
            </w:r>
          </w:p>
        </w:tc>
        <w:tc>
          <w:tcPr>
            <w:tcW w:w="1260" w:type="dxa"/>
            <w:vAlign w:val="bottom"/>
            <w:tcBorders>
              <w:top w:val="single" w:sz="8" w:color="auto"/>
            </w:tcBorders>
          </w:tcPr>
          <w:p>
            <w:pPr>
              <w:jc w:val="right"/>
              <w:ind w:right="397"/>
              <w:spacing w:after="0"/>
              <w:rPr>
                <w:sz w:val="20"/>
                <w:szCs w:val="20"/>
                <w:color w:val="auto"/>
              </w:rPr>
            </w:pPr>
            <w:r>
              <w:rPr>
                <w:rFonts w:ascii="Arial" w:cs="Arial" w:eastAsia="Arial" w:hAnsi="Arial"/>
                <w:sz w:val="17"/>
                <w:szCs w:val="17"/>
                <w:color w:val="auto"/>
              </w:rPr>
              <w:t>$46.1</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$23.8</w:t>
            </w:r>
          </w:p>
        </w:tc>
      </w:tr>
      <w:tr>
        <w:trPr>
          <w:trHeight w:val="25"/>
        </w:trPr>
        <w:tc>
          <w:tcPr>
            <w:tcW w:w="8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7"/>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Potential interest and penalties</w:t>
            </w:r>
          </w:p>
        </w:tc>
        <w:tc>
          <w:tcPr>
            <w:tcW w:w="128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2.0</w:t>
            </w:r>
          </w:p>
        </w:tc>
        <w:tc>
          <w:tcPr>
            <w:tcW w:w="126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20.4</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20.2</w:t>
            </w:r>
          </w:p>
        </w:tc>
      </w:tr>
      <w:tr>
        <w:trPr>
          <w:trHeight w:val="217"/>
        </w:trPr>
        <w:tc>
          <w:tcPr>
            <w:tcW w:w="80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Balance, end of year</w:t>
            </w:r>
          </w:p>
        </w:tc>
        <w:tc>
          <w:tcPr>
            <w:tcW w:w="1280" w:type="dxa"/>
            <w:vAlign w:val="bottom"/>
            <w:tcBorders>
              <w:top w:val="single" w:sz="8" w:color="auto"/>
            </w:tcBorders>
          </w:tcPr>
          <w:p>
            <w:pPr>
              <w:jc w:val="right"/>
              <w:ind w:right="377"/>
              <w:spacing w:after="0"/>
              <w:rPr>
                <w:sz w:val="20"/>
                <w:szCs w:val="20"/>
                <w:color w:val="auto"/>
              </w:rPr>
            </w:pPr>
            <w:r>
              <w:rPr>
                <w:rFonts w:ascii="Arial" w:cs="Arial" w:eastAsia="Arial" w:hAnsi="Arial"/>
                <w:sz w:val="17"/>
                <w:szCs w:val="17"/>
                <w:color w:val="auto"/>
              </w:rPr>
              <w:t>$34.2</w:t>
            </w:r>
          </w:p>
        </w:tc>
        <w:tc>
          <w:tcPr>
            <w:tcW w:w="1260" w:type="dxa"/>
            <w:vAlign w:val="bottom"/>
            <w:tcBorders>
              <w:top w:val="single" w:sz="8" w:color="auto"/>
            </w:tcBorders>
          </w:tcPr>
          <w:p>
            <w:pPr>
              <w:jc w:val="right"/>
              <w:ind w:right="397"/>
              <w:spacing w:after="0"/>
              <w:rPr>
                <w:sz w:val="20"/>
                <w:szCs w:val="20"/>
                <w:color w:val="auto"/>
              </w:rPr>
            </w:pPr>
            <w:r>
              <w:rPr>
                <w:rFonts w:ascii="Arial" w:cs="Arial" w:eastAsia="Arial" w:hAnsi="Arial"/>
                <w:sz w:val="17"/>
                <w:szCs w:val="17"/>
                <w:color w:val="auto"/>
              </w:rPr>
              <w:t>$66.5</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$44.0</w:t>
            </w:r>
          </w:p>
        </w:tc>
      </w:tr>
      <w:tr>
        <w:trPr>
          <w:trHeight w:val="25"/>
        </w:trPr>
        <w:tc>
          <w:tcPr>
            <w:tcW w:w="80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We conduct business globally in various countries and territories. We are routinely audited by the tax authorities of the various tax jurisdictions in which we operate. Generally, the tax years that could be subject to examination are 2011 through 2018 for our major operations in France, Germany, Japan, the United Kingdom and the United States. As of December 31, 2018, we were subject to tax audits in Austria, Canada, Denmark, France, Germany, and the United States. We believe that the resolution of these audits will not have a material impact on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351" w:right="239" w:bottom="1440" w:gutter="0" w:footer="0" w:header="0"/>
        </w:sectPr>
      </w:pPr>
    </w:p>
    <w:bookmarkStart w:id="75" w:name="page76"/>
    <w:bookmarkEnd w:id="75"/>
    <w:p>
      <w:pPr>
        <w:ind w:left="240" w:hanging="240"/>
        <w:spacing w:after="0"/>
        <w:tabs>
          <w:tab w:leader="none" w:pos="240" w:val="left"/>
        </w:tabs>
        <w:numPr>
          <w:ilvl w:val="0"/>
          <w:numId w:val="40"/>
        </w:numPr>
        <w:rPr>
          <w:rFonts w:ascii="Arial" w:cs="Arial" w:eastAsia="Arial" w:hAnsi="Arial"/>
          <w:sz w:val="17"/>
          <w:szCs w:val="17"/>
          <w:color w:val="282A32"/>
        </w:rPr>
      </w:pPr>
      <w:r>
        <w:rPr>
          <w:rFonts w:ascii="Arial" w:cs="Arial" w:eastAsia="Arial" w:hAnsi="Arial"/>
          <w:sz w:val="17"/>
          <w:szCs w:val="17"/>
          <w:u w:val="single" w:color="auto"/>
          <w:color w:val="282A32"/>
        </w:rPr>
        <w:t>Goodwill</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282A32"/>
        </w:rPr>
        <w:t>Changes in the carrying value of goodwill by reportable segment and Corporate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Southern</w:t>
            </w:r>
          </w:p>
        </w:tc>
        <w:tc>
          <w:tcPr>
            <w:tcW w:w="34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Northern</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Right</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8"/>
        </w:trPr>
        <w:tc>
          <w:tcPr>
            <w:tcW w:w="2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7"/>
              <w:spacing w:after="0" w:line="239" w:lineRule="exact"/>
              <w:rPr>
                <w:sz w:val="20"/>
                <w:szCs w:val="20"/>
                <w:color w:val="auto"/>
              </w:rPr>
            </w:pPr>
            <w:r>
              <w:rPr>
                <w:rFonts w:ascii="Arial" w:cs="Arial" w:eastAsia="Arial" w:hAnsi="Arial"/>
                <w:sz w:val="17"/>
                <w:szCs w:val="17"/>
                <w:color w:val="auto"/>
              </w:rPr>
              <w:t>Americas</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
              <w:spacing w:after="0" w:line="239" w:lineRule="exact"/>
              <w:rPr>
                <w:sz w:val="20"/>
                <w:szCs w:val="20"/>
                <w:color w:val="auto"/>
              </w:rPr>
            </w:pPr>
            <w:r>
              <w:rPr>
                <w:rFonts w:ascii="Arial" w:cs="Arial" w:eastAsia="Arial" w:hAnsi="Arial"/>
                <w:sz w:val="17"/>
                <w:szCs w:val="17"/>
                <w:color w:val="auto"/>
              </w:rPr>
              <w:t>Europe</w:t>
            </w:r>
            <w:r>
              <w:rPr>
                <w:rFonts w:ascii="Arial" w:cs="Arial" w:eastAsia="Arial" w:hAnsi="Arial"/>
                <w:sz w:val="23"/>
                <w:szCs w:val="23"/>
                <w:color w:val="auto"/>
                <w:vertAlign w:val="superscript"/>
              </w:rPr>
              <w:t>(2)</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Europe</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APME</w:t>
            </w: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Management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239" w:lineRule="exact"/>
              <w:rPr>
                <w:sz w:val="20"/>
                <w:szCs w:val="20"/>
                <w:color w:val="auto"/>
              </w:rPr>
            </w:pPr>
            <w:r>
              <w:rPr>
                <w:rFonts w:ascii="Arial" w:cs="Arial" w:eastAsia="Arial" w:hAnsi="Arial"/>
                <w:sz w:val="17"/>
                <w:szCs w:val="17"/>
                <w:color w:val="auto"/>
                <w:w w:val="93"/>
              </w:rPr>
              <w:t>Corporate</w:t>
            </w:r>
            <w:r>
              <w:rPr>
                <w:rFonts w:ascii="Arial" w:cs="Arial" w:eastAsia="Arial" w:hAnsi="Arial"/>
                <w:sz w:val="23"/>
                <w:szCs w:val="23"/>
                <w:color w:val="auto"/>
                <w:w w:val="93"/>
                <w:vertAlign w:val="superscript"/>
              </w:rPr>
              <w:t>(3)</w:t>
            </w: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
              <w:spacing w:after="0" w:line="239" w:lineRule="exact"/>
              <w:rPr>
                <w:sz w:val="20"/>
                <w:szCs w:val="20"/>
                <w:color w:val="auto"/>
              </w:rPr>
            </w:pPr>
            <w:r>
              <w:rPr>
                <w:rFonts w:ascii="Arial" w:cs="Arial" w:eastAsia="Arial" w:hAnsi="Arial"/>
                <w:sz w:val="17"/>
                <w:szCs w:val="17"/>
                <w:color w:val="auto"/>
              </w:rPr>
              <w:t>Total</w:t>
            </w:r>
            <w:r>
              <w:rPr>
                <w:rFonts w:ascii="Arial" w:cs="Arial" w:eastAsia="Arial" w:hAnsi="Arial"/>
                <w:sz w:val="23"/>
                <w:szCs w:val="23"/>
                <w:color w:val="auto"/>
                <w:vertAlign w:val="superscript"/>
              </w:rPr>
              <w:t>(4)</w:t>
            </w:r>
          </w:p>
        </w:tc>
      </w:tr>
      <w:tr>
        <w:trPr>
          <w:trHeight w:val="222"/>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January 1, 2017</w:t>
            </w:r>
          </w:p>
        </w:tc>
        <w:tc>
          <w:tcPr>
            <w:tcW w:w="4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516.4</w:t>
            </w: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97.0</w:t>
            </w:r>
          </w:p>
        </w:tc>
        <w:tc>
          <w:tcPr>
            <w:tcW w:w="3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421.9</w:t>
            </w:r>
          </w:p>
        </w:tc>
        <w:tc>
          <w:tcPr>
            <w:tcW w:w="40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77.0</w:t>
            </w: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4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1,239.9</w:t>
            </w:r>
          </w:p>
        </w:tc>
      </w:tr>
      <w:tr>
        <w:trPr>
          <w:trHeight w:val="224"/>
        </w:trPr>
        <w:tc>
          <w:tcPr>
            <w:tcW w:w="2360" w:type="dxa"/>
            <w:vAlign w:val="bottom"/>
          </w:tcPr>
          <w:p>
            <w:pPr>
              <w:ind w:left="140"/>
              <w:spacing w:after="0"/>
              <w:rPr>
                <w:sz w:val="20"/>
                <w:szCs w:val="20"/>
                <w:color w:val="auto"/>
              </w:rPr>
            </w:pPr>
            <w:r>
              <w:rPr>
                <w:rFonts w:ascii="Arial" w:cs="Arial" w:eastAsia="Arial" w:hAnsi="Arial"/>
                <w:sz w:val="17"/>
                <w:szCs w:val="17"/>
                <w:color w:val="auto"/>
              </w:rPr>
              <w:t>Goodwill acquired</w:t>
            </w:r>
          </w:p>
        </w:tc>
        <w:tc>
          <w:tcPr>
            <w:tcW w:w="4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10.0</w:t>
            </w:r>
          </w:p>
        </w:tc>
        <w:tc>
          <w:tcPr>
            <w:tcW w:w="34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0.1</w:t>
            </w:r>
          </w:p>
        </w:tc>
        <w:tc>
          <w:tcPr>
            <w:tcW w:w="40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24.9</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35.0</w:t>
            </w:r>
          </w:p>
        </w:tc>
      </w:tr>
      <w:tr>
        <w:trPr>
          <w:trHeight w:val="25"/>
        </w:trPr>
        <w:tc>
          <w:tcPr>
            <w:tcW w:w="2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4"/>
        </w:trPr>
        <w:tc>
          <w:tcPr>
            <w:tcW w:w="2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Currency impact and other</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14.9</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46.1</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4.3</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68.1</w:t>
            </w:r>
          </w:p>
        </w:tc>
      </w:tr>
      <w:tr>
        <w:trPr>
          <w:trHeight w:val="217"/>
        </w:trPr>
        <w:tc>
          <w:tcPr>
            <w:tcW w:w="23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Balance, December 31, 2017</w:t>
            </w:r>
          </w:p>
        </w:tc>
        <w:tc>
          <w:tcPr>
            <w:tcW w:w="4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519.2</w:t>
            </w: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121.9</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468.1</w:t>
            </w: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106.2</w:t>
            </w: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62.1</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1,343.0</w:t>
            </w:r>
          </w:p>
        </w:tc>
      </w:tr>
      <w:tr>
        <w:trPr>
          <w:trHeight w:val="25"/>
        </w:trPr>
        <w:tc>
          <w:tcPr>
            <w:tcW w:w="2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2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Goodwill acquired</w:t>
            </w:r>
          </w:p>
        </w:tc>
        <w:tc>
          <w:tcPr>
            <w:tcW w:w="4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4.6</w:t>
            </w: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w:t>
            </w: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6.1</w:t>
            </w:r>
          </w:p>
        </w:tc>
      </w:tr>
      <w:tr>
        <w:trPr>
          <w:trHeight w:val="212"/>
        </w:trPr>
        <w:tc>
          <w:tcPr>
            <w:tcW w:w="2360" w:type="dxa"/>
            <w:vAlign w:val="bottom"/>
          </w:tcPr>
          <w:p>
            <w:pPr>
              <w:ind w:left="140"/>
              <w:spacing w:after="0"/>
              <w:rPr>
                <w:sz w:val="20"/>
                <w:szCs w:val="20"/>
                <w:color w:val="auto"/>
              </w:rPr>
            </w:pPr>
            <w:r>
              <w:rPr>
                <w:rFonts w:ascii="Arial" w:cs="Arial" w:eastAsia="Arial" w:hAnsi="Arial"/>
                <w:sz w:val="17"/>
                <w:szCs w:val="17"/>
                <w:color w:val="auto"/>
                <w:w w:val="96"/>
              </w:rPr>
              <w:t>Goodwill allocated to business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2"/>
        </w:trPr>
        <w:tc>
          <w:tcPr>
            <w:tcW w:w="2360" w:type="dxa"/>
            <w:vAlign w:val="bottom"/>
          </w:tcPr>
          <w:p>
            <w:pPr>
              <w:ind w:left="20"/>
              <w:spacing w:after="0"/>
              <w:rPr>
                <w:sz w:val="20"/>
                <w:szCs w:val="20"/>
                <w:color w:val="auto"/>
              </w:rPr>
            </w:pPr>
            <w:r>
              <w:rPr>
                <w:rFonts w:ascii="Arial" w:cs="Arial" w:eastAsia="Arial" w:hAnsi="Arial"/>
                <w:sz w:val="17"/>
                <w:szCs w:val="17"/>
                <w:color w:val="auto"/>
              </w:rPr>
              <w:t>units sold</w:t>
            </w:r>
          </w:p>
        </w:tc>
        <w:tc>
          <w:tcPr>
            <w:tcW w:w="400" w:type="dxa"/>
            <w:vAlign w:val="bottom"/>
          </w:tcPr>
          <w:p>
            <w:pPr>
              <w:spacing w:after="0"/>
              <w:rPr>
                <w:sz w:val="18"/>
                <w:szCs w:val="18"/>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(8.8)</w:t>
            </w:r>
          </w:p>
        </w:tc>
        <w:tc>
          <w:tcPr>
            <w:tcW w:w="40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5"/>
        </w:trPr>
        <w:tc>
          <w:tcPr>
            <w:tcW w:w="2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4"/>
        </w:trPr>
        <w:tc>
          <w:tcPr>
            <w:tcW w:w="2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Currency impact and other</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(43.2)</w:t>
            </w:r>
          </w:p>
        </w:tc>
      </w:tr>
      <w:tr>
        <w:trPr>
          <w:trHeight w:val="217"/>
        </w:trPr>
        <w:tc>
          <w:tcPr>
            <w:tcW w:w="23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Balance, December 31, 2018</w:t>
            </w:r>
          </w:p>
        </w:tc>
        <w:tc>
          <w:tcPr>
            <w:tcW w:w="40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519.9</w:t>
            </w:r>
          </w:p>
        </w:tc>
        <w:tc>
          <w:tcPr>
            <w:tcW w:w="34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112.2</w:t>
            </w:r>
          </w:p>
        </w:tc>
        <w:tc>
          <w:tcPr>
            <w:tcW w:w="340" w:type="dxa"/>
            <w:vAlign w:val="bottom"/>
            <w:tcBorders>
              <w:top w:val="single" w:sz="8" w:color="auto"/>
            </w:tcBorders>
          </w:tcPr>
          <w:p>
            <w:pPr>
              <w:jc w:val="right"/>
              <w:ind w:right="117"/>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435.4</w:t>
            </w:r>
          </w:p>
        </w:tc>
        <w:tc>
          <w:tcPr>
            <w:tcW w:w="40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102.0</w:t>
            </w:r>
          </w:p>
        </w:tc>
        <w:tc>
          <w:tcPr>
            <w:tcW w:w="260" w:type="dxa"/>
            <w:vAlign w:val="bottom"/>
            <w:tcBorders>
              <w:top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62.1</w:t>
            </w:r>
          </w:p>
        </w:tc>
        <w:tc>
          <w:tcPr>
            <w:tcW w:w="2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65.5</w:t>
            </w:r>
          </w:p>
        </w:tc>
        <w:tc>
          <w:tcPr>
            <w:tcW w:w="420" w:type="dxa"/>
            <w:vAlign w:val="bottom"/>
            <w:tcBorders>
              <w:top w:val="single" w:sz="8" w:color="auto"/>
            </w:tcBorders>
          </w:tcPr>
          <w:p>
            <w:pPr>
              <w:jc w:val="right"/>
              <w:ind w:right="17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1,297.1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741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59" w:lineRule="exact"/>
        <w:rPr>
          <w:sz w:val="20"/>
          <w:szCs w:val="20"/>
          <w:color w:val="auto"/>
        </w:rPr>
      </w:pPr>
    </w:p>
    <w:p>
      <w:pPr>
        <w:ind w:left="220" w:hanging="220"/>
        <w:spacing w:after="0"/>
        <w:tabs>
          <w:tab w:leader="none" w:pos="220" w:val="left"/>
        </w:tabs>
        <w:numPr>
          <w:ilvl w:val="0"/>
          <w:numId w:val="41"/>
        </w:numPr>
        <w:rPr>
          <w:rFonts w:ascii="Arial" w:cs="Arial" w:eastAsia="Arial" w:hAnsi="Arial"/>
          <w:sz w:val="15"/>
          <w:szCs w:val="15"/>
          <w:color w:val="282A32"/>
        </w:rPr>
      </w:pPr>
      <w:r>
        <w:rPr>
          <w:rFonts w:ascii="Arial" w:cs="Arial" w:eastAsia="Arial" w:hAnsi="Arial"/>
          <w:sz w:val="15"/>
          <w:szCs w:val="15"/>
          <w:color w:val="282A32"/>
        </w:rPr>
        <w:t>Balances related to United States were $476.5 as of January 1, 2017, December 31, 2017 and December 31, 2018.</w:t>
      </w:r>
    </w:p>
    <w:p>
      <w:pPr>
        <w:spacing w:after="0" w:line="51" w:lineRule="exact"/>
        <w:rPr>
          <w:rFonts w:ascii="Arial" w:cs="Arial" w:eastAsia="Arial" w:hAnsi="Arial"/>
          <w:sz w:val="15"/>
          <w:szCs w:val="15"/>
          <w:color w:val="282A32"/>
        </w:rPr>
      </w:pPr>
    </w:p>
    <w:p>
      <w:pPr>
        <w:spacing w:after="0" w:line="266" w:lineRule="auto"/>
        <w:tabs>
          <w:tab w:leader="none" w:pos="212" w:val="left"/>
        </w:tabs>
        <w:numPr>
          <w:ilvl w:val="0"/>
          <w:numId w:val="41"/>
        </w:numPr>
        <w:rPr>
          <w:rFonts w:ascii="Arial" w:cs="Arial" w:eastAsia="Arial" w:hAnsi="Arial"/>
          <w:sz w:val="15"/>
          <w:szCs w:val="15"/>
          <w:color w:val="282A32"/>
        </w:rPr>
      </w:pPr>
      <w:r>
        <w:rPr>
          <w:rFonts w:ascii="Arial" w:cs="Arial" w:eastAsia="Arial" w:hAnsi="Arial"/>
          <w:sz w:val="15"/>
          <w:szCs w:val="15"/>
          <w:color w:val="282A32"/>
        </w:rPr>
        <w:t>Balances related to France were $66.8, $76.3 and $68.9 as of January 1, 2017, December 31, 2017 and December 31, 2018, respectively. Balances related to Italy were $4.4, $5.0 and $4.8 as of January 1, 2017, December 31, 2017 and December 31, 2018, respectively.</w:t>
      </w:r>
    </w:p>
    <w:p>
      <w:pPr>
        <w:spacing w:after="0" w:line="66" w:lineRule="exact"/>
        <w:rPr>
          <w:rFonts w:ascii="Arial" w:cs="Arial" w:eastAsia="Arial" w:hAnsi="Arial"/>
          <w:sz w:val="15"/>
          <w:szCs w:val="15"/>
          <w:color w:val="282A32"/>
        </w:rPr>
      </w:pPr>
    </w:p>
    <w:p>
      <w:pPr>
        <w:jc w:val="both"/>
        <w:spacing w:after="0" w:line="281" w:lineRule="auto"/>
        <w:tabs>
          <w:tab w:leader="none" w:pos="219" w:val="left"/>
        </w:tabs>
        <w:numPr>
          <w:ilvl w:val="0"/>
          <w:numId w:val="41"/>
        </w:numPr>
        <w:rPr>
          <w:rFonts w:ascii="Arial" w:cs="Arial" w:eastAsia="Arial" w:hAnsi="Arial"/>
          <w:sz w:val="14"/>
          <w:szCs w:val="14"/>
          <w:color w:val="282A32"/>
        </w:rPr>
      </w:pPr>
      <w:r>
        <w:rPr>
          <w:rFonts w:ascii="Arial" w:cs="Arial" w:eastAsia="Arial" w:hAnsi="Arial"/>
          <w:sz w:val="14"/>
          <w:szCs w:val="14"/>
          <w:color w:val="282A32"/>
        </w:rPr>
        <w:t>The majority of the Corporate balance as of December 31, 2018 relates to goodwill attributable to our acquisition of Jefferson Wells ($55.5) which is part of the United States reporting unit. For purposes of monitoring our total assets by segment, we do not allocate the Corporate balance to the respective reportable segments. We do, however, include these balances within the appropriate reporting units for our goodwill impairment testing. See the table below for the breakout of goodwill balances by reporting unit.</w:t>
      </w:r>
    </w:p>
    <w:p>
      <w:pPr>
        <w:spacing w:after="0" w:line="57" w:lineRule="exact"/>
        <w:rPr>
          <w:rFonts w:ascii="Arial" w:cs="Arial" w:eastAsia="Arial" w:hAnsi="Arial"/>
          <w:sz w:val="14"/>
          <w:szCs w:val="14"/>
          <w:color w:val="282A32"/>
        </w:rPr>
      </w:pPr>
    </w:p>
    <w:p>
      <w:pPr>
        <w:ind w:left="220" w:hanging="220"/>
        <w:spacing w:after="0"/>
        <w:tabs>
          <w:tab w:leader="none" w:pos="220" w:val="left"/>
        </w:tabs>
        <w:numPr>
          <w:ilvl w:val="0"/>
          <w:numId w:val="41"/>
        </w:numPr>
        <w:rPr>
          <w:rFonts w:ascii="Arial" w:cs="Arial" w:eastAsia="Arial" w:hAnsi="Arial"/>
          <w:sz w:val="15"/>
          <w:szCs w:val="15"/>
          <w:color w:val="282A32"/>
        </w:rPr>
      </w:pPr>
      <w:r>
        <w:rPr>
          <w:rFonts w:ascii="Arial" w:cs="Arial" w:eastAsia="Arial" w:hAnsi="Arial"/>
          <w:sz w:val="15"/>
          <w:szCs w:val="15"/>
          <w:color w:val="282A32"/>
        </w:rPr>
        <w:t>Balances were net of accumulated impairment loss of $513.4 as of January 1, 2017, December 31, 2017 and December 31, 2018.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gridSpan w:val="3"/>
          </w:tcPr>
          <w:p>
            <w:pPr>
              <w:spacing w:after="0"/>
              <w:rPr>
                <w:sz w:val="20"/>
                <w:szCs w:val="20"/>
                <w:color w:val="auto"/>
              </w:rPr>
            </w:pPr>
            <w:r>
              <w:rPr>
                <w:rFonts w:ascii="Arial" w:cs="Arial" w:eastAsia="Arial" w:hAnsi="Arial"/>
                <w:sz w:val="17"/>
                <w:szCs w:val="17"/>
                <w:color w:val="282A32"/>
              </w:rPr>
              <w:t>Goodwill balances by reporting unit were as follows:</w:t>
            </w:r>
          </w:p>
        </w:tc>
        <w:tc>
          <w:tcPr>
            <w:tcW w:w="36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49"/>
        </w:trPr>
        <w:tc>
          <w:tcPr>
            <w:tcW w:w="6760" w:type="dxa"/>
            <w:vAlign w:val="bottom"/>
            <w:gridSpan w:val="3"/>
          </w:tcPr>
          <w:p>
            <w:pPr>
              <w:ind w:left="20"/>
              <w:spacing w:after="0"/>
              <w:rPr>
                <w:sz w:val="20"/>
                <w:szCs w:val="20"/>
                <w:color w:val="auto"/>
              </w:rPr>
            </w:pPr>
            <w:r>
              <w:rPr>
                <w:rFonts w:ascii="Arial" w:cs="Arial" w:eastAsia="Arial" w:hAnsi="Arial"/>
                <w:sz w:val="17"/>
                <w:szCs w:val="17"/>
                <w:color w:val="auto"/>
              </w:rPr>
              <w:t>December 31</w:t>
            </w:r>
          </w:p>
        </w:tc>
        <w:tc>
          <w:tcPr>
            <w:tcW w:w="3640" w:type="dxa"/>
            <w:vAlign w:val="bottom"/>
          </w:tcPr>
          <w:p>
            <w:pPr>
              <w:jc w:val="right"/>
              <w:ind w:right="257"/>
              <w:spacing w:after="0"/>
              <w:rPr>
                <w:sz w:val="20"/>
                <w:szCs w:val="20"/>
                <w:color w:val="auto"/>
              </w:rPr>
            </w:pPr>
            <w:r>
              <w:rPr>
                <w:rFonts w:ascii="Arial" w:cs="Arial" w:eastAsia="Arial" w:hAnsi="Arial"/>
                <w:sz w:val="17"/>
                <w:szCs w:val="17"/>
                <w:color w:val="auto"/>
              </w:rPr>
              <w:t>2018</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2017</w:t>
            </w:r>
          </w:p>
        </w:tc>
      </w:tr>
      <w:tr>
        <w:trPr>
          <w:trHeight w:val="25"/>
        </w:trPr>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6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$532.0</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$532.0</w:t>
            </w:r>
          </w:p>
        </w:tc>
      </w:tr>
      <w:tr>
        <w:trPr>
          <w:trHeight w:val="224"/>
        </w:trPr>
        <w:tc>
          <w:tcPr>
            <w:tcW w:w="6760" w:type="dxa"/>
            <w:vAlign w:val="bottom"/>
            <w:gridSpan w:val="3"/>
          </w:tcPr>
          <w:p>
            <w:pPr>
              <w:ind w:left="20"/>
              <w:spacing w:after="0"/>
              <w:rPr>
                <w:sz w:val="20"/>
                <w:szCs w:val="20"/>
                <w:color w:val="auto"/>
              </w:rPr>
            </w:pPr>
            <w:r>
              <w:rPr>
                <w:rFonts w:ascii="Arial" w:cs="Arial" w:eastAsia="Arial" w:hAnsi="Arial"/>
                <w:sz w:val="17"/>
                <w:szCs w:val="17"/>
                <w:color w:val="auto"/>
              </w:rPr>
              <w:t>Germany</w:t>
            </w:r>
          </w:p>
        </w:tc>
        <w:tc>
          <w:tcPr>
            <w:tcW w:w="3640" w:type="dxa"/>
            <w:vAlign w:val="bottom"/>
          </w:tcPr>
          <w:p>
            <w:pPr>
              <w:jc w:val="right"/>
              <w:ind w:right="257"/>
              <w:spacing w:after="0"/>
              <w:rPr>
                <w:sz w:val="20"/>
                <w:szCs w:val="20"/>
                <w:color w:val="auto"/>
              </w:rPr>
            </w:pPr>
            <w:r>
              <w:rPr>
                <w:rFonts w:ascii="Arial" w:cs="Arial" w:eastAsia="Arial" w:hAnsi="Arial"/>
                <w:sz w:val="17"/>
                <w:szCs w:val="17"/>
                <w:color w:val="auto"/>
              </w:rPr>
              <w:t>129.2</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135.4</w:t>
            </w:r>
          </w:p>
        </w:tc>
      </w:tr>
      <w:tr>
        <w:trPr>
          <w:trHeight w:val="25"/>
        </w:trPr>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Netherlands</w:t>
            </w:r>
          </w:p>
        </w:tc>
        <w:tc>
          <w:tcPr>
            <w:tcW w:w="36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112.0</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126.5</w:t>
            </w:r>
          </w:p>
        </w:tc>
      </w:tr>
      <w:tr>
        <w:trPr>
          <w:trHeight w:val="224"/>
        </w:trPr>
        <w:tc>
          <w:tcPr>
            <w:tcW w:w="6760" w:type="dxa"/>
            <w:vAlign w:val="bottom"/>
            <w:gridSpan w:val="3"/>
          </w:tcPr>
          <w:p>
            <w:pPr>
              <w:ind w:left="20"/>
              <w:spacing w:after="0"/>
              <w:rPr>
                <w:sz w:val="20"/>
                <w:szCs w:val="20"/>
                <w:color w:val="auto"/>
              </w:rPr>
            </w:pPr>
            <w:r>
              <w:rPr>
                <w:rFonts w:ascii="Arial" w:cs="Arial" w:eastAsia="Arial" w:hAnsi="Arial"/>
                <w:sz w:val="17"/>
                <w:szCs w:val="17"/>
                <w:color w:val="auto"/>
              </w:rPr>
              <w:t>United Kingdom</w:t>
            </w:r>
          </w:p>
        </w:tc>
        <w:tc>
          <w:tcPr>
            <w:tcW w:w="3640" w:type="dxa"/>
            <w:vAlign w:val="bottom"/>
          </w:tcPr>
          <w:p>
            <w:pPr>
              <w:jc w:val="right"/>
              <w:ind w:right="237"/>
              <w:spacing w:after="0"/>
              <w:rPr>
                <w:sz w:val="20"/>
                <w:szCs w:val="20"/>
                <w:color w:val="auto"/>
              </w:rPr>
            </w:pPr>
            <w:r>
              <w:rPr>
                <w:rFonts w:ascii="Arial" w:cs="Arial" w:eastAsia="Arial" w:hAnsi="Arial"/>
                <w:sz w:val="17"/>
                <w:szCs w:val="17"/>
                <w:color w:val="auto"/>
              </w:rPr>
              <w:t>93.7</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89.2</w:t>
            </w:r>
          </w:p>
        </w:tc>
      </w:tr>
      <w:tr>
        <w:trPr>
          <w:trHeight w:val="25"/>
        </w:trPr>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France</w:t>
            </w:r>
          </w:p>
        </w:tc>
        <w:tc>
          <w:tcPr>
            <w:tcW w:w="36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68.9</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76.3</w:t>
            </w:r>
          </w:p>
        </w:tc>
      </w:tr>
      <w:tr>
        <w:trPr>
          <w:trHeight w:val="224"/>
        </w:trPr>
        <w:tc>
          <w:tcPr>
            <w:tcW w:w="6760" w:type="dxa"/>
            <w:vAlign w:val="bottom"/>
            <w:gridSpan w:val="3"/>
          </w:tcPr>
          <w:p>
            <w:pPr>
              <w:ind w:left="20"/>
              <w:spacing w:after="0"/>
              <w:rPr>
                <w:sz w:val="20"/>
                <w:szCs w:val="20"/>
                <w:color w:val="auto"/>
              </w:rPr>
            </w:pPr>
            <w:r>
              <w:rPr>
                <w:rFonts w:ascii="Arial" w:cs="Arial" w:eastAsia="Arial" w:hAnsi="Arial"/>
                <w:sz w:val="17"/>
                <w:szCs w:val="17"/>
                <w:color w:val="auto"/>
              </w:rPr>
              <w:t>Right Management</w:t>
            </w:r>
          </w:p>
        </w:tc>
        <w:tc>
          <w:tcPr>
            <w:tcW w:w="3640" w:type="dxa"/>
            <w:vAlign w:val="bottom"/>
          </w:tcPr>
          <w:p>
            <w:pPr>
              <w:jc w:val="right"/>
              <w:ind w:right="237"/>
              <w:spacing w:after="0"/>
              <w:rPr>
                <w:sz w:val="20"/>
                <w:szCs w:val="20"/>
                <w:color w:val="auto"/>
              </w:rPr>
            </w:pPr>
            <w:r>
              <w:rPr>
                <w:rFonts w:ascii="Arial" w:cs="Arial" w:eastAsia="Arial" w:hAnsi="Arial"/>
                <w:sz w:val="17"/>
                <w:szCs w:val="17"/>
                <w:color w:val="auto"/>
              </w:rPr>
              <w:t>62.1</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62.1</w:t>
            </w:r>
          </w:p>
        </w:tc>
      </w:tr>
      <w:tr>
        <w:trPr>
          <w:trHeight w:val="25"/>
        </w:trPr>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4"/>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Other reporting units</w:t>
            </w:r>
          </w:p>
        </w:tc>
        <w:tc>
          <w:tcPr>
            <w:tcW w:w="364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299.2</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321.5</w:t>
            </w:r>
          </w:p>
        </w:tc>
      </w:tr>
      <w:tr>
        <w:trPr>
          <w:trHeight w:val="217"/>
        </w:trPr>
        <w:tc>
          <w:tcPr>
            <w:tcW w:w="6760" w:type="dxa"/>
            <w:vAlign w:val="bottom"/>
            <w:tcBorders>
              <w:top w:val="single" w:sz="8" w:color="auto"/>
            </w:tcBorders>
            <w:gridSpan w:val="3"/>
          </w:tcPr>
          <w:p>
            <w:pPr>
              <w:ind w:left="20"/>
              <w:spacing w:after="0"/>
              <w:rPr>
                <w:sz w:val="20"/>
                <w:szCs w:val="20"/>
                <w:color w:val="auto"/>
              </w:rPr>
            </w:pPr>
            <w:r>
              <w:rPr>
                <w:rFonts w:ascii="Arial" w:cs="Arial" w:eastAsia="Arial" w:hAnsi="Arial"/>
                <w:sz w:val="17"/>
                <w:szCs w:val="17"/>
                <w:color w:val="auto"/>
              </w:rPr>
              <w:t>Total goodwill</w:t>
            </w:r>
          </w:p>
        </w:tc>
        <w:tc>
          <w:tcPr>
            <w:tcW w:w="3640" w:type="dxa"/>
            <w:vAlign w:val="bottom"/>
            <w:tcBorders>
              <w:top w:val="single" w:sz="8" w:color="auto"/>
            </w:tcBorders>
          </w:tcPr>
          <w:p>
            <w:pPr>
              <w:jc w:val="right"/>
              <w:ind w:right="237"/>
              <w:spacing w:after="0"/>
              <w:rPr>
                <w:sz w:val="20"/>
                <w:szCs w:val="20"/>
                <w:color w:val="auto"/>
              </w:rPr>
            </w:pPr>
            <w:r>
              <w:rPr>
                <w:rFonts w:ascii="Arial" w:cs="Arial" w:eastAsia="Arial" w:hAnsi="Arial"/>
                <w:sz w:val="17"/>
                <w:szCs w:val="17"/>
                <w:color w:val="auto"/>
              </w:rPr>
              <w:t>$1,297.1</w:t>
            </w: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$1,343.0</w:t>
            </w:r>
          </w:p>
        </w:tc>
      </w:tr>
      <w:tr>
        <w:trPr>
          <w:trHeight w:val="25"/>
        </w:trPr>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578"/>
        </w:trPr>
        <w:tc>
          <w:tcPr>
            <w:tcW w:w="6760" w:type="dxa"/>
            <w:vAlign w:val="bottom"/>
            <w:gridSpan w:val="3"/>
          </w:tcPr>
          <w:p>
            <w:pPr>
              <w:spacing w:after="0"/>
              <w:rPr>
                <w:sz w:val="20"/>
                <w:szCs w:val="20"/>
                <w:color w:val="auto"/>
              </w:rPr>
            </w:pPr>
            <w:r>
              <w:rPr>
                <w:rFonts w:ascii="Arial" w:cs="Arial" w:eastAsia="Arial" w:hAnsi="Arial"/>
                <w:sz w:val="17"/>
                <w:szCs w:val="17"/>
                <w:color w:val="282A32"/>
              </w:rPr>
              <w:t>(8) Debt</w:t>
            </w:r>
          </w:p>
        </w:tc>
        <w:tc>
          <w:tcPr>
            <w:tcW w:w="3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
        </w:trPr>
        <w:tc>
          <w:tcPr>
            <w:tcW w:w="240" w:type="dxa"/>
            <w:vAlign w:val="bottom"/>
          </w:tcPr>
          <w:p>
            <w:pPr>
              <w:spacing w:after="0" w:line="20" w:lineRule="exact"/>
              <w:rPr>
                <w:sz w:val="1"/>
                <w:szCs w:val="1"/>
                <w:color w:val="auto"/>
              </w:rPr>
            </w:pPr>
          </w:p>
        </w:tc>
        <w:tc>
          <w:tcPr>
            <w:tcW w:w="320" w:type="dxa"/>
            <w:vAlign w:val="bottom"/>
            <w:shd w:val="clear" w:color="auto" w:fill="282A32"/>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67"/>
        </w:trPr>
        <w:tc>
          <w:tcPr>
            <w:tcW w:w="6760" w:type="dxa"/>
            <w:vAlign w:val="bottom"/>
            <w:gridSpan w:val="3"/>
          </w:tcPr>
          <w:p>
            <w:pPr>
              <w:ind w:left="20"/>
              <w:spacing w:after="0"/>
              <w:rPr>
                <w:sz w:val="20"/>
                <w:szCs w:val="20"/>
                <w:color w:val="auto"/>
              </w:rPr>
            </w:pPr>
            <w:r>
              <w:rPr>
                <w:rFonts w:ascii="Arial" w:cs="Arial" w:eastAsia="Arial" w:hAnsi="Arial"/>
                <w:sz w:val="17"/>
                <w:szCs w:val="17"/>
                <w:color w:val="282A32"/>
              </w:rPr>
              <w:t>Information concerning short-term borrowings is as follows:</w:t>
            </w:r>
          </w:p>
        </w:tc>
        <w:tc>
          <w:tcPr>
            <w:tcW w:w="3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9"/>
        </w:trPr>
        <w:tc>
          <w:tcPr>
            <w:tcW w:w="6760" w:type="dxa"/>
            <w:vAlign w:val="bottom"/>
            <w:gridSpan w:val="3"/>
          </w:tcPr>
          <w:p>
            <w:pPr>
              <w:ind w:left="20"/>
              <w:spacing w:after="0"/>
              <w:rPr>
                <w:sz w:val="20"/>
                <w:szCs w:val="20"/>
                <w:color w:val="auto"/>
              </w:rPr>
            </w:pPr>
            <w:r>
              <w:rPr>
                <w:rFonts w:ascii="Arial" w:cs="Arial" w:eastAsia="Arial" w:hAnsi="Arial"/>
                <w:sz w:val="17"/>
                <w:szCs w:val="17"/>
                <w:color w:val="auto"/>
              </w:rPr>
              <w:t>December 31</w:t>
            </w:r>
          </w:p>
        </w:tc>
        <w:tc>
          <w:tcPr>
            <w:tcW w:w="3640" w:type="dxa"/>
            <w:vAlign w:val="bottom"/>
          </w:tcPr>
          <w:p>
            <w:pPr>
              <w:jc w:val="right"/>
              <w:ind w:right="377"/>
              <w:spacing w:after="0"/>
              <w:rPr>
                <w:sz w:val="20"/>
                <w:szCs w:val="20"/>
                <w:color w:val="auto"/>
              </w:rPr>
            </w:pPr>
            <w:r>
              <w:rPr>
                <w:rFonts w:ascii="Arial" w:cs="Arial" w:eastAsia="Arial" w:hAnsi="Arial"/>
                <w:sz w:val="17"/>
                <w:szCs w:val="17"/>
                <w:color w:val="auto"/>
              </w:rPr>
              <w:t>2018</w:t>
            </w:r>
          </w:p>
        </w:tc>
        <w:tc>
          <w:tcPr>
            <w:tcW w:w="1020" w:type="dxa"/>
            <w:vAlign w:val="bottom"/>
          </w:tcPr>
          <w:p>
            <w:pPr>
              <w:jc w:val="right"/>
              <w:ind w:right="77"/>
              <w:spacing w:after="0"/>
              <w:rPr>
                <w:sz w:val="20"/>
                <w:szCs w:val="20"/>
                <w:color w:val="auto"/>
              </w:rPr>
            </w:pPr>
            <w:r>
              <w:rPr>
                <w:rFonts w:ascii="Arial" w:cs="Arial" w:eastAsia="Arial" w:hAnsi="Arial"/>
                <w:sz w:val="17"/>
                <w:szCs w:val="17"/>
                <w:color w:val="auto"/>
              </w:rPr>
              <w:t>2017</w:t>
            </w:r>
          </w:p>
        </w:tc>
      </w:tr>
      <w:tr>
        <w:trPr>
          <w:trHeight w:val="25"/>
        </w:trPr>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6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Short-term borrowings</w:t>
            </w:r>
          </w:p>
        </w:tc>
        <w:tc>
          <w:tcPr>
            <w:tcW w:w="364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$49.9</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$49.1</w:t>
            </w:r>
          </w:p>
        </w:tc>
      </w:tr>
      <w:tr>
        <w:trPr>
          <w:trHeight w:val="224"/>
        </w:trPr>
        <w:tc>
          <w:tcPr>
            <w:tcW w:w="6760" w:type="dxa"/>
            <w:vAlign w:val="bottom"/>
            <w:gridSpan w:val="3"/>
          </w:tcPr>
          <w:p>
            <w:pPr>
              <w:ind w:left="20"/>
              <w:spacing w:after="0"/>
              <w:rPr>
                <w:sz w:val="20"/>
                <w:szCs w:val="20"/>
                <w:color w:val="auto"/>
              </w:rPr>
            </w:pPr>
            <w:r>
              <w:rPr>
                <w:rFonts w:ascii="Arial" w:cs="Arial" w:eastAsia="Arial" w:hAnsi="Arial"/>
                <w:sz w:val="17"/>
                <w:szCs w:val="17"/>
                <w:color w:val="auto"/>
              </w:rPr>
              <w:t>Weighted-average interest rates</w:t>
            </w:r>
          </w:p>
        </w:tc>
        <w:tc>
          <w:tcPr>
            <w:tcW w:w="3640" w:type="dxa"/>
            <w:vAlign w:val="bottom"/>
          </w:tcPr>
          <w:p>
            <w:pPr>
              <w:jc w:val="right"/>
              <w:ind w:right="237"/>
              <w:spacing w:after="0"/>
              <w:rPr>
                <w:sz w:val="20"/>
                <w:szCs w:val="20"/>
                <w:color w:val="auto"/>
              </w:rPr>
            </w:pPr>
            <w:r>
              <w:rPr>
                <w:rFonts w:ascii="Arial" w:cs="Arial" w:eastAsia="Arial" w:hAnsi="Arial"/>
                <w:sz w:val="17"/>
                <w:szCs w:val="17"/>
                <w:color w:val="auto"/>
              </w:rPr>
              <w:t>8.4%</w:t>
            </w:r>
          </w:p>
        </w:tc>
        <w:tc>
          <w:tcPr>
            <w:tcW w:w="102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5"/>
        </w:trPr>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We maintain separate bank credit lines with financial institutions to meet working capital needs of our subsidiary operations. As of December 31, 2018, such uncommitted credit lines totaled $319.9, of which $269.1 was unused. Under our revolving credit agreement, total subsidiary borrowings cannot exceed $300.0 in the first, second and fourth quarters, and $600.0 in the third quarter of each year.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601"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2"/>
        </w:trPr>
        <w:tc>
          <w:tcPr>
            <w:tcW w:w="6260" w:type="dxa"/>
            <w:vAlign w:val="bottom"/>
          </w:tcPr>
          <w:p>
            <w:pPr>
              <w:spacing w:after="0"/>
              <w:rPr>
                <w:sz w:val="20"/>
                <w:szCs w:val="20"/>
                <w:color w:val="auto"/>
              </w:rPr>
            </w:pPr>
            <w:r>
              <w:rPr>
                <w:rFonts w:ascii="Arial" w:cs="Arial" w:eastAsia="Arial" w:hAnsi="Arial"/>
                <w:sz w:val="17"/>
                <w:szCs w:val="17"/>
                <w:color w:val="282A32"/>
              </w:rPr>
              <w:t>A summary of long-term debt is as follows:</w:t>
            </w:r>
          </w:p>
        </w:tc>
        <w:tc>
          <w:tcPr>
            <w:tcW w:w="4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49"/>
        </w:trPr>
        <w:tc>
          <w:tcPr>
            <w:tcW w:w="6260" w:type="dxa"/>
            <w:vAlign w:val="bottom"/>
          </w:tcPr>
          <w:p>
            <w:pPr>
              <w:ind w:left="20"/>
              <w:spacing w:after="0"/>
              <w:rPr>
                <w:sz w:val="20"/>
                <w:szCs w:val="20"/>
                <w:color w:val="auto"/>
              </w:rPr>
            </w:pPr>
            <w:r>
              <w:rPr>
                <w:rFonts w:ascii="Arial" w:cs="Arial" w:eastAsia="Arial" w:hAnsi="Arial"/>
                <w:sz w:val="17"/>
                <w:szCs w:val="17"/>
                <w:color w:val="auto"/>
              </w:rPr>
              <w:t>December 31</w:t>
            </w:r>
          </w:p>
        </w:tc>
        <w:tc>
          <w:tcPr>
            <w:tcW w:w="4260" w:type="dxa"/>
            <w:vAlign w:val="bottom"/>
          </w:tcPr>
          <w:p>
            <w:pPr>
              <w:jc w:val="right"/>
              <w:ind w:right="257"/>
              <w:spacing w:after="0"/>
              <w:rPr>
                <w:sz w:val="20"/>
                <w:szCs w:val="20"/>
                <w:color w:val="auto"/>
              </w:rPr>
            </w:pPr>
            <w:r>
              <w:rPr>
                <w:rFonts w:ascii="Arial" w:cs="Arial" w:eastAsia="Arial" w:hAnsi="Arial"/>
                <w:sz w:val="17"/>
                <w:szCs w:val="17"/>
                <w:color w:val="auto"/>
              </w:rPr>
              <w:t>2018</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2017</w:t>
            </w:r>
          </w:p>
        </w:tc>
      </w:tr>
      <w:tr>
        <w:trPr>
          <w:trHeight w:val="25"/>
        </w:trPr>
        <w:tc>
          <w:tcPr>
            <w:tcW w:w="62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Euro-denominated notes:</w:t>
            </w:r>
          </w:p>
        </w:tc>
        <w:tc>
          <w:tcPr>
            <w:tcW w:w="4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24"/>
        </w:trPr>
        <w:tc>
          <w:tcPr>
            <w:tcW w:w="6260" w:type="dxa"/>
            <w:vAlign w:val="bottom"/>
          </w:tcPr>
          <w:p>
            <w:pPr>
              <w:ind w:left="200"/>
              <w:spacing w:after="0"/>
              <w:rPr>
                <w:sz w:val="20"/>
                <w:szCs w:val="20"/>
                <w:color w:val="auto"/>
              </w:rPr>
            </w:pPr>
            <w:r>
              <w:rPr>
                <w:rFonts w:ascii="Arial" w:cs="Arial" w:eastAsia="Arial" w:hAnsi="Arial"/>
                <w:sz w:val="17"/>
                <w:szCs w:val="17"/>
                <w:color w:val="auto"/>
              </w:rPr>
              <w:t>€500 due June 2026</w:t>
            </w:r>
          </w:p>
        </w:tc>
        <w:tc>
          <w:tcPr>
            <w:tcW w:w="4260" w:type="dxa"/>
            <w:vAlign w:val="bottom"/>
          </w:tcPr>
          <w:p>
            <w:pPr>
              <w:jc w:val="right"/>
              <w:ind w:right="257"/>
              <w:spacing w:after="0"/>
              <w:rPr>
                <w:sz w:val="20"/>
                <w:szCs w:val="20"/>
                <w:color w:val="auto"/>
              </w:rPr>
            </w:pPr>
            <w:r>
              <w:rPr>
                <w:rFonts w:ascii="Arial" w:cs="Arial" w:eastAsia="Arial" w:hAnsi="Arial"/>
                <w:sz w:val="17"/>
                <w:szCs w:val="17"/>
                <w:color w:val="auto"/>
              </w:rPr>
              <w:t>$567.8</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62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6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€400 due September 2022</w:t>
            </w:r>
          </w:p>
        </w:tc>
        <w:tc>
          <w:tcPr>
            <w:tcW w:w="42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456.8</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477.8</w:t>
            </w:r>
          </w:p>
        </w:tc>
      </w:tr>
      <w:tr>
        <w:trPr>
          <w:trHeight w:val="224"/>
        </w:trPr>
        <w:tc>
          <w:tcPr>
            <w:tcW w:w="6260" w:type="dxa"/>
            <w:vAlign w:val="bottom"/>
          </w:tcPr>
          <w:p>
            <w:pPr>
              <w:ind w:left="200"/>
              <w:spacing w:after="0"/>
              <w:rPr>
                <w:sz w:val="20"/>
                <w:szCs w:val="20"/>
                <w:color w:val="auto"/>
              </w:rPr>
            </w:pPr>
            <w:r>
              <w:rPr>
                <w:rFonts w:ascii="Arial" w:cs="Arial" w:eastAsia="Arial" w:hAnsi="Arial"/>
                <w:sz w:val="17"/>
                <w:szCs w:val="17"/>
                <w:color w:val="auto"/>
              </w:rPr>
              <w:t>€350 due June 2018</w:t>
            </w:r>
          </w:p>
        </w:tc>
        <w:tc>
          <w:tcPr>
            <w:tcW w:w="4260" w:type="dxa"/>
            <w:vAlign w:val="bottom"/>
          </w:tcPr>
          <w:p>
            <w:pPr>
              <w:jc w:val="right"/>
              <w:ind w:right="257"/>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420.0</w:t>
            </w:r>
          </w:p>
        </w:tc>
      </w:tr>
      <w:tr>
        <w:trPr>
          <w:trHeight w:val="25"/>
        </w:trPr>
        <w:tc>
          <w:tcPr>
            <w:tcW w:w="62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42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0.9</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0.6</w:t>
            </w:r>
          </w:p>
        </w:tc>
      </w:tr>
      <w:tr>
        <w:trPr>
          <w:trHeight w:val="217"/>
        </w:trPr>
        <w:tc>
          <w:tcPr>
            <w:tcW w:w="6260" w:type="dxa"/>
            <w:vAlign w:val="bottom"/>
            <w:tcBorders>
              <w:top w:val="single" w:sz="8" w:color="auto"/>
            </w:tcBorders>
          </w:tcPr>
          <w:p>
            <w:pPr>
              <w:spacing w:after="0"/>
              <w:rPr>
                <w:sz w:val="18"/>
                <w:szCs w:val="18"/>
                <w:color w:val="auto"/>
              </w:rPr>
            </w:pPr>
          </w:p>
        </w:tc>
        <w:tc>
          <w:tcPr>
            <w:tcW w:w="426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auto"/>
              </w:rPr>
              <w:t>1,025.5</w:t>
            </w: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898.4</w:t>
            </w:r>
          </w:p>
        </w:tc>
      </w:tr>
      <w:tr>
        <w:trPr>
          <w:trHeight w:val="25"/>
        </w:trPr>
        <w:tc>
          <w:tcPr>
            <w:tcW w:w="62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 current maturities</w:t>
            </w:r>
          </w:p>
        </w:tc>
        <w:tc>
          <w:tcPr>
            <w:tcW w:w="42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0.2</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420.3</w:t>
            </w:r>
          </w:p>
        </w:tc>
      </w:tr>
      <w:tr>
        <w:trPr>
          <w:trHeight w:val="217"/>
        </w:trPr>
        <w:tc>
          <w:tcPr>
            <w:tcW w:w="62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Long-term debt</w:t>
            </w:r>
          </w:p>
        </w:tc>
        <w:tc>
          <w:tcPr>
            <w:tcW w:w="426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auto"/>
              </w:rPr>
              <w:t>$1,025.3</w:t>
            </w:r>
          </w:p>
        </w:tc>
        <w:tc>
          <w:tcPr>
            <w:tcW w:w="9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$478.1</w:t>
            </w:r>
          </w:p>
        </w:tc>
      </w:tr>
      <w:tr>
        <w:trPr>
          <w:trHeight w:val="25"/>
        </w:trPr>
        <w:tc>
          <w:tcPr>
            <w:tcW w:w="626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Euro Notes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On June 22, 2018, we offered and sold </w:t>
      </w:r>
      <w:r>
        <w:rPr>
          <w:rFonts w:ascii="Arial" w:cs="Arial" w:eastAsia="Arial" w:hAnsi="Arial"/>
          <w:sz w:val="17"/>
          <w:szCs w:val="17"/>
          <w:color w:val="282A32"/>
        </w:rPr>
        <w:t>€500.0</w:t>
      </w:r>
      <w:r>
        <w:rPr>
          <w:rFonts w:ascii="Arial" w:cs="Arial" w:eastAsia="Arial" w:hAnsi="Arial"/>
          <w:sz w:val="17"/>
          <w:szCs w:val="17"/>
          <w:color w:val="auto"/>
        </w:rPr>
        <w:t xml:space="preserve"> aggregate principal amount of the Company’s 1.750% notes due June, 2026</w:t>
      </w:r>
    </w:p>
    <w:p>
      <w:pPr>
        <w:spacing w:after="0" w:line="17"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color w:val="282A32"/>
        </w:rPr>
        <w:t>€500.0</w:t>
      </w:r>
      <w:r>
        <w:rPr>
          <w:rFonts w:ascii="Arial" w:cs="Arial" w:eastAsia="Arial" w:hAnsi="Arial"/>
          <w:sz w:val="17"/>
          <w:szCs w:val="17"/>
          <w:color w:val="auto"/>
        </w:rPr>
        <w:t xml:space="preserve"> notes”). The net proceeds from t</w:t>
      </w:r>
      <w:r>
        <w:rPr>
          <w:rFonts w:ascii="Arial" w:cs="Arial" w:eastAsia="Arial" w:hAnsi="Arial"/>
          <w:sz w:val="17"/>
          <w:szCs w:val="17"/>
          <w:color w:val="282A32"/>
        </w:rPr>
        <w:t>he €500.0</w:t>
      </w:r>
      <w:r>
        <w:rPr>
          <w:rFonts w:ascii="Arial" w:cs="Arial" w:eastAsia="Arial" w:hAnsi="Arial"/>
          <w:sz w:val="17"/>
          <w:szCs w:val="17"/>
          <w:color w:val="auto"/>
        </w:rPr>
        <w:t xml:space="preserve"> notes of €495.7 were used to repay our </w:t>
      </w:r>
      <w:r>
        <w:rPr>
          <w:rFonts w:ascii="Arial" w:cs="Arial" w:eastAsia="Arial" w:hAnsi="Arial"/>
          <w:sz w:val="17"/>
          <w:szCs w:val="17"/>
          <w:color w:val="282A32"/>
        </w:rPr>
        <w:t>€350.0</w:t>
      </w:r>
      <w:r>
        <w:rPr>
          <w:rFonts w:ascii="Arial" w:cs="Arial" w:eastAsia="Arial" w:hAnsi="Arial"/>
          <w:sz w:val="17"/>
          <w:szCs w:val="17"/>
          <w:color w:val="auto"/>
        </w:rPr>
        <w:t xml:space="preserve"> notes due June 22, 2018, with the remaining balance used for general corporate purposes, which included share repurchases. The </w:t>
      </w:r>
      <w:r>
        <w:rPr>
          <w:rFonts w:ascii="Arial" w:cs="Arial" w:eastAsia="Arial" w:hAnsi="Arial"/>
          <w:sz w:val="17"/>
          <w:szCs w:val="17"/>
          <w:color w:val="282A32"/>
        </w:rPr>
        <w:t>€500.0</w:t>
      </w:r>
      <w:r>
        <w:rPr>
          <w:rFonts w:ascii="Arial" w:cs="Arial" w:eastAsia="Arial" w:hAnsi="Arial"/>
          <w:sz w:val="17"/>
          <w:szCs w:val="17"/>
          <w:color w:val="auto"/>
        </w:rPr>
        <w:t xml:space="preserve"> notes were issued at a price of 99.564% to yield an effective interest rate of 1.809%. Interest on the </w:t>
      </w:r>
      <w:r>
        <w:rPr>
          <w:rFonts w:ascii="Arial" w:cs="Arial" w:eastAsia="Arial" w:hAnsi="Arial"/>
          <w:sz w:val="17"/>
          <w:szCs w:val="17"/>
          <w:color w:val="282A32"/>
        </w:rPr>
        <w:t>€500.0</w:t>
      </w:r>
      <w:r>
        <w:rPr>
          <w:rFonts w:ascii="Arial" w:cs="Arial" w:eastAsia="Arial" w:hAnsi="Arial"/>
          <w:sz w:val="17"/>
          <w:szCs w:val="17"/>
          <w:color w:val="auto"/>
        </w:rPr>
        <w:t xml:space="preserve"> notes is payable in arrears on June 22 of each year. The </w:t>
      </w:r>
      <w:r>
        <w:rPr>
          <w:rFonts w:ascii="Arial" w:cs="Arial" w:eastAsia="Arial" w:hAnsi="Arial"/>
          <w:sz w:val="17"/>
          <w:szCs w:val="17"/>
          <w:color w:val="282A32"/>
        </w:rPr>
        <w:t>€500.0</w:t>
      </w:r>
      <w:r>
        <w:rPr>
          <w:rFonts w:ascii="Arial" w:cs="Arial" w:eastAsia="Arial" w:hAnsi="Arial"/>
          <w:sz w:val="17"/>
          <w:szCs w:val="17"/>
          <w:color w:val="auto"/>
        </w:rPr>
        <w:t xml:space="preserve"> notes are unsecured senior obligations and will rank equally with all of the Company’s existing and future senior unsecured debt and other liabilities.</w:t>
      </w:r>
    </w:p>
    <w:p>
      <w:pPr>
        <w:spacing w:after="0" w:line="183" w:lineRule="exact"/>
        <w:rPr>
          <w:sz w:val="20"/>
          <w:szCs w:val="20"/>
          <w:color w:val="auto"/>
        </w:rPr>
      </w:pPr>
    </w:p>
    <w:p>
      <w:pPr>
        <w:ind w:right="160"/>
        <w:spacing w:after="0" w:line="251"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color w:val="282A32"/>
        </w:rPr>
        <w:t>€400.0</w:t>
      </w:r>
      <w:r>
        <w:rPr>
          <w:rFonts w:ascii="Arial" w:cs="Arial" w:eastAsia="Arial" w:hAnsi="Arial"/>
          <w:sz w:val="17"/>
          <w:szCs w:val="17"/>
          <w:color w:val="auto"/>
        </w:rPr>
        <w:t xml:space="preserve"> aggregate principal amount 1.875% notes (the "</w:t>
      </w:r>
      <w:r>
        <w:rPr>
          <w:rFonts w:ascii="Arial" w:cs="Arial" w:eastAsia="Arial" w:hAnsi="Arial"/>
          <w:sz w:val="17"/>
          <w:szCs w:val="17"/>
          <w:color w:val="282A32"/>
        </w:rPr>
        <w:t>€400.0</w:t>
      </w:r>
      <w:r>
        <w:rPr>
          <w:rFonts w:ascii="Arial" w:cs="Arial" w:eastAsia="Arial" w:hAnsi="Arial"/>
          <w:sz w:val="17"/>
          <w:szCs w:val="17"/>
          <w:color w:val="auto"/>
        </w:rPr>
        <w:t xml:space="preserve"> notes") are due September, 2022. When the notes mature, we plan to repay the amounts with available cash, borrowings under our </w:t>
      </w:r>
      <w:r>
        <w:rPr>
          <w:rFonts w:ascii="Arial" w:cs="Arial" w:eastAsia="Arial" w:hAnsi="Arial"/>
          <w:sz w:val="17"/>
          <w:szCs w:val="17"/>
          <w:color w:val="282A32"/>
        </w:rPr>
        <w:t>$600.0 r</w:t>
      </w:r>
      <w:r>
        <w:rPr>
          <w:rFonts w:ascii="Arial" w:cs="Arial" w:eastAsia="Arial" w:hAnsi="Arial"/>
          <w:sz w:val="17"/>
          <w:szCs w:val="17"/>
          <w:color w:val="auto"/>
        </w:rPr>
        <w:t xml:space="preserve">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either the </w:t>
      </w:r>
      <w:r>
        <w:rPr>
          <w:rFonts w:ascii="Arial" w:cs="Arial" w:eastAsia="Arial" w:hAnsi="Arial"/>
          <w:sz w:val="17"/>
          <w:szCs w:val="17"/>
          <w:color w:val="282A32"/>
        </w:rPr>
        <w:t>€500.0</w:t>
      </w:r>
      <w:r>
        <w:rPr>
          <w:rFonts w:ascii="Arial" w:cs="Arial" w:eastAsia="Arial" w:hAnsi="Arial"/>
          <w:sz w:val="17"/>
          <w:szCs w:val="17"/>
          <w:color w:val="auto"/>
        </w:rPr>
        <w:t xml:space="preserve"> notes or the </w:t>
      </w:r>
      <w:r>
        <w:rPr>
          <w:rFonts w:ascii="Arial" w:cs="Arial" w:eastAsia="Arial" w:hAnsi="Arial"/>
          <w:sz w:val="17"/>
          <w:szCs w:val="17"/>
          <w:color w:val="282A32"/>
        </w:rPr>
        <w:t>€400.0</w:t>
      </w:r>
      <w:r>
        <w:rPr>
          <w:rFonts w:ascii="Arial" w:cs="Arial" w:eastAsia="Arial" w:hAnsi="Arial"/>
          <w:sz w:val="17"/>
          <w:szCs w:val="17"/>
          <w:color w:val="auto"/>
        </w:rPr>
        <w:t xml:space="preserve"> notes.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282A32"/>
        </w:rPr>
        <w:t>Both the €500.0 notes and €400.0 notes contain certain customary non-financial restrictive covenants and events of default and are unsecured senior obligations and rank equally with all of our existing and future senior unsecured debt and other liabilities. A portion of these notes has been designated as a hedge of our net investment in subsidiaries with a Euro-functional currency as of December 31, 2018. For this portion of the Euro-denominated notes, since our net investment in these subsidiaries exceeds the respective amount of the designated borrowings, the related translation gains or losses are included as a component of accumulated other comprehensive loss. (See Note 13 to the Consolidated Financial Statements for further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Revolving Credit Agreement</w:t>
      </w:r>
    </w:p>
    <w:p>
      <w:pPr>
        <w:spacing w:after="0" w:line="203"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 xml:space="preserve">On June 18, 2018, we amended and restated our </w:t>
      </w:r>
      <w:r>
        <w:rPr>
          <w:rFonts w:ascii="Arial" w:cs="Arial" w:eastAsia="Arial" w:hAnsi="Arial"/>
          <w:sz w:val="15"/>
          <w:szCs w:val="15"/>
          <w:color w:val="282A32"/>
        </w:rPr>
        <w:t>Five</w:t>
      </w:r>
      <w:r>
        <w:rPr>
          <w:rFonts w:ascii="Arial" w:cs="Arial" w:eastAsia="Arial" w:hAnsi="Arial"/>
          <w:sz w:val="15"/>
          <w:szCs w:val="15"/>
          <w:color w:val="auto"/>
        </w:rPr>
        <w:t xml:space="preserve"> Year Credit Agreement with a syndicate of commercial banks, principally to revise the termination date of the facility from September 16, 2020 to June 18, 2023. The remaining material terms and conditions of the Agreement are substantially similar to the previous agreement. </w:t>
      </w:r>
      <w:r>
        <w:rPr>
          <w:rFonts w:ascii="Arial" w:cs="Arial" w:eastAsia="Arial" w:hAnsi="Arial"/>
          <w:sz w:val="15"/>
          <w:szCs w:val="15"/>
          <w:color w:val="282A32"/>
        </w:rPr>
        <w:t>The Credit</w:t>
      </w:r>
      <w:r>
        <w:rPr>
          <w:rFonts w:ascii="Arial" w:cs="Arial" w:eastAsia="Arial" w:hAnsi="Arial"/>
          <w:sz w:val="15"/>
          <w:szCs w:val="15"/>
          <w:color w:val="auto"/>
        </w:rPr>
        <w:t xml:space="preserve"> </w:t>
      </w:r>
      <w:r>
        <w:rPr>
          <w:rFonts w:ascii="Arial" w:cs="Arial" w:eastAsia="Arial" w:hAnsi="Arial"/>
          <w:sz w:val="15"/>
          <w:szCs w:val="15"/>
          <w:color w:val="282A32"/>
        </w:rPr>
        <w:t xml:space="preserve">Agreement allows for borrowing of $600.0 in various currencies, and up to $150.0 may be used for the issuance of stand-by letters of credit. We had </w:t>
      </w:r>
      <w:r>
        <w:rPr>
          <w:rFonts w:ascii="Arial" w:cs="Arial" w:eastAsia="Arial" w:hAnsi="Arial"/>
          <w:sz w:val="15"/>
          <w:szCs w:val="15"/>
          <w:color w:val="000000"/>
        </w:rPr>
        <w:t>no</w:t>
      </w:r>
      <w:r>
        <w:rPr>
          <w:rFonts w:ascii="Arial" w:cs="Arial" w:eastAsia="Arial" w:hAnsi="Arial"/>
          <w:sz w:val="15"/>
          <w:szCs w:val="15"/>
          <w:color w:val="282A32"/>
        </w:rPr>
        <w:t xml:space="preserve"> borrowings under this facility as of both December 31, 2018 and 2017. Outstanding letters of credit issued under the Credit Agreement totaled $0.5 and $0.8 as of December 31, 2018 and 2017, respectively. Additional borrowings of $599.5 and $599.2 were available to us under the facility as of both December 31, 2018 and 2017, respectively.</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Under the Credit Agreement, a credit ratings-based pricing grid determines the facility fee and the credit spread that we add to the applicable interbank borrowing rate on all borrowings. At our current credit rating, the annual facility fee is 12.5 basis points paid on the entire facility and the credit spread is 100.0 basis points on any borrowings.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351" w:right="239" w:bottom="1440" w:gutter="0" w:footer="0" w:header="0"/>
        </w:sectPr>
      </w:pPr>
    </w:p>
    <w:bookmarkStart w:id="77" w:name="page78"/>
    <w:bookmarkEnd w:id="77"/>
    <w:p>
      <w:pPr>
        <w:jc w:val="both"/>
        <w:spacing w:after="0" w:line="267" w:lineRule="auto"/>
        <w:rPr>
          <w:sz w:val="20"/>
          <w:szCs w:val="20"/>
          <w:color w:val="auto"/>
        </w:rPr>
      </w:pPr>
      <w:r>
        <w:rPr>
          <w:rFonts w:ascii="Arial" w:cs="Arial" w:eastAsia="Arial" w:hAnsi="Arial"/>
          <w:sz w:val="16"/>
          <w:szCs w:val="16"/>
          <w:color w:val="282A32"/>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Debt Maturities</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7"/>
          <w:szCs w:val="17"/>
          <w:color w:val="282A32"/>
        </w:rPr>
        <w:t>The maturities of long-term debt payable within each of the four years subsequent to December 31, 2019 are as follows: 2020 — $0.2, 2021 — $0.0, 2022 — $457.3, 2023 — $0.0.</w:t>
      </w:r>
    </w:p>
    <w:p>
      <w:pPr>
        <w:spacing w:after="0" w:line="366" w:lineRule="exact"/>
        <w:rPr>
          <w:sz w:val="20"/>
          <w:szCs w:val="20"/>
          <w:color w:val="auto"/>
        </w:rPr>
      </w:pPr>
    </w:p>
    <w:p>
      <w:pPr>
        <w:ind w:left="240" w:hanging="240"/>
        <w:spacing w:after="0"/>
        <w:tabs>
          <w:tab w:leader="none" w:pos="240" w:val="left"/>
        </w:tabs>
        <w:numPr>
          <w:ilvl w:val="0"/>
          <w:numId w:val="42"/>
        </w:numPr>
        <w:rPr>
          <w:rFonts w:ascii="Arial" w:cs="Arial" w:eastAsia="Arial" w:hAnsi="Arial"/>
          <w:sz w:val="17"/>
          <w:szCs w:val="17"/>
          <w:color w:val="282A32"/>
        </w:rPr>
      </w:pPr>
      <w:r>
        <w:rPr>
          <w:rFonts w:ascii="Arial" w:cs="Arial" w:eastAsia="Arial" w:hAnsi="Arial"/>
          <w:sz w:val="17"/>
          <w:szCs w:val="17"/>
          <w:u w:val="single" w:color="auto"/>
          <w:color w:val="282A32"/>
        </w:rPr>
        <w:t>Retirement and Deferred Compensation Plans</w:t>
      </w:r>
    </w:p>
    <w:p>
      <w:pPr>
        <w:spacing w:after="0" w:line="153" w:lineRule="exact"/>
        <w:rPr>
          <w:sz w:val="20"/>
          <w:szCs w:val="20"/>
          <w:color w:val="auto"/>
        </w:rPr>
      </w:pPr>
    </w:p>
    <w:p>
      <w:pPr>
        <w:spacing w:after="0" w:line="265" w:lineRule="auto"/>
        <w:rPr>
          <w:sz w:val="20"/>
          <w:szCs w:val="20"/>
          <w:color w:val="auto"/>
        </w:rPr>
      </w:pPr>
      <w:r>
        <w:rPr>
          <w:rFonts w:ascii="Arial" w:cs="Arial" w:eastAsia="Arial" w:hAnsi="Arial"/>
          <w:sz w:val="17"/>
          <w:szCs w:val="17"/>
          <w:color w:val="282A32"/>
        </w:rPr>
        <w:t>For all of our United States defined benefit and retiree health care plans, we adopted the Society of Actuaries’ RP-2006 mortality table with MP-2018 projection scale in determining the plans’ benefit obligations as of December 31, 2018.</w:t>
      </w:r>
    </w:p>
    <w:p>
      <w:pPr>
        <w:spacing w:after="0" w:line="167"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282A32"/>
        </w:rPr>
        <w:t>As of January 1, 2018, we adopted the new guidance on the presentation of net periodic pension and postretirement benefit cost ("net benefit cost"). The new guidance requires bifurcation of net benefit cost, which used to be reported as an employee cost within operating income under the old guidance. The service cost component is still presented with other employee compensation cost in operating income or capitalized in assets in rare circumstances. The other components are now reported separately outside of operations, and are not eligible for capitalization. We have reclassified the prior year non-service cost components of net benefit cost to interest and other expenses from selling and administrative expenses to conform to the current period presentation. The non-service cost component was a net cost of $2.8 and $1.0 and a net credit of $5.3 for the years ended December 31, 2018, 2017 and 2016,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Defined Benefit Pension Plans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We sponsor several qualified and nonqualified pensi</w:t>
      </w:r>
      <w:r>
        <w:rPr>
          <w:rFonts w:ascii="Arial" w:cs="Arial" w:eastAsia="Arial" w:hAnsi="Arial"/>
          <w:sz w:val="17"/>
          <w:szCs w:val="17"/>
          <w:color w:val="000000"/>
        </w:rPr>
        <w:t>on plans covering permanent employees. During 2016, we transitioned an additional German plan associated with the</w:t>
      </w:r>
      <w:r>
        <w:rPr>
          <w:rFonts w:ascii="Arial" w:cs="Arial" w:eastAsia="Arial" w:hAnsi="Arial"/>
          <w:sz w:val="17"/>
          <w:szCs w:val="17"/>
          <w:color w:val="282A32"/>
        </w:rPr>
        <w:t xml:space="preserve"> </w:t>
      </w:r>
      <w:r>
        <w:rPr>
          <w:rFonts w:ascii="Arial" w:cs="Arial" w:eastAsia="Arial" w:hAnsi="Arial"/>
          <w:sz w:val="17"/>
          <w:szCs w:val="17"/>
          <w:color w:val="000000"/>
        </w:rPr>
        <w:t>employees who were transferred in as part of a new client contract. The unfunded portion of this plan was $56.4 and $61.8 as of December 31, 2018 and 2017, respectively, which will be partially funded by the client at the end of the contract. We have received a bank guarantee to cover the counterparty risk associated with this unfunded amount.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351" w:right="23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The reconciliation of the changes in the plans’ benefit obligations and the fair value of plan assets and the funded status of the plans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60" w:type="dxa"/>
            <w:vAlign w:val="bottom"/>
            <w:gridSpan w:val="5"/>
          </w:tcPr>
          <w:p>
            <w:pPr>
              <w:ind w:left="840"/>
              <w:spacing w:after="0"/>
              <w:rPr>
                <w:sz w:val="20"/>
                <w:szCs w:val="20"/>
                <w:color w:val="auto"/>
              </w:rPr>
            </w:pPr>
            <w:r>
              <w:rPr>
                <w:rFonts w:ascii="Arial" w:cs="Arial" w:eastAsia="Arial" w:hAnsi="Arial"/>
                <w:sz w:val="17"/>
                <w:szCs w:val="17"/>
                <w:color w:val="auto"/>
              </w:rPr>
              <w:t>United States Plans</w:t>
            </w:r>
          </w:p>
        </w:tc>
        <w:tc>
          <w:tcPr>
            <w:tcW w:w="2460" w:type="dxa"/>
            <w:vAlign w:val="bottom"/>
            <w:gridSpan w:val="3"/>
          </w:tcPr>
          <w:p>
            <w:pPr>
              <w:jc w:val="right"/>
              <w:ind w:right="100"/>
              <w:spacing w:after="0"/>
              <w:rPr>
                <w:sz w:val="20"/>
                <w:szCs w:val="20"/>
                <w:color w:val="auto"/>
              </w:rPr>
            </w:pPr>
            <w:r>
              <w:rPr>
                <w:rFonts w:ascii="Arial" w:cs="Arial" w:eastAsia="Arial" w:hAnsi="Arial"/>
                <w:sz w:val="17"/>
                <w:szCs w:val="17"/>
                <w:color w:val="auto"/>
              </w:rPr>
              <w:t>Non-United States Plans</w:t>
            </w:r>
          </w:p>
        </w:tc>
      </w:tr>
      <w:tr>
        <w:trPr>
          <w:trHeight w:val="25"/>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7"/>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Year Ended December 31</w:t>
            </w:r>
          </w:p>
        </w:tc>
        <w:tc>
          <w:tcPr>
            <w:tcW w:w="1360" w:type="dxa"/>
            <w:vAlign w:val="bottom"/>
          </w:tcPr>
          <w:p>
            <w:pPr>
              <w:jc w:val="right"/>
              <w:ind w:right="257"/>
              <w:spacing w:after="0"/>
              <w:rPr>
                <w:sz w:val="20"/>
                <w:szCs w:val="20"/>
                <w:color w:val="auto"/>
              </w:rPr>
            </w:pPr>
            <w:r>
              <w:rPr>
                <w:rFonts w:ascii="Arial" w:cs="Arial" w:eastAsia="Arial" w:hAnsi="Arial"/>
                <w:sz w:val="17"/>
                <w:szCs w:val="17"/>
                <w:color w:val="auto"/>
              </w:rPr>
              <w:t>2018</w:t>
            </w:r>
          </w:p>
        </w:tc>
        <w:tc>
          <w:tcPr>
            <w:tcW w:w="840" w:type="dxa"/>
            <w:vAlign w:val="bottom"/>
          </w:tcPr>
          <w:p>
            <w:pPr>
              <w:jc w:val="right"/>
              <w:spacing w:after="0"/>
              <w:rPr>
                <w:sz w:val="20"/>
                <w:szCs w:val="20"/>
                <w:color w:val="auto"/>
              </w:rPr>
            </w:pPr>
            <w:r>
              <w:rPr>
                <w:rFonts w:ascii="Arial" w:cs="Arial" w:eastAsia="Arial" w:hAnsi="Arial"/>
                <w:sz w:val="17"/>
                <w:szCs w:val="17"/>
                <w:color w:val="auto"/>
              </w:rPr>
              <w:t>2017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jc w:val="right"/>
              <w:ind w:right="277"/>
              <w:spacing w:after="0"/>
              <w:rPr>
                <w:sz w:val="20"/>
                <w:szCs w:val="20"/>
                <w:color w:val="auto"/>
              </w:rPr>
            </w:pPr>
            <w:r>
              <w:rPr>
                <w:rFonts w:ascii="Arial" w:cs="Arial" w:eastAsia="Arial" w:hAnsi="Arial"/>
                <w:sz w:val="17"/>
                <w:szCs w:val="17"/>
                <w:color w:val="auto"/>
              </w:rPr>
              <w:t>2018</w:t>
            </w:r>
          </w:p>
        </w:tc>
        <w:tc>
          <w:tcPr>
            <w:tcW w:w="920" w:type="dxa"/>
            <w:vAlign w:val="bottom"/>
          </w:tcPr>
          <w:p>
            <w:pPr>
              <w:jc w:val="right"/>
              <w:spacing w:after="0"/>
              <w:rPr>
                <w:sz w:val="20"/>
                <w:szCs w:val="20"/>
                <w:color w:val="auto"/>
              </w:rPr>
            </w:pPr>
            <w:r>
              <w:rPr>
                <w:rFonts w:ascii="Arial" w:cs="Arial" w:eastAsia="Arial" w:hAnsi="Arial"/>
                <w:sz w:val="17"/>
                <w:szCs w:val="17"/>
                <w:color w:val="auto"/>
              </w:rPr>
              <w:t>2017</w:t>
            </w:r>
          </w:p>
        </w:tc>
        <w:tc>
          <w:tcPr>
            <w:tcW w:w="60" w:type="dxa"/>
            <w:vAlign w:val="bottom"/>
          </w:tcPr>
          <w:p>
            <w:pPr>
              <w:spacing w:after="0"/>
              <w:rPr>
                <w:sz w:val="18"/>
                <w:szCs w:val="18"/>
                <w:color w:val="auto"/>
              </w:rPr>
            </w:pPr>
          </w:p>
        </w:tc>
      </w:tr>
      <w:tr>
        <w:trPr>
          <w:trHeight w:val="25"/>
        </w:trPr>
        <w:tc>
          <w:tcPr>
            <w:tcW w:w="6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84"/>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Change in Benefit Obligation</w:t>
            </w:r>
          </w:p>
        </w:tc>
        <w:tc>
          <w:tcPr>
            <w:tcW w:w="13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24"/>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Benefit obligation, beginning of year</w:t>
            </w:r>
          </w:p>
        </w:tc>
        <w:tc>
          <w:tcPr>
            <w:tcW w:w="1360" w:type="dxa"/>
            <w:vAlign w:val="bottom"/>
          </w:tcPr>
          <w:p>
            <w:pPr>
              <w:jc w:val="right"/>
              <w:ind w:right="257"/>
              <w:spacing w:after="0"/>
              <w:rPr>
                <w:sz w:val="20"/>
                <w:szCs w:val="20"/>
                <w:color w:val="auto"/>
              </w:rPr>
            </w:pPr>
            <w:r>
              <w:rPr>
                <w:rFonts w:ascii="Arial" w:cs="Arial" w:eastAsia="Arial" w:hAnsi="Arial"/>
                <w:sz w:val="17"/>
                <w:szCs w:val="17"/>
                <w:color w:val="auto"/>
              </w:rPr>
              <w:t>$53.7</w:t>
            </w:r>
          </w:p>
        </w:tc>
        <w:tc>
          <w:tcPr>
            <w:tcW w:w="840" w:type="dxa"/>
            <w:vAlign w:val="bottom"/>
          </w:tcPr>
          <w:p>
            <w:pPr>
              <w:jc w:val="right"/>
              <w:spacing w:after="0"/>
              <w:rPr>
                <w:sz w:val="20"/>
                <w:szCs w:val="20"/>
                <w:color w:val="auto"/>
              </w:rPr>
            </w:pPr>
            <w:r>
              <w:rPr>
                <w:rFonts w:ascii="Arial" w:cs="Arial" w:eastAsia="Arial" w:hAnsi="Arial"/>
                <w:sz w:val="17"/>
                <w:szCs w:val="17"/>
                <w:color w:val="auto"/>
              </w:rPr>
              <w:t>$53.1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right"/>
              <w:ind w:right="277"/>
              <w:spacing w:after="0"/>
              <w:rPr>
                <w:sz w:val="20"/>
                <w:szCs w:val="20"/>
                <w:color w:val="auto"/>
              </w:rPr>
            </w:pPr>
            <w:r>
              <w:rPr>
                <w:rFonts w:ascii="Arial" w:cs="Arial" w:eastAsia="Arial" w:hAnsi="Arial"/>
                <w:sz w:val="17"/>
                <w:szCs w:val="17"/>
                <w:color w:val="auto"/>
              </w:rPr>
              <w:t>$489.5</w:t>
            </w:r>
          </w:p>
        </w:tc>
        <w:tc>
          <w:tcPr>
            <w:tcW w:w="920" w:type="dxa"/>
            <w:vAlign w:val="bottom"/>
          </w:tcPr>
          <w:p>
            <w:pPr>
              <w:jc w:val="right"/>
              <w:spacing w:after="0"/>
              <w:rPr>
                <w:sz w:val="20"/>
                <w:szCs w:val="20"/>
                <w:color w:val="auto"/>
              </w:rPr>
            </w:pPr>
            <w:r>
              <w:rPr>
                <w:rFonts w:ascii="Arial" w:cs="Arial" w:eastAsia="Arial" w:hAnsi="Arial"/>
                <w:sz w:val="17"/>
                <w:szCs w:val="17"/>
                <w:color w:val="auto"/>
              </w:rPr>
              <w:t>$416.0</w:t>
            </w:r>
          </w:p>
        </w:tc>
        <w:tc>
          <w:tcPr>
            <w:tcW w:w="60" w:type="dxa"/>
            <w:vAlign w:val="bottom"/>
          </w:tcPr>
          <w:p>
            <w:pPr>
              <w:spacing w:after="0"/>
              <w:rPr>
                <w:sz w:val="19"/>
                <w:szCs w:val="19"/>
                <w:color w:val="auto"/>
              </w:rPr>
            </w:pPr>
          </w:p>
        </w:tc>
      </w:tr>
      <w:tr>
        <w:trPr>
          <w:trHeight w:val="25"/>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6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Service cost</w:t>
            </w:r>
          </w:p>
        </w:tc>
        <w:tc>
          <w:tcPr>
            <w:tcW w:w="13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10.9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4"/>
        </w:trPr>
        <w:tc>
          <w:tcPr>
            <w:tcW w:w="6440" w:type="dxa"/>
            <w:vAlign w:val="bottom"/>
            <w:gridSpan w:val="2"/>
          </w:tcPr>
          <w:p>
            <w:pPr>
              <w:ind w:left="280"/>
              <w:spacing w:after="0"/>
              <w:rPr>
                <w:sz w:val="20"/>
                <w:szCs w:val="20"/>
                <w:color w:val="auto"/>
              </w:rPr>
            </w:pPr>
            <w:r>
              <w:rPr>
                <w:rFonts w:ascii="Arial" w:cs="Arial" w:eastAsia="Arial" w:hAnsi="Arial"/>
                <w:sz w:val="17"/>
                <w:szCs w:val="17"/>
                <w:color w:val="auto"/>
              </w:rPr>
              <w:t>Interest cost</w:t>
            </w:r>
          </w:p>
        </w:tc>
        <w:tc>
          <w:tcPr>
            <w:tcW w:w="1360" w:type="dxa"/>
            <w:vAlign w:val="bottom"/>
          </w:tcPr>
          <w:p>
            <w:pPr>
              <w:jc w:val="right"/>
              <w:ind w:right="257"/>
              <w:spacing w:after="0"/>
              <w:rPr>
                <w:sz w:val="20"/>
                <w:szCs w:val="20"/>
                <w:color w:val="auto"/>
              </w:rPr>
            </w:pPr>
            <w:r>
              <w:rPr>
                <w:rFonts w:ascii="Arial" w:cs="Arial" w:eastAsia="Arial" w:hAnsi="Arial"/>
                <w:sz w:val="17"/>
                <w:szCs w:val="17"/>
                <w:color w:val="auto"/>
              </w:rPr>
              <w:t>1.6</w:t>
            </w:r>
          </w:p>
        </w:tc>
        <w:tc>
          <w:tcPr>
            <w:tcW w:w="840" w:type="dxa"/>
            <w:vAlign w:val="bottom"/>
          </w:tcPr>
          <w:p>
            <w:pPr>
              <w:jc w:val="right"/>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right"/>
              <w:ind w:right="277"/>
              <w:spacing w:after="0"/>
              <w:rPr>
                <w:sz w:val="20"/>
                <w:szCs w:val="20"/>
                <w:color w:val="auto"/>
              </w:rPr>
            </w:pPr>
            <w:r>
              <w:rPr>
                <w:rFonts w:ascii="Arial" w:cs="Arial" w:eastAsia="Arial" w:hAnsi="Arial"/>
                <w:sz w:val="17"/>
                <w:szCs w:val="17"/>
                <w:color w:val="auto"/>
              </w:rPr>
              <w:t>10.0</w:t>
            </w:r>
          </w:p>
        </w:tc>
        <w:tc>
          <w:tcPr>
            <w:tcW w:w="920" w:type="dxa"/>
            <w:vAlign w:val="bottom"/>
          </w:tcPr>
          <w:p>
            <w:pPr>
              <w:jc w:val="right"/>
              <w:spacing w:after="0"/>
              <w:rPr>
                <w:sz w:val="20"/>
                <w:szCs w:val="20"/>
                <w:color w:val="auto"/>
              </w:rPr>
            </w:pPr>
            <w:r>
              <w:rPr>
                <w:rFonts w:ascii="Arial" w:cs="Arial" w:eastAsia="Arial" w:hAnsi="Arial"/>
                <w:sz w:val="17"/>
                <w:szCs w:val="17"/>
                <w:color w:val="auto"/>
              </w:rPr>
              <w:t>8.9</w:t>
            </w:r>
          </w:p>
        </w:tc>
        <w:tc>
          <w:tcPr>
            <w:tcW w:w="60" w:type="dxa"/>
            <w:vAlign w:val="bottom"/>
          </w:tcPr>
          <w:p>
            <w:pPr>
              <w:spacing w:after="0"/>
              <w:rPr>
                <w:sz w:val="19"/>
                <w:szCs w:val="19"/>
                <w:color w:val="auto"/>
              </w:rPr>
            </w:pPr>
          </w:p>
        </w:tc>
      </w:tr>
      <w:tr>
        <w:trPr>
          <w:trHeight w:val="25"/>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6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Transfers</w:t>
            </w:r>
          </w:p>
        </w:tc>
        <w:tc>
          <w:tcPr>
            <w:tcW w:w="13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1.2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4"/>
        </w:trPr>
        <w:tc>
          <w:tcPr>
            <w:tcW w:w="6440" w:type="dxa"/>
            <w:vAlign w:val="bottom"/>
            <w:gridSpan w:val="2"/>
          </w:tcPr>
          <w:p>
            <w:pPr>
              <w:ind w:left="280"/>
              <w:spacing w:after="0"/>
              <w:rPr>
                <w:sz w:val="20"/>
                <w:szCs w:val="20"/>
                <w:color w:val="auto"/>
              </w:rPr>
            </w:pPr>
            <w:r>
              <w:rPr>
                <w:rFonts w:ascii="Arial" w:cs="Arial" w:eastAsia="Arial" w:hAnsi="Arial"/>
                <w:sz w:val="17"/>
                <w:szCs w:val="17"/>
                <w:color w:val="auto"/>
              </w:rPr>
              <w:t>Actuarial (gain) loss</w:t>
            </w:r>
          </w:p>
        </w:tc>
        <w:tc>
          <w:tcPr>
            <w:tcW w:w="1360" w:type="dxa"/>
            <w:vAlign w:val="bottom"/>
          </w:tcPr>
          <w:p>
            <w:pPr>
              <w:jc w:val="right"/>
              <w:ind w:right="217"/>
              <w:spacing w:after="0"/>
              <w:rPr>
                <w:sz w:val="20"/>
                <w:szCs w:val="20"/>
                <w:color w:val="auto"/>
              </w:rPr>
            </w:pPr>
            <w:r>
              <w:rPr>
                <w:rFonts w:ascii="Arial" w:cs="Arial" w:eastAsia="Arial" w:hAnsi="Arial"/>
                <w:sz w:val="17"/>
                <w:szCs w:val="17"/>
                <w:color w:val="auto"/>
              </w:rPr>
              <w:t>(2.0)</w:t>
            </w:r>
          </w:p>
        </w:tc>
        <w:tc>
          <w:tcPr>
            <w:tcW w:w="840" w:type="dxa"/>
            <w:vAlign w:val="bottom"/>
          </w:tcPr>
          <w:p>
            <w:pPr>
              <w:jc w:val="right"/>
              <w:spacing w:after="0"/>
              <w:rPr>
                <w:sz w:val="20"/>
                <w:szCs w:val="20"/>
                <w:color w:val="auto"/>
              </w:rPr>
            </w:pPr>
            <w:r>
              <w:rPr>
                <w:rFonts w:ascii="Arial" w:cs="Arial" w:eastAsia="Arial" w:hAnsi="Arial"/>
                <w:sz w:val="17"/>
                <w:szCs w:val="17"/>
                <w:color w:val="auto"/>
              </w:rPr>
              <w:t>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right"/>
              <w:ind w:right="217"/>
              <w:spacing w:after="0"/>
              <w:rPr>
                <w:sz w:val="20"/>
                <w:szCs w:val="20"/>
                <w:color w:val="auto"/>
              </w:rPr>
            </w:pPr>
            <w:r>
              <w:rPr>
                <w:rFonts w:ascii="Arial" w:cs="Arial" w:eastAsia="Arial" w:hAnsi="Arial"/>
                <w:sz w:val="17"/>
                <w:szCs w:val="17"/>
                <w:color w:val="auto"/>
              </w:rPr>
              <w:t>(28.0)</w:t>
            </w:r>
          </w:p>
        </w:tc>
        <w:tc>
          <w:tcPr>
            <w:tcW w:w="920" w:type="dxa"/>
            <w:vAlign w:val="bottom"/>
          </w:tcPr>
          <w:p>
            <w:pPr>
              <w:jc w:val="right"/>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9"/>
                <w:szCs w:val="19"/>
                <w:color w:val="auto"/>
              </w:rPr>
            </w:pPr>
          </w:p>
        </w:tc>
      </w:tr>
      <w:tr>
        <w:trPr>
          <w:trHeight w:val="25"/>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6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Plan participant contributions</w:t>
            </w:r>
          </w:p>
        </w:tc>
        <w:tc>
          <w:tcPr>
            <w:tcW w:w="13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0.2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24"/>
        </w:trPr>
        <w:tc>
          <w:tcPr>
            <w:tcW w:w="6440" w:type="dxa"/>
            <w:vAlign w:val="bottom"/>
            <w:gridSpan w:val="2"/>
          </w:tcPr>
          <w:p>
            <w:pPr>
              <w:ind w:left="280"/>
              <w:spacing w:after="0"/>
              <w:rPr>
                <w:sz w:val="20"/>
                <w:szCs w:val="20"/>
                <w:color w:val="auto"/>
              </w:rPr>
            </w:pPr>
            <w:r>
              <w:rPr>
                <w:rFonts w:ascii="Arial" w:cs="Arial" w:eastAsia="Arial" w:hAnsi="Arial"/>
                <w:sz w:val="17"/>
                <w:szCs w:val="17"/>
                <w:color w:val="auto"/>
              </w:rPr>
              <w:t>Benefits paid</w:t>
            </w:r>
          </w:p>
        </w:tc>
        <w:tc>
          <w:tcPr>
            <w:tcW w:w="1360" w:type="dxa"/>
            <w:vAlign w:val="bottom"/>
          </w:tcPr>
          <w:p>
            <w:pPr>
              <w:jc w:val="right"/>
              <w:ind w:right="217"/>
              <w:spacing w:after="0"/>
              <w:rPr>
                <w:sz w:val="20"/>
                <w:szCs w:val="20"/>
                <w:color w:val="auto"/>
              </w:rPr>
            </w:pPr>
            <w:r>
              <w:rPr>
                <w:rFonts w:ascii="Arial" w:cs="Arial" w:eastAsia="Arial" w:hAnsi="Arial"/>
                <w:sz w:val="17"/>
                <w:szCs w:val="17"/>
                <w:color w:val="auto"/>
              </w:rPr>
              <w:t>(4.4)</w:t>
            </w:r>
          </w:p>
        </w:tc>
        <w:tc>
          <w:tcPr>
            <w:tcW w:w="840" w:type="dxa"/>
            <w:vAlign w:val="bottom"/>
          </w:tcPr>
          <w:p>
            <w:pPr>
              <w:jc w:val="right"/>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right"/>
              <w:ind w:right="217"/>
              <w:spacing w:after="0"/>
              <w:rPr>
                <w:sz w:val="20"/>
                <w:szCs w:val="20"/>
                <w:color w:val="auto"/>
              </w:rPr>
            </w:pPr>
            <w:r>
              <w:rPr>
                <w:rFonts w:ascii="Arial" w:cs="Arial" w:eastAsia="Arial" w:hAnsi="Arial"/>
                <w:sz w:val="17"/>
                <w:szCs w:val="17"/>
                <w:color w:val="auto"/>
              </w:rPr>
              <w:t>(10.5)</w:t>
            </w: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(9.5)</w:t>
            </w:r>
          </w:p>
        </w:tc>
      </w:tr>
      <w:tr>
        <w:trPr>
          <w:trHeight w:val="25"/>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4"/>
        </w:trPr>
        <w:tc>
          <w:tcPr>
            <w:tcW w:w="6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Currency exchange rate changes</w:t>
            </w:r>
          </w:p>
        </w:tc>
        <w:tc>
          <w:tcPr>
            <w:tcW w:w="13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(23.3)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17"/>
        </w:trPr>
        <w:tc>
          <w:tcPr>
            <w:tcW w:w="644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Benefit obligation, end of year</w:t>
            </w:r>
          </w:p>
        </w:tc>
        <w:tc>
          <w:tcPr>
            <w:tcW w:w="136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auto"/>
              </w:rPr>
              <w:t>$48.9</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$53.7</w:t>
            </w: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auto"/>
              </w:rPr>
              <w:t>$450.0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$489.5</w:t>
            </w:r>
          </w:p>
        </w:tc>
        <w:tc>
          <w:tcPr>
            <w:tcW w:w="60" w:type="dxa"/>
            <w:vAlign w:val="bottom"/>
            <w:tcBorders>
              <w:top w:val="single" w:sz="8" w:color="auto"/>
            </w:tcBorders>
          </w:tcPr>
          <w:p>
            <w:pPr>
              <w:spacing w:after="0"/>
              <w:rPr>
                <w:sz w:val="18"/>
                <w:szCs w:val="18"/>
                <w:color w:val="auto"/>
              </w:rPr>
            </w:pPr>
          </w:p>
        </w:tc>
      </w:tr>
      <w:tr>
        <w:trPr>
          <w:trHeight w:val="25"/>
        </w:trPr>
        <w:tc>
          <w:tcPr>
            <w:tcW w:w="6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342"/>
        </w:trPr>
        <w:tc>
          <w:tcPr>
            <w:tcW w:w="6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60" w:type="dxa"/>
            <w:vAlign w:val="bottom"/>
            <w:gridSpan w:val="5"/>
          </w:tcPr>
          <w:p>
            <w:pPr>
              <w:ind w:left="800"/>
              <w:spacing w:after="0"/>
              <w:rPr>
                <w:sz w:val="20"/>
                <w:szCs w:val="20"/>
                <w:color w:val="auto"/>
              </w:rPr>
            </w:pPr>
            <w:r>
              <w:rPr>
                <w:rFonts w:ascii="Arial" w:cs="Arial" w:eastAsia="Arial" w:hAnsi="Arial"/>
                <w:sz w:val="17"/>
                <w:szCs w:val="17"/>
                <w:color w:val="auto"/>
              </w:rPr>
              <w:t>United States Plans</w:t>
            </w:r>
          </w:p>
        </w:tc>
        <w:tc>
          <w:tcPr>
            <w:tcW w:w="2460" w:type="dxa"/>
            <w:vAlign w:val="bottom"/>
            <w:gridSpan w:val="3"/>
          </w:tcPr>
          <w:p>
            <w:pPr>
              <w:jc w:val="right"/>
              <w:ind w:right="160"/>
              <w:spacing w:after="0"/>
              <w:rPr>
                <w:sz w:val="20"/>
                <w:szCs w:val="20"/>
                <w:color w:val="auto"/>
              </w:rPr>
            </w:pPr>
            <w:r>
              <w:rPr>
                <w:rFonts w:ascii="Arial" w:cs="Arial" w:eastAsia="Arial" w:hAnsi="Arial"/>
                <w:sz w:val="17"/>
                <w:szCs w:val="17"/>
                <w:color w:val="auto"/>
              </w:rPr>
              <w:t>Non-United States Plans</w:t>
            </w:r>
          </w:p>
        </w:tc>
      </w:tr>
      <w:tr>
        <w:trPr>
          <w:trHeight w:val="25"/>
        </w:trPr>
        <w:tc>
          <w:tcPr>
            <w:tcW w:w="64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17"/>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Year Ended December 31</w:t>
            </w:r>
          </w:p>
        </w:tc>
        <w:tc>
          <w:tcPr>
            <w:tcW w:w="1360" w:type="dxa"/>
            <w:vAlign w:val="bottom"/>
          </w:tcPr>
          <w:p>
            <w:pPr>
              <w:jc w:val="right"/>
              <w:ind w:right="317"/>
              <w:spacing w:after="0"/>
              <w:rPr>
                <w:sz w:val="20"/>
                <w:szCs w:val="20"/>
                <w:color w:val="auto"/>
              </w:rPr>
            </w:pPr>
            <w:r>
              <w:rPr>
                <w:rFonts w:ascii="Arial" w:cs="Arial" w:eastAsia="Arial" w:hAnsi="Arial"/>
                <w:sz w:val="17"/>
                <w:szCs w:val="17"/>
                <w:color w:val="auto"/>
              </w:rPr>
              <w:t>2018</w:t>
            </w: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2017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80" w:type="dxa"/>
            <w:vAlign w:val="bottom"/>
          </w:tcPr>
          <w:p>
            <w:pPr>
              <w:jc w:val="right"/>
              <w:ind w:right="317"/>
              <w:spacing w:after="0"/>
              <w:rPr>
                <w:sz w:val="20"/>
                <w:szCs w:val="20"/>
                <w:color w:val="auto"/>
              </w:rPr>
            </w:pPr>
            <w:r>
              <w:rPr>
                <w:rFonts w:ascii="Arial" w:cs="Arial" w:eastAsia="Arial" w:hAnsi="Arial"/>
                <w:sz w:val="17"/>
                <w:szCs w:val="17"/>
                <w:color w:val="auto"/>
              </w:rPr>
              <w:t>2018</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2017</w:t>
            </w:r>
          </w:p>
        </w:tc>
        <w:tc>
          <w:tcPr>
            <w:tcW w:w="60" w:type="dxa"/>
            <w:vAlign w:val="bottom"/>
          </w:tcPr>
          <w:p>
            <w:pPr>
              <w:spacing w:after="0"/>
              <w:rPr>
                <w:sz w:val="18"/>
                <w:szCs w:val="18"/>
                <w:color w:val="auto"/>
              </w:rPr>
            </w:pPr>
          </w:p>
        </w:tc>
      </w:tr>
      <w:tr>
        <w:trPr>
          <w:trHeight w:val="25"/>
        </w:trPr>
        <w:tc>
          <w:tcPr>
            <w:tcW w:w="6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4"/>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Change in Plan Assets</w:t>
            </w:r>
          </w:p>
        </w:tc>
        <w:tc>
          <w:tcPr>
            <w:tcW w:w="13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Fair value of plan assets, beginning of year</w:t>
            </w:r>
          </w:p>
        </w:tc>
        <w:tc>
          <w:tcPr>
            <w:tcW w:w="1360" w:type="dxa"/>
            <w:vAlign w:val="bottom"/>
          </w:tcPr>
          <w:p>
            <w:pPr>
              <w:jc w:val="right"/>
              <w:ind w:right="317"/>
              <w:spacing w:after="0"/>
              <w:rPr>
                <w:sz w:val="20"/>
                <w:szCs w:val="20"/>
                <w:color w:val="auto"/>
              </w:rPr>
            </w:pPr>
            <w:r>
              <w:rPr>
                <w:rFonts w:ascii="Arial" w:cs="Arial" w:eastAsia="Arial" w:hAnsi="Arial"/>
                <w:sz w:val="17"/>
                <w:szCs w:val="17"/>
                <w:color w:val="auto"/>
              </w:rPr>
              <w:t>$38.7</w:t>
            </w: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$37.3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right"/>
              <w:ind w:right="317"/>
              <w:spacing w:after="0"/>
              <w:rPr>
                <w:sz w:val="20"/>
                <w:szCs w:val="20"/>
                <w:color w:val="auto"/>
              </w:rPr>
            </w:pPr>
            <w:r>
              <w:rPr>
                <w:rFonts w:ascii="Arial" w:cs="Arial" w:eastAsia="Arial" w:hAnsi="Arial"/>
                <w:sz w:val="17"/>
                <w:szCs w:val="17"/>
                <w:color w:val="auto"/>
              </w:rPr>
              <w:t>$376.7</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$324.5</w:t>
            </w:r>
          </w:p>
        </w:tc>
        <w:tc>
          <w:tcPr>
            <w:tcW w:w="60" w:type="dxa"/>
            <w:vAlign w:val="bottom"/>
          </w:tcPr>
          <w:p>
            <w:pPr>
              <w:spacing w:after="0"/>
              <w:rPr>
                <w:sz w:val="19"/>
                <w:szCs w:val="19"/>
                <w:color w:val="auto"/>
              </w:rPr>
            </w:pPr>
          </w:p>
        </w:tc>
      </w:tr>
      <w:tr>
        <w:trPr>
          <w:trHeight w:val="25"/>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6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Actual return on plan assets</w:t>
            </w:r>
          </w:p>
        </w:tc>
        <w:tc>
          <w:tcPr>
            <w:tcW w:w="13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(0.7)</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3.0</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(2.4)</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13.4</w:t>
            </w:r>
          </w:p>
        </w:tc>
        <w:tc>
          <w:tcPr>
            <w:tcW w:w="60" w:type="dxa"/>
            <w:vAlign w:val="bottom"/>
          </w:tcPr>
          <w:p>
            <w:pPr>
              <w:spacing w:after="0"/>
              <w:rPr>
                <w:sz w:val="19"/>
                <w:szCs w:val="19"/>
                <w:color w:val="auto"/>
              </w:rPr>
            </w:pPr>
          </w:p>
        </w:tc>
      </w:tr>
      <w:tr>
        <w:trPr>
          <w:trHeight w:val="224"/>
        </w:trPr>
        <w:tc>
          <w:tcPr>
            <w:tcW w:w="6440" w:type="dxa"/>
            <w:vAlign w:val="bottom"/>
            <w:gridSpan w:val="2"/>
          </w:tcPr>
          <w:p>
            <w:pPr>
              <w:ind w:left="280"/>
              <w:spacing w:after="0"/>
              <w:rPr>
                <w:sz w:val="20"/>
                <w:szCs w:val="20"/>
                <w:color w:val="auto"/>
              </w:rPr>
            </w:pPr>
            <w:r>
              <w:rPr>
                <w:rFonts w:ascii="Arial" w:cs="Arial" w:eastAsia="Arial" w:hAnsi="Arial"/>
                <w:sz w:val="17"/>
                <w:szCs w:val="17"/>
                <w:color w:val="auto"/>
              </w:rPr>
              <w:t>Transfers</w:t>
            </w:r>
          </w:p>
        </w:tc>
        <w:tc>
          <w:tcPr>
            <w:tcW w:w="136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277"/>
              <w:spacing w:after="0"/>
              <w:rPr>
                <w:sz w:val="20"/>
                <w:szCs w:val="20"/>
                <w:color w:val="auto"/>
              </w:rPr>
            </w:pPr>
            <w:r>
              <w:rPr>
                <w:rFonts w:ascii="Arial" w:cs="Arial" w:eastAsia="Arial" w:hAnsi="Arial"/>
                <w:sz w:val="17"/>
                <w:szCs w:val="17"/>
                <w:color w:val="auto"/>
              </w:rPr>
              <w:t>(0.3)</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1.8</w:t>
            </w:r>
          </w:p>
        </w:tc>
        <w:tc>
          <w:tcPr>
            <w:tcW w:w="60" w:type="dxa"/>
            <w:vAlign w:val="bottom"/>
          </w:tcPr>
          <w:p>
            <w:pPr>
              <w:spacing w:after="0"/>
              <w:rPr>
                <w:sz w:val="19"/>
                <w:szCs w:val="19"/>
                <w:color w:val="auto"/>
              </w:rPr>
            </w:pPr>
          </w:p>
        </w:tc>
      </w:tr>
      <w:tr>
        <w:trPr>
          <w:trHeight w:val="25"/>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6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Plan participant contributions</w:t>
            </w:r>
          </w:p>
        </w:tc>
        <w:tc>
          <w:tcPr>
            <w:tcW w:w="13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0.2</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0.2</w:t>
            </w:r>
          </w:p>
        </w:tc>
        <w:tc>
          <w:tcPr>
            <w:tcW w:w="60" w:type="dxa"/>
            <w:vAlign w:val="bottom"/>
          </w:tcPr>
          <w:p>
            <w:pPr>
              <w:spacing w:after="0"/>
              <w:rPr>
                <w:sz w:val="19"/>
                <w:szCs w:val="19"/>
                <w:color w:val="auto"/>
              </w:rPr>
            </w:pPr>
          </w:p>
        </w:tc>
      </w:tr>
      <w:tr>
        <w:trPr>
          <w:trHeight w:val="224"/>
        </w:trPr>
        <w:tc>
          <w:tcPr>
            <w:tcW w:w="6440" w:type="dxa"/>
            <w:vAlign w:val="bottom"/>
            <w:gridSpan w:val="2"/>
          </w:tcPr>
          <w:p>
            <w:pPr>
              <w:ind w:left="280"/>
              <w:spacing w:after="0"/>
              <w:rPr>
                <w:sz w:val="20"/>
                <w:szCs w:val="20"/>
                <w:color w:val="auto"/>
              </w:rPr>
            </w:pPr>
            <w:r>
              <w:rPr>
                <w:rFonts w:ascii="Arial" w:cs="Arial" w:eastAsia="Arial" w:hAnsi="Arial"/>
                <w:sz w:val="17"/>
                <w:szCs w:val="17"/>
                <w:color w:val="auto"/>
              </w:rPr>
              <w:t>Company contributions</w:t>
            </w:r>
          </w:p>
        </w:tc>
        <w:tc>
          <w:tcPr>
            <w:tcW w:w="1360" w:type="dxa"/>
            <w:vAlign w:val="bottom"/>
          </w:tcPr>
          <w:p>
            <w:pPr>
              <w:jc w:val="right"/>
              <w:ind w:right="317"/>
              <w:spacing w:after="0"/>
              <w:rPr>
                <w:sz w:val="20"/>
                <w:szCs w:val="20"/>
                <w:color w:val="auto"/>
              </w:rPr>
            </w:pPr>
            <w:r>
              <w:rPr>
                <w:rFonts w:ascii="Arial" w:cs="Arial" w:eastAsia="Arial" w:hAnsi="Arial"/>
                <w:sz w:val="17"/>
                <w:szCs w:val="17"/>
                <w:color w:val="auto"/>
              </w:rPr>
              <w:t>2.5</w:t>
            </w:r>
          </w:p>
        </w:tc>
        <w:tc>
          <w:tcPr>
            <w:tcW w:w="840" w:type="dxa"/>
            <w:vAlign w:val="bottom"/>
          </w:tcPr>
          <w:p>
            <w:pPr>
              <w:jc w:val="right"/>
              <w:ind w:right="37"/>
              <w:spacing w:after="0"/>
              <w:rPr>
                <w:sz w:val="20"/>
                <w:szCs w:val="20"/>
                <w:color w:val="auto"/>
              </w:rPr>
            </w:pPr>
            <w:r>
              <w:rPr>
                <w:rFonts w:ascii="Arial" w:cs="Arial" w:eastAsia="Arial" w:hAnsi="Arial"/>
                <w:sz w:val="17"/>
                <w:szCs w:val="17"/>
                <w:color w:val="auto"/>
              </w:rPr>
              <w:t>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right"/>
              <w:ind w:right="317"/>
              <w:spacing w:after="0"/>
              <w:rPr>
                <w:sz w:val="20"/>
                <w:szCs w:val="20"/>
                <w:color w:val="auto"/>
              </w:rPr>
            </w:pPr>
            <w:r>
              <w:rPr>
                <w:rFonts w:ascii="Arial" w:cs="Arial" w:eastAsia="Arial" w:hAnsi="Arial"/>
                <w:sz w:val="17"/>
                <w:szCs w:val="17"/>
                <w:color w:val="auto"/>
              </w:rPr>
              <w:t>9.2</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7.9</w:t>
            </w:r>
          </w:p>
        </w:tc>
        <w:tc>
          <w:tcPr>
            <w:tcW w:w="60" w:type="dxa"/>
            <w:vAlign w:val="bottom"/>
          </w:tcPr>
          <w:p>
            <w:pPr>
              <w:spacing w:after="0"/>
              <w:rPr>
                <w:sz w:val="19"/>
                <w:szCs w:val="19"/>
                <w:color w:val="auto"/>
              </w:rPr>
            </w:pPr>
          </w:p>
        </w:tc>
      </w:tr>
      <w:tr>
        <w:trPr>
          <w:trHeight w:val="25"/>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64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Benefits paid</w:t>
            </w:r>
          </w:p>
        </w:tc>
        <w:tc>
          <w:tcPr>
            <w:tcW w:w="13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(4.4)</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(10.5)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60" w:type="dxa"/>
            <w:vAlign w:val="bottom"/>
          </w:tcPr>
          <w:p>
            <w:pPr>
              <w:spacing w:after="0"/>
              <w:rPr>
                <w:sz w:val="19"/>
                <w:szCs w:val="19"/>
                <w:color w:val="auto"/>
              </w:rPr>
            </w:pPr>
          </w:p>
        </w:tc>
      </w:tr>
      <w:tr>
        <w:trPr>
          <w:trHeight w:val="224"/>
        </w:trPr>
        <w:tc>
          <w:tcPr>
            <w:tcW w:w="6440" w:type="dxa"/>
            <w:vAlign w:val="bottom"/>
            <w:gridSpan w:val="2"/>
          </w:tcPr>
          <w:p>
            <w:pPr>
              <w:ind w:left="280"/>
              <w:spacing w:after="0"/>
              <w:rPr>
                <w:sz w:val="20"/>
                <w:szCs w:val="20"/>
                <w:color w:val="auto"/>
              </w:rPr>
            </w:pPr>
            <w:r>
              <w:rPr>
                <w:rFonts w:ascii="Arial" w:cs="Arial" w:eastAsia="Arial" w:hAnsi="Arial"/>
                <w:sz w:val="17"/>
                <w:szCs w:val="17"/>
                <w:color w:val="auto"/>
              </w:rPr>
              <w:t>Currency exchange rate changes</w:t>
            </w:r>
          </w:p>
        </w:tc>
        <w:tc>
          <w:tcPr>
            <w:tcW w:w="1360" w:type="dxa"/>
            <w:vAlign w:val="bottom"/>
          </w:tcPr>
          <w:p>
            <w:pPr>
              <w:jc w:val="right"/>
              <w:ind w:right="317"/>
              <w:spacing w:after="0"/>
              <w:rPr>
                <w:sz w:val="20"/>
                <w:szCs w:val="20"/>
                <w:color w:val="auto"/>
              </w:rPr>
            </w:pPr>
            <w:r>
              <w:rPr>
                <w:rFonts w:ascii="Arial" w:cs="Arial" w:eastAsia="Arial" w:hAnsi="Arial"/>
                <w:sz w:val="17"/>
                <w:szCs w:val="17"/>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277"/>
              <w:spacing w:after="0"/>
              <w:rPr>
                <w:sz w:val="20"/>
                <w:szCs w:val="20"/>
                <w:color w:val="auto"/>
              </w:rPr>
            </w:pPr>
            <w:r>
              <w:rPr>
                <w:rFonts w:ascii="Arial" w:cs="Arial" w:eastAsia="Arial" w:hAnsi="Arial"/>
                <w:sz w:val="17"/>
                <w:szCs w:val="17"/>
                <w:color w:val="auto"/>
              </w:rPr>
              <w:t>(18.8)</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38.4</w:t>
            </w:r>
          </w:p>
        </w:tc>
        <w:tc>
          <w:tcPr>
            <w:tcW w:w="60" w:type="dxa"/>
            <w:vAlign w:val="bottom"/>
          </w:tcPr>
          <w:p>
            <w:pPr>
              <w:spacing w:after="0"/>
              <w:rPr>
                <w:sz w:val="19"/>
                <w:szCs w:val="19"/>
                <w:color w:val="auto"/>
              </w:rPr>
            </w:pPr>
          </w:p>
        </w:tc>
      </w:tr>
      <w:tr>
        <w:trPr>
          <w:trHeight w:val="25"/>
        </w:trPr>
        <w:tc>
          <w:tcPr>
            <w:tcW w:w="6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7"/>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Fair value of plan assets, end of year</w:t>
            </w:r>
          </w:p>
        </w:tc>
        <w:tc>
          <w:tcPr>
            <w:tcW w:w="13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$36.1</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$38.7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$354.1</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$376.7</w:t>
            </w:r>
          </w:p>
        </w:tc>
        <w:tc>
          <w:tcPr>
            <w:tcW w:w="60" w:type="dxa"/>
            <w:vAlign w:val="bottom"/>
          </w:tcPr>
          <w:p>
            <w:pPr>
              <w:spacing w:after="0"/>
              <w:rPr>
                <w:sz w:val="21"/>
                <w:szCs w:val="21"/>
                <w:color w:val="auto"/>
              </w:rPr>
            </w:pPr>
          </w:p>
        </w:tc>
      </w:tr>
      <w:tr>
        <w:trPr>
          <w:trHeight w:val="279"/>
        </w:trPr>
        <w:tc>
          <w:tcPr>
            <w:tcW w:w="644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Funded Status at End of Year</w:t>
            </w:r>
          </w:p>
        </w:tc>
        <w:tc>
          <w:tcPr>
            <w:tcW w:w="13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5"/>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4"/>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Funded status, end of year</w:t>
            </w:r>
          </w:p>
        </w:tc>
        <w:tc>
          <w:tcPr>
            <w:tcW w:w="13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($12.8)</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($95.9)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($112.8)</w:t>
            </w:r>
          </w:p>
        </w:tc>
        <w:tc>
          <w:tcPr>
            <w:tcW w:w="60" w:type="dxa"/>
            <w:vAlign w:val="bottom"/>
          </w:tcPr>
          <w:p>
            <w:pPr>
              <w:spacing w:after="0"/>
              <w:rPr>
                <w:sz w:val="21"/>
                <w:szCs w:val="21"/>
                <w:color w:val="auto"/>
              </w:rPr>
            </w:pPr>
          </w:p>
        </w:tc>
      </w:tr>
      <w:tr>
        <w:trPr>
          <w:trHeight w:val="279"/>
        </w:trPr>
        <w:tc>
          <w:tcPr>
            <w:tcW w:w="644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Amounts Recognized</w:t>
            </w:r>
          </w:p>
        </w:tc>
        <w:tc>
          <w:tcPr>
            <w:tcW w:w="13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5"/>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Noncurrent assets</w:t>
            </w:r>
          </w:p>
        </w:tc>
        <w:tc>
          <w:tcPr>
            <w:tcW w:w="136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$15.0</w:t>
            </w: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$15.3</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$46.9</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$36.8</w:t>
            </w:r>
          </w:p>
        </w:tc>
        <w:tc>
          <w:tcPr>
            <w:tcW w:w="60" w:type="dxa"/>
            <w:vAlign w:val="bottom"/>
          </w:tcPr>
          <w:p>
            <w:pPr>
              <w:spacing w:after="0"/>
              <w:rPr>
                <w:sz w:val="19"/>
                <w:szCs w:val="19"/>
                <w:color w:val="auto"/>
              </w:rPr>
            </w:pPr>
          </w:p>
        </w:tc>
      </w:tr>
      <w:tr>
        <w:trPr>
          <w:trHeight w:val="224"/>
        </w:trPr>
        <w:tc>
          <w:tcPr>
            <w:tcW w:w="6440" w:type="dxa"/>
            <w:vAlign w:val="bottom"/>
            <w:gridSpan w:val="2"/>
          </w:tcPr>
          <w:p>
            <w:pPr>
              <w:ind w:left="20"/>
              <w:spacing w:after="0"/>
              <w:rPr>
                <w:sz w:val="20"/>
                <w:szCs w:val="20"/>
                <w:color w:val="auto"/>
              </w:rPr>
            </w:pPr>
            <w:r>
              <w:rPr>
                <w:rFonts w:ascii="Arial" w:cs="Arial" w:eastAsia="Arial" w:hAnsi="Arial"/>
                <w:sz w:val="17"/>
                <w:szCs w:val="17"/>
                <w:color w:val="auto"/>
              </w:rPr>
              <w:t>Current liabilities</w:t>
            </w:r>
          </w:p>
        </w:tc>
        <w:tc>
          <w:tcPr>
            <w:tcW w:w="1360" w:type="dxa"/>
            <w:vAlign w:val="bottom"/>
          </w:tcPr>
          <w:p>
            <w:pPr>
              <w:jc w:val="right"/>
              <w:ind w:right="257"/>
              <w:spacing w:after="0"/>
              <w:rPr>
                <w:sz w:val="20"/>
                <w:szCs w:val="20"/>
                <w:color w:val="auto"/>
              </w:rPr>
            </w:pPr>
            <w:r>
              <w:rPr>
                <w:rFonts w:ascii="Arial" w:cs="Arial" w:eastAsia="Arial" w:hAnsi="Arial"/>
                <w:sz w:val="17"/>
                <w:szCs w:val="17"/>
                <w:color w:val="auto"/>
              </w:rPr>
              <w:t>(2.5)</w:t>
            </w:r>
          </w:p>
        </w:tc>
        <w:tc>
          <w:tcPr>
            <w:tcW w:w="840" w:type="dxa"/>
            <w:vAlign w:val="bottom"/>
          </w:tcPr>
          <w:p>
            <w:pPr>
              <w:jc w:val="right"/>
              <w:spacing w:after="0"/>
              <w:rPr>
                <w:sz w:val="20"/>
                <w:szCs w:val="20"/>
                <w:color w:val="auto"/>
              </w:rPr>
            </w:pPr>
            <w:r>
              <w:rPr>
                <w:rFonts w:ascii="Arial" w:cs="Arial" w:eastAsia="Arial" w:hAnsi="Arial"/>
                <w:sz w:val="17"/>
                <w:szCs w:val="17"/>
                <w:color w:val="auto"/>
              </w:rPr>
              <w:t>(2.5)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Pr>
          <w:p>
            <w:pPr>
              <w:jc w:val="right"/>
              <w:ind w:right="277"/>
              <w:spacing w:after="0"/>
              <w:rPr>
                <w:sz w:val="20"/>
                <w:szCs w:val="20"/>
                <w:color w:val="auto"/>
              </w:rPr>
            </w:pPr>
            <w:r>
              <w:rPr>
                <w:rFonts w:ascii="Arial" w:cs="Arial" w:eastAsia="Arial" w:hAnsi="Arial"/>
                <w:sz w:val="17"/>
                <w:szCs w:val="17"/>
                <w:color w:val="auto"/>
              </w:rPr>
              <w:t>(0.5)</w:t>
            </w:r>
          </w:p>
        </w:tc>
        <w:tc>
          <w:tcPr>
            <w:tcW w:w="920" w:type="dxa"/>
            <w:vAlign w:val="bottom"/>
          </w:tcPr>
          <w:p>
            <w:pPr>
              <w:jc w:val="right"/>
              <w:spacing w:after="0"/>
              <w:rPr>
                <w:sz w:val="20"/>
                <w:szCs w:val="20"/>
                <w:color w:val="auto"/>
              </w:rPr>
            </w:pPr>
            <w:r>
              <w:rPr>
                <w:rFonts w:ascii="Arial" w:cs="Arial" w:eastAsia="Arial" w:hAnsi="Arial"/>
                <w:sz w:val="17"/>
                <w:szCs w:val="17"/>
                <w:color w:val="auto"/>
              </w:rPr>
              <w:t>(0.4)</w:t>
            </w:r>
          </w:p>
        </w:tc>
        <w:tc>
          <w:tcPr>
            <w:tcW w:w="60" w:type="dxa"/>
            <w:vAlign w:val="bottom"/>
          </w:tcPr>
          <w:p>
            <w:pPr>
              <w:spacing w:after="0"/>
              <w:rPr>
                <w:sz w:val="19"/>
                <w:szCs w:val="19"/>
                <w:color w:val="auto"/>
              </w:rPr>
            </w:pPr>
          </w:p>
        </w:tc>
      </w:tr>
      <w:tr>
        <w:trPr>
          <w:trHeight w:val="25"/>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4"/>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Noncurrent liabilities</w:t>
            </w:r>
          </w:p>
        </w:tc>
        <w:tc>
          <w:tcPr>
            <w:tcW w:w="136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(25.3)</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(142.3)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(149.2)</w:t>
            </w:r>
          </w:p>
        </w:tc>
        <w:tc>
          <w:tcPr>
            <w:tcW w:w="60" w:type="dxa"/>
            <w:vAlign w:val="bottom"/>
          </w:tcPr>
          <w:p>
            <w:pPr>
              <w:spacing w:after="0"/>
              <w:rPr>
                <w:sz w:val="21"/>
                <w:szCs w:val="21"/>
                <w:color w:val="auto"/>
              </w:rPr>
            </w:pPr>
          </w:p>
        </w:tc>
      </w:tr>
      <w:tr>
        <w:trPr>
          <w:trHeight w:val="217"/>
        </w:trPr>
        <w:tc>
          <w:tcPr>
            <w:tcW w:w="6440" w:type="dxa"/>
            <w:vAlign w:val="bottom"/>
            <w:tcBorders>
              <w:top w:val="single" w:sz="8" w:color="auto"/>
            </w:tcBorders>
            <w:gridSpan w:val="2"/>
          </w:tcPr>
          <w:p>
            <w:pPr>
              <w:ind w:left="20"/>
              <w:spacing w:after="0"/>
              <w:rPr>
                <w:sz w:val="20"/>
                <w:szCs w:val="20"/>
                <w:color w:val="auto"/>
              </w:rPr>
            </w:pPr>
            <w:r>
              <w:rPr>
                <w:rFonts w:ascii="Arial" w:cs="Arial" w:eastAsia="Arial" w:hAnsi="Arial"/>
                <w:sz w:val="17"/>
                <w:szCs w:val="17"/>
                <w:color w:val="auto"/>
              </w:rPr>
              <w:t>Net amount recognized</w:t>
            </w:r>
          </w:p>
        </w:tc>
        <w:tc>
          <w:tcPr>
            <w:tcW w:w="1360" w:type="dxa"/>
            <w:vAlign w:val="bottom"/>
            <w:tcBorders>
              <w:top w:val="single" w:sz="8" w:color="auto"/>
            </w:tcBorders>
          </w:tcPr>
          <w:p>
            <w:pPr>
              <w:jc w:val="right"/>
              <w:ind w:right="257"/>
              <w:spacing w:after="0"/>
              <w:rPr>
                <w:sz w:val="20"/>
                <w:szCs w:val="20"/>
                <w:color w:val="auto"/>
              </w:rPr>
            </w:pPr>
            <w:r>
              <w:rPr>
                <w:rFonts w:ascii="Arial" w:cs="Arial" w:eastAsia="Arial" w:hAnsi="Arial"/>
                <w:sz w:val="17"/>
                <w:szCs w:val="17"/>
                <w:color w:val="auto"/>
              </w:rPr>
              <w:t>($12.8)</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auto"/>
              </w:rPr>
              <w:t>($95.9)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($112.8)</w:t>
            </w:r>
          </w:p>
        </w:tc>
        <w:tc>
          <w:tcPr>
            <w:tcW w:w="60" w:type="dxa"/>
            <w:vAlign w:val="bottom"/>
          </w:tcPr>
          <w:p>
            <w:pPr>
              <w:spacing w:after="0"/>
              <w:rPr>
                <w:sz w:val="18"/>
                <w:szCs w:val="18"/>
                <w:color w:val="auto"/>
              </w:rPr>
            </w:pPr>
          </w:p>
        </w:tc>
      </w:tr>
      <w:tr>
        <w:trPr>
          <w:trHeight w:val="25"/>
        </w:trPr>
        <w:tc>
          <w:tcPr>
            <w:tcW w:w="6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282A32"/>
        </w:rPr>
        <w:t>Amounts recognized in accumulated other comprehensive loss, net of tax, consisted of:</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400" w:type="dxa"/>
            <w:vAlign w:val="bottom"/>
            <w:gridSpan w:val="3"/>
          </w:tcPr>
          <w:p>
            <w:pPr>
              <w:ind w:left="880"/>
              <w:spacing w:after="0"/>
              <w:rPr>
                <w:sz w:val="20"/>
                <w:szCs w:val="20"/>
                <w:color w:val="auto"/>
              </w:rPr>
            </w:pPr>
            <w:r>
              <w:rPr>
                <w:rFonts w:ascii="Arial" w:cs="Arial" w:eastAsia="Arial" w:hAnsi="Arial"/>
                <w:sz w:val="17"/>
                <w:szCs w:val="17"/>
                <w:color w:val="auto"/>
              </w:rPr>
              <w:t>United States Plans</w:t>
            </w:r>
          </w:p>
        </w:tc>
        <w:tc>
          <w:tcPr>
            <w:tcW w:w="2460" w:type="dxa"/>
            <w:vAlign w:val="bottom"/>
            <w:gridSpan w:val="2"/>
          </w:tcPr>
          <w:p>
            <w:pPr>
              <w:jc w:val="right"/>
              <w:ind w:right="17"/>
              <w:spacing w:after="0"/>
              <w:rPr>
                <w:sz w:val="20"/>
                <w:szCs w:val="20"/>
                <w:color w:val="auto"/>
              </w:rPr>
            </w:pPr>
            <w:r>
              <w:rPr>
                <w:rFonts w:ascii="Arial" w:cs="Arial" w:eastAsia="Arial" w:hAnsi="Arial"/>
                <w:sz w:val="17"/>
                <w:szCs w:val="17"/>
                <w:color w:val="auto"/>
              </w:rPr>
              <w:t>Non-United States Plans</w:t>
            </w:r>
          </w:p>
        </w:tc>
      </w:tr>
      <w:tr>
        <w:trPr>
          <w:trHeight w:val="25"/>
        </w:trPr>
        <w:tc>
          <w:tcPr>
            <w:tcW w:w="36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680" w:type="dxa"/>
            <w:vAlign w:val="bottom"/>
          </w:tcPr>
          <w:p>
            <w:pPr>
              <w:ind w:left="20"/>
              <w:spacing w:after="0"/>
              <w:rPr>
                <w:sz w:val="20"/>
                <w:szCs w:val="20"/>
                <w:color w:val="auto"/>
              </w:rPr>
            </w:pPr>
            <w:r>
              <w:rPr>
                <w:rFonts w:ascii="Arial" w:cs="Arial" w:eastAsia="Arial" w:hAnsi="Arial"/>
                <w:sz w:val="17"/>
                <w:szCs w:val="17"/>
                <w:color w:val="auto"/>
              </w:rPr>
              <w:t>Year Ended December 31</w:t>
            </w:r>
          </w:p>
        </w:tc>
        <w:tc>
          <w:tcPr>
            <w:tcW w:w="4200" w:type="dxa"/>
            <w:vAlign w:val="bottom"/>
            <w:gridSpan w:val="2"/>
          </w:tcPr>
          <w:p>
            <w:pPr>
              <w:jc w:val="right"/>
              <w:ind w:right="297"/>
              <w:spacing w:after="0"/>
              <w:rPr>
                <w:sz w:val="20"/>
                <w:szCs w:val="20"/>
                <w:color w:val="auto"/>
              </w:rPr>
            </w:pPr>
            <w:r>
              <w:rPr>
                <w:rFonts w:ascii="Arial" w:cs="Arial" w:eastAsia="Arial" w:hAnsi="Arial"/>
                <w:sz w:val="17"/>
                <w:szCs w:val="17"/>
                <w:color w:val="auto"/>
              </w:rPr>
              <w:t>2018</w:t>
            </w: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8"/>
                <w:szCs w:val="18"/>
                <w:color w:val="auto"/>
              </w:rPr>
            </w:pPr>
          </w:p>
        </w:tc>
        <w:tc>
          <w:tcPr>
            <w:tcW w:w="1560" w:type="dxa"/>
            <w:vAlign w:val="bottom"/>
          </w:tcPr>
          <w:p>
            <w:pPr>
              <w:jc w:val="right"/>
              <w:ind w:right="357"/>
              <w:spacing w:after="0"/>
              <w:rPr>
                <w:sz w:val="20"/>
                <w:szCs w:val="20"/>
                <w:color w:val="auto"/>
              </w:rPr>
            </w:pPr>
            <w:r>
              <w:rPr>
                <w:rFonts w:ascii="Arial" w:cs="Arial" w:eastAsia="Arial" w:hAnsi="Arial"/>
                <w:sz w:val="17"/>
                <w:szCs w:val="17"/>
                <w:color w:val="auto"/>
              </w:rPr>
              <w:t>2018</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2017</w:t>
            </w:r>
          </w:p>
        </w:tc>
      </w:tr>
      <w:tr>
        <w:trPr>
          <w:trHeight w:val="25"/>
        </w:trPr>
        <w:tc>
          <w:tcPr>
            <w:tcW w:w="36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4200" w:type="dxa"/>
            <w:vAlign w:val="bottom"/>
            <w:tcBorders>
              <w:bottom w:val="single" w:sz="8" w:color="CCEEFF"/>
            </w:tcBorders>
            <w:gridSpan w:val="2"/>
            <w:shd w:val="clear" w:color="auto" w:fill="CCEEFF"/>
          </w:tcPr>
          <w:p>
            <w:pPr>
              <w:jc w:val="right"/>
              <w:ind w:right="297"/>
              <w:spacing w:after="0"/>
              <w:rPr>
                <w:sz w:val="20"/>
                <w:szCs w:val="20"/>
                <w:color w:val="auto"/>
              </w:rPr>
            </w:pPr>
            <w:r>
              <w:rPr>
                <w:rFonts w:ascii="Arial" w:cs="Arial" w:eastAsia="Arial" w:hAnsi="Arial"/>
                <w:sz w:val="17"/>
                <w:szCs w:val="17"/>
                <w:color w:val="auto"/>
              </w:rPr>
              <w:t>$13.7</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$13.9</w:t>
            </w:r>
          </w:p>
        </w:tc>
        <w:tc>
          <w:tcPr>
            <w:tcW w:w="12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rPr>
              <w:t>$16.5</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$29.9</w:t>
            </w:r>
          </w:p>
        </w:tc>
      </w:tr>
      <w:tr>
        <w:trPr>
          <w:trHeight w:val="224"/>
        </w:trPr>
        <w:tc>
          <w:tcPr>
            <w:tcW w:w="3680" w:type="dxa"/>
            <w:vAlign w:val="bottom"/>
          </w:tcPr>
          <w:p>
            <w:pPr>
              <w:ind w:left="20"/>
              <w:spacing w:after="0"/>
              <w:rPr>
                <w:sz w:val="20"/>
                <w:szCs w:val="20"/>
                <w:color w:val="auto"/>
              </w:rPr>
            </w:pPr>
            <w:r>
              <w:rPr>
                <w:rFonts w:ascii="Arial" w:cs="Arial" w:eastAsia="Arial" w:hAnsi="Arial"/>
                <w:sz w:val="17"/>
                <w:szCs w:val="17"/>
                <w:color w:val="auto"/>
              </w:rPr>
              <w:t>Prior service cost</w:t>
            </w:r>
          </w:p>
        </w:tc>
        <w:tc>
          <w:tcPr>
            <w:tcW w:w="2780" w:type="dxa"/>
            <w:vAlign w:val="bottom"/>
          </w:tcPr>
          <w:p>
            <w:pPr>
              <w:spacing w:after="0"/>
              <w:rPr>
                <w:sz w:val="19"/>
                <w:szCs w:val="19"/>
                <w:color w:val="auto"/>
              </w:rPr>
            </w:pPr>
          </w:p>
        </w:tc>
        <w:tc>
          <w:tcPr>
            <w:tcW w:w="1420" w:type="dxa"/>
            <w:vAlign w:val="bottom"/>
          </w:tcPr>
          <w:p>
            <w:pPr>
              <w:jc w:val="right"/>
              <w:ind w:right="297"/>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357"/>
              <w:spacing w:after="0"/>
              <w:rPr>
                <w:sz w:val="20"/>
                <w:szCs w:val="20"/>
                <w:color w:val="auto"/>
              </w:rPr>
            </w:pPr>
            <w:r>
              <w:rPr>
                <w:rFonts w:ascii="Arial" w:cs="Arial" w:eastAsia="Arial" w:hAnsi="Arial"/>
                <w:sz w:val="17"/>
                <w:szCs w:val="17"/>
                <w:color w:val="auto"/>
              </w:rPr>
              <w:t>7.7</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6.7</w:t>
            </w:r>
          </w:p>
        </w:tc>
      </w:tr>
      <w:tr>
        <w:trPr>
          <w:trHeight w:val="25"/>
        </w:trPr>
        <w:tc>
          <w:tcPr>
            <w:tcW w:w="36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7"/>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4200" w:type="dxa"/>
            <w:vAlign w:val="bottom"/>
            <w:tcBorders>
              <w:bottom w:val="single" w:sz="8" w:color="CCEEFF"/>
            </w:tcBorders>
            <w:gridSpan w:val="2"/>
            <w:shd w:val="clear" w:color="auto" w:fill="CCEEFF"/>
          </w:tcPr>
          <w:p>
            <w:pPr>
              <w:jc w:val="right"/>
              <w:ind w:right="297"/>
              <w:spacing w:after="0"/>
              <w:rPr>
                <w:sz w:val="20"/>
                <w:szCs w:val="20"/>
                <w:color w:val="auto"/>
              </w:rPr>
            </w:pPr>
            <w:r>
              <w:rPr>
                <w:rFonts w:ascii="Arial" w:cs="Arial" w:eastAsia="Arial" w:hAnsi="Arial"/>
                <w:sz w:val="17"/>
                <w:szCs w:val="17"/>
                <w:color w:val="auto"/>
              </w:rPr>
              <w:t>$13.7</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rPr>
              <w:t>$24.2</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$36.6</w:t>
            </w:r>
          </w:p>
        </w:tc>
      </w:tr>
      <w:tr>
        <w:trPr>
          <w:trHeight w:val="616"/>
        </w:trPr>
        <w:tc>
          <w:tcPr>
            <w:tcW w:w="368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jc w:val="right"/>
              <w:ind w:right="577"/>
              <w:spacing w:after="0"/>
              <w:rPr>
                <w:sz w:val="20"/>
                <w:szCs w:val="20"/>
                <w:color w:val="auto"/>
              </w:rPr>
            </w:pPr>
            <w:r>
              <w:rPr>
                <w:rFonts w:ascii="Arial" w:cs="Arial" w:eastAsia="Arial" w:hAnsi="Arial"/>
                <w:sz w:val="17"/>
                <w:szCs w:val="17"/>
                <w:color w:val="auto"/>
              </w:rPr>
              <w:t>79</w:t>
            </w:r>
          </w:p>
        </w:tc>
        <w:tc>
          <w:tcPr>
            <w:tcW w:w="1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bl>
    <w:p>
      <w:pPr>
        <w:sectPr>
          <w:pgSz w:w="11900" w:h="16838" w:orient="portrait"/>
          <w:cols w:equalWidth="0" w:num="1">
            <w:col w:w="11320"/>
          </w:cols>
          <w:pgMar w:left="240" w:top="351" w:right="339" w:bottom="1440" w:gutter="0" w:footer="0" w:header="0"/>
        </w:sectPr>
      </w:pPr>
    </w:p>
    <w:bookmarkStart w:id="79" w:name="page80"/>
    <w:bookmarkEnd w:id="79"/>
    <w:p>
      <w:pPr>
        <w:spacing w:after="0" w:line="265" w:lineRule="auto"/>
        <w:rPr>
          <w:sz w:val="20"/>
          <w:szCs w:val="20"/>
          <w:color w:val="auto"/>
        </w:rPr>
      </w:pPr>
      <w:r>
        <w:rPr>
          <w:rFonts w:ascii="Arial" w:cs="Arial" w:eastAsia="Arial" w:hAnsi="Arial"/>
          <w:sz w:val="17"/>
          <w:szCs w:val="17"/>
          <w:color w:val="282A32"/>
        </w:rPr>
        <w:t>The accumulated benefit obligation for our plans that have plan assets was $390.4 and $433.0 as of December 31, 2018 and 2017, respectively. The accumulated benefit obligation for some of our plans exceeded the fair value of plan assets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00" w:type="dxa"/>
            <w:vAlign w:val="bottom"/>
          </w:tcPr>
          <w:p>
            <w:pPr>
              <w:ind w:left="20"/>
              <w:spacing w:after="0"/>
              <w:rPr>
                <w:sz w:val="20"/>
                <w:szCs w:val="20"/>
                <w:color w:val="auto"/>
              </w:rPr>
            </w:pPr>
            <w:r>
              <w:rPr>
                <w:rFonts w:ascii="Arial" w:cs="Arial" w:eastAsia="Arial" w:hAnsi="Arial"/>
                <w:sz w:val="17"/>
                <w:szCs w:val="17"/>
                <w:color w:val="auto"/>
              </w:rPr>
              <w:t>December 31</w:t>
            </w:r>
          </w:p>
        </w:tc>
        <w:tc>
          <w:tcPr>
            <w:tcW w:w="2220" w:type="dxa"/>
            <w:vAlign w:val="bottom"/>
          </w:tcPr>
          <w:p>
            <w:pPr>
              <w:jc w:val="right"/>
              <w:ind w:right="257"/>
              <w:spacing w:after="0"/>
              <w:rPr>
                <w:sz w:val="20"/>
                <w:szCs w:val="20"/>
                <w:color w:val="auto"/>
              </w:rPr>
            </w:pPr>
            <w:r>
              <w:rPr>
                <w:rFonts w:ascii="Arial" w:cs="Arial" w:eastAsia="Arial" w:hAnsi="Arial"/>
                <w:sz w:val="17"/>
                <w:szCs w:val="17"/>
                <w:color w:val="auto"/>
              </w:rPr>
              <w:t>2018</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2017</w:t>
            </w:r>
          </w:p>
        </w:tc>
      </w:tr>
      <w:tr>
        <w:trPr>
          <w:trHeight w:val="25"/>
        </w:trPr>
        <w:tc>
          <w:tcPr>
            <w:tcW w:w="8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Accumulated benefit obligation</w:t>
            </w:r>
          </w:p>
        </w:tc>
        <w:tc>
          <w:tcPr>
            <w:tcW w:w="22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$129.4</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$135.9</w:t>
            </w:r>
          </w:p>
        </w:tc>
      </w:tr>
      <w:tr>
        <w:trPr>
          <w:trHeight w:val="224"/>
        </w:trPr>
        <w:tc>
          <w:tcPr>
            <w:tcW w:w="8300" w:type="dxa"/>
            <w:vAlign w:val="bottom"/>
          </w:tcPr>
          <w:p>
            <w:pPr>
              <w:ind w:left="20"/>
              <w:spacing w:after="0"/>
              <w:rPr>
                <w:sz w:val="20"/>
                <w:szCs w:val="20"/>
                <w:color w:val="auto"/>
              </w:rPr>
            </w:pPr>
            <w:r>
              <w:rPr>
                <w:rFonts w:ascii="Arial" w:cs="Arial" w:eastAsia="Arial" w:hAnsi="Arial"/>
                <w:sz w:val="17"/>
                <w:szCs w:val="17"/>
                <w:color w:val="auto"/>
              </w:rPr>
              <w:t>Plan assets</w:t>
            </w:r>
          </w:p>
        </w:tc>
        <w:tc>
          <w:tcPr>
            <w:tcW w:w="2220" w:type="dxa"/>
            <w:vAlign w:val="bottom"/>
          </w:tcPr>
          <w:p>
            <w:pPr>
              <w:jc w:val="right"/>
              <w:ind w:right="257"/>
              <w:spacing w:after="0"/>
              <w:rPr>
                <w:sz w:val="20"/>
                <w:szCs w:val="20"/>
                <w:color w:val="auto"/>
              </w:rPr>
            </w:pPr>
            <w:r>
              <w:rPr>
                <w:rFonts w:ascii="Arial" w:cs="Arial" w:eastAsia="Arial" w:hAnsi="Arial"/>
                <w:sz w:val="17"/>
                <w:szCs w:val="17"/>
                <w:color w:val="auto"/>
              </w:rPr>
              <w:t>67.0</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65.5</w:t>
            </w:r>
          </w:p>
        </w:tc>
      </w:tr>
      <w:tr>
        <w:trPr>
          <w:trHeight w:val="25"/>
        </w:trPr>
        <w:tc>
          <w:tcPr>
            <w:tcW w:w="8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391"/>
        </w:trPr>
        <w:tc>
          <w:tcPr>
            <w:tcW w:w="8300" w:type="dxa"/>
            <w:vAlign w:val="bottom"/>
          </w:tcPr>
          <w:p>
            <w:pPr>
              <w:spacing w:after="0"/>
              <w:rPr>
                <w:sz w:val="20"/>
                <w:szCs w:val="20"/>
                <w:color w:val="auto"/>
              </w:rPr>
            </w:pPr>
            <w:r>
              <w:rPr>
                <w:rFonts w:ascii="Arial" w:cs="Arial" w:eastAsia="Arial" w:hAnsi="Arial"/>
                <w:sz w:val="17"/>
                <w:szCs w:val="17"/>
                <w:color w:val="282A32"/>
              </w:rPr>
              <w:t>The projected benefit obligation for some of our plans exceeded the fair value of plan assets as follows:</w:t>
            </w:r>
          </w:p>
        </w:tc>
        <w:tc>
          <w:tcPr>
            <w:tcW w:w="2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9"/>
        </w:trPr>
        <w:tc>
          <w:tcPr>
            <w:tcW w:w="8300" w:type="dxa"/>
            <w:vAlign w:val="bottom"/>
          </w:tcPr>
          <w:p>
            <w:pPr>
              <w:ind w:left="20"/>
              <w:spacing w:after="0"/>
              <w:rPr>
                <w:sz w:val="20"/>
                <w:szCs w:val="20"/>
                <w:color w:val="auto"/>
              </w:rPr>
            </w:pPr>
            <w:r>
              <w:rPr>
                <w:rFonts w:ascii="Arial" w:cs="Arial" w:eastAsia="Arial" w:hAnsi="Arial"/>
                <w:sz w:val="17"/>
                <w:szCs w:val="17"/>
                <w:color w:val="auto"/>
              </w:rPr>
              <w:t>December 31</w:t>
            </w:r>
          </w:p>
        </w:tc>
        <w:tc>
          <w:tcPr>
            <w:tcW w:w="2220" w:type="dxa"/>
            <w:vAlign w:val="bottom"/>
          </w:tcPr>
          <w:p>
            <w:pPr>
              <w:jc w:val="right"/>
              <w:ind w:right="257"/>
              <w:spacing w:after="0"/>
              <w:rPr>
                <w:sz w:val="20"/>
                <w:szCs w:val="20"/>
                <w:color w:val="auto"/>
              </w:rPr>
            </w:pPr>
            <w:r>
              <w:rPr>
                <w:rFonts w:ascii="Arial" w:cs="Arial" w:eastAsia="Arial" w:hAnsi="Arial"/>
                <w:sz w:val="17"/>
                <w:szCs w:val="17"/>
                <w:color w:val="auto"/>
              </w:rPr>
              <w:t>2018</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2017</w:t>
            </w:r>
          </w:p>
        </w:tc>
      </w:tr>
      <w:tr>
        <w:trPr>
          <w:trHeight w:val="25"/>
        </w:trPr>
        <w:tc>
          <w:tcPr>
            <w:tcW w:w="8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Projected benefit obligation</w:t>
            </w:r>
          </w:p>
        </w:tc>
        <w:tc>
          <w:tcPr>
            <w:tcW w:w="2220" w:type="dxa"/>
            <w:vAlign w:val="bottom"/>
            <w:tcBorders>
              <w:bottom w:val="single" w:sz="8" w:color="CCEEFF"/>
            </w:tcBorders>
            <w:shd w:val="clear" w:color="auto" w:fill="CCEEFF"/>
          </w:tcPr>
          <w:p>
            <w:pPr>
              <w:jc w:val="right"/>
              <w:ind w:right="257"/>
              <w:spacing w:after="0"/>
              <w:rPr>
                <w:sz w:val="20"/>
                <w:szCs w:val="20"/>
                <w:color w:val="auto"/>
              </w:rPr>
            </w:pPr>
            <w:r>
              <w:rPr>
                <w:rFonts w:ascii="Arial" w:cs="Arial" w:eastAsia="Arial" w:hAnsi="Arial"/>
                <w:sz w:val="17"/>
                <w:szCs w:val="17"/>
                <w:color w:val="auto"/>
              </w:rPr>
              <w:t>$135.8</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$143.8</w:t>
            </w:r>
          </w:p>
        </w:tc>
      </w:tr>
      <w:tr>
        <w:trPr>
          <w:trHeight w:val="224"/>
        </w:trPr>
        <w:tc>
          <w:tcPr>
            <w:tcW w:w="8300" w:type="dxa"/>
            <w:vAlign w:val="bottom"/>
          </w:tcPr>
          <w:p>
            <w:pPr>
              <w:ind w:left="20"/>
              <w:spacing w:after="0"/>
              <w:rPr>
                <w:sz w:val="20"/>
                <w:szCs w:val="20"/>
                <w:color w:val="auto"/>
              </w:rPr>
            </w:pPr>
            <w:r>
              <w:rPr>
                <w:rFonts w:ascii="Arial" w:cs="Arial" w:eastAsia="Arial" w:hAnsi="Arial"/>
                <w:sz w:val="17"/>
                <w:szCs w:val="17"/>
                <w:color w:val="auto"/>
              </w:rPr>
              <w:t>Plan assets</w:t>
            </w:r>
          </w:p>
        </w:tc>
        <w:tc>
          <w:tcPr>
            <w:tcW w:w="2220" w:type="dxa"/>
            <w:vAlign w:val="bottom"/>
          </w:tcPr>
          <w:p>
            <w:pPr>
              <w:jc w:val="right"/>
              <w:ind w:right="257"/>
              <w:spacing w:after="0"/>
              <w:rPr>
                <w:sz w:val="20"/>
                <w:szCs w:val="20"/>
                <w:color w:val="auto"/>
              </w:rPr>
            </w:pPr>
            <w:r>
              <w:rPr>
                <w:rFonts w:ascii="Arial" w:cs="Arial" w:eastAsia="Arial" w:hAnsi="Arial"/>
                <w:sz w:val="17"/>
                <w:szCs w:val="17"/>
                <w:color w:val="auto"/>
              </w:rPr>
              <w:t>67.0</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65.5</w:t>
            </w:r>
          </w:p>
        </w:tc>
      </w:tr>
      <w:tr>
        <w:trPr>
          <w:trHeight w:val="25"/>
        </w:trPr>
        <w:tc>
          <w:tcPr>
            <w:tcW w:w="83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By their nature, certain of our plans do not have plan assets. The accumulated benefit obligation for these plans was $86.0 and $86.7 as of December 31, 2018 and 2017,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282A32"/>
        </w:rPr>
        <w:t>The components of the net periodic benefit cost and other amounts recognized in other comprehensive loss for all plans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ind w:left="20"/>
              <w:spacing w:after="0"/>
              <w:rPr>
                <w:sz w:val="20"/>
                <w:szCs w:val="20"/>
                <w:color w:val="auto"/>
              </w:rPr>
            </w:pPr>
            <w:r>
              <w:rPr>
                <w:rFonts w:ascii="Arial" w:cs="Arial" w:eastAsia="Arial" w:hAnsi="Arial"/>
                <w:sz w:val="17"/>
                <w:szCs w:val="17"/>
                <w:color w:val="auto"/>
              </w:rPr>
              <w:t>Year Ended December 31</w:t>
            </w:r>
          </w:p>
        </w:tc>
        <w:tc>
          <w:tcPr>
            <w:tcW w:w="1380" w:type="dxa"/>
            <w:vAlign w:val="bottom"/>
          </w:tcPr>
          <w:p>
            <w:pPr>
              <w:jc w:val="right"/>
              <w:ind w:right="377"/>
              <w:spacing w:after="0"/>
              <w:rPr>
                <w:sz w:val="20"/>
                <w:szCs w:val="20"/>
                <w:color w:val="auto"/>
              </w:rPr>
            </w:pPr>
            <w:r>
              <w:rPr>
                <w:rFonts w:ascii="Arial" w:cs="Arial" w:eastAsia="Arial" w:hAnsi="Arial"/>
                <w:sz w:val="17"/>
                <w:szCs w:val="17"/>
                <w:color w:val="auto"/>
              </w:rPr>
              <w:t>2018</w:t>
            </w:r>
          </w:p>
        </w:tc>
        <w:tc>
          <w:tcPr>
            <w:tcW w:w="1260" w:type="dxa"/>
            <w:vAlign w:val="bottom"/>
          </w:tcPr>
          <w:p>
            <w:pPr>
              <w:jc w:val="right"/>
              <w:ind w:right="397"/>
              <w:spacing w:after="0"/>
              <w:rPr>
                <w:sz w:val="20"/>
                <w:szCs w:val="20"/>
                <w:color w:val="auto"/>
              </w:rPr>
            </w:pPr>
            <w:r>
              <w:rPr>
                <w:rFonts w:ascii="Arial" w:cs="Arial" w:eastAsia="Arial" w:hAnsi="Arial"/>
                <w:sz w:val="17"/>
                <w:szCs w:val="17"/>
                <w:color w:val="auto"/>
              </w:rPr>
              <w:t>2017</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2016</w:t>
            </w:r>
          </w:p>
        </w:tc>
      </w:tr>
      <w:tr>
        <w:trPr>
          <w:trHeight w:val="25"/>
        </w:trPr>
        <w:tc>
          <w:tcPr>
            <w:tcW w:w="7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Periodic Benefit Cost</w:t>
            </w:r>
          </w:p>
        </w:tc>
        <w:tc>
          <w:tcPr>
            <w:tcW w:w="1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24"/>
        </w:trPr>
        <w:tc>
          <w:tcPr>
            <w:tcW w:w="7900" w:type="dxa"/>
            <w:vAlign w:val="bottom"/>
          </w:tcPr>
          <w:p>
            <w:pPr>
              <w:ind w:left="20"/>
              <w:spacing w:after="0"/>
              <w:rPr>
                <w:sz w:val="20"/>
                <w:szCs w:val="20"/>
                <w:color w:val="auto"/>
              </w:rPr>
            </w:pPr>
            <w:r>
              <w:rPr>
                <w:rFonts w:ascii="Arial" w:cs="Arial" w:eastAsia="Arial" w:hAnsi="Arial"/>
                <w:sz w:val="17"/>
                <w:szCs w:val="17"/>
                <w:color w:val="auto"/>
              </w:rPr>
              <w:t>Service cost</w:t>
            </w:r>
          </w:p>
        </w:tc>
        <w:tc>
          <w:tcPr>
            <w:tcW w:w="1380" w:type="dxa"/>
            <w:vAlign w:val="bottom"/>
          </w:tcPr>
          <w:p>
            <w:pPr>
              <w:jc w:val="right"/>
              <w:ind w:right="377"/>
              <w:spacing w:after="0"/>
              <w:rPr>
                <w:sz w:val="20"/>
                <w:szCs w:val="20"/>
                <w:color w:val="auto"/>
              </w:rPr>
            </w:pPr>
            <w:r>
              <w:rPr>
                <w:rFonts w:ascii="Arial" w:cs="Arial" w:eastAsia="Arial" w:hAnsi="Arial"/>
                <w:sz w:val="17"/>
                <w:szCs w:val="17"/>
                <w:color w:val="auto"/>
              </w:rPr>
              <w:t>$10.9</w:t>
            </w:r>
          </w:p>
        </w:tc>
        <w:tc>
          <w:tcPr>
            <w:tcW w:w="1260" w:type="dxa"/>
            <w:vAlign w:val="bottom"/>
          </w:tcPr>
          <w:p>
            <w:pPr>
              <w:jc w:val="right"/>
              <w:ind w:right="397"/>
              <w:spacing w:after="0"/>
              <w:rPr>
                <w:sz w:val="20"/>
                <w:szCs w:val="20"/>
                <w:color w:val="auto"/>
              </w:rPr>
            </w:pPr>
            <w:r>
              <w:rPr>
                <w:rFonts w:ascii="Arial" w:cs="Arial" w:eastAsia="Arial" w:hAnsi="Arial"/>
                <w:sz w:val="17"/>
                <w:szCs w:val="17"/>
                <w:color w:val="auto"/>
              </w:rPr>
              <w:t>$10.1</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$8.0</w:t>
            </w:r>
          </w:p>
        </w:tc>
      </w:tr>
      <w:tr>
        <w:trPr>
          <w:trHeight w:val="25"/>
        </w:trPr>
        <w:tc>
          <w:tcPr>
            <w:tcW w:w="7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cost</w:t>
            </w:r>
          </w:p>
        </w:tc>
        <w:tc>
          <w:tcPr>
            <w:tcW w:w="138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11.6</w:t>
            </w:r>
          </w:p>
        </w:tc>
        <w:tc>
          <w:tcPr>
            <w:tcW w:w="126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10.6</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11.8</w:t>
            </w:r>
          </w:p>
        </w:tc>
      </w:tr>
      <w:tr>
        <w:trPr>
          <w:trHeight w:val="224"/>
        </w:trPr>
        <w:tc>
          <w:tcPr>
            <w:tcW w:w="7900" w:type="dxa"/>
            <w:vAlign w:val="bottom"/>
          </w:tcPr>
          <w:p>
            <w:pPr>
              <w:ind w:left="20"/>
              <w:spacing w:after="0"/>
              <w:rPr>
                <w:sz w:val="20"/>
                <w:szCs w:val="20"/>
                <w:color w:val="auto"/>
              </w:rPr>
            </w:pPr>
            <w:r>
              <w:rPr>
                <w:rFonts w:ascii="Arial" w:cs="Arial" w:eastAsia="Arial" w:hAnsi="Arial"/>
                <w:sz w:val="17"/>
                <w:szCs w:val="17"/>
                <w:color w:val="auto"/>
              </w:rPr>
              <w:t>Expected return on assets</w:t>
            </w:r>
          </w:p>
        </w:tc>
        <w:tc>
          <w:tcPr>
            <w:tcW w:w="1380" w:type="dxa"/>
            <w:vAlign w:val="bottom"/>
          </w:tcPr>
          <w:p>
            <w:pPr>
              <w:jc w:val="right"/>
              <w:ind w:right="317"/>
              <w:spacing w:after="0"/>
              <w:rPr>
                <w:sz w:val="20"/>
                <w:szCs w:val="20"/>
                <w:color w:val="auto"/>
              </w:rPr>
            </w:pPr>
            <w:r>
              <w:rPr>
                <w:rFonts w:ascii="Arial" w:cs="Arial" w:eastAsia="Arial" w:hAnsi="Arial"/>
                <w:sz w:val="17"/>
                <w:szCs w:val="17"/>
                <w:color w:val="auto"/>
              </w:rPr>
              <w:t>(10.6)</w:t>
            </w:r>
          </w:p>
        </w:tc>
        <w:tc>
          <w:tcPr>
            <w:tcW w:w="1260" w:type="dxa"/>
            <w:vAlign w:val="bottom"/>
          </w:tcPr>
          <w:p>
            <w:pPr>
              <w:jc w:val="right"/>
              <w:ind w:right="337"/>
              <w:spacing w:after="0"/>
              <w:rPr>
                <w:sz w:val="20"/>
                <w:szCs w:val="20"/>
                <w:color w:val="auto"/>
              </w:rPr>
            </w:pPr>
            <w:r>
              <w:rPr>
                <w:rFonts w:ascii="Arial" w:cs="Arial" w:eastAsia="Arial" w:hAnsi="Arial"/>
                <w:sz w:val="17"/>
                <w:szCs w:val="17"/>
                <w:color w:val="auto"/>
              </w:rPr>
              <w:t>(10.8)</w:t>
            </w:r>
          </w:p>
        </w:tc>
        <w:tc>
          <w:tcPr>
            <w:tcW w:w="88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5"/>
        </w:trPr>
        <w:tc>
          <w:tcPr>
            <w:tcW w:w="7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Curtailment and settlement</w:t>
            </w:r>
          </w:p>
        </w:tc>
        <w:tc>
          <w:tcPr>
            <w:tcW w:w="138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24"/>
        </w:trPr>
        <w:tc>
          <w:tcPr>
            <w:tcW w:w="7900" w:type="dxa"/>
            <w:vAlign w:val="bottom"/>
          </w:tcPr>
          <w:p>
            <w:pPr>
              <w:ind w:left="20"/>
              <w:spacing w:after="0"/>
              <w:rPr>
                <w:sz w:val="20"/>
                <w:szCs w:val="20"/>
                <w:color w:val="auto"/>
              </w:rPr>
            </w:pPr>
            <w:r>
              <w:rPr>
                <w:rFonts w:ascii="Arial" w:cs="Arial" w:eastAsia="Arial" w:hAnsi="Arial"/>
                <w:sz w:val="17"/>
                <w:szCs w:val="17"/>
                <w:color w:val="auto"/>
              </w:rPr>
              <w:t>Net loss</w:t>
            </w:r>
          </w:p>
        </w:tc>
        <w:tc>
          <w:tcPr>
            <w:tcW w:w="1380" w:type="dxa"/>
            <w:vAlign w:val="bottom"/>
          </w:tcPr>
          <w:p>
            <w:pPr>
              <w:jc w:val="right"/>
              <w:ind w:right="377"/>
              <w:spacing w:after="0"/>
              <w:rPr>
                <w:sz w:val="20"/>
                <w:szCs w:val="20"/>
                <w:color w:val="auto"/>
              </w:rPr>
            </w:pPr>
            <w:r>
              <w:rPr>
                <w:rFonts w:ascii="Arial" w:cs="Arial" w:eastAsia="Arial" w:hAnsi="Arial"/>
                <w:sz w:val="17"/>
                <w:szCs w:val="17"/>
                <w:color w:val="auto"/>
              </w:rPr>
              <w:t>1.4</w:t>
            </w:r>
          </w:p>
        </w:tc>
        <w:tc>
          <w:tcPr>
            <w:tcW w:w="1260" w:type="dxa"/>
            <w:vAlign w:val="bottom"/>
          </w:tcPr>
          <w:p>
            <w:pPr>
              <w:jc w:val="right"/>
              <w:ind w:right="397"/>
              <w:spacing w:after="0"/>
              <w:rPr>
                <w:sz w:val="20"/>
                <w:szCs w:val="20"/>
                <w:color w:val="auto"/>
              </w:rPr>
            </w:pPr>
            <w:r>
              <w:rPr>
                <w:rFonts w:ascii="Arial" w:cs="Arial" w:eastAsia="Arial" w:hAnsi="Arial"/>
                <w:sz w:val="17"/>
                <w:szCs w:val="17"/>
                <w:color w:val="auto"/>
              </w:rPr>
              <w:t>0.9</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1.0</w:t>
            </w:r>
          </w:p>
        </w:tc>
      </w:tr>
      <w:tr>
        <w:trPr>
          <w:trHeight w:val="25"/>
        </w:trPr>
        <w:tc>
          <w:tcPr>
            <w:tcW w:w="7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Prior service cost</w:t>
            </w:r>
          </w:p>
        </w:tc>
        <w:tc>
          <w:tcPr>
            <w:tcW w:w="138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0.6</w:t>
            </w:r>
          </w:p>
        </w:tc>
        <w:tc>
          <w:tcPr>
            <w:tcW w:w="126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7"/>
                <w:szCs w:val="17"/>
                <w:color w:val="auto"/>
              </w:rPr>
              <w:t>0.4</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0.4</w:t>
            </w:r>
          </w:p>
        </w:tc>
      </w:tr>
      <w:tr>
        <w:trPr>
          <w:trHeight w:val="217"/>
        </w:trPr>
        <w:tc>
          <w:tcPr>
            <w:tcW w:w="79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Net periodic benefit cost</w:t>
            </w:r>
          </w:p>
        </w:tc>
        <w:tc>
          <w:tcPr>
            <w:tcW w:w="1380" w:type="dxa"/>
            <w:vAlign w:val="bottom"/>
            <w:tcBorders>
              <w:top w:val="single" w:sz="8" w:color="auto"/>
            </w:tcBorders>
          </w:tcPr>
          <w:p>
            <w:pPr>
              <w:jc w:val="right"/>
              <w:ind w:right="377"/>
              <w:spacing w:after="0"/>
              <w:rPr>
                <w:sz w:val="20"/>
                <w:szCs w:val="20"/>
                <w:color w:val="auto"/>
              </w:rPr>
            </w:pPr>
            <w:r>
              <w:rPr>
                <w:rFonts w:ascii="Arial" w:cs="Arial" w:eastAsia="Arial" w:hAnsi="Arial"/>
                <w:sz w:val="17"/>
                <w:szCs w:val="17"/>
                <w:color w:val="auto"/>
              </w:rPr>
              <w:t>13.9</w:t>
            </w:r>
          </w:p>
        </w:tc>
        <w:tc>
          <w:tcPr>
            <w:tcW w:w="1260" w:type="dxa"/>
            <w:vAlign w:val="bottom"/>
            <w:tcBorders>
              <w:top w:val="single" w:sz="8" w:color="auto"/>
            </w:tcBorders>
          </w:tcPr>
          <w:p>
            <w:pPr>
              <w:jc w:val="right"/>
              <w:ind w:right="397"/>
              <w:spacing w:after="0"/>
              <w:rPr>
                <w:sz w:val="20"/>
                <w:szCs w:val="20"/>
                <w:color w:val="auto"/>
              </w:rPr>
            </w:pPr>
            <w:r>
              <w:rPr>
                <w:rFonts w:ascii="Arial" w:cs="Arial" w:eastAsia="Arial" w:hAnsi="Arial"/>
                <w:sz w:val="17"/>
                <w:szCs w:val="17"/>
                <w:color w:val="auto"/>
              </w:rPr>
              <w:t>11.2</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3.4</w:t>
            </w:r>
          </w:p>
        </w:tc>
      </w:tr>
      <w:tr>
        <w:trPr>
          <w:trHeight w:val="25"/>
        </w:trPr>
        <w:tc>
          <w:tcPr>
            <w:tcW w:w="7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w w:val="93"/>
              </w:rPr>
              <w:t>Other Changes in Plan Assets and Benefit Obligation Recognized in Other Comprehensive Income/Loss</w:t>
            </w:r>
          </w:p>
        </w:tc>
        <w:tc>
          <w:tcPr>
            <w:tcW w:w="13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24"/>
        </w:trPr>
        <w:tc>
          <w:tcPr>
            <w:tcW w:w="7900" w:type="dxa"/>
            <w:vAlign w:val="bottom"/>
          </w:tcPr>
          <w:p>
            <w:pPr>
              <w:ind w:left="20"/>
              <w:spacing w:after="0"/>
              <w:rPr>
                <w:sz w:val="20"/>
                <w:szCs w:val="20"/>
                <w:color w:val="auto"/>
              </w:rPr>
            </w:pPr>
            <w:r>
              <w:rPr>
                <w:rFonts w:ascii="Arial" w:cs="Arial" w:eastAsia="Arial" w:hAnsi="Arial"/>
                <w:sz w:val="17"/>
                <w:szCs w:val="17"/>
                <w:color w:val="auto"/>
              </w:rPr>
              <w:t>Net (gain) loss</w:t>
            </w:r>
          </w:p>
        </w:tc>
        <w:tc>
          <w:tcPr>
            <w:tcW w:w="1380" w:type="dxa"/>
            <w:vAlign w:val="bottom"/>
          </w:tcPr>
          <w:p>
            <w:pPr>
              <w:jc w:val="right"/>
              <w:ind w:right="317"/>
              <w:spacing w:after="0"/>
              <w:rPr>
                <w:sz w:val="20"/>
                <w:szCs w:val="20"/>
                <w:color w:val="auto"/>
              </w:rPr>
            </w:pPr>
            <w:r>
              <w:rPr>
                <w:rFonts w:ascii="Arial" w:cs="Arial" w:eastAsia="Arial" w:hAnsi="Arial"/>
                <w:sz w:val="17"/>
                <w:szCs w:val="17"/>
                <w:color w:val="auto"/>
              </w:rPr>
              <w:t>(16.6)</w:t>
            </w:r>
          </w:p>
        </w:tc>
        <w:tc>
          <w:tcPr>
            <w:tcW w:w="1260" w:type="dxa"/>
            <w:vAlign w:val="bottom"/>
          </w:tcPr>
          <w:p>
            <w:pPr>
              <w:jc w:val="right"/>
              <w:ind w:right="337"/>
              <w:spacing w:after="0"/>
              <w:rPr>
                <w:sz w:val="20"/>
                <w:szCs w:val="20"/>
                <w:color w:val="auto"/>
              </w:rPr>
            </w:pPr>
            <w:r>
              <w:rPr>
                <w:rFonts w:ascii="Arial" w:cs="Arial" w:eastAsia="Arial" w:hAnsi="Arial"/>
                <w:sz w:val="17"/>
                <w:szCs w:val="17"/>
                <w:color w:val="auto"/>
              </w:rPr>
              <w:t>(1.5)</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24.7</w:t>
            </w:r>
          </w:p>
        </w:tc>
      </w:tr>
      <w:tr>
        <w:trPr>
          <w:trHeight w:val="25"/>
        </w:trPr>
        <w:tc>
          <w:tcPr>
            <w:tcW w:w="7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Prior service cost</w:t>
            </w:r>
          </w:p>
        </w:tc>
        <w:tc>
          <w:tcPr>
            <w:tcW w:w="138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1.4</w:t>
            </w:r>
          </w:p>
        </w:tc>
        <w:tc>
          <w:tcPr>
            <w:tcW w:w="126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7"/>
                <w:szCs w:val="17"/>
                <w:color w:val="auto"/>
              </w:rPr>
              <w:t>2.9</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4"/>
        </w:trPr>
        <w:tc>
          <w:tcPr>
            <w:tcW w:w="7900" w:type="dxa"/>
            <w:vAlign w:val="bottom"/>
          </w:tcPr>
          <w:p>
            <w:pPr>
              <w:ind w:left="20"/>
              <w:spacing w:after="0"/>
              <w:rPr>
                <w:sz w:val="20"/>
                <w:szCs w:val="20"/>
                <w:color w:val="auto"/>
              </w:rPr>
            </w:pPr>
            <w:r>
              <w:rPr>
                <w:rFonts w:ascii="Arial" w:cs="Arial" w:eastAsia="Arial" w:hAnsi="Arial"/>
                <w:sz w:val="17"/>
                <w:szCs w:val="17"/>
                <w:color w:val="auto"/>
              </w:rPr>
              <w:t>Amortization of net loss</w:t>
            </w:r>
          </w:p>
        </w:tc>
        <w:tc>
          <w:tcPr>
            <w:tcW w:w="1380" w:type="dxa"/>
            <w:vAlign w:val="bottom"/>
          </w:tcPr>
          <w:p>
            <w:pPr>
              <w:jc w:val="right"/>
              <w:ind w:right="317"/>
              <w:spacing w:after="0"/>
              <w:rPr>
                <w:sz w:val="20"/>
                <w:szCs w:val="20"/>
                <w:color w:val="auto"/>
              </w:rPr>
            </w:pPr>
            <w:r>
              <w:rPr>
                <w:rFonts w:ascii="Arial" w:cs="Arial" w:eastAsia="Arial" w:hAnsi="Arial"/>
                <w:sz w:val="17"/>
                <w:szCs w:val="17"/>
                <w:color w:val="auto"/>
              </w:rPr>
              <w:t>(1.4)</w:t>
            </w:r>
          </w:p>
        </w:tc>
        <w:tc>
          <w:tcPr>
            <w:tcW w:w="1260" w:type="dxa"/>
            <w:vAlign w:val="bottom"/>
          </w:tcPr>
          <w:p>
            <w:pPr>
              <w:jc w:val="right"/>
              <w:ind w:right="337"/>
              <w:spacing w:after="0"/>
              <w:rPr>
                <w:sz w:val="20"/>
                <w:szCs w:val="20"/>
                <w:color w:val="auto"/>
              </w:rPr>
            </w:pPr>
            <w:r>
              <w:rPr>
                <w:rFonts w:ascii="Arial" w:cs="Arial" w:eastAsia="Arial" w:hAnsi="Arial"/>
                <w:sz w:val="17"/>
                <w:szCs w:val="17"/>
                <w:color w:val="auto"/>
              </w:rPr>
              <w:t>(0.9)</w:t>
            </w:r>
          </w:p>
        </w:tc>
        <w:tc>
          <w:tcPr>
            <w:tcW w:w="8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5"/>
        </w:trPr>
        <w:tc>
          <w:tcPr>
            <w:tcW w:w="7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prior service cost</w:t>
            </w:r>
          </w:p>
        </w:tc>
        <w:tc>
          <w:tcPr>
            <w:tcW w:w="138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(0.6)</w:t>
            </w:r>
          </w:p>
        </w:tc>
        <w:tc>
          <w:tcPr>
            <w:tcW w:w="126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(0.4)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17"/>
        </w:trPr>
        <w:tc>
          <w:tcPr>
            <w:tcW w:w="790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Total recognized in other comprehensive income/loss</w:t>
            </w:r>
          </w:p>
        </w:tc>
        <w:tc>
          <w:tcPr>
            <w:tcW w:w="1380" w:type="dxa"/>
            <w:vAlign w:val="bottom"/>
            <w:tcBorders>
              <w:top w:val="single" w:sz="8" w:color="auto"/>
            </w:tcBorders>
          </w:tcPr>
          <w:p>
            <w:pPr>
              <w:jc w:val="right"/>
              <w:ind w:right="317"/>
              <w:spacing w:after="0"/>
              <w:rPr>
                <w:sz w:val="20"/>
                <w:szCs w:val="20"/>
                <w:color w:val="auto"/>
              </w:rPr>
            </w:pPr>
            <w:r>
              <w:rPr>
                <w:rFonts w:ascii="Arial" w:cs="Arial" w:eastAsia="Arial" w:hAnsi="Arial"/>
                <w:sz w:val="17"/>
                <w:szCs w:val="17"/>
                <w:color w:val="auto"/>
              </w:rPr>
              <w:t>(17.2)</w:t>
            </w:r>
          </w:p>
        </w:tc>
        <w:tc>
          <w:tcPr>
            <w:tcW w:w="1260" w:type="dxa"/>
            <w:vAlign w:val="bottom"/>
            <w:tcBorders>
              <w:top w:val="single" w:sz="8" w:color="auto"/>
            </w:tcBorders>
          </w:tcPr>
          <w:p>
            <w:pPr>
              <w:jc w:val="right"/>
              <w:ind w:right="397"/>
              <w:spacing w:after="0"/>
              <w:rPr>
                <w:sz w:val="20"/>
                <w:szCs w:val="20"/>
                <w:color w:val="auto"/>
              </w:rPr>
            </w:pPr>
            <w:r>
              <w:rPr>
                <w:rFonts w:ascii="Arial" w:cs="Arial" w:eastAsia="Arial" w:hAnsi="Arial"/>
                <w:sz w:val="17"/>
                <w:szCs w:val="17"/>
                <w:color w:val="auto"/>
              </w:rPr>
              <w:t>0.1</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23.3</w:t>
            </w:r>
          </w:p>
        </w:tc>
      </w:tr>
      <w:tr>
        <w:trPr>
          <w:trHeight w:val="25"/>
        </w:trPr>
        <w:tc>
          <w:tcPr>
            <w:tcW w:w="79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recognized in net periodic benefit cost and other comprehensive income/loss</w:t>
            </w:r>
          </w:p>
        </w:tc>
        <w:tc>
          <w:tcPr>
            <w:tcW w:w="1380" w:type="dxa"/>
            <w:vAlign w:val="bottom"/>
            <w:tcBorders>
              <w:bottom w:val="single" w:sz="8" w:color="CCEEFF"/>
            </w:tcBorders>
            <w:shd w:val="clear" w:color="auto" w:fill="CCEEFF"/>
          </w:tcPr>
          <w:p>
            <w:pPr>
              <w:jc w:val="right"/>
              <w:ind w:right="317"/>
              <w:spacing w:after="0"/>
              <w:rPr>
                <w:sz w:val="20"/>
                <w:szCs w:val="20"/>
                <w:color w:val="auto"/>
              </w:rPr>
            </w:pPr>
            <w:r>
              <w:rPr>
                <w:rFonts w:ascii="Arial" w:cs="Arial" w:eastAsia="Arial" w:hAnsi="Arial"/>
                <w:sz w:val="17"/>
                <w:szCs w:val="17"/>
                <w:color w:val="auto"/>
              </w:rPr>
              <w:t>($3.3)</w:t>
            </w:r>
          </w:p>
        </w:tc>
        <w:tc>
          <w:tcPr>
            <w:tcW w:w="126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$11.3</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$26.7</w:t>
            </w:r>
          </w:p>
        </w:tc>
      </w:tr>
      <w:tr>
        <w:trPr>
          <w:trHeight w:val="20"/>
        </w:trPr>
        <w:tc>
          <w:tcPr>
            <w:tcW w:w="79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Effective July 1, 2016, we terminated a defined benefit plan in Northern Europe and transitioned our employees to a defined contribution plan, resulting in a curtailment and settlement gain of 6.9.</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The estimated net loss and prior service cost for the defined benefit pension plans that will be amortized from accumulated other comprehensive loss into net periodic benefit cost during 2019 are $1.2 and $0.7, respectively.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351" w:right="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282A32"/>
        </w:rPr>
        <w:t>The weighted-average assumptions used in the measurement of the benefit obligation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80" w:type="dxa"/>
            <w:vAlign w:val="bottom"/>
          </w:tcPr>
          <w:p>
            <w:pPr>
              <w:spacing w:after="0"/>
              <w:rPr>
                <w:sz w:val="18"/>
                <w:szCs w:val="18"/>
                <w:color w:val="auto"/>
              </w:rPr>
            </w:pPr>
          </w:p>
        </w:tc>
        <w:tc>
          <w:tcPr>
            <w:tcW w:w="2940" w:type="dxa"/>
            <w:vAlign w:val="bottom"/>
            <w:gridSpan w:val="3"/>
          </w:tcPr>
          <w:p>
            <w:pPr>
              <w:ind w:left="1360"/>
              <w:spacing w:after="0"/>
              <w:rPr>
                <w:sz w:val="20"/>
                <w:szCs w:val="20"/>
                <w:color w:val="auto"/>
              </w:rPr>
            </w:pPr>
            <w:r>
              <w:rPr>
                <w:rFonts w:ascii="Arial" w:cs="Arial" w:eastAsia="Arial" w:hAnsi="Arial"/>
                <w:sz w:val="17"/>
                <w:szCs w:val="17"/>
                <w:color w:val="auto"/>
              </w:rPr>
              <w:t>United States Plans</w:t>
            </w:r>
          </w:p>
        </w:tc>
        <w:tc>
          <w:tcPr>
            <w:tcW w:w="2800" w:type="dxa"/>
            <w:vAlign w:val="bottom"/>
            <w:gridSpan w:val="2"/>
          </w:tcPr>
          <w:p>
            <w:pPr>
              <w:jc w:val="right"/>
              <w:ind w:right="77"/>
              <w:spacing w:after="0"/>
              <w:rPr>
                <w:sz w:val="20"/>
                <w:szCs w:val="20"/>
                <w:color w:val="auto"/>
              </w:rPr>
            </w:pPr>
            <w:r>
              <w:rPr>
                <w:rFonts w:ascii="Arial" w:cs="Arial" w:eastAsia="Arial" w:hAnsi="Arial"/>
                <w:sz w:val="17"/>
                <w:szCs w:val="17"/>
                <w:color w:val="auto"/>
              </w:rPr>
              <w:t>Non-United States Plans</w:t>
            </w:r>
          </w:p>
        </w:tc>
      </w:tr>
      <w:tr>
        <w:trPr>
          <w:trHeight w:val="25"/>
        </w:trPr>
        <w:tc>
          <w:tcPr>
            <w:tcW w:w="56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680" w:type="dxa"/>
            <w:vAlign w:val="bottom"/>
          </w:tcPr>
          <w:p>
            <w:pPr>
              <w:ind w:left="20"/>
              <w:spacing w:after="0"/>
              <w:rPr>
                <w:sz w:val="20"/>
                <w:szCs w:val="20"/>
                <w:color w:val="auto"/>
              </w:rPr>
            </w:pPr>
            <w:r>
              <w:rPr>
                <w:rFonts w:ascii="Arial" w:cs="Arial" w:eastAsia="Arial" w:hAnsi="Arial"/>
                <w:sz w:val="17"/>
                <w:szCs w:val="17"/>
                <w:color w:val="auto"/>
              </w:rPr>
              <w:t>Year Ended December 31</w:t>
            </w:r>
          </w:p>
        </w:tc>
        <w:tc>
          <w:tcPr>
            <w:tcW w:w="1840" w:type="dxa"/>
            <w:vAlign w:val="bottom"/>
          </w:tcPr>
          <w:p>
            <w:pPr>
              <w:jc w:val="right"/>
              <w:ind w:right="517"/>
              <w:spacing w:after="0"/>
              <w:rPr>
                <w:sz w:val="20"/>
                <w:szCs w:val="20"/>
                <w:color w:val="auto"/>
              </w:rPr>
            </w:pPr>
            <w:r>
              <w:rPr>
                <w:rFonts w:ascii="Arial" w:cs="Arial" w:eastAsia="Arial" w:hAnsi="Arial"/>
                <w:sz w:val="17"/>
                <w:szCs w:val="17"/>
                <w:color w:val="auto"/>
              </w:rPr>
              <w:t>2018</w:t>
            </w:r>
          </w:p>
        </w:tc>
        <w:tc>
          <w:tcPr>
            <w:tcW w:w="980" w:type="dxa"/>
            <w:vAlign w:val="bottom"/>
          </w:tcPr>
          <w:p>
            <w:pPr>
              <w:jc w:val="right"/>
              <w:ind w:right="97"/>
              <w:spacing w:after="0"/>
              <w:rPr>
                <w:sz w:val="20"/>
                <w:szCs w:val="20"/>
                <w:color w:val="auto"/>
              </w:rPr>
            </w:pPr>
            <w:r>
              <w:rPr>
                <w:rFonts w:ascii="Arial" w:cs="Arial" w:eastAsia="Arial" w:hAnsi="Arial"/>
                <w:sz w:val="17"/>
                <w:szCs w:val="17"/>
                <w:color w:val="auto"/>
              </w:rPr>
              <w:t>2017</w:t>
            </w:r>
          </w:p>
        </w:tc>
        <w:tc>
          <w:tcPr>
            <w:tcW w:w="120" w:type="dxa"/>
            <w:vAlign w:val="bottom"/>
          </w:tcPr>
          <w:p>
            <w:pPr>
              <w:spacing w:after="0"/>
              <w:rPr>
                <w:sz w:val="18"/>
                <w:szCs w:val="18"/>
                <w:color w:val="auto"/>
              </w:rPr>
            </w:pPr>
          </w:p>
        </w:tc>
        <w:tc>
          <w:tcPr>
            <w:tcW w:w="1840" w:type="dxa"/>
            <w:vAlign w:val="bottom"/>
          </w:tcPr>
          <w:p>
            <w:pPr>
              <w:jc w:val="right"/>
              <w:ind w:right="537"/>
              <w:spacing w:after="0"/>
              <w:rPr>
                <w:sz w:val="20"/>
                <w:szCs w:val="20"/>
                <w:color w:val="auto"/>
              </w:rPr>
            </w:pPr>
            <w:r>
              <w:rPr>
                <w:rFonts w:ascii="Arial" w:cs="Arial" w:eastAsia="Arial" w:hAnsi="Arial"/>
                <w:sz w:val="17"/>
                <w:szCs w:val="17"/>
                <w:color w:val="auto"/>
              </w:rPr>
              <w:t>2018</w:t>
            </w:r>
          </w:p>
        </w:tc>
        <w:tc>
          <w:tcPr>
            <w:tcW w:w="960" w:type="dxa"/>
            <w:vAlign w:val="bottom"/>
          </w:tcPr>
          <w:p>
            <w:pPr>
              <w:jc w:val="right"/>
              <w:ind w:right="77"/>
              <w:spacing w:after="0"/>
              <w:rPr>
                <w:sz w:val="20"/>
                <w:szCs w:val="20"/>
                <w:color w:val="auto"/>
              </w:rPr>
            </w:pPr>
            <w:r>
              <w:rPr>
                <w:rFonts w:ascii="Arial" w:cs="Arial" w:eastAsia="Arial" w:hAnsi="Arial"/>
                <w:sz w:val="17"/>
                <w:szCs w:val="17"/>
                <w:color w:val="auto"/>
              </w:rPr>
              <w:t>2017</w:t>
            </w:r>
          </w:p>
        </w:tc>
      </w:tr>
      <w:tr>
        <w:trPr>
          <w:trHeight w:val="25"/>
        </w:trPr>
        <w:tc>
          <w:tcPr>
            <w:tcW w:w="56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2"/>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84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4.2%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7"/>
                <w:szCs w:val="17"/>
                <w:color w:val="auto"/>
              </w:rPr>
              <w:t>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24"/>
        </w:trPr>
        <w:tc>
          <w:tcPr>
            <w:tcW w:w="5680" w:type="dxa"/>
            <w:vAlign w:val="bottom"/>
          </w:tcPr>
          <w:p>
            <w:pPr>
              <w:ind w:left="20"/>
              <w:spacing w:after="0"/>
              <w:rPr>
                <w:sz w:val="20"/>
                <w:szCs w:val="20"/>
                <w:color w:val="auto"/>
              </w:rPr>
            </w:pPr>
            <w:r>
              <w:rPr>
                <w:rFonts w:ascii="Arial" w:cs="Arial" w:eastAsia="Arial" w:hAnsi="Arial"/>
                <w:sz w:val="17"/>
                <w:szCs w:val="17"/>
                <w:color w:val="auto"/>
              </w:rPr>
              <w:t>Rate of compensation increase</w:t>
            </w:r>
          </w:p>
        </w:tc>
        <w:tc>
          <w:tcPr>
            <w:tcW w:w="1840" w:type="dxa"/>
            <w:vAlign w:val="bottom"/>
          </w:tcPr>
          <w:p>
            <w:pPr>
              <w:jc w:val="right"/>
              <w:ind w:right="377"/>
              <w:spacing w:after="0"/>
              <w:rPr>
                <w:sz w:val="20"/>
                <w:szCs w:val="20"/>
                <w:color w:val="auto"/>
              </w:rPr>
            </w:pPr>
            <w:r>
              <w:rPr>
                <w:rFonts w:ascii="Arial" w:cs="Arial" w:eastAsia="Arial" w:hAnsi="Arial"/>
                <w:sz w:val="17"/>
                <w:szCs w:val="17"/>
                <w:color w:val="auto"/>
              </w:rPr>
              <w:t>3.0%</w:t>
            </w:r>
          </w:p>
        </w:tc>
        <w:tc>
          <w:tcPr>
            <w:tcW w:w="98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1840" w:type="dxa"/>
            <w:vAlign w:val="bottom"/>
          </w:tcPr>
          <w:p>
            <w:pPr>
              <w:jc w:val="right"/>
              <w:ind w:right="397"/>
              <w:spacing w:after="0"/>
              <w:rPr>
                <w:sz w:val="20"/>
                <w:szCs w:val="20"/>
                <w:color w:val="auto"/>
              </w:rPr>
            </w:pPr>
            <w:r>
              <w:rPr>
                <w:rFonts w:ascii="Arial" w:cs="Arial" w:eastAsia="Arial" w:hAnsi="Arial"/>
                <w:sz w:val="17"/>
                <w:szCs w:val="17"/>
                <w:color w:val="auto"/>
              </w:rPr>
              <w:t>1.8%</w:t>
            </w:r>
          </w:p>
        </w:tc>
        <w:tc>
          <w:tcPr>
            <w:tcW w:w="96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5"/>
        </w:trPr>
        <w:tc>
          <w:tcPr>
            <w:tcW w:w="56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282A32"/>
        </w:rPr>
        <w:t>The weighted-average assumptions used in the measurement of the net periodic benefit cost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20" w:type="dxa"/>
            <w:vAlign w:val="bottom"/>
            <w:gridSpan w:val="3"/>
          </w:tcPr>
          <w:p>
            <w:pPr>
              <w:ind w:left="260"/>
              <w:spacing w:after="0"/>
              <w:rPr>
                <w:sz w:val="20"/>
                <w:szCs w:val="20"/>
                <w:color w:val="auto"/>
              </w:rPr>
            </w:pPr>
            <w:r>
              <w:rPr>
                <w:rFonts w:ascii="Arial" w:cs="Arial" w:eastAsia="Arial" w:hAnsi="Arial"/>
                <w:sz w:val="17"/>
                <w:szCs w:val="17"/>
                <w:color w:val="auto"/>
              </w:rPr>
              <w:t>United States Plans</w:t>
            </w:r>
          </w:p>
        </w:tc>
        <w:tc>
          <w:tcPr>
            <w:tcW w:w="1000" w:type="dxa"/>
            <w:vAlign w:val="bottom"/>
          </w:tcPr>
          <w:p>
            <w:pPr>
              <w:spacing w:after="0"/>
              <w:rPr>
                <w:sz w:val="18"/>
                <w:szCs w:val="18"/>
                <w:color w:val="auto"/>
              </w:rPr>
            </w:pPr>
          </w:p>
        </w:tc>
        <w:tc>
          <w:tcPr>
            <w:tcW w:w="1880" w:type="dxa"/>
            <w:vAlign w:val="bottom"/>
            <w:gridSpan w:val="2"/>
          </w:tcPr>
          <w:p>
            <w:pPr>
              <w:jc w:val="right"/>
              <w:ind w:right="77"/>
              <w:spacing w:after="0"/>
              <w:rPr>
                <w:sz w:val="20"/>
                <w:szCs w:val="20"/>
                <w:color w:val="auto"/>
              </w:rPr>
            </w:pPr>
            <w:r>
              <w:rPr>
                <w:rFonts w:ascii="Arial" w:cs="Arial" w:eastAsia="Arial" w:hAnsi="Arial"/>
                <w:sz w:val="17"/>
                <w:szCs w:val="17"/>
                <w:color w:val="auto"/>
                <w:w w:val="91"/>
              </w:rPr>
              <w:t>Non-United States Plans</w:t>
            </w:r>
          </w:p>
        </w:tc>
      </w:tr>
      <w:tr>
        <w:trPr>
          <w:trHeight w:val="25"/>
        </w:trPr>
        <w:tc>
          <w:tcPr>
            <w:tcW w:w="55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7"/>
        </w:trPr>
        <w:tc>
          <w:tcPr>
            <w:tcW w:w="5560" w:type="dxa"/>
            <w:vAlign w:val="bottom"/>
          </w:tcPr>
          <w:p>
            <w:pPr>
              <w:ind w:left="20"/>
              <w:spacing w:after="0"/>
              <w:rPr>
                <w:sz w:val="20"/>
                <w:szCs w:val="20"/>
                <w:color w:val="auto"/>
              </w:rPr>
            </w:pPr>
            <w:r>
              <w:rPr>
                <w:rFonts w:ascii="Arial" w:cs="Arial" w:eastAsia="Arial" w:hAnsi="Arial"/>
                <w:sz w:val="17"/>
                <w:szCs w:val="17"/>
                <w:color w:val="auto"/>
              </w:rPr>
              <w:t>Year Ended December 31</w:t>
            </w:r>
          </w:p>
        </w:tc>
        <w:tc>
          <w:tcPr>
            <w:tcW w:w="1160" w:type="dxa"/>
            <w:vAlign w:val="bottom"/>
          </w:tcPr>
          <w:p>
            <w:pPr>
              <w:jc w:val="right"/>
              <w:ind w:right="297"/>
              <w:spacing w:after="0"/>
              <w:rPr>
                <w:sz w:val="20"/>
                <w:szCs w:val="20"/>
                <w:color w:val="auto"/>
              </w:rPr>
            </w:pPr>
            <w:r>
              <w:rPr>
                <w:rFonts w:ascii="Arial" w:cs="Arial" w:eastAsia="Arial" w:hAnsi="Arial"/>
                <w:sz w:val="17"/>
                <w:szCs w:val="17"/>
                <w:color w:val="auto"/>
              </w:rPr>
              <w:t>2018</w:t>
            </w:r>
          </w:p>
        </w:tc>
        <w:tc>
          <w:tcPr>
            <w:tcW w:w="960" w:type="dxa"/>
            <w:vAlign w:val="bottom"/>
          </w:tcPr>
          <w:p>
            <w:pPr>
              <w:jc w:val="right"/>
              <w:ind w:right="297"/>
              <w:spacing w:after="0"/>
              <w:rPr>
                <w:sz w:val="20"/>
                <w:szCs w:val="20"/>
                <w:color w:val="auto"/>
              </w:rPr>
            </w:pPr>
            <w:r>
              <w:rPr>
                <w:rFonts w:ascii="Arial" w:cs="Arial" w:eastAsia="Arial" w:hAnsi="Arial"/>
                <w:sz w:val="17"/>
                <w:szCs w:val="17"/>
                <w:color w:val="auto"/>
              </w:rPr>
              <w:t>2017</w:t>
            </w: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8"/>
                <w:szCs w:val="18"/>
                <w:color w:val="auto"/>
              </w:rPr>
            </w:pPr>
          </w:p>
        </w:tc>
        <w:tc>
          <w:tcPr>
            <w:tcW w:w="1000" w:type="dxa"/>
            <w:vAlign w:val="bottom"/>
          </w:tcPr>
          <w:p>
            <w:pPr>
              <w:jc w:val="right"/>
              <w:ind w:right="117"/>
              <w:spacing w:after="0"/>
              <w:rPr>
                <w:sz w:val="20"/>
                <w:szCs w:val="20"/>
                <w:color w:val="auto"/>
              </w:rPr>
            </w:pPr>
            <w:r>
              <w:rPr>
                <w:rFonts w:ascii="Arial" w:cs="Arial" w:eastAsia="Arial" w:hAnsi="Arial"/>
                <w:sz w:val="17"/>
                <w:szCs w:val="17"/>
                <w:color w:val="auto"/>
              </w:rPr>
              <w:t>2018</w:t>
            </w:r>
          </w:p>
        </w:tc>
        <w:tc>
          <w:tcPr>
            <w:tcW w:w="1140" w:type="dxa"/>
            <w:vAlign w:val="bottom"/>
          </w:tcPr>
          <w:p>
            <w:pPr>
              <w:jc w:val="right"/>
              <w:ind w:right="297"/>
              <w:spacing w:after="0"/>
              <w:rPr>
                <w:sz w:val="20"/>
                <w:szCs w:val="20"/>
                <w:color w:val="auto"/>
              </w:rPr>
            </w:pPr>
            <w:r>
              <w:rPr>
                <w:rFonts w:ascii="Arial" w:cs="Arial" w:eastAsia="Arial" w:hAnsi="Arial"/>
                <w:sz w:val="17"/>
                <w:szCs w:val="17"/>
                <w:color w:val="auto"/>
              </w:rPr>
              <w:t>2017</w:t>
            </w:r>
          </w:p>
        </w:tc>
        <w:tc>
          <w:tcPr>
            <w:tcW w:w="740" w:type="dxa"/>
            <w:vAlign w:val="bottom"/>
          </w:tcPr>
          <w:p>
            <w:pPr>
              <w:jc w:val="right"/>
              <w:ind w:right="77"/>
              <w:spacing w:after="0"/>
              <w:rPr>
                <w:sz w:val="20"/>
                <w:szCs w:val="20"/>
                <w:color w:val="auto"/>
              </w:rPr>
            </w:pPr>
            <w:r>
              <w:rPr>
                <w:rFonts w:ascii="Arial" w:cs="Arial" w:eastAsia="Arial" w:hAnsi="Arial"/>
                <w:sz w:val="17"/>
                <w:szCs w:val="17"/>
                <w:color w:val="auto"/>
              </w:rPr>
              <w:t>2016</w:t>
            </w:r>
          </w:p>
        </w:tc>
      </w:tr>
      <w:tr>
        <w:trPr>
          <w:trHeight w:val="25"/>
        </w:trPr>
        <w:tc>
          <w:tcPr>
            <w:tcW w:w="5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2"/>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 rate - service cost</w:t>
            </w:r>
          </w:p>
        </w:tc>
        <w:tc>
          <w:tcPr>
            <w:tcW w:w="11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3.6%</w:t>
            </w:r>
          </w:p>
        </w:tc>
        <w:tc>
          <w:tcPr>
            <w:tcW w:w="9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4.1%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1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2.2%</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24"/>
        </w:trPr>
        <w:tc>
          <w:tcPr>
            <w:tcW w:w="5560" w:type="dxa"/>
            <w:vAlign w:val="bottom"/>
          </w:tcPr>
          <w:p>
            <w:pPr>
              <w:ind w:left="20"/>
              <w:spacing w:after="0"/>
              <w:rPr>
                <w:sz w:val="20"/>
                <w:szCs w:val="20"/>
                <w:color w:val="auto"/>
              </w:rPr>
            </w:pPr>
            <w:r>
              <w:rPr>
                <w:rFonts w:ascii="Arial" w:cs="Arial" w:eastAsia="Arial" w:hAnsi="Arial"/>
                <w:sz w:val="17"/>
                <w:szCs w:val="17"/>
                <w:color w:val="auto"/>
              </w:rPr>
              <w:t>Discount rate - interest cost</w:t>
            </w:r>
          </w:p>
        </w:tc>
        <w:tc>
          <w:tcPr>
            <w:tcW w:w="1160" w:type="dxa"/>
            <w:vAlign w:val="bottom"/>
          </w:tcPr>
          <w:p>
            <w:pPr>
              <w:jc w:val="right"/>
              <w:ind w:right="157"/>
              <w:spacing w:after="0"/>
              <w:rPr>
                <w:sz w:val="20"/>
                <w:szCs w:val="20"/>
                <w:color w:val="auto"/>
              </w:rPr>
            </w:pPr>
            <w:r>
              <w:rPr>
                <w:rFonts w:ascii="Arial" w:cs="Arial" w:eastAsia="Arial" w:hAnsi="Arial"/>
                <w:sz w:val="17"/>
                <w:szCs w:val="17"/>
                <w:color w:val="auto"/>
              </w:rPr>
              <w:t>3.2%</w:t>
            </w:r>
          </w:p>
        </w:tc>
        <w:tc>
          <w:tcPr>
            <w:tcW w:w="960" w:type="dxa"/>
            <w:vAlign w:val="bottom"/>
          </w:tcPr>
          <w:p>
            <w:pPr>
              <w:jc w:val="right"/>
              <w:ind w:right="157"/>
              <w:spacing w:after="0"/>
              <w:rPr>
                <w:sz w:val="20"/>
                <w:szCs w:val="20"/>
                <w:color w:val="auto"/>
              </w:rPr>
            </w:pPr>
            <w:r>
              <w:rPr>
                <w:rFonts w:ascii="Arial" w:cs="Arial" w:eastAsia="Arial" w:hAnsi="Arial"/>
                <w:sz w:val="17"/>
                <w:szCs w:val="17"/>
                <w:color w:val="auto"/>
              </w:rPr>
              <w:t>3.3%</w:t>
            </w:r>
          </w:p>
        </w:tc>
        <w:tc>
          <w:tcPr>
            <w:tcW w:w="76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c>
          <w:tcPr>
            <w:tcW w:w="1140" w:type="dxa"/>
            <w:vAlign w:val="bottom"/>
          </w:tcPr>
          <w:p>
            <w:pPr>
              <w:jc w:val="right"/>
              <w:ind w:right="157"/>
              <w:spacing w:after="0"/>
              <w:rPr>
                <w:sz w:val="20"/>
                <w:szCs w:val="20"/>
                <w:color w:val="auto"/>
              </w:rPr>
            </w:pPr>
            <w:r>
              <w:rPr>
                <w:rFonts w:ascii="Arial" w:cs="Arial" w:eastAsia="Arial" w:hAnsi="Arial"/>
                <w:sz w:val="17"/>
                <w:szCs w:val="17"/>
                <w:color w:val="auto"/>
              </w:rPr>
              <w:t>2.2%</w:t>
            </w:r>
          </w:p>
        </w:tc>
        <w:tc>
          <w:tcPr>
            <w:tcW w:w="7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5"/>
        </w:trPr>
        <w:tc>
          <w:tcPr>
            <w:tcW w:w="55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long-term return on plan assets</w:t>
            </w:r>
          </w:p>
        </w:tc>
        <w:tc>
          <w:tcPr>
            <w:tcW w:w="11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4.5%</w:t>
            </w:r>
          </w:p>
        </w:tc>
        <w:tc>
          <w:tcPr>
            <w:tcW w:w="9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4.8%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1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2.8%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24"/>
        </w:trPr>
        <w:tc>
          <w:tcPr>
            <w:tcW w:w="5560" w:type="dxa"/>
            <w:vAlign w:val="bottom"/>
          </w:tcPr>
          <w:p>
            <w:pPr>
              <w:ind w:left="20"/>
              <w:spacing w:after="0"/>
              <w:rPr>
                <w:sz w:val="20"/>
                <w:szCs w:val="20"/>
                <w:color w:val="auto"/>
              </w:rPr>
            </w:pPr>
            <w:r>
              <w:rPr>
                <w:rFonts w:ascii="Arial" w:cs="Arial" w:eastAsia="Arial" w:hAnsi="Arial"/>
                <w:sz w:val="17"/>
                <w:szCs w:val="17"/>
                <w:color w:val="auto"/>
              </w:rPr>
              <w:t>Rate of compensation increase</w:t>
            </w:r>
          </w:p>
        </w:tc>
        <w:tc>
          <w:tcPr>
            <w:tcW w:w="1160" w:type="dxa"/>
            <w:vAlign w:val="bottom"/>
          </w:tcPr>
          <w:p>
            <w:pPr>
              <w:jc w:val="right"/>
              <w:ind w:right="157"/>
              <w:spacing w:after="0"/>
              <w:rPr>
                <w:sz w:val="20"/>
                <w:szCs w:val="20"/>
                <w:color w:val="auto"/>
              </w:rPr>
            </w:pPr>
            <w:r>
              <w:rPr>
                <w:rFonts w:ascii="Arial" w:cs="Arial" w:eastAsia="Arial" w:hAnsi="Arial"/>
                <w:sz w:val="17"/>
                <w:szCs w:val="17"/>
                <w:color w:val="auto"/>
              </w:rPr>
              <w:t>3.0%</w:t>
            </w:r>
          </w:p>
        </w:tc>
        <w:tc>
          <w:tcPr>
            <w:tcW w:w="960" w:type="dxa"/>
            <w:vAlign w:val="bottom"/>
          </w:tcPr>
          <w:p>
            <w:pPr>
              <w:jc w:val="right"/>
              <w:ind w:right="157"/>
              <w:spacing w:after="0"/>
              <w:rPr>
                <w:sz w:val="20"/>
                <w:szCs w:val="20"/>
                <w:color w:val="auto"/>
              </w:rPr>
            </w:pPr>
            <w:r>
              <w:rPr>
                <w:rFonts w:ascii="Arial" w:cs="Arial" w:eastAsia="Arial" w:hAnsi="Arial"/>
                <w:sz w:val="17"/>
                <w:szCs w:val="17"/>
                <w:color w:val="auto"/>
              </w:rPr>
              <w:t>3.0%</w:t>
            </w:r>
          </w:p>
        </w:tc>
        <w:tc>
          <w:tcPr>
            <w:tcW w:w="76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1140" w:type="dxa"/>
            <w:vAlign w:val="bottom"/>
          </w:tcPr>
          <w:p>
            <w:pPr>
              <w:jc w:val="right"/>
              <w:ind w:right="157"/>
              <w:spacing w:after="0"/>
              <w:rPr>
                <w:sz w:val="20"/>
                <w:szCs w:val="20"/>
                <w:color w:val="auto"/>
              </w:rPr>
            </w:pPr>
            <w:r>
              <w:rPr>
                <w:rFonts w:ascii="Arial" w:cs="Arial" w:eastAsia="Arial" w:hAnsi="Arial"/>
                <w:sz w:val="17"/>
                <w:szCs w:val="17"/>
                <w:color w:val="auto"/>
              </w:rPr>
              <w:t>1.7%</w:t>
            </w:r>
          </w:p>
        </w:tc>
        <w:tc>
          <w:tcPr>
            <w:tcW w:w="7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5"/>
        </w:trPr>
        <w:tc>
          <w:tcPr>
            <w:tcW w:w="5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We determine our assumption for the discount rate based on an index of high-quality corporate bond yields and matched-funding yield curve analysis as of the end of each fiscal year.</w:t>
      </w:r>
    </w:p>
    <w:p>
      <w:pPr>
        <w:spacing w:after="0" w:line="16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82A32"/>
        </w:rPr>
        <w:t>Our overall expected long-term rate of return used in the measurement of the 2018 net periodic benefit cost on United States plan assets was 4.5%, while the rates of return on our non-United States plans varied by country and ranged from 1.5% to 3.5%.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four of our foreign plans. Peer data and historical returns are reviewed to check for reasonableness and appropriateness of our expected rate of return.</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Projected salary levels utilized in the determination of the projected benefit obligation for the pension plans are based upon historical experience and the future expectations for each respective country.</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82A32"/>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2018 allocations, are determined based on the favorable risk tolerance characteristics of the plan and, at times, may be adjusted within a specified range to advance our overall objective.</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282A32"/>
        </w:rPr>
        <w:t>The fair values of our pension plan assets are primarily determined by using market quotes and other relevant information that is generated by market transactions involving identical or comparable assets, except for the insurance contracts, which are measured at the present value of expected future benefit payments primarily using the Deutsche National Bank interest curve.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351" w:right="239" w:bottom="1440" w:gutter="0" w:footer="0" w:header="0"/>
        </w:sectPr>
      </w:pPr>
    </w:p>
    <w:bookmarkStart w:id="81" w:name="page82"/>
    <w:bookmarkEnd w:id="81"/>
    <w:p>
      <w:pPr>
        <w:spacing w:after="0"/>
        <w:rPr>
          <w:sz w:val="20"/>
          <w:szCs w:val="20"/>
          <w:color w:val="auto"/>
        </w:rPr>
      </w:pPr>
      <w:r>
        <w:rPr>
          <w:rFonts w:ascii="Arial" w:cs="Arial" w:eastAsia="Arial" w:hAnsi="Arial"/>
          <w:sz w:val="13"/>
          <w:szCs w:val="13"/>
          <w:color w:val="282A32"/>
        </w:rPr>
        <w:t>The fair value of our pension plan assets by asset category was as follows:</w:t>
      </w:r>
    </w:p>
    <w:p>
      <w:pPr>
        <w:sectPr>
          <w:pgSz w:w="11900" w:h="16838" w:orient="portrait"/>
          <w:cols w:equalWidth="0" w:num="1">
            <w:col w:w="10920"/>
          </w:cols>
          <w:pgMar w:left="240" w:top="351" w:right="739" w:bottom="1440" w:gutter="0" w:footer="0" w:header="0"/>
        </w:sectPr>
      </w:pPr>
    </w:p>
    <w:p>
      <w:pPr>
        <w:spacing w:after="0" w:line="273"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15875</wp:posOffset>
            </wp:positionV>
            <wp:extent cx="26035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3500" cy="7620"/>
                    </a:xfrm>
                    <a:prstGeom prst="rect">
                      <a:avLst/>
                    </a:prstGeom>
                    <a:noFill/>
                  </pic:spPr>
                </pic:pic>
              </a:graphicData>
            </a:graphic>
          </wp:anchor>
        </w:drawing>
      </w:r>
    </w:p>
    <w:p>
      <w:pPr>
        <w:spacing w:after="0" w:line="91"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15875</wp:posOffset>
            </wp:positionV>
            <wp:extent cx="26035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3500" cy="7620"/>
                    </a:xfrm>
                    <a:prstGeom prst="rect">
                      <a:avLst/>
                    </a:prstGeom>
                    <a:noFill/>
                  </pic:spPr>
                </pic:pic>
              </a:graphicData>
            </a:graphic>
          </wp:anchor>
        </w:drawing>
      </w:r>
    </w:p>
    <w:p>
      <w:pPr>
        <w:spacing w:after="0" w:line="16" w:lineRule="exact"/>
        <w:rPr>
          <w:sz w:val="20"/>
          <w:szCs w:val="20"/>
          <w:color w:val="auto"/>
        </w:rPr>
      </w:pPr>
    </w:p>
    <w:tbl>
      <w:tblPr>
        <w:tblLayout w:type="fixed"/>
        <w:tblInd w:w="282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960" w:type="dxa"/>
            <w:vAlign w:val="bottom"/>
          </w:tcPr>
          <w:p>
            <w:pPr>
              <w:jc w:val="right"/>
              <w:ind w:right="122"/>
              <w:spacing w:after="0"/>
              <w:rPr>
                <w:sz w:val="20"/>
                <w:szCs w:val="20"/>
                <w:color w:val="auto"/>
              </w:rPr>
            </w:pPr>
            <w:r>
              <w:rPr>
                <w:rFonts w:ascii="Arial" w:cs="Arial" w:eastAsia="Arial" w:hAnsi="Arial"/>
                <w:sz w:val="12"/>
                <w:szCs w:val="12"/>
                <w:color w:val="auto"/>
              </w:rPr>
              <w:t>Quoted</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25"/>
        </w:trPr>
        <w:tc>
          <w:tcPr>
            <w:tcW w:w="1140" w:type="dxa"/>
            <w:vAlign w:val="bottom"/>
          </w:tcPr>
          <w:p>
            <w:pPr>
              <w:spacing w:after="0"/>
              <w:rPr>
                <w:sz w:val="10"/>
                <w:szCs w:val="10"/>
                <w:color w:val="auto"/>
              </w:rPr>
            </w:pPr>
          </w:p>
        </w:tc>
        <w:tc>
          <w:tcPr>
            <w:tcW w:w="960" w:type="dxa"/>
            <w:vAlign w:val="bottom"/>
          </w:tcPr>
          <w:p>
            <w:pPr>
              <w:jc w:val="right"/>
              <w:ind w:right="122"/>
              <w:spacing w:after="0" w:line="125" w:lineRule="exact"/>
              <w:rPr>
                <w:sz w:val="20"/>
                <w:szCs w:val="20"/>
                <w:color w:val="auto"/>
              </w:rPr>
            </w:pPr>
            <w:r>
              <w:rPr>
                <w:rFonts w:ascii="Arial" w:cs="Arial" w:eastAsia="Arial" w:hAnsi="Arial"/>
                <w:sz w:val="12"/>
                <w:szCs w:val="12"/>
                <w:color w:val="auto"/>
              </w:rPr>
              <w:t>Prices</w:t>
            </w: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25"/>
        </w:trPr>
        <w:tc>
          <w:tcPr>
            <w:tcW w:w="1140" w:type="dxa"/>
            <w:vAlign w:val="bottom"/>
          </w:tcPr>
          <w:p>
            <w:pPr>
              <w:spacing w:after="0"/>
              <w:rPr>
                <w:sz w:val="10"/>
                <w:szCs w:val="10"/>
                <w:color w:val="auto"/>
              </w:rPr>
            </w:pPr>
          </w:p>
        </w:tc>
        <w:tc>
          <w:tcPr>
            <w:tcW w:w="960" w:type="dxa"/>
            <w:vAlign w:val="bottom"/>
          </w:tcPr>
          <w:p>
            <w:pPr>
              <w:jc w:val="right"/>
              <w:ind w:right="122"/>
              <w:spacing w:after="0" w:line="125" w:lineRule="exact"/>
              <w:rPr>
                <w:sz w:val="20"/>
                <w:szCs w:val="20"/>
                <w:color w:val="auto"/>
              </w:rPr>
            </w:pPr>
            <w:r>
              <w:rPr>
                <w:rFonts w:ascii="Arial" w:cs="Arial" w:eastAsia="Arial" w:hAnsi="Arial"/>
                <w:sz w:val="12"/>
                <w:szCs w:val="12"/>
                <w:color w:val="auto"/>
              </w:rPr>
              <w:t>in Active</w:t>
            </w:r>
          </w:p>
        </w:tc>
        <w:tc>
          <w:tcPr>
            <w:tcW w:w="940" w:type="dxa"/>
            <w:vAlign w:val="bottom"/>
          </w:tcPr>
          <w:p>
            <w:pPr>
              <w:jc w:val="right"/>
              <w:ind w:right="182"/>
              <w:spacing w:after="0" w:line="125" w:lineRule="exact"/>
              <w:rPr>
                <w:sz w:val="20"/>
                <w:szCs w:val="20"/>
                <w:color w:val="auto"/>
              </w:rPr>
            </w:pPr>
            <w:r>
              <w:rPr>
                <w:rFonts w:ascii="Arial" w:cs="Arial" w:eastAsia="Arial" w:hAnsi="Arial"/>
                <w:sz w:val="12"/>
                <w:szCs w:val="12"/>
                <w:color w:val="auto"/>
              </w:rPr>
              <w:t>Significant</w:t>
            </w:r>
          </w:p>
        </w:tc>
        <w:tc>
          <w:tcPr>
            <w:tcW w:w="880" w:type="dxa"/>
            <w:vAlign w:val="bottom"/>
          </w:tcPr>
          <w:p>
            <w:pPr>
              <w:spacing w:after="0"/>
              <w:rPr>
                <w:sz w:val="10"/>
                <w:szCs w:val="10"/>
                <w:color w:val="auto"/>
              </w:rPr>
            </w:pPr>
          </w:p>
        </w:tc>
      </w:tr>
      <w:tr>
        <w:trPr>
          <w:trHeight w:val="125"/>
        </w:trPr>
        <w:tc>
          <w:tcPr>
            <w:tcW w:w="1140" w:type="dxa"/>
            <w:vAlign w:val="bottom"/>
          </w:tcPr>
          <w:p>
            <w:pPr>
              <w:spacing w:after="0"/>
              <w:rPr>
                <w:sz w:val="10"/>
                <w:szCs w:val="10"/>
                <w:color w:val="auto"/>
              </w:rPr>
            </w:pPr>
          </w:p>
        </w:tc>
        <w:tc>
          <w:tcPr>
            <w:tcW w:w="960" w:type="dxa"/>
            <w:vAlign w:val="bottom"/>
          </w:tcPr>
          <w:p>
            <w:pPr>
              <w:jc w:val="right"/>
              <w:ind w:right="122"/>
              <w:spacing w:after="0" w:line="125" w:lineRule="exact"/>
              <w:rPr>
                <w:sz w:val="20"/>
                <w:szCs w:val="20"/>
                <w:color w:val="auto"/>
              </w:rPr>
            </w:pPr>
            <w:r>
              <w:rPr>
                <w:rFonts w:ascii="Arial" w:cs="Arial" w:eastAsia="Arial" w:hAnsi="Arial"/>
                <w:sz w:val="12"/>
                <w:szCs w:val="12"/>
                <w:color w:val="auto"/>
              </w:rPr>
              <w:t>Markets for</w:t>
            </w:r>
          </w:p>
        </w:tc>
        <w:tc>
          <w:tcPr>
            <w:tcW w:w="940" w:type="dxa"/>
            <w:vAlign w:val="bottom"/>
          </w:tcPr>
          <w:p>
            <w:pPr>
              <w:jc w:val="right"/>
              <w:ind w:right="182"/>
              <w:spacing w:after="0" w:line="125" w:lineRule="exact"/>
              <w:rPr>
                <w:sz w:val="20"/>
                <w:szCs w:val="20"/>
                <w:color w:val="auto"/>
              </w:rPr>
            </w:pPr>
            <w:r>
              <w:rPr>
                <w:rFonts w:ascii="Arial" w:cs="Arial" w:eastAsia="Arial" w:hAnsi="Arial"/>
                <w:sz w:val="12"/>
                <w:szCs w:val="12"/>
                <w:color w:val="auto"/>
              </w:rPr>
              <w:t>Other</w:t>
            </w:r>
          </w:p>
        </w:tc>
        <w:tc>
          <w:tcPr>
            <w:tcW w:w="880" w:type="dxa"/>
            <w:vAlign w:val="bottom"/>
          </w:tcPr>
          <w:p>
            <w:pPr>
              <w:jc w:val="right"/>
              <w:spacing w:after="0" w:line="125" w:lineRule="exact"/>
              <w:rPr>
                <w:sz w:val="20"/>
                <w:szCs w:val="20"/>
                <w:color w:val="auto"/>
              </w:rPr>
            </w:pPr>
            <w:r>
              <w:rPr>
                <w:rFonts w:ascii="Arial" w:cs="Arial" w:eastAsia="Arial" w:hAnsi="Arial"/>
                <w:sz w:val="12"/>
                <w:szCs w:val="12"/>
                <w:color w:val="auto"/>
              </w:rPr>
              <w:t>Significant</w:t>
            </w:r>
          </w:p>
        </w:tc>
      </w:tr>
      <w:tr>
        <w:trPr>
          <w:trHeight w:val="125"/>
        </w:trPr>
        <w:tc>
          <w:tcPr>
            <w:tcW w:w="1140" w:type="dxa"/>
            <w:vAlign w:val="bottom"/>
          </w:tcPr>
          <w:p>
            <w:pPr>
              <w:spacing w:after="0"/>
              <w:rPr>
                <w:sz w:val="10"/>
                <w:szCs w:val="10"/>
                <w:color w:val="auto"/>
              </w:rPr>
            </w:pPr>
          </w:p>
        </w:tc>
        <w:tc>
          <w:tcPr>
            <w:tcW w:w="960" w:type="dxa"/>
            <w:vAlign w:val="bottom"/>
          </w:tcPr>
          <w:p>
            <w:pPr>
              <w:jc w:val="right"/>
              <w:ind w:right="122"/>
              <w:spacing w:after="0" w:line="125" w:lineRule="exact"/>
              <w:rPr>
                <w:sz w:val="20"/>
                <w:szCs w:val="20"/>
                <w:color w:val="auto"/>
              </w:rPr>
            </w:pPr>
            <w:r>
              <w:rPr>
                <w:rFonts w:ascii="Arial" w:cs="Arial" w:eastAsia="Arial" w:hAnsi="Arial"/>
                <w:sz w:val="12"/>
                <w:szCs w:val="12"/>
                <w:color w:val="auto"/>
              </w:rPr>
              <w:t>Identical</w:t>
            </w:r>
          </w:p>
        </w:tc>
        <w:tc>
          <w:tcPr>
            <w:tcW w:w="940" w:type="dxa"/>
            <w:vAlign w:val="bottom"/>
          </w:tcPr>
          <w:p>
            <w:pPr>
              <w:jc w:val="right"/>
              <w:ind w:right="182"/>
              <w:spacing w:after="0" w:line="125" w:lineRule="exact"/>
              <w:rPr>
                <w:sz w:val="20"/>
                <w:szCs w:val="20"/>
                <w:color w:val="auto"/>
              </w:rPr>
            </w:pPr>
            <w:r>
              <w:rPr>
                <w:rFonts w:ascii="Arial" w:cs="Arial" w:eastAsia="Arial" w:hAnsi="Arial"/>
                <w:sz w:val="12"/>
                <w:szCs w:val="12"/>
                <w:color w:val="auto"/>
              </w:rPr>
              <w:t>Observable</w:t>
            </w:r>
          </w:p>
        </w:tc>
        <w:tc>
          <w:tcPr>
            <w:tcW w:w="880" w:type="dxa"/>
            <w:vAlign w:val="bottom"/>
          </w:tcPr>
          <w:p>
            <w:pPr>
              <w:jc w:val="right"/>
              <w:spacing w:after="0" w:line="125" w:lineRule="exact"/>
              <w:rPr>
                <w:sz w:val="20"/>
                <w:szCs w:val="20"/>
                <w:color w:val="auto"/>
              </w:rPr>
            </w:pPr>
            <w:r>
              <w:rPr>
                <w:rFonts w:ascii="Arial" w:cs="Arial" w:eastAsia="Arial" w:hAnsi="Arial"/>
                <w:sz w:val="12"/>
                <w:szCs w:val="12"/>
                <w:color w:val="auto"/>
              </w:rPr>
              <w:t>Unobservable</w:t>
            </w:r>
          </w:p>
        </w:tc>
      </w:tr>
      <w:tr>
        <w:trPr>
          <w:trHeight w:val="125"/>
        </w:trPr>
        <w:tc>
          <w:tcPr>
            <w:tcW w:w="1140" w:type="dxa"/>
            <w:vAlign w:val="bottom"/>
          </w:tcPr>
          <w:p>
            <w:pPr>
              <w:spacing w:after="0"/>
              <w:rPr>
                <w:sz w:val="10"/>
                <w:szCs w:val="10"/>
                <w:color w:val="auto"/>
              </w:rPr>
            </w:pPr>
          </w:p>
        </w:tc>
        <w:tc>
          <w:tcPr>
            <w:tcW w:w="960" w:type="dxa"/>
            <w:vAlign w:val="bottom"/>
          </w:tcPr>
          <w:p>
            <w:pPr>
              <w:jc w:val="right"/>
              <w:ind w:right="122"/>
              <w:spacing w:after="0" w:line="125" w:lineRule="exact"/>
              <w:rPr>
                <w:sz w:val="20"/>
                <w:szCs w:val="20"/>
                <w:color w:val="auto"/>
              </w:rPr>
            </w:pPr>
            <w:r>
              <w:rPr>
                <w:rFonts w:ascii="Arial" w:cs="Arial" w:eastAsia="Arial" w:hAnsi="Arial"/>
                <w:sz w:val="12"/>
                <w:szCs w:val="12"/>
                <w:color w:val="auto"/>
              </w:rPr>
              <w:t>Assets</w:t>
            </w:r>
          </w:p>
        </w:tc>
        <w:tc>
          <w:tcPr>
            <w:tcW w:w="940" w:type="dxa"/>
            <w:vAlign w:val="bottom"/>
          </w:tcPr>
          <w:p>
            <w:pPr>
              <w:jc w:val="right"/>
              <w:ind w:right="182"/>
              <w:spacing w:after="0" w:line="125" w:lineRule="exact"/>
              <w:rPr>
                <w:sz w:val="20"/>
                <w:szCs w:val="20"/>
                <w:color w:val="auto"/>
              </w:rPr>
            </w:pPr>
            <w:r>
              <w:rPr>
                <w:rFonts w:ascii="Arial" w:cs="Arial" w:eastAsia="Arial" w:hAnsi="Arial"/>
                <w:sz w:val="12"/>
                <w:szCs w:val="12"/>
                <w:color w:val="auto"/>
              </w:rPr>
              <w:t>Inputs</w:t>
            </w:r>
          </w:p>
        </w:tc>
        <w:tc>
          <w:tcPr>
            <w:tcW w:w="880" w:type="dxa"/>
            <w:vAlign w:val="bottom"/>
          </w:tcPr>
          <w:p>
            <w:pPr>
              <w:jc w:val="right"/>
              <w:spacing w:after="0" w:line="125" w:lineRule="exact"/>
              <w:rPr>
                <w:sz w:val="20"/>
                <w:szCs w:val="20"/>
                <w:color w:val="auto"/>
              </w:rPr>
            </w:pPr>
            <w:r>
              <w:rPr>
                <w:rFonts w:ascii="Arial" w:cs="Arial" w:eastAsia="Arial" w:hAnsi="Arial"/>
                <w:sz w:val="12"/>
                <w:szCs w:val="12"/>
                <w:color w:val="auto"/>
              </w:rPr>
              <w:t>Inputs</w:t>
            </w:r>
          </w:p>
        </w:tc>
      </w:tr>
      <w:tr>
        <w:trPr>
          <w:trHeight w:val="148"/>
        </w:trPr>
        <w:tc>
          <w:tcPr>
            <w:tcW w:w="1140" w:type="dxa"/>
            <w:vAlign w:val="bottom"/>
          </w:tcPr>
          <w:p>
            <w:pPr>
              <w:spacing w:after="0"/>
              <w:rPr>
                <w:sz w:val="20"/>
                <w:szCs w:val="20"/>
                <w:color w:val="auto"/>
              </w:rPr>
            </w:pPr>
            <w:r>
              <w:rPr>
                <w:rFonts w:ascii="Arial" w:cs="Arial" w:eastAsia="Arial" w:hAnsi="Arial"/>
                <w:sz w:val="12"/>
                <w:szCs w:val="12"/>
                <w:color w:val="auto"/>
              </w:rPr>
              <w:t>December 31, 2018</w:t>
            </w:r>
          </w:p>
        </w:tc>
        <w:tc>
          <w:tcPr>
            <w:tcW w:w="960" w:type="dxa"/>
            <w:vAlign w:val="bottom"/>
          </w:tcPr>
          <w:p>
            <w:pPr>
              <w:jc w:val="right"/>
              <w:ind w:right="122"/>
              <w:spacing w:after="0"/>
              <w:rPr>
                <w:sz w:val="20"/>
                <w:szCs w:val="20"/>
                <w:color w:val="auto"/>
              </w:rPr>
            </w:pPr>
            <w:r>
              <w:rPr>
                <w:rFonts w:ascii="Arial" w:cs="Arial" w:eastAsia="Arial" w:hAnsi="Arial"/>
                <w:sz w:val="12"/>
                <w:szCs w:val="12"/>
                <w:color w:val="auto"/>
              </w:rPr>
              <w:t>(Level 1)</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(Level 2)</w:t>
            </w:r>
          </w:p>
        </w:tc>
        <w:tc>
          <w:tcPr>
            <w:tcW w:w="880" w:type="dxa"/>
            <w:vAlign w:val="bottom"/>
          </w:tcPr>
          <w:p>
            <w:pPr>
              <w:jc w:val="right"/>
              <w:spacing w:after="0"/>
              <w:rPr>
                <w:sz w:val="20"/>
                <w:szCs w:val="20"/>
                <w:color w:val="auto"/>
              </w:rPr>
            </w:pPr>
            <w:r>
              <w:rPr>
                <w:rFonts w:ascii="Arial" w:cs="Arial" w:eastAsia="Arial" w:hAnsi="Arial"/>
                <w:sz w:val="12"/>
                <w:szCs w:val="12"/>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6940550" cy="198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0550" cy="198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jc w:val="right"/>
        <w:ind w:right="80"/>
        <w:spacing w:after="0"/>
        <w:rPr>
          <w:sz w:val="20"/>
          <w:szCs w:val="20"/>
          <w:color w:val="auto"/>
        </w:rPr>
      </w:pPr>
      <w:r>
        <w:rPr>
          <w:rFonts w:ascii="Arial" w:cs="Arial" w:eastAsia="Arial" w:hAnsi="Arial"/>
          <w:sz w:val="12"/>
          <w:szCs w:val="12"/>
          <w:color w:val="auto"/>
        </w:rPr>
        <w:t>Non-United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15875</wp:posOffset>
            </wp:positionV>
            <wp:extent cx="25247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4760" cy="7620"/>
                    </a:xfrm>
                    <a:prstGeom prst="rect">
                      <a:avLst/>
                    </a:prstGeom>
                    <a:noFill/>
                  </pic:spPr>
                </pic:pic>
              </a:graphicData>
            </a:graphic>
          </wp:anchor>
        </w:drawing>
      </w:r>
    </w:p>
    <w:p>
      <w:pPr>
        <w:spacing w:after="0" w:line="91" w:lineRule="exact"/>
        <w:rPr>
          <w:sz w:val="20"/>
          <w:szCs w:val="20"/>
          <w:color w:val="auto"/>
        </w:rPr>
      </w:pPr>
    </w:p>
    <w:p>
      <w:pPr>
        <w:jc w:val="right"/>
        <w:ind w:right="80"/>
        <w:spacing w:after="0"/>
        <w:rPr>
          <w:sz w:val="20"/>
          <w:szCs w:val="20"/>
          <w:color w:val="auto"/>
        </w:rPr>
      </w:pPr>
      <w:r>
        <w:rPr>
          <w:rFonts w:ascii="Arial" w:cs="Arial" w:eastAsia="Arial" w:hAnsi="Arial"/>
          <w:sz w:val="12"/>
          <w:szCs w:val="12"/>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15875</wp:posOffset>
            </wp:positionV>
            <wp:extent cx="25247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24760" cy="762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920" w:type="dxa"/>
            <w:vAlign w:val="bottom"/>
          </w:tcPr>
          <w:p>
            <w:pPr>
              <w:jc w:val="right"/>
              <w:ind w:right="102"/>
              <w:spacing w:after="0"/>
              <w:rPr>
                <w:sz w:val="20"/>
                <w:szCs w:val="20"/>
                <w:color w:val="auto"/>
              </w:rPr>
            </w:pPr>
            <w:r>
              <w:rPr>
                <w:rFonts w:ascii="Arial" w:cs="Arial" w:eastAsia="Arial" w:hAnsi="Arial"/>
                <w:sz w:val="12"/>
                <w:szCs w:val="12"/>
                <w:color w:val="auto"/>
              </w:rPr>
              <w:t>Quoted</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25"/>
        </w:trPr>
        <w:tc>
          <w:tcPr>
            <w:tcW w:w="1120" w:type="dxa"/>
            <w:vAlign w:val="bottom"/>
          </w:tcPr>
          <w:p>
            <w:pPr>
              <w:spacing w:after="0"/>
              <w:rPr>
                <w:sz w:val="10"/>
                <w:szCs w:val="10"/>
                <w:color w:val="auto"/>
              </w:rPr>
            </w:pPr>
          </w:p>
        </w:tc>
        <w:tc>
          <w:tcPr>
            <w:tcW w:w="920" w:type="dxa"/>
            <w:vAlign w:val="bottom"/>
          </w:tcPr>
          <w:p>
            <w:pPr>
              <w:jc w:val="right"/>
              <w:ind w:right="102"/>
              <w:spacing w:after="0" w:line="125" w:lineRule="exact"/>
              <w:rPr>
                <w:sz w:val="20"/>
                <w:szCs w:val="20"/>
                <w:color w:val="auto"/>
              </w:rPr>
            </w:pPr>
            <w:r>
              <w:rPr>
                <w:rFonts w:ascii="Arial" w:cs="Arial" w:eastAsia="Arial" w:hAnsi="Arial"/>
                <w:sz w:val="12"/>
                <w:szCs w:val="12"/>
                <w:color w:val="auto"/>
              </w:rPr>
              <w:t>Prices</w:t>
            </w: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5"/>
        </w:trPr>
        <w:tc>
          <w:tcPr>
            <w:tcW w:w="1120" w:type="dxa"/>
            <w:vAlign w:val="bottom"/>
          </w:tcPr>
          <w:p>
            <w:pPr>
              <w:spacing w:after="0"/>
              <w:rPr>
                <w:sz w:val="10"/>
                <w:szCs w:val="10"/>
                <w:color w:val="auto"/>
              </w:rPr>
            </w:pPr>
          </w:p>
        </w:tc>
        <w:tc>
          <w:tcPr>
            <w:tcW w:w="920" w:type="dxa"/>
            <w:vAlign w:val="bottom"/>
          </w:tcPr>
          <w:p>
            <w:pPr>
              <w:jc w:val="right"/>
              <w:ind w:right="102"/>
              <w:spacing w:after="0" w:line="125" w:lineRule="exact"/>
              <w:rPr>
                <w:sz w:val="20"/>
                <w:szCs w:val="20"/>
                <w:color w:val="auto"/>
              </w:rPr>
            </w:pPr>
            <w:r>
              <w:rPr>
                <w:rFonts w:ascii="Arial" w:cs="Arial" w:eastAsia="Arial" w:hAnsi="Arial"/>
                <w:sz w:val="12"/>
                <w:szCs w:val="12"/>
                <w:color w:val="auto"/>
              </w:rPr>
              <w:t>in Active</w:t>
            </w:r>
          </w:p>
        </w:tc>
        <w:tc>
          <w:tcPr>
            <w:tcW w:w="900" w:type="dxa"/>
            <w:vAlign w:val="bottom"/>
          </w:tcPr>
          <w:p>
            <w:pPr>
              <w:jc w:val="right"/>
              <w:ind w:right="162"/>
              <w:spacing w:after="0" w:line="125" w:lineRule="exact"/>
              <w:rPr>
                <w:sz w:val="20"/>
                <w:szCs w:val="20"/>
                <w:color w:val="auto"/>
              </w:rPr>
            </w:pPr>
            <w:r>
              <w:rPr>
                <w:rFonts w:ascii="Arial" w:cs="Arial" w:eastAsia="Arial" w:hAnsi="Arial"/>
                <w:sz w:val="12"/>
                <w:szCs w:val="12"/>
                <w:color w:val="auto"/>
              </w:rPr>
              <w:t>Significant</w:t>
            </w:r>
          </w:p>
        </w:tc>
        <w:tc>
          <w:tcPr>
            <w:tcW w:w="860" w:type="dxa"/>
            <w:vAlign w:val="bottom"/>
          </w:tcPr>
          <w:p>
            <w:pPr>
              <w:spacing w:after="0"/>
              <w:rPr>
                <w:sz w:val="10"/>
                <w:szCs w:val="10"/>
                <w:color w:val="auto"/>
              </w:rPr>
            </w:pPr>
          </w:p>
        </w:tc>
      </w:tr>
      <w:tr>
        <w:trPr>
          <w:trHeight w:val="125"/>
        </w:trPr>
        <w:tc>
          <w:tcPr>
            <w:tcW w:w="1120" w:type="dxa"/>
            <w:vAlign w:val="bottom"/>
          </w:tcPr>
          <w:p>
            <w:pPr>
              <w:spacing w:after="0"/>
              <w:rPr>
                <w:sz w:val="10"/>
                <w:szCs w:val="10"/>
                <w:color w:val="auto"/>
              </w:rPr>
            </w:pPr>
          </w:p>
        </w:tc>
        <w:tc>
          <w:tcPr>
            <w:tcW w:w="920" w:type="dxa"/>
            <w:vAlign w:val="bottom"/>
          </w:tcPr>
          <w:p>
            <w:pPr>
              <w:jc w:val="right"/>
              <w:ind w:right="102"/>
              <w:spacing w:after="0" w:line="125" w:lineRule="exact"/>
              <w:rPr>
                <w:sz w:val="20"/>
                <w:szCs w:val="20"/>
                <w:color w:val="auto"/>
              </w:rPr>
            </w:pPr>
            <w:r>
              <w:rPr>
                <w:rFonts w:ascii="Arial" w:cs="Arial" w:eastAsia="Arial" w:hAnsi="Arial"/>
                <w:sz w:val="12"/>
                <w:szCs w:val="12"/>
                <w:color w:val="auto"/>
              </w:rPr>
              <w:t>Markets for</w:t>
            </w:r>
          </w:p>
        </w:tc>
        <w:tc>
          <w:tcPr>
            <w:tcW w:w="900" w:type="dxa"/>
            <w:vAlign w:val="bottom"/>
          </w:tcPr>
          <w:p>
            <w:pPr>
              <w:jc w:val="right"/>
              <w:ind w:right="162"/>
              <w:spacing w:after="0" w:line="125" w:lineRule="exact"/>
              <w:rPr>
                <w:sz w:val="20"/>
                <w:szCs w:val="20"/>
                <w:color w:val="auto"/>
              </w:rPr>
            </w:pPr>
            <w:r>
              <w:rPr>
                <w:rFonts w:ascii="Arial" w:cs="Arial" w:eastAsia="Arial" w:hAnsi="Arial"/>
                <w:sz w:val="12"/>
                <w:szCs w:val="12"/>
                <w:color w:val="auto"/>
              </w:rPr>
              <w:t>Other</w:t>
            </w:r>
          </w:p>
        </w:tc>
        <w:tc>
          <w:tcPr>
            <w:tcW w:w="860" w:type="dxa"/>
            <w:vAlign w:val="bottom"/>
          </w:tcPr>
          <w:p>
            <w:pPr>
              <w:jc w:val="right"/>
              <w:spacing w:after="0" w:line="125" w:lineRule="exact"/>
              <w:rPr>
                <w:sz w:val="20"/>
                <w:szCs w:val="20"/>
                <w:color w:val="auto"/>
              </w:rPr>
            </w:pPr>
            <w:r>
              <w:rPr>
                <w:rFonts w:ascii="Arial" w:cs="Arial" w:eastAsia="Arial" w:hAnsi="Arial"/>
                <w:sz w:val="12"/>
                <w:szCs w:val="12"/>
                <w:color w:val="auto"/>
              </w:rPr>
              <w:t>Significant</w:t>
            </w:r>
          </w:p>
        </w:tc>
      </w:tr>
      <w:tr>
        <w:trPr>
          <w:trHeight w:val="125"/>
        </w:trPr>
        <w:tc>
          <w:tcPr>
            <w:tcW w:w="1120" w:type="dxa"/>
            <w:vAlign w:val="bottom"/>
          </w:tcPr>
          <w:p>
            <w:pPr>
              <w:spacing w:after="0"/>
              <w:rPr>
                <w:sz w:val="10"/>
                <w:szCs w:val="10"/>
                <w:color w:val="auto"/>
              </w:rPr>
            </w:pPr>
          </w:p>
        </w:tc>
        <w:tc>
          <w:tcPr>
            <w:tcW w:w="920" w:type="dxa"/>
            <w:vAlign w:val="bottom"/>
          </w:tcPr>
          <w:p>
            <w:pPr>
              <w:jc w:val="right"/>
              <w:ind w:right="102"/>
              <w:spacing w:after="0" w:line="125" w:lineRule="exact"/>
              <w:rPr>
                <w:sz w:val="20"/>
                <w:szCs w:val="20"/>
                <w:color w:val="auto"/>
              </w:rPr>
            </w:pPr>
            <w:r>
              <w:rPr>
                <w:rFonts w:ascii="Arial" w:cs="Arial" w:eastAsia="Arial" w:hAnsi="Arial"/>
                <w:sz w:val="12"/>
                <w:szCs w:val="12"/>
                <w:color w:val="auto"/>
              </w:rPr>
              <w:t>Identical</w:t>
            </w:r>
          </w:p>
        </w:tc>
        <w:tc>
          <w:tcPr>
            <w:tcW w:w="900" w:type="dxa"/>
            <w:vAlign w:val="bottom"/>
          </w:tcPr>
          <w:p>
            <w:pPr>
              <w:jc w:val="right"/>
              <w:ind w:right="162"/>
              <w:spacing w:after="0" w:line="125" w:lineRule="exact"/>
              <w:rPr>
                <w:sz w:val="20"/>
                <w:szCs w:val="20"/>
                <w:color w:val="auto"/>
              </w:rPr>
            </w:pPr>
            <w:r>
              <w:rPr>
                <w:rFonts w:ascii="Arial" w:cs="Arial" w:eastAsia="Arial" w:hAnsi="Arial"/>
                <w:sz w:val="12"/>
                <w:szCs w:val="12"/>
                <w:color w:val="auto"/>
              </w:rPr>
              <w:t>Observable</w:t>
            </w:r>
          </w:p>
        </w:tc>
        <w:tc>
          <w:tcPr>
            <w:tcW w:w="860" w:type="dxa"/>
            <w:vAlign w:val="bottom"/>
          </w:tcPr>
          <w:p>
            <w:pPr>
              <w:jc w:val="right"/>
              <w:spacing w:after="0" w:line="125" w:lineRule="exact"/>
              <w:rPr>
                <w:sz w:val="20"/>
                <w:szCs w:val="20"/>
                <w:color w:val="auto"/>
              </w:rPr>
            </w:pPr>
            <w:r>
              <w:rPr>
                <w:rFonts w:ascii="Arial" w:cs="Arial" w:eastAsia="Arial" w:hAnsi="Arial"/>
                <w:sz w:val="12"/>
                <w:szCs w:val="12"/>
                <w:color w:val="auto"/>
              </w:rPr>
              <w:t>Unobservable</w:t>
            </w:r>
          </w:p>
        </w:tc>
      </w:tr>
      <w:tr>
        <w:trPr>
          <w:trHeight w:val="125"/>
        </w:trPr>
        <w:tc>
          <w:tcPr>
            <w:tcW w:w="1120" w:type="dxa"/>
            <w:vAlign w:val="bottom"/>
          </w:tcPr>
          <w:p>
            <w:pPr>
              <w:spacing w:after="0"/>
              <w:rPr>
                <w:sz w:val="10"/>
                <w:szCs w:val="10"/>
                <w:color w:val="auto"/>
              </w:rPr>
            </w:pPr>
          </w:p>
        </w:tc>
        <w:tc>
          <w:tcPr>
            <w:tcW w:w="920" w:type="dxa"/>
            <w:vAlign w:val="bottom"/>
          </w:tcPr>
          <w:p>
            <w:pPr>
              <w:jc w:val="right"/>
              <w:ind w:right="102"/>
              <w:spacing w:after="0" w:line="125" w:lineRule="exact"/>
              <w:rPr>
                <w:sz w:val="20"/>
                <w:szCs w:val="20"/>
                <w:color w:val="auto"/>
              </w:rPr>
            </w:pPr>
            <w:r>
              <w:rPr>
                <w:rFonts w:ascii="Arial" w:cs="Arial" w:eastAsia="Arial" w:hAnsi="Arial"/>
                <w:sz w:val="12"/>
                <w:szCs w:val="12"/>
                <w:color w:val="auto"/>
              </w:rPr>
              <w:t>Assets</w:t>
            </w:r>
          </w:p>
        </w:tc>
        <w:tc>
          <w:tcPr>
            <w:tcW w:w="900" w:type="dxa"/>
            <w:vAlign w:val="bottom"/>
          </w:tcPr>
          <w:p>
            <w:pPr>
              <w:jc w:val="right"/>
              <w:ind w:right="162"/>
              <w:spacing w:after="0" w:line="125" w:lineRule="exact"/>
              <w:rPr>
                <w:sz w:val="20"/>
                <w:szCs w:val="20"/>
                <w:color w:val="auto"/>
              </w:rPr>
            </w:pPr>
            <w:r>
              <w:rPr>
                <w:rFonts w:ascii="Arial" w:cs="Arial" w:eastAsia="Arial" w:hAnsi="Arial"/>
                <w:sz w:val="12"/>
                <w:szCs w:val="12"/>
                <w:color w:val="auto"/>
              </w:rPr>
              <w:t>Inputs</w:t>
            </w:r>
          </w:p>
        </w:tc>
        <w:tc>
          <w:tcPr>
            <w:tcW w:w="860" w:type="dxa"/>
            <w:vAlign w:val="bottom"/>
          </w:tcPr>
          <w:p>
            <w:pPr>
              <w:jc w:val="right"/>
              <w:spacing w:after="0" w:line="125" w:lineRule="exact"/>
              <w:rPr>
                <w:sz w:val="20"/>
                <w:szCs w:val="20"/>
                <w:color w:val="auto"/>
              </w:rPr>
            </w:pPr>
            <w:r>
              <w:rPr>
                <w:rFonts w:ascii="Arial" w:cs="Arial" w:eastAsia="Arial" w:hAnsi="Arial"/>
                <w:sz w:val="12"/>
                <w:szCs w:val="12"/>
                <w:color w:val="auto"/>
              </w:rPr>
              <w:t>Inputs</w:t>
            </w:r>
          </w:p>
        </w:tc>
      </w:tr>
      <w:tr>
        <w:trPr>
          <w:trHeight w:val="148"/>
        </w:trPr>
        <w:tc>
          <w:tcPr>
            <w:tcW w:w="1120" w:type="dxa"/>
            <w:vAlign w:val="bottom"/>
          </w:tcPr>
          <w:p>
            <w:pPr>
              <w:spacing w:after="0"/>
              <w:rPr>
                <w:sz w:val="20"/>
                <w:szCs w:val="20"/>
                <w:color w:val="auto"/>
              </w:rPr>
            </w:pPr>
            <w:r>
              <w:rPr>
                <w:rFonts w:ascii="Arial" w:cs="Arial" w:eastAsia="Arial" w:hAnsi="Arial"/>
                <w:sz w:val="12"/>
                <w:szCs w:val="12"/>
                <w:color w:val="auto"/>
              </w:rPr>
              <w:t>December 31, 2018</w:t>
            </w:r>
          </w:p>
        </w:tc>
        <w:tc>
          <w:tcPr>
            <w:tcW w:w="920" w:type="dxa"/>
            <w:vAlign w:val="bottom"/>
          </w:tcPr>
          <w:p>
            <w:pPr>
              <w:jc w:val="right"/>
              <w:ind w:right="102"/>
              <w:spacing w:after="0"/>
              <w:rPr>
                <w:sz w:val="20"/>
                <w:szCs w:val="20"/>
                <w:color w:val="auto"/>
              </w:rPr>
            </w:pPr>
            <w:r>
              <w:rPr>
                <w:rFonts w:ascii="Arial" w:cs="Arial" w:eastAsia="Arial" w:hAnsi="Arial"/>
                <w:sz w:val="12"/>
                <w:szCs w:val="12"/>
                <w:color w:val="auto"/>
              </w:rPr>
              <w:t>(Level 1)</w:t>
            </w:r>
          </w:p>
        </w:tc>
        <w:tc>
          <w:tcPr>
            <w:tcW w:w="900" w:type="dxa"/>
            <w:vAlign w:val="bottom"/>
          </w:tcPr>
          <w:p>
            <w:pPr>
              <w:jc w:val="right"/>
              <w:ind w:right="162"/>
              <w:spacing w:after="0"/>
              <w:rPr>
                <w:sz w:val="20"/>
                <w:szCs w:val="20"/>
                <w:color w:val="auto"/>
              </w:rPr>
            </w:pPr>
            <w:r>
              <w:rPr>
                <w:rFonts w:ascii="Arial" w:cs="Arial" w:eastAsia="Arial" w:hAnsi="Arial"/>
                <w:sz w:val="12"/>
                <w:szCs w:val="12"/>
                <w:color w:val="auto"/>
              </w:rPr>
              <w:t>(Level 2)</w:t>
            </w:r>
          </w:p>
        </w:tc>
        <w:tc>
          <w:tcPr>
            <w:tcW w:w="860" w:type="dxa"/>
            <w:vAlign w:val="bottom"/>
          </w:tcPr>
          <w:p>
            <w:pPr>
              <w:jc w:val="right"/>
              <w:spacing w:after="0"/>
              <w:rPr>
                <w:sz w:val="20"/>
                <w:szCs w:val="20"/>
                <w:color w:val="auto"/>
              </w:rPr>
            </w:pPr>
            <w:r>
              <w:rPr>
                <w:rFonts w:ascii="Arial" w:cs="Arial" w:eastAsia="Arial" w:hAnsi="Arial"/>
                <w:sz w:val="12"/>
                <w:szCs w:val="12"/>
                <w:color w:val="auto"/>
              </w:rPr>
              <w:t>(Level 3)</w:t>
            </w:r>
          </w:p>
        </w:tc>
      </w:tr>
    </w:tbl>
    <w:p>
      <w:pPr>
        <w:spacing w:after="0" w:line="103" w:lineRule="exact"/>
        <w:rPr>
          <w:sz w:val="20"/>
          <w:szCs w:val="20"/>
          <w:color w:val="auto"/>
        </w:rPr>
      </w:pPr>
    </w:p>
    <w:p>
      <w:pPr>
        <w:sectPr>
          <w:pgSz w:w="11900" w:h="16838" w:orient="portrait"/>
          <w:cols w:equalWidth="0" w:num="2">
            <w:col w:w="6740" w:space="300"/>
            <w:col w:w="3880"/>
          </w:cols>
          <w:pgMar w:left="240" w:top="351" w:right="739" w:bottom="1440" w:gutter="0" w:footer="0" w:header="0"/>
          <w:type w:val="continuous"/>
        </w:sectPr>
      </w:pPr>
    </w:p>
    <w:p>
      <w:pPr>
        <w:ind w:left="20"/>
        <w:spacing w:after="0"/>
        <w:rPr>
          <w:sz w:val="20"/>
          <w:szCs w:val="20"/>
          <w:color w:val="auto"/>
        </w:rPr>
      </w:pPr>
      <w:r>
        <w:rPr>
          <w:rFonts w:ascii="Arial" w:cs="Arial" w:eastAsia="Arial" w:hAnsi="Arial"/>
          <w:sz w:val="15"/>
          <w:szCs w:val="15"/>
          <w:b w:val="1"/>
          <w:bCs w:val="1"/>
          <w:color w:val="auto"/>
        </w:rPr>
        <w:t>Asset Category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20" w:type="dxa"/>
            <w:vAlign w:val="bottom"/>
          </w:tcPr>
          <w:p>
            <w:pPr>
              <w:ind w:left="2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19"/>
                <w:szCs w:val="19"/>
                <w:color w:val="auto"/>
                <w:vertAlign w:val="superscript"/>
              </w:rPr>
              <w:t>(1)</w:t>
            </w:r>
          </w:p>
        </w:tc>
        <w:tc>
          <w:tcPr>
            <w:tcW w:w="1380" w:type="dxa"/>
            <w:vAlign w:val="bottom"/>
          </w:tcPr>
          <w:p>
            <w:pPr>
              <w:jc w:val="right"/>
              <w:ind w:right="285"/>
              <w:spacing w:after="0"/>
              <w:rPr>
                <w:sz w:val="20"/>
                <w:szCs w:val="20"/>
                <w:color w:val="auto"/>
              </w:rPr>
            </w:pPr>
            <w:r>
              <w:rPr>
                <w:rFonts w:ascii="Arial" w:cs="Arial" w:eastAsia="Arial" w:hAnsi="Arial"/>
                <w:sz w:val="15"/>
                <w:szCs w:val="15"/>
                <w:color w:val="auto"/>
              </w:rPr>
              <w:t>$5.1</w:t>
            </w:r>
          </w:p>
        </w:tc>
        <w:tc>
          <w:tcPr>
            <w:tcW w:w="9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65"/>
              <w:spacing w:after="0"/>
              <w:rPr>
                <w:sz w:val="20"/>
                <w:szCs w:val="20"/>
                <w:color w:val="auto"/>
              </w:rPr>
            </w:pPr>
            <w:r>
              <w:rPr>
                <w:rFonts w:ascii="Arial" w:cs="Arial" w:eastAsia="Arial" w:hAnsi="Arial"/>
                <w:sz w:val="15"/>
                <w:szCs w:val="15"/>
                <w:color w:val="auto"/>
              </w:rPr>
              <w:t>$5.1</w:t>
            </w:r>
          </w:p>
        </w:tc>
        <w:tc>
          <w:tcPr>
            <w:tcW w:w="108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25"/>
              <w:spacing w:after="0"/>
              <w:rPr>
                <w:sz w:val="20"/>
                <w:szCs w:val="20"/>
                <w:color w:val="auto"/>
              </w:rPr>
            </w:pPr>
            <w:r>
              <w:rPr>
                <w:rFonts w:ascii="Arial" w:cs="Arial" w:eastAsia="Arial" w:hAnsi="Arial"/>
                <w:sz w:val="15"/>
                <w:szCs w:val="15"/>
                <w:color w:val="auto"/>
              </w:rPr>
              <w:t>$35.5</w:t>
            </w:r>
          </w:p>
        </w:tc>
        <w:tc>
          <w:tcPr>
            <w:tcW w:w="860" w:type="dxa"/>
            <w:vAlign w:val="bottom"/>
          </w:tcPr>
          <w:p>
            <w:pPr>
              <w:jc w:val="right"/>
              <w:ind w:right="125"/>
              <w:spacing w:after="0"/>
              <w:rPr>
                <w:sz w:val="20"/>
                <w:szCs w:val="20"/>
                <w:color w:val="auto"/>
              </w:rPr>
            </w:pPr>
            <w:r>
              <w:rPr>
                <w:rFonts w:ascii="Arial" w:cs="Arial" w:eastAsia="Arial" w:hAnsi="Arial"/>
                <w:sz w:val="15"/>
                <w:szCs w:val="15"/>
                <w:color w:val="auto"/>
              </w:rPr>
              <w:t>$35.5</w:t>
            </w:r>
          </w:p>
        </w:tc>
        <w:tc>
          <w:tcPr>
            <w:tcW w:w="96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22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Equity securities:</w:t>
            </w:r>
          </w:p>
        </w:tc>
        <w:tc>
          <w:tcPr>
            <w:tcW w:w="13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8"/>
        </w:trPr>
        <w:tc>
          <w:tcPr>
            <w:tcW w:w="2720" w:type="dxa"/>
            <w:vAlign w:val="bottom"/>
          </w:tcPr>
          <w:p>
            <w:pPr>
              <w:ind w:left="140"/>
              <w:spacing w:after="0"/>
              <w:rPr>
                <w:sz w:val="20"/>
                <w:szCs w:val="20"/>
                <w:color w:val="auto"/>
              </w:rPr>
            </w:pPr>
            <w:r>
              <w:rPr>
                <w:rFonts w:ascii="Arial" w:cs="Arial" w:eastAsia="Arial" w:hAnsi="Arial"/>
                <w:sz w:val="15"/>
                <w:szCs w:val="15"/>
                <w:color w:val="auto"/>
              </w:rPr>
              <w:t>United States companies</w:t>
            </w:r>
          </w:p>
        </w:tc>
        <w:tc>
          <w:tcPr>
            <w:tcW w:w="1380" w:type="dxa"/>
            <w:vAlign w:val="bottom"/>
          </w:tcPr>
          <w:p>
            <w:pPr>
              <w:jc w:val="right"/>
              <w:ind w:right="285"/>
              <w:spacing w:after="0"/>
              <w:rPr>
                <w:sz w:val="20"/>
                <w:szCs w:val="20"/>
                <w:color w:val="auto"/>
              </w:rPr>
            </w:pPr>
            <w:r>
              <w:rPr>
                <w:rFonts w:ascii="Arial" w:cs="Arial" w:eastAsia="Arial" w:hAnsi="Arial"/>
                <w:sz w:val="15"/>
                <w:szCs w:val="15"/>
                <w:color w:val="auto"/>
              </w:rPr>
              <w:t>6.3</w:t>
            </w:r>
          </w:p>
        </w:tc>
        <w:tc>
          <w:tcPr>
            <w:tcW w:w="900" w:type="dxa"/>
            <w:vAlign w:val="bottom"/>
          </w:tcPr>
          <w:p>
            <w:pPr>
              <w:jc w:val="right"/>
              <w:ind w:right="185"/>
              <w:spacing w:after="0"/>
              <w:rPr>
                <w:sz w:val="20"/>
                <w:szCs w:val="20"/>
                <w:color w:val="auto"/>
              </w:rPr>
            </w:pPr>
            <w:r>
              <w:rPr>
                <w:rFonts w:ascii="Arial" w:cs="Arial" w:eastAsia="Arial" w:hAnsi="Arial"/>
                <w:sz w:val="15"/>
                <w:szCs w:val="15"/>
                <w:color w:val="auto"/>
              </w:rPr>
              <w:t>6.3</w:t>
            </w:r>
          </w:p>
        </w:tc>
        <w:tc>
          <w:tcPr>
            <w:tcW w:w="1060" w:type="dxa"/>
            <w:vAlign w:val="bottom"/>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25"/>
              <w:spacing w:after="0"/>
              <w:rPr>
                <w:sz w:val="20"/>
                <w:szCs w:val="20"/>
                <w:color w:val="auto"/>
              </w:rPr>
            </w:pPr>
            <w:r>
              <w:rPr>
                <w:rFonts w:ascii="Arial" w:cs="Arial" w:eastAsia="Arial" w:hAnsi="Arial"/>
                <w:sz w:val="15"/>
                <w:szCs w:val="15"/>
                <w:color w:val="auto"/>
              </w:rPr>
              <w:t>16.6</w:t>
            </w:r>
          </w:p>
        </w:tc>
        <w:tc>
          <w:tcPr>
            <w:tcW w:w="860" w:type="dxa"/>
            <w:vAlign w:val="bottom"/>
          </w:tcPr>
          <w:p>
            <w:pPr>
              <w:jc w:val="right"/>
              <w:ind w:right="125"/>
              <w:spacing w:after="0"/>
              <w:rPr>
                <w:sz w:val="20"/>
                <w:szCs w:val="20"/>
                <w:color w:val="auto"/>
              </w:rPr>
            </w:pPr>
            <w:r>
              <w:rPr>
                <w:rFonts w:ascii="Arial" w:cs="Arial" w:eastAsia="Arial" w:hAnsi="Arial"/>
                <w:sz w:val="15"/>
                <w:szCs w:val="15"/>
                <w:color w:val="auto"/>
              </w:rPr>
              <w:t>16.6</w:t>
            </w:r>
          </w:p>
        </w:tc>
        <w:tc>
          <w:tcPr>
            <w:tcW w:w="96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31"/>
        </w:trPr>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International companies</w:t>
            </w:r>
          </w:p>
        </w:tc>
        <w:tc>
          <w:tcPr>
            <w:tcW w:w="1380" w:type="dxa"/>
            <w:vAlign w:val="bottom"/>
            <w:tcBorders>
              <w:bottom w:val="single" w:sz="8" w:color="CCEEFF"/>
            </w:tcBorders>
            <w:shd w:val="clear" w:color="auto" w:fill="CCEEFF"/>
          </w:tcPr>
          <w:p>
            <w:pPr>
              <w:jc w:val="right"/>
              <w:ind w:right="285"/>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rPr>
              <w:t>13.9</w:t>
            </w:r>
          </w:p>
        </w:tc>
        <w:tc>
          <w:tcPr>
            <w:tcW w:w="8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13.9</w:t>
            </w:r>
          </w:p>
        </w:tc>
        <w:tc>
          <w:tcPr>
            <w:tcW w:w="96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218"/>
        </w:trPr>
        <w:tc>
          <w:tcPr>
            <w:tcW w:w="2720" w:type="dxa"/>
            <w:vAlign w:val="bottom"/>
          </w:tcPr>
          <w:p>
            <w:pPr>
              <w:ind w:left="20"/>
              <w:spacing w:after="0"/>
              <w:rPr>
                <w:sz w:val="20"/>
                <w:szCs w:val="20"/>
                <w:color w:val="auto"/>
              </w:rPr>
            </w:pPr>
            <w:r>
              <w:rPr>
                <w:rFonts w:ascii="Arial" w:cs="Arial" w:eastAsia="Arial" w:hAnsi="Arial"/>
                <w:sz w:val="15"/>
                <w:szCs w:val="15"/>
                <w:color w:val="auto"/>
              </w:rPr>
              <w:t>Fixed income securities:</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1"/>
        </w:trPr>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9"/>
        </w:trPr>
        <w:tc>
          <w:tcPr>
            <w:tcW w:w="2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Government bonds</w:t>
            </w:r>
            <w:r>
              <w:rPr>
                <w:rFonts w:ascii="Arial" w:cs="Arial" w:eastAsia="Arial" w:hAnsi="Arial"/>
                <w:sz w:val="19"/>
                <w:szCs w:val="19"/>
                <w:color w:val="auto"/>
                <w:vertAlign w:val="superscript"/>
              </w:rPr>
              <w:t>(2)</w:t>
            </w:r>
          </w:p>
        </w:tc>
        <w:tc>
          <w:tcPr>
            <w:tcW w:w="138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rPr>
              <w:t>18.4</w:t>
            </w:r>
          </w:p>
        </w:tc>
        <w:tc>
          <w:tcPr>
            <w:tcW w:w="90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rPr>
              <w:t>18.4</w:t>
            </w:r>
          </w:p>
        </w:tc>
        <w:tc>
          <w:tcPr>
            <w:tcW w:w="108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rPr>
              <w:t>55.5</w:t>
            </w:r>
          </w:p>
        </w:tc>
        <w:tc>
          <w:tcPr>
            <w:tcW w:w="86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rPr>
              <w:t>55.5</w:t>
            </w: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218"/>
        </w:trPr>
        <w:tc>
          <w:tcPr>
            <w:tcW w:w="2720" w:type="dxa"/>
            <w:vAlign w:val="bottom"/>
          </w:tcPr>
          <w:p>
            <w:pPr>
              <w:ind w:left="140"/>
              <w:spacing w:after="0"/>
              <w:rPr>
                <w:sz w:val="20"/>
                <w:szCs w:val="20"/>
                <w:color w:val="auto"/>
              </w:rPr>
            </w:pPr>
            <w:r>
              <w:rPr>
                <w:rFonts w:ascii="Arial" w:cs="Arial" w:eastAsia="Arial" w:hAnsi="Arial"/>
                <w:sz w:val="15"/>
                <w:szCs w:val="15"/>
                <w:color w:val="auto"/>
              </w:rPr>
              <w:t>Corporate bonds</w:t>
            </w:r>
          </w:p>
        </w:tc>
        <w:tc>
          <w:tcPr>
            <w:tcW w:w="1380" w:type="dxa"/>
            <w:vAlign w:val="bottom"/>
          </w:tcPr>
          <w:p>
            <w:pPr>
              <w:jc w:val="right"/>
              <w:ind w:right="285"/>
              <w:spacing w:after="0"/>
              <w:rPr>
                <w:sz w:val="20"/>
                <w:szCs w:val="20"/>
                <w:color w:val="auto"/>
              </w:rPr>
            </w:pPr>
            <w:r>
              <w:rPr>
                <w:rFonts w:ascii="Arial" w:cs="Arial" w:eastAsia="Arial" w:hAnsi="Arial"/>
                <w:sz w:val="15"/>
                <w:szCs w:val="15"/>
                <w:color w:val="auto"/>
              </w:rPr>
              <w:t>6.3</w:t>
            </w:r>
          </w:p>
        </w:tc>
        <w:tc>
          <w:tcPr>
            <w:tcW w:w="9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65"/>
              <w:spacing w:after="0"/>
              <w:rPr>
                <w:sz w:val="20"/>
                <w:szCs w:val="20"/>
                <w:color w:val="auto"/>
              </w:rPr>
            </w:pPr>
            <w:r>
              <w:rPr>
                <w:rFonts w:ascii="Arial" w:cs="Arial" w:eastAsia="Arial" w:hAnsi="Arial"/>
                <w:sz w:val="15"/>
                <w:szCs w:val="15"/>
                <w:color w:val="auto"/>
              </w:rPr>
              <w:t>6.3</w:t>
            </w:r>
          </w:p>
        </w:tc>
        <w:tc>
          <w:tcPr>
            <w:tcW w:w="108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25"/>
              <w:spacing w:after="0"/>
              <w:rPr>
                <w:sz w:val="20"/>
                <w:szCs w:val="20"/>
                <w:color w:val="auto"/>
              </w:rPr>
            </w:pPr>
            <w:r>
              <w:rPr>
                <w:rFonts w:ascii="Arial" w:cs="Arial" w:eastAsia="Arial" w:hAnsi="Arial"/>
                <w:sz w:val="15"/>
                <w:szCs w:val="15"/>
                <w:color w:val="auto"/>
              </w:rPr>
              <w:t>43.9</w:t>
            </w:r>
          </w:p>
        </w:tc>
        <w:tc>
          <w:tcPr>
            <w:tcW w:w="86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5"/>
              <w:spacing w:after="0"/>
              <w:rPr>
                <w:sz w:val="20"/>
                <w:szCs w:val="20"/>
                <w:color w:val="auto"/>
              </w:rPr>
            </w:pPr>
            <w:r>
              <w:rPr>
                <w:rFonts w:ascii="Arial" w:cs="Arial" w:eastAsia="Arial" w:hAnsi="Arial"/>
                <w:sz w:val="15"/>
                <w:szCs w:val="15"/>
                <w:color w:val="auto"/>
              </w:rPr>
              <w:t>43.9</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31"/>
        </w:trPr>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Annuity contract</w:t>
            </w:r>
          </w:p>
        </w:tc>
        <w:tc>
          <w:tcPr>
            <w:tcW w:w="1380" w:type="dxa"/>
            <w:vAlign w:val="bottom"/>
            <w:tcBorders>
              <w:bottom w:val="single" w:sz="8" w:color="CCEEFF"/>
            </w:tcBorders>
            <w:shd w:val="clear" w:color="auto" w:fill="CCEEFF"/>
          </w:tcPr>
          <w:p>
            <w:pPr>
              <w:jc w:val="right"/>
              <w:ind w:right="285"/>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rPr>
              <w:t>46.2</w:t>
            </w:r>
          </w:p>
        </w:tc>
        <w:tc>
          <w:tcPr>
            <w:tcW w:w="8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46.2</w:t>
            </w:r>
          </w:p>
        </w:tc>
      </w:tr>
      <w:tr>
        <w:trPr>
          <w:trHeight w:val="218"/>
        </w:trPr>
        <w:tc>
          <w:tcPr>
            <w:tcW w:w="2720" w:type="dxa"/>
            <w:vAlign w:val="bottom"/>
          </w:tcPr>
          <w:p>
            <w:pPr>
              <w:ind w:left="140"/>
              <w:spacing w:after="0"/>
              <w:rPr>
                <w:sz w:val="20"/>
                <w:szCs w:val="20"/>
                <w:color w:val="auto"/>
              </w:rPr>
            </w:pPr>
            <w:r>
              <w:rPr>
                <w:rFonts w:ascii="Arial" w:cs="Arial" w:eastAsia="Arial" w:hAnsi="Arial"/>
                <w:sz w:val="15"/>
                <w:szCs w:val="15"/>
                <w:color w:val="auto"/>
              </w:rPr>
              <w:t>Guaranteed insurance contracts</w:t>
            </w:r>
          </w:p>
        </w:tc>
        <w:tc>
          <w:tcPr>
            <w:tcW w:w="1380" w:type="dxa"/>
            <w:vAlign w:val="bottom"/>
          </w:tcPr>
          <w:p>
            <w:pPr>
              <w:jc w:val="right"/>
              <w:ind w:right="28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25"/>
              <w:spacing w:after="0"/>
              <w:rPr>
                <w:sz w:val="20"/>
                <w:szCs w:val="20"/>
                <w:color w:val="auto"/>
              </w:rPr>
            </w:pPr>
            <w:r>
              <w:rPr>
                <w:rFonts w:ascii="Arial" w:cs="Arial" w:eastAsia="Arial" w:hAnsi="Arial"/>
                <w:sz w:val="15"/>
                <w:szCs w:val="15"/>
                <w:color w:val="auto"/>
              </w:rPr>
              <w:t>17.7</w:t>
            </w:r>
          </w:p>
        </w:tc>
        <w:tc>
          <w:tcPr>
            <w:tcW w:w="86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5"/>
              <w:spacing w:after="0"/>
              <w:rPr>
                <w:sz w:val="20"/>
                <w:szCs w:val="20"/>
                <w:color w:val="auto"/>
              </w:rPr>
            </w:pPr>
            <w:r>
              <w:rPr>
                <w:rFonts w:ascii="Arial" w:cs="Arial" w:eastAsia="Arial" w:hAnsi="Arial"/>
                <w:sz w:val="15"/>
                <w:szCs w:val="15"/>
                <w:color w:val="auto"/>
              </w:rPr>
              <w:t>17.7</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31"/>
        </w:trPr>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Bank loans</w:t>
            </w:r>
          </w:p>
        </w:tc>
        <w:tc>
          <w:tcPr>
            <w:tcW w:w="1380" w:type="dxa"/>
            <w:vAlign w:val="bottom"/>
            <w:tcBorders>
              <w:bottom w:val="single" w:sz="8" w:color="CCEEFF"/>
            </w:tcBorders>
            <w:shd w:val="clear" w:color="auto" w:fill="CCEEFF"/>
          </w:tcPr>
          <w:p>
            <w:pPr>
              <w:jc w:val="right"/>
              <w:ind w:right="285"/>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rPr>
              <w:t>8.9</w:t>
            </w:r>
          </w:p>
        </w:tc>
        <w:tc>
          <w:tcPr>
            <w:tcW w:w="8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rPr>
              <w:t>8.9</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218"/>
        </w:trPr>
        <w:tc>
          <w:tcPr>
            <w:tcW w:w="2720" w:type="dxa"/>
            <w:vAlign w:val="bottom"/>
          </w:tcPr>
          <w:p>
            <w:pPr>
              <w:ind w:left="20"/>
              <w:spacing w:after="0"/>
              <w:rPr>
                <w:sz w:val="20"/>
                <w:szCs w:val="20"/>
                <w:color w:val="auto"/>
              </w:rPr>
            </w:pPr>
            <w:r>
              <w:rPr>
                <w:rFonts w:ascii="Arial" w:cs="Arial" w:eastAsia="Arial" w:hAnsi="Arial"/>
                <w:sz w:val="15"/>
                <w:szCs w:val="15"/>
                <w:color w:val="auto"/>
              </w:rPr>
              <w:t>Other types of investments:</w:t>
            </w:r>
          </w:p>
        </w:tc>
        <w:tc>
          <w:tcPr>
            <w:tcW w:w="1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1"/>
        </w:trPr>
        <w:tc>
          <w:tcPr>
            <w:tcW w:w="27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Real estate funds</w:t>
            </w:r>
          </w:p>
        </w:tc>
        <w:tc>
          <w:tcPr>
            <w:tcW w:w="1380" w:type="dxa"/>
            <w:vAlign w:val="bottom"/>
            <w:tcBorders>
              <w:bottom w:val="single" w:sz="8" w:color="CCEEFF"/>
            </w:tcBorders>
            <w:shd w:val="clear" w:color="auto" w:fill="CCEEFF"/>
          </w:tcPr>
          <w:p>
            <w:pPr>
              <w:jc w:val="right"/>
              <w:ind w:right="285"/>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rPr>
              <w:t>8.2</w:t>
            </w:r>
          </w:p>
        </w:tc>
        <w:tc>
          <w:tcPr>
            <w:tcW w:w="8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rPr>
              <w:t>8.2</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218"/>
        </w:trPr>
        <w:tc>
          <w:tcPr>
            <w:tcW w:w="2720" w:type="dxa"/>
            <w:vAlign w:val="bottom"/>
          </w:tcPr>
          <w:p>
            <w:pPr>
              <w:ind w:left="140"/>
              <w:spacing w:after="0"/>
              <w:rPr>
                <w:sz w:val="20"/>
                <w:szCs w:val="20"/>
                <w:color w:val="auto"/>
              </w:rPr>
            </w:pPr>
            <w:r>
              <w:rPr>
                <w:rFonts w:ascii="Arial" w:cs="Arial" w:eastAsia="Arial" w:hAnsi="Arial"/>
                <w:sz w:val="15"/>
                <w:szCs w:val="15"/>
                <w:color w:val="auto"/>
              </w:rPr>
              <w:t>Insurance contracts</w:t>
            </w:r>
          </w:p>
        </w:tc>
        <w:tc>
          <w:tcPr>
            <w:tcW w:w="1380" w:type="dxa"/>
            <w:vAlign w:val="bottom"/>
          </w:tcPr>
          <w:p>
            <w:pPr>
              <w:jc w:val="right"/>
              <w:ind w:right="285"/>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25"/>
              <w:spacing w:after="0"/>
              <w:rPr>
                <w:sz w:val="20"/>
                <w:szCs w:val="20"/>
                <w:color w:val="auto"/>
              </w:rPr>
            </w:pPr>
            <w:r>
              <w:rPr>
                <w:rFonts w:ascii="Arial" w:cs="Arial" w:eastAsia="Arial" w:hAnsi="Arial"/>
                <w:sz w:val="15"/>
                <w:szCs w:val="15"/>
                <w:color w:val="auto"/>
              </w:rPr>
              <w:t>107.7</w:t>
            </w:r>
          </w:p>
        </w:tc>
        <w:tc>
          <w:tcPr>
            <w:tcW w:w="86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107.7</w:t>
            </w:r>
          </w:p>
        </w:tc>
      </w:tr>
      <w:tr>
        <w:trPr>
          <w:trHeight w:val="31"/>
        </w:trPr>
        <w:tc>
          <w:tcPr>
            <w:tcW w:w="2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2"/>
        </w:trPr>
        <w:tc>
          <w:tcPr>
            <w:tcW w:w="27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285"/>
              <w:spacing w:after="0"/>
              <w:rPr>
                <w:sz w:val="20"/>
                <w:szCs w:val="20"/>
                <w:color w:val="auto"/>
              </w:rPr>
            </w:pPr>
            <w:r>
              <w:rPr>
                <w:rFonts w:ascii="Arial" w:cs="Arial" w:eastAsia="Arial" w:hAnsi="Arial"/>
                <w:sz w:val="15"/>
                <w:szCs w:val="15"/>
                <w:color w:val="auto"/>
              </w:rPr>
              <w:t>$36.1</w:t>
            </w:r>
          </w:p>
        </w:tc>
        <w:tc>
          <w:tcPr>
            <w:tcW w:w="90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rPr>
              <w:t>$6.3</w:t>
            </w:r>
          </w:p>
        </w:tc>
        <w:tc>
          <w:tcPr>
            <w:tcW w:w="106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rPr>
              <w:t>$29.8</w:t>
            </w:r>
          </w:p>
        </w:tc>
        <w:tc>
          <w:tcPr>
            <w:tcW w:w="108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rPr>
              <w:t>$354.1</w:t>
            </w:r>
          </w:p>
        </w:tc>
        <w:tc>
          <w:tcPr>
            <w:tcW w:w="8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$66.0</w:t>
            </w:r>
          </w:p>
        </w:tc>
        <w:tc>
          <w:tcPr>
            <w:tcW w:w="96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rPr>
              <w:t>$134.2</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$153.9</w:t>
            </w:r>
          </w:p>
        </w:tc>
      </w:tr>
      <w:tr>
        <w:trPr>
          <w:trHeight w:val="20"/>
        </w:trPr>
        <w:tc>
          <w:tcPr>
            <w:tcW w:w="27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42" w:lineRule="exact"/>
        <w:rPr>
          <w:sz w:val="20"/>
          <w:szCs w:val="20"/>
          <w:color w:val="auto"/>
        </w:rPr>
      </w:pPr>
    </w:p>
    <w:p>
      <w:pPr>
        <w:ind w:left="220" w:hanging="220"/>
        <w:spacing w:after="0"/>
        <w:tabs>
          <w:tab w:leader="none" w:pos="220" w:val="left"/>
        </w:tabs>
        <w:numPr>
          <w:ilvl w:val="0"/>
          <w:numId w:val="43"/>
        </w:numPr>
        <w:rPr>
          <w:rFonts w:ascii="Arial" w:cs="Arial" w:eastAsia="Arial" w:hAnsi="Arial"/>
          <w:sz w:val="15"/>
          <w:szCs w:val="15"/>
          <w:color w:val="282A32"/>
        </w:rPr>
      </w:pPr>
      <w:r>
        <w:rPr>
          <w:rFonts w:ascii="Arial" w:cs="Arial" w:eastAsia="Arial" w:hAnsi="Arial"/>
          <w:sz w:val="15"/>
          <w:szCs w:val="15"/>
          <w:color w:val="282A32"/>
        </w:rPr>
        <w:t>This category includes a prime obligations money market portfolio.</w:t>
      </w:r>
    </w:p>
    <w:p>
      <w:pPr>
        <w:spacing w:after="0" w:line="51" w:lineRule="exact"/>
        <w:rPr>
          <w:rFonts w:ascii="Arial" w:cs="Arial" w:eastAsia="Arial" w:hAnsi="Arial"/>
          <w:sz w:val="15"/>
          <w:szCs w:val="15"/>
          <w:color w:val="282A32"/>
        </w:rPr>
      </w:pPr>
    </w:p>
    <w:p>
      <w:pPr>
        <w:ind w:left="220" w:hanging="220"/>
        <w:spacing w:after="0"/>
        <w:tabs>
          <w:tab w:leader="none" w:pos="220" w:val="left"/>
        </w:tabs>
        <w:numPr>
          <w:ilvl w:val="0"/>
          <w:numId w:val="43"/>
        </w:numPr>
        <w:rPr>
          <w:rFonts w:ascii="Arial" w:cs="Arial" w:eastAsia="Arial" w:hAnsi="Arial"/>
          <w:sz w:val="15"/>
          <w:szCs w:val="15"/>
          <w:color w:val="282A32"/>
        </w:rPr>
      </w:pPr>
      <w:r>
        <w:rPr>
          <w:rFonts w:ascii="Arial" w:cs="Arial" w:eastAsia="Arial" w:hAnsi="Arial"/>
          <w:sz w:val="15"/>
          <w:szCs w:val="15"/>
          <w:color w:val="282A32"/>
        </w:rPr>
        <w:t>This category includes United States Treasury/Federal agency securities and foreign government securities.</w:t>
      </w:r>
    </w:p>
    <w:p>
      <w:pPr>
        <w:spacing w:after="0" w:line="200" w:lineRule="exact"/>
        <w:rPr>
          <w:sz w:val="20"/>
          <w:szCs w:val="20"/>
          <w:color w:val="auto"/>
        </w:rPr>
      </w:pPr>
    </w:p>
    <w:p>
      <w:pPr>
        <w:spacing w:after="0" w:line="271"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920"/>
          </w:cols>
          <w:pgMar w:left="240" w:top="351" w:right="739" w:bottom="1440" w:gutter="0" w:footer="0" w:header="0"/>
          <w:type w:val="continuous"/>
        </w:sectPr>
      </w:pPr>
    </w:p>
    <w:bookmarkStart w:id="82" w:name="page83"/>
    <w:bookmarkEnd w:id="82"/>
    <w:p>
      <w:pPr>
        <w:jc w:val="right"/>
        <w:ind w:right="20"/>
        <w:spacing w:after="0"/>
        <w:rPr>
          <w:sz w:val="20"/>
          <w:szCs w:val="20"/>
          <w:color w:val="auto"/>
        </w:rPr>
      </w:pPr>
      <w:r>
        <w:rPr>
          <w:rFonts w:ascii="Arial" w:cs="Arial" w:eastAsia="Arial" w:hAnsi="Arial"/>
          <w:sz w:val="12"/>
          <w:szCs w:val="12"/>
          <w:color w:val="auto"/>
        </w:rPr>
        <w:t>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15875</wp:posOffset>
            </wp:positionV>
            <wp:extent cx="26035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03500" cy="7620"/>
                    </a:xfrm>
                    <a:prstGeom prst="rect">
                      <a:avLst/>
                    </a:prstGeom>
                    <a:noFill/>
                  </pic:spPr>
                </pic:pic>
              </a:graphicData>
            </a:graphic>
          </wp:anchor>
        </w:drawing>
      </w:r>
    </w:p>
    <w:p>
      <w:pPr>
        <w:spacing w:after="0" w:line="91"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1741170</wp:posOffset>
            </wp:positionH>
            <wp:positionV relativeFrom="paragraph">
              <wp:posOffset>15875</wp:posOffset>
            </wp:positionV>
            <wp:extent cx="26035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3500" cy="7620"/>
                    </a:xfrm>
                    <a:prstGeom prst="rect">
                      <a:avLst/>
                    </a:prstGeom>
                    <a:noFill/>
                  </pic:spPr>
                </pic:pic>
              </a:graphicData>
            </a:graphic>
          </wp:anchor>
        </w:drawing>
      </w:r>
    </w:p>
    <w:p>
      <w:pPr>
        <w:spacing w:after="0" w:line="16" w:lineRule="exact"/>
        <w:rPr>
          <w:sz w:val="20"/>
          <w:szCs w:val="20"/>
          <w:color w:val="auto"/>
        </w:rPr>
      </w:pPr>
    </w:p>
    <w:tbl>
      <w:tblPr>
        <w:tblLayout w:type="fixed"/>
        <w:tblInd w:w="282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960" w:type="dxa"/>
            <w:vAlign w:val="bottom"/>
          </w:tcPr>
          <w:p>
            <w:pPr>
              <w:jc w:val="right"/>
              <w:ind w:right="122"/>
              <w:spacing w:after="0"/>
              <w:rPr>
                <w:sz w:val="20"/>
                <w:szCs w:val="20"/>
                <w:color w:val="auto"/>
              </w:rPr>
            </w:pPr>
            <w:r>
              <w:rPr>
                <w:rFonts w:ascii="Arial" w:cs="Arial" w:eastAsia="Arial" w:hAnsi="Arial"/>
                <w:sz w:val="12"/>
                <w:szCs w:val="12"/>
                <w:color w:val="auto"/>
              </w:rPr>
              <w:t>Quoted</w:t>
            </w:r>
          </w:p>
        </w:tc>
        <w:tc>
          <w:tcPr>
            <w:tcW w:w="9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25"/>
        </w:trPr>
        <w:tc>
          <w:tcPr>
            <w:tcW w:w="1140" w:type="dxa"/>
            <w:vAlign w:val="bottom"/>
          </w:tcPr>
          <w:p>
            <w:pPr>
              <w:spacing w:after="0"/>
              <w:rPr>
                <w:sz w:val="10"/>
                <w:szCs w:val="10"/>
                <w:color w:val="auto"/>
              </w:rPr>
            </w:pPr>
          </w:p>
        </w:tc>
        <w:tc>
          <w:tcPr>
            <w:tcW w:w="960" w:type="dxa"/>
            <w:vAlign w:val="bottom"/>
          </w:tcPr>
          <w:p>
            <w:pPr>
              <w:jc w:val="right"/>
              <w:ind w:right="122"/>
              <w:spacing w:after="0" w:line="125" w:lineRule="exact"/>
              <w:rPr>
                <w:sz w:val="20"/>
                <w:szCs w:val="20"/>
                <w:color w:val="auto"/>
              </w:rPr>
            </w:pPr>
            <w:r>
              <w:rPr>
                <w:rFonts w:ascii="Arial" w:cs="Arial" w:eastAsia="Arial" w:hAnsi="Arial"/>
                <w:sz w:val="12"/>
                <w:szCs w:val="12"/>
                <w:color w:val="auto"/>
              </w:rPr>
              <w:t>Prices</w:t>
            </w: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25"/>
        </w:trPr>
        <w:tc>
          <w:tcPr>
            <w:tcW w:w="1140" w:type="dxa"/>
            <w:vAlign w:val="bottom"/>
          </w:tcPr>
          <w:p>
            <w:pPr>
              <w:spacing w:after="0"/>
              <w:rPr>
                <w:sz w:val="10"/>
                <w:szCs w:val="10"/>
                <w:color w:val="auto"/>
              </w:rPr>
            </w:pPr>
          </w:p>
        </w:tc>
        <w:tc>
          <w:tcPr>
            <w:tcW w:w="960" w:type="dxa"/>
            <w:vAlign w:val="bottom"/>
          </w:tcPr>
          <w:p>
            <w:pPr>
              <w:jc w:val="right"/>
              <w:ind w:right="122"/>
              <w:spacing w:after="0" w:line="125" w:lineRule="exact"/>
              <w:rPr>
                <w:sz w:val="20"/>
                <w:szCs w:val="20"/>
                <w:color w:val="auto"/>
              </w:rPr>
            </w:pPr>
            <w:r>
              <w:rPr>
                <w:rFonts w:ascii="Arial" w:cs="Arial" w:eastAsia="Arial" w:hAnsi="Arial"/>
                <w:sz w:val="12"/>
                <w:szCs w:val="12"/>
                <w:color w:val="auto"/>
              </w:rPr>
              <w:t>in Active</w:t>
            </w:r>
          </w:p>
        </w:tc>
        <w:tc>
          <w:tcPr>
            <w:tcW w:w="940" w:type="dxa"/>
            <w:vAlign w:val="bottom"/>
          </w:tcPr>
          <w:p>
            <w:pPr>
              <w:jc w:val="right"/>
              <w:ind w:right="182"/>
              <w:spacing w:after="0" w:line="125" w:lineRule="exact"/>
              <w:rPr>
                <w:sz w:val="20"/>
                <w:szCs w:val="20"/>
                <w:color w:val="auto"/>
              </w:rPr>
            </w:pPr>
            <w:r>
              <w:rPr>
                <w:rFonts w:ascii="Arial" w:cs="Arial" w:eastAsia="Arial" w:hAnsi="Arial"/>
                <w:sz w:val="12"/>
                <w:szCs w:val="12"/>
                <w:color w:val="auto"/>
              </w:rPr>
              <w:t>Significant</w:t>
            </w:r>
          </w:p>
        </w:tc>
        <w:tc>
          <w:tcPr>
            <w:tcW w:w="880" w:type="dxa"/>
            <w:vAlign w:val="bottom"/>
          </w:tcPr>
          <w:p>
            <w:pPr>
              <w:spacing w:after="0"/>
              <w:rPr>
                <w:sz w:val="10"/>
                <w:szCs w:val="10"/>
                <w:color w:val="auto"/>
              </w:rPr>
            </w:pPr>
          </w:p>
        </w:tc>
      </w:tr>
      <w:tr>
        <w:trPr>
          <w:trHeight w:val="125"/>
        </w:trPr>
        <w:tc>
          <w:tcPr>
            <w:tcW w:w="1140" w:type="dxa"/>
            <w:vAlign w:val="bottom"/>
          </w:tcPr>
          <w:p>
            <w:pPr>
              <w:spacing w:after="0"/>
              <w:rPr>
                <w:sz w:val="10"/>
                <w:szCs w:val="10"/>
                <w:color w:val="auto"/>
              </w:rPr>
            </w:pPr>
          </w:p>
        </w:tc>
        <w:tc>
          <w:tcPr>
            <w:tcW w:w="960" w:type="dxa"/>
            <w:vAlign w:val="bottom"/>
          </w:tcPr>
          <w:p>
            <w:pPr>
              <w:jc w:val="right"/>
              <w:ind w:right="122"/>
              <w:spacing w:after="0" w:line="125" w:lineRule="exact"/>
              <w:rPr>
                <w:sz w:val="20"/>
                <w:szCs w:val="20"/>
                <w:color w:val="auto"/>
              </w:rPr>
            </w:pPr>
            <w:r>
              <w:rPr>
                <w:rFonts w:ascii="Arial" w:cs="Arial" w:eastAsia="Arial" w:hAnsi="Arial"/>
                <w:sz w:val="12"/>
                <w:szCs w:val="12"/>
                <w:color w:val="auto"/>
              </w:rPr>
              <w:t>Markets for</w:t>
            </w:r>
          </w:p>
        </w:tc>
        <w:tc>
          <w:tcPr>
            <w:tcW w:w="940" w:type="dxa"/>
            <w:vAlign w:val="bottom"/>
          </w:tcPr>
          <w:p>
            <w:pPr>
              <w:jc w:val="right"/>
              <w:ind w:right="182"/>
              <w:spacing w:after="0" w:line="125" w:lineRule="exact"/>
              <w:rPr>
                <w:sz w:val="20"/>
                <w:szCs w:val="20"/>
                <w:color w:val="auto"/>
              </w:rPr>
            </w:pPr>
            <w:r>
              <w:rPr>
                <w:rFonts w:ascii="Arial" w:cs="Arial" w:eastAsia="Arial" w:hAnsi="Arial"/>
                <w:sz w:val="12"/>
                <w:szCs w:val="12"/>
                <w:color w:val="auto"/>
              </w:rPr>
              <w:t>Other</w:t>
            </w:r>
          </w:p>
        </w:tc>
        <w:tc>
          <w:tcPr>
            <w:tcW w:w="880" w:type="dxa"/>
            <w:vAlign w:val="bottom"/>
          </w:tcPr>
          <w:p>
            <w:pPr>
              <w:jc w:val="right"/>
              <w:spacing w:after="0" w:line="125" w:lineRule="exact"/>
              <w:rPr>
                <w:sz w:val="20"/>
                <w:szCs w:val="20"/>
                <w:color w:val="auto"/>
              </w:rPr>
            </w:pPr>
            <w:r>
              <w:rPr>
                <w:rFonts w:ascii="Arial" w:cs="Arial" w:eastAsia="Arial" w:hAnsi="Arial"/>
                <w:sz w:val="12"/>
                <w:szCs w:val="12"/>
                <w:color w:val="auto"/>
              </w:rPr>
              <w:t>Significant</w:t>
            </w:r>
          </w:p>
        </w:tc>
      </w:tr>
      <w:tr>
        <w:trPr>
          <w:trHeight w:val="125"/>
        </w:trPr>
        <w:tc>
          <w:tcPr>
            <w:tcW w:w="1140" w:type="dxa"/>
            <w:vAlign w:val="bottom"/>
          </w:tcPr>
          <w:p>
            <w:pPr>
              <w:spacing w:after="0"/>
              <w:rPr>
                <w:sz w:val="10"/>
                <w:szCs w:val="10"/>
                <w:color w:val="auto"/>
              </w:rPr>
            </w:pPr>
          </w:p>
        </w:tc>
        <w:tc>
          <w:tcPr>
            <w:tcW w:w="960" w:type="dxa"/>
            <w:vAlign w:val="bottom"/>
          </w:tcPr>
          <w:p>
            <w:pPr>
              <w:jc w:val="right"/>
              <w:ind w:right="122"/>
              <w:spacing w:after="0" w:line="125" w:lineRule="exact"/>
              <w:rPr>
                <w:sz w:val="20"/>
                <w:szCs w:val="20"/>
                <w:color w:val="auto"/>
              </w:rPr>
            </w:pPr>
            <w:r>
              <w:rPr>
                <w:rFonts w:ascii="Arial" w:cs="Arial" w:eastAsia="Arial" w:hAnsi="Arial"/>
                <w:sz w:val="12"/>
                <w:szCs w:val="12"/>
                <w:color w:val="auto"/>
              </w:rPr>
              <w:t>Identical</w:t>
            </w:r>
          </w:p>
        </w:tc>
        <w:tc>
          <w:tcPr>
            <w:tcW w:w="940" w:type="dxa"/>
            <w:vAlign w:val="bottom"/>
          </w:tcPr>
          <w:p>
            <w:pPr>
              <w:jc w:val="right"/>
              <w:ind w:right="182"/>
              <w:spacing w:after="0" w:line="125" w:lineRule="exact"/>
              <w:rPr>
                <w:sz w:val="20"/>
                <w:szCs w:val="20"/>
                <w:color w:val="auto"/>
              </w:rPr>
            </w:pPr>
            <w:r>
              <w:rPr>
                <w:rFonts w:ascii="Arial" w:cs="Arial" w:eastAsia="Arial" w:hAnsi="Arial"/>
                <w:sz w:val="12"/>
                <w:szCs w:val="12"/>
                <w:color w:val="auto"/>
              </w:rPr>
              <w:t>Observable</w:t>
            </w:r>
          </w:p>
        </w:tc>
        <w:tc>
          <w:tcPr>
            <w:tcW w:w="880" w:type="dxa"/>
            <w:vAlign w:val="bottom"/>
          </w:tcPr>
          <w:p>
            <w:pPr>
              <w:jc w:val="right"/>
              <w:spacing w:after="0" w:line="125" w:lineRule="exact"/>
              <w:rPr>
                <w:sz w:val="20"/>
                <w:szCs w:val="20"/>
                <w:color w:val="auto"/>
              </w:rPr>
            </w:pPr>
            <w:r>
              <w:rPr>
                <w:rFonts w:ascii="Arial" w:cs="Arial" w:eastAsia="Arial" w:hAnsi="Arial"/>
                <w:sz w:val="12"/>
                <w:szCs w:val="12"/>
                <w:color w:val="auto"/>
              </w:rPr>
              <w:t>Unobservable</w:t>
            </w:r>
          </w:p>
        </w:tc>
      </w:tr>
      <w:tr>
        <w:trPr>
          <w:trHeight w:val="125"/>
        </w:trPr>
        <w:tc>
          <w:tcPr>
            <w:tcW w:w="1140" w:type="dxa"/>
            <w:vAlign w:val="bottom"/>
          </w:tcPr>
          <w:p>
            <w:pPr>
              <w:spacing w:after="0"/>
              <w:rPr>
                <w:sz w:val="10"/>
                <w:szCs w:val="10"/>
                <w:color w:val="auto"/>
              </w:rPr>
            </w:pPr>
          </w:p>
        </w:tc>
        <w:tc>
          <w:tcPr>
            <w:tcW w:w="960" w:type="dxa"/>
            <w:vAlign w:val="bottom"/>
          </w:tcPr>
          <w:p>
            <w:pPr>
              <w:jc w:val="right"/>
              <w:ind w:right="122"/>
              <w:spacing w:after="0" w:line="125" w:lineRule="exact"/>
              <w:rPr>
                <w:sz w:val="20"/>
                <w:szCs w:val="20"/>
                <w:color w:val="auto"/>
              </w:rPr>
            </w:pPr>
            <w:r>
              <w:rPr>
                <w:rFonts w:ascii="Arial" w:cs="Arial" w:eastAsia="Arial" w:hAnsi="Arial"/>
                <w:sz w:val="12"/>
                <w:szCs w:val="12"/>
                <w:color w:val="auto"/>
              </w:rPr>
              <w:t>Assets</w:t>
            </w:r>
          </w:p>
        </w:tc>
        <w:tc>
          <w:tcPr>
            <w:tcW w:w="940" w:type="dxa"/>
            <w:vAlign w:val="bottom"/>
          </w:tcPr>
          <w:p>
            <w:pPr>
              <w:jc w:val="right"/>
              <w:ind w:right="182"/>
              <w:spacing w:after="0" w:line="125" w:lineRule="exact"/>
              <w:rPr>
                <w:sz w:val="20"/>
                <w:szCs w:val="20"/>
                <w:color w:val="auto"/>
              </w:rPr>
            </w:pPr>
            <w:r>
              <w:rPr>
                <w:rFonts w:ascii="Arial" w:cs="Arial" w:eastAsia="Arial" w:hAnsi="Arial"/>
                <w:sz w:val="12"/>
                <w:szCs w:val="12"/>
                <w:color w:val="auto"/>
              </w:rPr>
              <w:t>Inputs</w:t>
            </w:r>
          </w:p>
        </w:tc>
        <w:tc>
          <w:tcPr>
            <w:tcW w:w="880" w:type="dxa"/>
            <w:vAlign w:val="bottom"/>
          </w:tcPr>
          <w:p>
            <w:pPr>
              <w:jc w:val="right"/>
              <w:spacing w:after="0" w:line="125" w:lineRule="exact"/>
              <w:rPr>
                <w:sz w:val="20"/>
                <w:szCs w:val="20"/>
                <w:color w:val="auto"/>
              </w:rPr>
            </w:pPr>
            <w:r>
              <w:rPr>
                <w:rFonts w:ascii="Arial" w:cs="Arial" w:eastAsia="Arial" w:hAnsi="Arial"/>
                <w:sz w:val="12"/>
                <w:szCs w:val="12"/>
                <w:color w:val="auto"/>
              </w:rPr>
              <w:t>Inputs</w:t>
            </w:r>
          </w:p>
        </w:tc>
      </w:tr>
      <w:tr>
        <w:trPr>
          <w:trHeight w:val="148"/>
        </w:trPr>
        <w:tc>
          <w:tcPr>
            <w:tcW w:w="1140" w:type="dxa"/>
            <w:vAlign w:val="bottom"/>
          </w:tcPr>
          <w:p>
            <w:pPr>
              <w:spacing w:after="0"/>
              <w:rPr>
                <w:sz w:val="20"/>
                <w:szCs w:val="20"/>
                <w:color w:val="auto"/>
              </w:rPr>
            </w:pPr>
            <w:r>
              <w:rPr>
                <w:rFonts w:ascii="Arial" w:cs="Arial" w:eastAsia="Arial" w:hAnsi="Arial"/>
                <w:sz w:val="12"/>
                <w:szCs w:val="12"/>
                <w:color w:val="auto"/>
              </w:rPr>
              <w:t>December 31, 2017</w:t>
            </w:r>
          </w:p>
        </w:tc>
        <w:tc>
          <w:tcPr>
            <w:tcW w:w="960" w:type="dxa"/>
            <w:vAlign w:val="bottom"/>
          </w:tcPr>
          <w:p>
            <w:pPr>
              <w:jc w:val="right"/>
              <w:ind w:right="122"/>
              <w:spacing w:after="0"/>
              <w:rPr>
                <w:sz w:val="20"/>
                <w:szCs w:val="20"/>
                <w:color w:val="auto"/>
              </w:rPr>
            </w:pPr>
            <w:r>
              <w:rPr>
                <w:rFonts w:ascii="Arial" w:cs="Arial" w:eastAsia="Arial" w:hAnsi="Arial"/>
                <w:sz w:val="12"/>
                <w:szCs w:val="12"/>
                <w:color w:val="auto"/>
              </w:rPr>
              <w:t>(Level 1)</w:t>
            </w:r>
          </w:p>
        </w:tc>
        <w:tc>
          <w:tcPr>
            <w:tcW w:w="940" w:type="dxa"/>
            <w:vAlign w:val="bottom"/>
          </w:tcPr>
          <w:p>
            <w:pPr>
              <w:jc w:val="right"/>
              <w:ind w:right="182"/>
              <w:spacing w:after="0"/>
              <w:rPr>
                <w:sz w:val="20"/>
                <w:szCs w:val="20"/>
                <w:color w:val="auto"/>
              </w:rPr>
            </w:pPr>
            <w:r>
              <w:rPr>
                <w:rFonts w:ascii="Arial" w:cs="Arial" w:eastAsia="Arial" w:hAnsi="Arial"/>
                <w:sz w:val="12"/>
                <w:szCs w:val="12"/>
                <w:color w:val="auto"/>
              </w:rPr>
              <w:t>(Level 2)</w:t>
            </w:r>
          </w:p>
        </w:tc>
        <w:tc>
          <w:tcPr>
            <w:tcW w:w="880" w:type="dxa"/>
            <w:vAlign w:val="bottom"/>
          </w:tcPr>
          <w:p>
            <w:pPr>
              <w:jc w:val="right"/>
              <w:spacing w:after="0"/>
              <w:rPr>
                <w:sz w:val="20"/>
                <w:szCs w:val="20"/>
                <w:color w:val="auto"/>
              </w:rPr>
            </w:pPr>
            <w:r>
              <w:rPr>
                <w:rFonts w:ascii="Arial" w:cs="Arial" w:eastAsia="Arial" w:hAnsi="Arial"/>
                <w:sz w:val="12"/>
                <w:szCs w:val="12"/>
                <w:color w:val="auto"/>
              </w:rPr>
              <w:t>(Level 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6940550" cy="189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0550" cy="1898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580"/>
        <w:spacing w:after="0"/>
        <w:rPr>
          <w:sz w:val="20"/>
          <w:szCs w:val="20"/>
          <w:color w:val="auto"/>
        </w:rPr>
      </w:pPr>
      <w:r>
        <w:rPr>
          <w:rFonts w:ascii="Arial" w:cs="Arial" w:eastAsia="Arial" w:hAnsi="Arial"/>
          <w:sz w:val="12"/>
          <w:szCs w:val="12"/>
          <w:color w:val="auto"/>
        </w:rPr>
        <w:t>Non-United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15875</wp:posOffset>
            </wp:positionV>
            <wp:extent cx="25247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4760" cy="7620"/>
                    </a:xfrm>
                    <a:prstGeom prst="rect">
                      <a:avLst/>
                    </a:prstGeom>
                    <a:noFill/>
                  </pic:spPr>
                </pic:pic>
              </a:graphicData>
            </a:graphic>
          </wp:anchor>
        </w:drawing>
      </w:r>
    </w:p>
    <w:p>
      <w:pPr>
        <w:spacing w:after="0" w:line="91" w:lineRule="exact"/>
        <w:rPr>
          <w:sz w:val="20"/>
          <w:szCs w:val="20"/>
          <w:color w:val="auto"/>
        </w:rPr>
      </w:pPr>
    </w:p>
    <w:p>
      <w:pPr>
        <w:jc w:val="right"/>
        <w:ind w:right="580"/>
        <w:spacing w:after="0"/>
        <w:rPr>
          <w:sz w:val="20"/>
          <w:szCs w:val="20"/>
          <w:color w:val="auto"/>
        </w:rPr>
      </w:pPr>
      <w:r>
        <w:rPr>
          <w:rFonts w:ascii="Arial" w:cs="Arial" w:eastAsia="Arial" w:hAnsi="Arial"/>
          <w:sz w:val="12"/>
          <w:szCs w:val="12"/>
          <w:color w:val="auto"/>
        </w:rPr>
        <w:t>Fair Value Measurements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15875</wp:posOffset>
            </wp:positionV>
            <wp:extent cx="25247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4760" cy="762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20" w:type="dxa"/>
            <w:vAlign w:val="bottom"/>
          </w:tcPr>
          <w:p>
            <w:pPr>
              <w:spacing w:after="0"/>
              <w:rPr>
                <w:sz w:val="12"/>
                <w:szCs w:val="12"/>
                <w:color w:val="auto"/>
              </w:rPr>
            </w:pPr>
          </w:p>
        </w:tc>
        <w:tc>
          <w:tcPr>
            <w:tcW w:w="920" w:type="dxa"/>
            <w:vAlign w:val="bottom"/>
          </w:tcPr>
          <w:p>
            <w:pPr>
              <w:jc w:val="right"/>
              <w:ind w:right="102"/>
              <w:spacing w:after="0"/>
              <w:rPr>
                <w:sz w:val="20"/>
                <w:szCs w:val="20"/>
                <w:color w:val="auto"/>
              </w:rPr>
            </w:pPr>
            <w:r>
              <w:rPr>
                <w:rFonts w:ascii="Arial" w:cs="Arial" w:eastAsia="Arial" w:hAnsi="Arial"/>
                <w:sz w:val="12"/>
                <w:szCs w:val="12"/>
                <w:color w:val="auto"/>
              </w:rPr>
              <w:t>Quoted</w:t>
            </w:r>
          </w:p>
        </w:tc>
        <w:tc>
          <w:tcPr>
            <w:tcW w:w="9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25"/>
        </w:trPr>
        <w:tc>
          <w:tcPr>
            <w:tcW w:w="1120" w:type="dxa"/>
            <w:vAlign w:val="bottom"/>
          </w:tcPr>
          <w:p>
            <w:pPr>
              <w:spacing w:after="0"/>
              <w:rPr>
                <w:sz w:val="10"/>
                <w:szCs w:val="10"/>
                <w:color w:val="auto"/>
              </w:rPr>
            </w:pPr>
          </w:p>
        </w:tc>
        <w:tc>
          <w:tcPr>
            <w:tcW w:w="920" w:type="dxa"/>
            <w:vAlign w:val="bottom"/>
          </w:tcPr>
          <w:p>
            <w:pPr>
              <w:jc w:val="right"/>
              <w:ind w:right="102"/>
              <w:spacing w:after="0" w:line="125" w:lineRule="exact"/>
              <w:rPr>
                <w:sz w:val="20"/>
                <w:szCs w:val="20"/>
                <w:color w:val="auto"/>
              </w:rPr>
            </w:pPr>
            <w:r>
              <w:rPr>
                <w:rFonts w:ascii="Arial" w:cs="Arial" w:eastAsia="Arial" w:hAnsi="Arial"/>
                <w:sz w:val="12"/>
                <w:szCs w:val="12"/>
                <w:color w:val="auto"/>
              </w:rPr>
              <w:t>Prices</w:t>
            </w: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5"/>
        </w:trPr>
        <w:tc>
          <w:tcPr>
            <w:tcW w:w="1120" w:type="dxa"/>
            <w:vAlign w:val="bottom"/>
          </w:tcPr>
          <w:p>
            <w:pPr>
              <w:spacing w:after="0"/>
              <w:rPr>
                <w:sz w:val="10"/>
                <w:szCs w:val="10"/>
                <w:color w:val="auto"/>
              </w:rPr>
            </w:pPr>
          </w:p>
        </w:tc>
        <w:tc>
          <w:tcPr>
            <w:tcW w:w="920" w:type="dxa"/>
            <w:vAlign w:val="bottom"/>
          </w:tcPr>
          <w:p>
            <w:pPr>
              <w:jc w:val="right"/>
              <w:ind w:right="102"/>
              <w:spacing w:after="0" w:line="125" w:lineRule="exact"/>
              <w:rPr>
                <w:sz w:val="20"/>
                <w:szCs w:val="20"/>
                <w:color w:val="auto"/>
              </w:rPr>
            </w:pPr>
            <w:r>
              <w:rPr>
                <w:rFonts w:ascii="Arial" w:cs="Arial" w:eastAsia="Arial" w:hAnsi="Arial"/>
                <w:sz w:val="12"/>
                <w:szCs w:val="12"/>
                <w:color w:val="auto"/>
              </w:rPr>
              <w:t>in Active</w:t>
            </w:r>
          </w:p>
        </w:tc>
        <w:tc>
          <w:tcPr>
            <w:tcW w:w="900" w:type="dxa"/>
            <w:vAlign w:val="bottom"/>
          </w:tcPr>
          <w:p>
            <w:pPr>
              <w:jc w:val="right"/>
              <w:ind w:right="162"/>
              <w:spacing w:after="0" w:line="125" w:lineRule="exact"/>
              <w:rPr>
                <w:sz w:val="20"/>
                <w:szCs w:val="20"/>
                <w:color w:val="auto"/>
              </w:rPr>
            </w:pPr>
            <w:r>
              <w:rPr>
                <w:rFonts w:ascii="Arial" w:cs="Arial" w:eastAsia="Arial" w:hAnsi="Arial"/>
                <w:sz w:val="12"/>
                <w:szCs w:val="12"/>
                <w:color w:val="auto"/>
              </w:rPr>
              <w:t>Significant</w:t>
            </w:r>
          </w:p>
        </w:tc>
        <w:tc>
          <w:tcPr>
            <w:tcW w:w="860" w:type="dxa"/>
            <w:vAlign w:val="bottom"/>
          </w:tcPr>
          <w:p>
            <w:pPr>
              <w:spacing w:after="0"/>
              <w:rPr>
                <w:sz w:val="10"/>
                <w:szCs w:val="10"/>
                <w:color w:val="auto"/>
              </w:rPr>
            </w:pPr>
          </w:p>
        </w:tc>
      </w:tr>
      <w:tr>
        <w:trPr>
          <w:trHeight w:val="125"/>
        </w:trPr>
        <w:tc>
          <w:tcPr>
            <w:tcW w:w="1120" w:type="dxa"/>
            <w:vAlign w:val="bottom"/>
          </w:tcPr>
          <w:p>
            <w:pPr>
              <w:spacing w:after="0"/>
              <w:rPr>
                <w:sz w:val="10"/>
                <w:szCs w:val="10"/>
                <w:color w:val="auto"/>
              </w:rPr>
            </w:pPr>
          </w:p>
        </w:tc>
        <w:tc>
          <w:tcPr>
            <w:tcW w:w="920" w:type="dxa"/>
            <w:vAlign w:val="bottom"/>
          </w:tcPr>
          <w:p>
            <w:pPr>
              <w:jc w:val="right"/>
              <w:ind w:right="102"/>
              <w:spacing w:after="0" w:line="125" w:lineRule="exact"/>
              <w:rPr>
                <w:sz w:val="20"/>
                <w:szCs w:val="20"/>
                <w:color w:val="auto"/>
              </w:rPr>
            </w:pPr>
            <w:r>
              <w:rPr>
                <w:rFonts w:ascii="Arial" w:cs="Arial" w:eastAsia="Arial" w:hAnsi="Arial"/>
                <w:sz w:val="12"/>
                <w:szCs w:val="12"/>
                <w:color w:val="auto"/>
              </w:rPr>
              <w:t>Markets for</w:t>
            </w:r>
          </w:p>
        </w:tc>
        <w:tc>
          <w:tcPr>
            <w:tcW w:w="900" w:type="dxa"/>
            <w:vAlign w:val="bottom"/>
          </w:tcPr>
          <w:p>
            <w:pPr>
              <w:jc w:val="right"/>
              <w:ind w:right="162"/>
              <w:spacing w:after="0" w:line="125" w:lineRule="exact"/>
              <w:rPr>
                <w:sz w:val="20"/>
                <w:szCs w:val="20"/>
                <w:color w:val="auto"/>
              </w:rPr>
            </w:pPr>
            <w:r>
              <w:rPr>
                <w:rFonts w:ascii="Arial" w:cs="Arial" w:eastAsia="Arial" w:hAnsi="Arial"/>
                <w:sz w:val="12"/>
                <w:szCs w:val="12"/>
                <w:color w:val="auto"/>
              </w:rPr>
              <w:t>Other</w:t>
            </w:r>
          </w:p>
        </w:tc>
        <w:tc>
          <w:tcPr>
            <w:tcW w:w="860" w:type="dxa"/>
            <w:vAlign w:val="bottom"/>
          </w:tcPr>
          <w:p>
            <w:pPr>
              <w:jc w:val="right"/>
              <w:spacing w:after="0" w:line="125" w:lineRule="exact"/>
              <w:rPr>
                <w:sz w:val="20"/>
                <w:szCs w:val="20"/>
                <w:color w:val="auto"/>
              </w:rPr>
            </w:pPr>
            <w:r>
              <w:rPr>
                <w:rFonts w:ascii="Arial" w:cs="Arial" w:eastAsia="Arial" w:hAnsi="Arial"/>
                <w:sz w:val="12"/>
                <w:szCs w:val="12"/>
                <w:color w:val="auto"/>
              </w:rPr>
              <w:t>Significant</w:t>
            </w:r>
          </w:p>
        </w:tc>
      </w:tr>
      <w:tr>
        <w:trPr>
          <w:trHeight w:val="125"/>
        </w:trPr>
        <w:tc>
          <w:tcPr>
            <w:tcW w:w="1120" w:type="dxa"/>
            <w:vAlign w:val="bottom"/>
          </w:tcPr>
          <w:p>
            <w:pPr>
              <w:spacing w:after="0"/>
              <w:rPr>
                <w:sz w:val="10"/>
                <w:szCs w:val="10"/>
                <w:color w:val="auto"/>
              </w:rPr>
            </w:pPr>
          </w:p>
        </w:tc>
        <w:tc>
          <w:tcPr>
            <w:tcW w:w="920" w:type="dxa"/>
            <w:vAlign w:val="bottom"/>
          </w:tcPr>
          <w:p>
            <w:pPr>
              <w:jc w:val="right"/>
              <w:ind w:right="102"/>
              <w:spacing w:after="0" w:line="125" w:lineRule="exact"/>
              <w:rPr>
                <w:sz w:val="20"/>
                <w:szCs w:val="20"/>
                <w:color w:val="auto"/>
              </w:rPr>
            </w:pPr>
            <w:r>
              <w:rPr>
                <w:rFonts w:ascii="Arial" w:cs="Arial" w:eastAsia="Arial" w:hAnsi="Arial"/>
                <w:sz w:val="12"/>
                <w:szCs w:val="12"/>
                <w:color w:val="auto"/>
              </w:rPr>
              <w:t>Identical</w:t>
            </w:r>
          </w:p>
        </w:tc>
        <w:tc>
          <w:tcPr>
            <w:tcW w:w="900" w:type="dxa"/>
            <w:vAlign w:val="bottom"/>
          </w:tcPr>
          <w:p>
            <w:pPr>
              <w:jc w:val="right"/>
              <w:ind w:right="162"/>
              <w:spacing w:after="0" w:line="125" w:lineRule="exact"/>
              <w:rPr>
                <w:sz w:val="20"/>
                <w:szCs w:val="20"/>
                <w:color w:val="auto"/>
              </w:rPr>
            </w:pPr>
            <w:r>
              <w:rPr>
                <w:rFonts w:ascii="Arial" w:cs="Arial" w:eastAsia="Arial" w:hAnsi="Arial"/>
                <w:sz w:val="12"/>
                <w:szCs w:val="12"/>
                <w:color w:val="auto"/>
              </w:rPr>
              <w:t>Observable</w:t>
            </w:r>
          </w:p>
        </w:tc>
        <w:tc>
          <w:tcPr>
            <w:tcW w:w="860" w:type="dxa"/>
            <w:vAlign w:val="bottom"/>
          </w:tcPr>
          <w:p>
            <w:pPr>
              <w:jc w:val="right"/>
              <w:spacing w:after="0" w:line="125" w:lineRule="exact"/>
              <w:rPr>
                <w:sz w:val="20"/>
                <w:szCs w:val="20"/>
                <w:color w:val="auto"/>
              </w:rPr>
            </w:pPr>
            <w:r>
              <w:rPr>
                <w:rFonts w:ascii="Arial" w:cs="Arial" w:eastAsia="Arial" w:hAnsi="Arial"/>
                <w:sz w:val="12"/>
                <w:szCs w:val="12"/>
                <w:color w:val="auto"/>
              </w:rPr>
              <w:t>Unobservable</w:t>
            </w:r>
          </w:p>
        </w:tc>
      </w:tr>
      <w:tr>
        <w:trPr>
          <w:trHeight w:val="125"/>
        </w:trPr>
        <w:tc>
          <w:tcPr>
            <w:tcW w:w="1120" w:type="dxa"/>
            <w:vAlign w:val="bottom"/>
          </w:tcPr>
          <w:p>
            <w:pPr>
              <w:spacing w:after="0"/>
              <w:rPr>
                <w:sz w:val="10"/>
                <w:szCs w:val="10"/>
                <w:color w:val="auto"/>
              </w:rPr>
            </w:pPr>
          </w:p>
        </w:tc>
        <w:tc>
          <w:tcPr>
            <w:tcW w:w="920" w:type="dxa"/>
            <w:vAlign w:val="bottom"/>
          </w:tcPr>
          <w:p>
            <w:pPr>
              <w:jc w:val="right"/>
              <w:ind w:right="102"/>
              <w:spacing w:after="0" w:line="125" w:lineRule="exact"/>
              <w:rPr>
                <w:sz w:val="20"/>
                <w:szCs w:val="20"/>
                <w:color w:val="auto"/>
              </w:rPr>
            </w:pPr>
            <w:r>
              <w:rPr>
                <w:rFonts w:ascii="Arial" w:cs="Arial" w:eastAsia="Arial" w:hAnsi="Arial"/>
                <w:sz w:val="12"/>
                <w:szCs w:val="12"/>
                <w:color w:val="auto"/>
              </w:rPr>
              <w:t>Assets</w:t>
            </w:r>
          </w:p>
        </w:tc>
        <w:tc>
          <w:tcPr>
            <w:tcW w:w="900" w:type="dxa"/>
            <w:vAlign w:val="bottom"/>
          </w:tcPr>
          <w:p>
            <w:pPr>
              <w:jc w:val="right"/>
              <w:ind w:right="162"/>
              <w:spacing w:after="0" w:line="125" w:lineRule="exact"/>
              <w:rPr>
                <w:sz w:val="20"/>
                <w:szCs w:val="20"/>
                <w:color w:val="auto"/>
              </w:rPr>
            </w:pPr>
            <w:r>
              <w:rPr>
                <w:rFonts w:ascii="Arial" w:cs="Arial" w:eastAsia="Arial" w:hAnsi="Arial"/>
                <w:sz w:val="12"/>
                <w:szCs w:val="12"/>
                <w:color w:val="auto"/>
              </w:rPr>
              <w:t>Inputs</w:t>
            </w:r>
          </w:p>
        </w:tc>
        <w:tc>
          <w:tcPr>
            <w:tcW w:w="860" w:type="dxa"/>
            <w:vAlign w:val="bottom"/>
          </w:tcPr>
          <w:p>
            <w:pPr>
              <w:jc w:val="right"/>
              <w:spacing w:after="0" w:line="125" w:lineRule="exact"/>
              <w:rPr>
                <w:sz w:val="20"/>
                <w:szCs w:val="20"/>
                <w:color w:val="auto"/>
              </w:rPr>
            </w:pPr>
            <w:r>
              <w:rPr>
                <w:rFonts w:ascii="Arial" w:cs="Arial" w:eastAsia="Arial" w:hAnsi="Arial"/>
                <w:sz w:val="12"/>
                <w:szCs w:val="12"/>
                <w:color w:val="auto"/>
              </w:rPr>
              <w:t>Inputs</w:t>
            </w:r>
          </w:p>
        </w:tc>
      </w:tr>
      <w:tr>
        <w:trPr>
          <w:trHeight w:val="148"/>
        </w:trPr>
        <w:tc>
          <w:tcPr>
            <w:tcW w:w="1120" w:type="dxa"/>
            <w:vAlign w:val="bottom"/>
          </w:tcPr>
          <w:p>
            <w:pPr>
              <w:spacing w:after="0"/>
              <w:rPr>
                <w:sz w:val="20"/>
                <w:szCs w:val="20"/>
                <w:color w:val="auto"/>
              </w:rPr>
            </w:pPr>
            <w:r>
              <w:rPr>
                <w:rFonts w:ascii="Arial" w:cs="Arial" w:eastAsia="Arial" w:hAnsi="Arial"/>
                <w:sz w:val="12"/>
                <w:szCs w:val="12"/>
                <w:color w:val="auto"/>
              </w:rPr>
              <w:t>December 31, 2017</w:t>
            </w:r>
          </w:p>
        </w:tc>
        <w:tc>
          <w:tcPr>
            <w:tcW w:w="920" w:type="dxa"/>
            <w:vAlign w:val="bottom"/>
          </w:tcPr>
          <w:p>
            <w:pPr>
              <w:jc w:val="right"/>
              <w:ind w:right="102"/>
              <w:spacing w:after="0"/>
              <w:rPr>
                <w:sz w:val="20"/>
                <w:szCs w:val="20"/>
                <w:color w:val="auto"/>
              </w:rPr>
            </w:pPr>
            <w:r>
              <w:rPr>
                <w:rFonts w:ascii="Arial" w:cs="Arial" w:eastAsia="Arial" w:hAnsi="Arial"/>
                <w:sz w:val="12"/>
                <w:szCs w:val="12"/>
                <w:color w:val="auto"/>
              </w:rPr>
              <w:t>(Level 1)</w:t>
            </w:r>
          </w:p>
        </w:tc>
        <w:tc>
          <w:tcPr>
            <w:tcW w:w="900" w:type="dxa"/>
            <w:vAlign w:val="bottom"/>
          </w:tcPr>
          <w:p>
            <w:pPr>
              <w:jc w:val="right"/>
              <w:ind w:right="162"/>
              <w:spacing w:after="0"/>
              <w:rPr>
                <w:sz w:val="20"/>
                <w:szCs w:val="20"/>
                <w:color w:val="auto"/>
              </w:rPr>
            </w:pPr>
            <w:r>
              <w:rPr>
                <w:rFonts w:ascii="Arial" w:cs="Arial" w:eastAsia="Arial" w:hAnsi="Arial"/>
                <w:sz w:val="12"/>
                <w:szCs w:val="12"/>
                <w:color w:val="auto"/>
              </w:rPr>
              <w:t>(Level 2)</w:t>
            </w:r>
          </w:p>
        </w:tc>
        <w:tc>
          <w:tcPr>
            <w:tcW w:w="860" w:type="dxa"/>
            <w:vAlign w:val="bottom"/>
          </w:tcPr>
          <w:p>
            <w:pPr>
              <w:jc w:val="right"/>
              <w:spacing w:after="0"/>
              <w:rPr>
                <w:sz w:val="20"/>
                <w:szCs w:val="20"/>
                <w:color w:val="auto"/>
              </w:rPr>
            </w:pPr>
            <w:r>
              <w:rPr>
                <w:rFonts w:ascii="Arial" w:cs="Arial" w:eastAsia="Arial" w:hAnsi="Arial"/>
                <w:sz w:val="12"/>
                <w:szCs w:val="12"/>
                <w:color w:val="auto"/>
              </w:rPr>
              <w:t>(Level 3)</w:t>
            </w:r>
          </w:p>
        </w:tc>
      </w:tr>
    </w:tbl>
    <w:p>
      <w:pPr>
        <w:spacing w:after="0" w:line="91" w:lineRule="exact"/>
        <w:rPr>
          <w:sz w:val="20"/>
          <w:szCs w:val="20"/>
          <w:color w:val="auto"/>
        </w:rPr>
      </w:pPr>
    </w:p>
    <w:p>
      <w:pPr>
        <w:sectPr>
          <w:pgSz w:w="11900" w:h="16838" w:orient="portrait"/>
          <w:cols w:equalWidth="0" w:num="2">
            <w:col w:w="6740" w:space="300"/>
            <w:col w:w="4380"/>
          </w:cols>
          <w:pgMar w:left="240" w:top="574" w:right="239" w:bottom="1440" w:gutter="0" w:footer="0" w:header="0"/>
        </w:sectPr>
      </w:pPr>
    </w:p>
    <w:p>
      <w:pPr>
        <w:ind w:left="20"/>
        <w:spacing w:after="0"/>
        <w:rPr>
          <w:sz w:val="20"/>
          <w:szCs w:val="20"/>
          <w:color w:val="auto"/>
        </w:rPr>
      </w:pPr>
      <w:r>
        <w:rPr>
          <w:rFonts w:ascii="Arial" w:cs="Arial" w:eastAsia="Arial" w:hAnsi="Arial"/>
          <w:sz w:val="15"/>
          <w:szCs w:val="15"/>
          <w:b w:val="1"/>
          <w:bCs w:val="1"/>
          <w:color w:val="auto"/>
        </w:rPr>
        <w:t>Asset Category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20" w:type="dxa"/>
            <w:vAlign w:val="bottom"/>
          </w:tcPr>
          <w:p>
            <w:pPr>
              <w:ind w:left="20"/>
              <w:spacing w:after="0"/>
              <w:rPr>
                <w:sz w:val="20"/>
                <w:szCs w:val="20"/>
                <w:color w:val="auto"/>
              </w:rPr>
            </w:pPr>
            <w:r>
              <w:rPr>
                <w:rFonts w:ascii="Arial" w:cs="Arial" w:eastAsia="Arial" w:hAnsi="Arial"/>
                <w:sz w:val="15"/>
                <w:szCs w:val="15"/>
                <w:color w:val="auto"/>
              </w:rPr>
              <w:t>Cash and cash equivalents</w:t>
            </w:r>
            <w:r>
              <w:rPr>
                <w:rFonts w:ascii="Arial" w:cs="Arial" w:eastAsia="Arial" w:hAnsi="Arial"/>
                <w:sz w:val="19"/>
                <w:szCs w:val="19"/>
                <w:color w:val="auto"/>
                <w:vertAlign w:val="superscript"/>
              </w:rPr>
              <w:t>(1)</w:t>
            </w:r>
          </w:p>
        </w:tc>
        <w:tc>
          <w:tcPr>
            <w:tcW w:w="1340" w:type="dxa"/>
            <w:vAlign w:val="bottom"/>
          </w:tcPr>
          <w:p>
            <w:pPr>
              <w:jc w:val="right"/>
              <w:ind w:right="245"/>
              <w:spacing w:after="0"/>
              <w:rPr>
                <w:sz w:val="20"/>
                <w:szCs w:val="20"/>
                <w:color w:val="auto"/>
              </w:rPr>
            </w:pPr>
            <w:r>
              <w:rPr>
                <w:rFonts w:ascii="Arial" w:cs="Arial" w:eastAsia="Arial" w:hAnsi="Arial"/>
                <w:sz w:val="15"/>
                <w:szCs w:val="15"/>
                <w:color w:val="auto"/>
              </w:rPr>
              <w:t>$0.2</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65"/>
              <w:spacing w:after="0"/>
              <w:rPr>
                <w:sz w:val="20"/>
                <w:szCs w:val="20"/>
                <w:color w:val="auto"/>
              </w:rPr>
            </w:pPr>
            <w:r>
              <w:rPr>
                <w:rFonts w:ascii="Arial" w:cs="Arial" w:eastAsia="Arial" w:hAnsi="Arial"/>
                <w:sz w:val="15"/>
                <w:szCs w:val="15"/>
                <w:color w:val="auto"/>
              </w:rPr>
              <w:t>$0.2</w:t>
            </w:r>
          </w:p>
        </w:tc>
        <w:tc>
          <w:tcPr>
            <w:tcW w:w="108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25"/>
              <w:spacing w:after="0"/>
              <w:rPr>
                <w:sz w:val="20"/>
                <w:szCs w:val="20"/>
                <w:color w:val="auto"/>
              </w:rPr>
            </w:pPr>
            <w:r>
              <w:rPr>
                <w:rFonts w:ascii="Arial" w:cs="Arial" w:eastAsia="Arial" w:hAnsi="Arial"/>
                <w:sz w:val="15"/>
                <w:szCs w:val="15"/>
                <w:color w:val="auto"/>
              </w:rPr>
              <w:t>$5.1</w:t>
            </w:r>
          </w:p>
        </w:tc>
        <w:tc>
          <w:tcPr>
            <w:tcW w:w="860" w:type="dxa"/>
            <w:vAlign w:val="bottom"/>
          </w:tcPr>
          <w:p>
            <w:pPr>
              <w:jc w:val="right"/>
              <w:ind w:right="125"/>
              <w:spacing w:after="0"/>
              <w:rPr>
                <w:sz w:val="20"/>
                <w:szCs w:val="20"/>
                <w:color w:val="auto"/>
              </w:rPr>
            </w:pPr>
            <w:r>
              <w:rPr>
                <w:rFonts w:ascii="Arial" w:cs="Arial" w:eastAsia="Arial" w:hAnsi="Arial"/>
                <w:sz w:val="15"/>
                <w:szCs w:val="15"/>
                <w:color w:val="auto"/>
              </w:rPr>
              <w:t>$5.1</w:t>
            </w:r>
          </w:p>
        </w:tc>
        <w:tc>
          <w:tcPr>
            <w:tcW w:w="96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22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Equity securities:</w:t>
            </w:r>
          </w:p>
        </w:tc>
        <w:tc>
          <w:tcPr>
            <w:tcW w:w="1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18"/>
        </w:trPr>
        <w:tc>
          <w:tcPr>
            <w:tcW w:w="2720" w:type="dxa"/>
            <w:vAlign w:val="bottom"/>
          </w:tcPr>
          <w:p>
            <w:pPr>
              <w:ind w:left="140"/>
              <w:spacing w:after="0"/>
              <w:rPr>
                <w:sz w:val="20"/>
                <w:szCs w:val="20"/>
                <w:color w:val="auto"/>
              </w:rPr>
            </w:pPr>
            <w:r>
              <w:rPr>
                <w:rFonts w:ascii="Arial" w:cs="Arial" w:eastAsia="Arial" w:hAnsi="Arial"/>
                <w:sz w:val="15"/>
                <w:szCs w:val="15"/>
                <w:color w:val="auto"/>
              </w:rPr>
              <w:t>United States companies</w:t>
            </w:r>
          </w:p>
        </w:tc>
        <w:tc>
          <w:tcPr>
            <w:tcW w:w="1340" w:type="dxa"/>
            <w:vAlign w:val="bottom"/>
          </w:tcPr>
          <w:p>
            <w:pPr>
              <w:jc w:val="right"/>
              <w:ind w:right="245"/>
              <w:spacing w:after="0"/>
              <w:rPr>
                <w:sz w:val="20"/>
                <w:szCs w:val="20"/>
                <w:color w:val="auto"/>
              </w:rPr>
            </w:pPr>
            <w:r>
              <w:rPr>
                <w:rFonts w:ascii="Arial" w:cs="Arial" w:eastAsia="Arial" w:hAnsi="Arial"/>
                <w:sz w:val="15"/>
                <w:szCs w:val="15"/>
                <w:color w:val="auto"/>
              </w:rPr>
              <w:t>12.3</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12.3</w:t>
            </w:r>
          </w:p>
        </w:tc>
        <w:tc>
          <w:tcPr>
            <w:tcW w:w="1060" w:type="dxa"/>
            <w:vAlign w:val="bottom"/>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25"/>
              <w:spacing w:after="0"/>
              <w:rPr>
                <w:sz w:val="20"/>
                <w:szCs w:val="20"/>
                <w:color w:val="auto"/>
              </w:rPr>
            </w:pPr>
            <w:r>
              <w:rPr>
                <w:rFonts w:ascii="Arial" w:cs="Arial" w:eastAsia="Arial" w:hAnsi="Arial"/>
                <w:sz w:val="15"/>
                <w:szCs w:val="15"/>
                <w:color w:val="auto"/>
              </w:rPr>
              <w:t>15.2</w:t>
            </w:r>
          </w:p>
        </w:tc>
        <w:tc>
          <w:tcPr>
            <w:tcW w:w="860" w:type="dxa"/>
            <w:vAlign w:val="bottom"/>
          </w:tcPr>
          <w:p>
            <w:pPr>
              <w:jc w:val="right"/>
              <w:ind w:right="125"/>
              <w:spacing w:after="0"/>
              <w:rPr>
                <w:sz w:val="20"/>
                <w:szCs w:val="20"/>
                <w:color w:val="auto"/>
              </w:rPr>
            </w:pPr>
            <w:r>
              <w:rPr>
                <w:rFonts w:ascii="Arial" w:cs="Arial" w:eastAsia="Arial" w:hAnsi="Arial"/>
                <w:sz w:val="15"/>
                <w:szCs w:val="15"/>
                <w:color w:val="auto"/>
              </w:rPr>
              <w:t>15.2</w:t>
            </w:r>
          </w:p>
        </w:tc>
        <w:tc>
          <w:tcPr>
            <w:tcW w:w="96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31"/>
        </w:trPr>
        <w:tc>
          <w:tcPr>
            <w:tcW w:w="2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International companies</w:t>
            </w:r>
          </w:p>
        </w:tc>
        <w:tc>
          <w:tcPr>
            <w:tcW w:w="134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rPr>
              <w:t>35.7</w:t>
            </w:r>
          </w:p>
        </w:tc>
        <w:tc>
          <w:tcPr>
            <w:tcW w:w="8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35.7</w:t>
            </w:r>
          </w:p>
        </w:tc>
        <w:tc>
          <w:tcPr>
            <w:tcW w:w="96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rPr>
              <w:t>—</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218"/>
        </w:trPr>
        <w:tc>
          <w:tcPr>
            <w:tcW w:w="2720" w:type="dxa"/>
            <w:vAlign w:val="bottom"/>
          </w:tcPr>
          <w:p>
            <w:pPr>
              <w:ind w:left="20"/>
              <w:spacing w:after="0"/>
              <w:rPr>
                <w:sz w:val="20"/>
                <w:szCs w:val="20"/>
                <w:color w:val="auto"/>
              </w:rPr>
            </w:pPr>
            <w:r>
              <w:rPr>
                <w:rFonts w:ascii="Arial" w:cs="Arial" w:eastAsia="Arial" w:hAnsi="Arial"/>
                <w:sz w:val="15"/>
                <w:szCs w:val="15"/>
                <w:color w:val="auto"/>
              </w:rPr>
              <w:t>Fixed income securities:</w:t>
            </w:r>
          </w:p>
        </w:tc>
        <w:tc>
          <w:tcPr>
            <w:tcW w:w="1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1"/>
        </w:trPr>
        <w:tc>
          <w:tcPr>
            <w:tcW w:w="2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9"/>
        </w:trPr>
        <w:tc>
          <w:tcPr>
            <w:tcW w:w="2720" w:type="dxa"/>
            <w:vAlign w:val="bottom"/>
            <w:shd w:val="clear" w:color="auto" w:fill="CCEEFF"/>
          </w:tcPr>
          <w:p>
            <w:pPr>
              <w:ind w:left="140"/>
              <w:spacing w:after="0"/>
              <w:rPr>
                <w:sz w:val="20"/>
                <w:szCs w:val="20"/>
                <w:color w:val="auto"/>
              </w:rPr>
            </w:pPr>
            <w:r>
              <w:rPr>
                <w:rFonts w:ascii="Arial" w:cs="Arial" w:eastAsia="Arial" w:hAnsi="Arial"/>
                <w:sz w:val="15"/>
                <w:szCs w:val="15"/>
                <w:color w:val="auto"/>
              </w:rPr>
              <w:t>Government bonds</w:t>
            </w:r>
            <w:r>
              <w:rPr>
                <w:rFonts w:ascii="Arial" w:cs="Arial" w:eastAsia="Arial" w:hAnsi="Arial"/>
                <w:sz w:val="19"/>
                <w:szCs w:val="19"/>
                <w:color w:val="auto"/>
                <w:vertAlign w:val="superscript"/>
              </w:rPr>
              <w:t>(2)</w:t>
            </w:r>
          </w:p>
        </w:tc>
        <w:tc>
          <w:tcPr>
            <w:tcW w:w="134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rPr>
              <w:t>15.2</w:t>
            </w:r>
          </w:p>
        </w:tc>
        <w:tc>
          <w:tcPr>
            <w:tcW w:w="9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rPr>
              <w:t>15.2</w:t>
            </w:r>
          </w:p>
        </w:tc>
        <w:tc>
          <w:tcPr>
            <w:tcW w:w="108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rPr>
              <w:t>45.2</w:t>
            </w:r>
          </w:p>
        </w:tc>
        <w:tc>
          <w:tcPr>
            <w:tcW w:w="86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rPr>
              <w:t>45.2</w:t>
            </w: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218"/>
        </w:trPr>
        <w:tc>
          <w:tcPr>
            <w:tcW w:w="2720" w:type="dxa"/>
            <w:vAlign w:val="bottom"/>
          </w:tcPr>
          <w:p>
            <w:pPr>
              <w:ind w:left="140"/>
              <w:spacing w:after="0"/>
              <w:rPr>
                <w:sz w:val="20"/>
                <w:szCs w:val="20"/>
                <w:color w:val="auto"/>
              </w:rPr>
            </w:pPr>
            <w:r>
              <w:rPr>
                <w:rFonts w:ascii="Arial" w:cs="Arial" w:eastAsia="Arial" w:hAnsi="Arial"/>
                <w:sz w:val="15"/>
                <w:szCs w:val="15"/>
                <w:color w:val="auto"/>
              </w:rPr>
              <w:t>Corporate bonds</w:t>
            </w:r>
          </w:p>
        </w:tc>
        <w:tc>
          <w:tcPr>
            <w:tcW w:w="1340" w:type="dxa"/>
            <w:vAlign w:val="bottom"/>
          </w:tcPr>
          <w:p>
            <w:pPr>
              <w:jc w:val="right"/>
              <w:ind w:right="245"/>
              <w:spacing w:after="0"/>
              <w:rPr>
                <w:sz w:val="20"/>
                <w:szCs w:val="20"/>
                <w:color w:val="auto"/>
              </w:rPr>
            </w:pPr>
            <w:r>
              <w:rPr>
                <w:rFonts w:ascii="Arial" w:cs="Arial" w:eastAsia="Arial" w:hAnsi="Arial"/>
                <w:sz w:val="15"/>
                <w:szCs w:val="15"/>
                <w:color w:val="auto"/>
              </w:rPr>
              <w:t>11.0</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65"/>
              <w:spacing w:after="0"/>
              <w:rPr>
                <w:sz w:val="20"/>
                <w:szCs w:val="20"/>
                <w:color w:val="auto"/>
              </w:rPr>
            </w:pPr>
            <w:r>
              <w:rPr>
                <w:rFonts w:ascii="Arial" w:cs="Arial" w:eastAsia="Arial" w:hAnsi="Arial"/>
                <w:sz w:val="15"/>
                <w:szCs w:val="15"/>
                <w:color w:val="auto"/>
              </w:rPr>
              <w:t>11.0</w:t>
            </w:r>
          </w:p>
        </w:tc>
        <w:tc>
          <w:tcPr>
            <w:tcW w:w="108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25"/>
              <w:spacing w:after="0"/>
              <w:rPr>
                <w:sz w:val="20"/>
                <w:szCs w:val="20"/>
                <w:color w:val="auto"/>
              </w:rPr>
            </w:pPr>
            <w:r>
              <w:rPr>
                <w:rFonts w:ascii="Arial" w:cs="Arial" w:eastAsia="Arial" w:hAnsi="Arial"/>
                <w:sz w:val="15"/>
                <w:szCs w:val="15"/>
                <w:color w:val="auto"/>
              </w:rPr>
              <w:t>59.8</w:t>
            </w:r>
          </w:p>
        </w:tc>
        <w:tc>
          <w:tcPr>
            <w:tcW w:w="86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5"/>
              <w:spacing w:after="0"/>
              <w:rPr>
                <w:sz w:val="20"/>
                <w:szCs w:val="20"/>
                <w:color w:val="auto"/>
              </w:rPr>
            </w:pPr>
            <w:r>
              <w:rPr>
                <w:rFonts w:ascii="Arial" w:cs="Arial" w:eastAsia="Arial" w:hAnsi="Arial"/>
                <w:sz w:val="15"/>
                <w:szCs w:val="15"/>
                <w:color w:val="auto"/>
              </w:rPr>
              <w:t>59.8</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31"/>
        </w:trPr>
        <w:tc>
          <w:tcPr>
            <w:tcW w:w="2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Guaranteed insurance contracts</w:t>
            </w:r>
          </w:p>
        </w:tc>
        <w:tc>
          <w:tcPr>
            <w:tcW w:w="134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rPr>
              <w:t>17.6</w:t>
            </w:r>
          </w:p>
        </w:tc>
        <w:tc>
          <w:tcPr>
            <w:tcW w:w="8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rPr>
              <w:t>17.6</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218"/>
        </w:trPr>
        <w:tc>
          <w:tcPr>
            <w:tcW w:w="2720" w:type="dxa"/>
            <w:vAlign w:val="bottom"/>
          </w:tcPr>
          <w:p>
            <w:pPr>
              <w:ind w:left="140"/>
              <w:spacing w:after="0"/>
              <w:rPr>
                <w:sz w:val="20"/>
                <w:szCs w:val="20"/>
                <w:color w:val="auto"/>
              </w:rPr>
            </w:pPr>
            <w:r>
              <w:rPr>
                <w:rFonts w:ascii="Arial" w:cs="Arial" w:eastAsia="Arial" w:hAnsi="Arial"/>
                <w:sz w:val="15"/>
                <w:szCs w:val="15"/>
                <w:color w:val="auto"/>
              </w:rPr>
              <w:t>Annuity contract</w:t>
            </w:r>
          </w:p>
        </w:tc>
        <w:tc>
          <w:tcPr>
            <w:tcW w:w="134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25"/>
              <w:spacing w:after="0"/>
              <w:rPr>
                <w:sz w:val="20"/>
                <w:szCs w:val="20"/>
                <w:color w:val="auto"/>
              </w:rPr>
            </w:pPr>
            <w:r>
              <w:rPr>
                <w:rFonts w:ascii="Arial" w:cs="Arial" w:eastAsia="Arial" w:hAnsi="Arial"/>
                <w:sz w:val="15"/>
                <w:szCs w:val="15"/>
                <w:color w:val="auto"/>
              </w:rPr>
              <w:t>55.3</w:t>
            </w:r>
          </w:p>
        </w:tc>
        <w:tc>
          <w:tcPr>
            <w:tcW w:w="86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5"/>
              <w:spacing w:after="0"/>
              <w:rPr>
                <w:sz w:val="20"/>
                <w:szCs w:val="20"/>
                <w:color w:val="auto"/>
              </w:rPr>
            </w:pPr>
            <w:r>
              <w:rPr>
                <w:rFonts w:ascii="Arial" w:cs="Arial" w:eastAsia="Arial" w:hAnsi="Arial"/>
                <w:sz w:val="15"/>
                <w:szCs w:val="15"/>
                <w:color w:val="auto"/>
              </w:rPr>
              <w:t>55.3</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31"/>
        </w:trPr>
        <w:tc>
          <w:tcPr>
            <w:tcW w:w="2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types of investments:</w:t>
            </w:r>
          </w:p>
        </w:tc>
        <w:tc>
          <w:tcPr>
            <w:tcW w:w="1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249"/>
        </w:trPr>
        <w:tc>
          <w:tcPr>
            <w:tcW w:w="2720" w:type="dxa"/>
            <w:vAlign w:val="bottom"/>
          </w:tcPr>
          <w:p>
            <w:pPr>
              <w:ind w:left="140"/>
              <w:spacing w:after="0"/>
              <w:rPr>
                <w:sz w:val="20"/>
                <w:szCs w:val="20"/>
                <w:color w:val="auto"/>
              </w:rPr>
            </w:pPr>
            <w:r>
              <w:rPr>
                <w:rFonts w:ascii="Arial" w:cs="Arial" w:eastAsia="Arial" w:hAnsi="Arial"/>
                <w:sz w:val="15"/>
                <w:szCs w:val="15"/>
                <w:color w:val="auto"/>
              </w:rPr>
              <w:t>Unitized funds</w:t>
            </w:r>
            <w:r>
              <w:rPr>
                <w:rFonts w:ascii="Arial" w:cs="Arial" w:eastAsia="Arial" w:hAnsi="Arial"/>
                <w:sz w:val="19"/>
                <w:szCs w:val="19"/>
                <w:color w:val="auto"/>
                <w:vertAlign w:val="superscript"/>
              </w:rPr>
              <w:t>(3)</w:t>
            </w:r>
          </w:p>
        </w:tc>
        <w:tc>
          <w:tcPr>
            <w:tcW w:w="134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25"/>
              <w:spacing w:after="0"/>
              <w:rPr>
                <w:sz w:val="20"/>
                <w:szCs w:val="20"/>
                <w:color w:val="auto"/>
              </w:rPr>
            </w:pPr>
            <w:r>
              <w:rPr>
                <w:rFonts w:ascii="Arial" w:cs="Arial" w:eastAsia="Arial" w:hAnsi="Arial"/>
                <w:sz w:val="15"/>
                <w:szCs w:val="15"/>
                <w:color w:val="auto"/>
              </w:rPr>
              <w:t>25.8</w:t>
            </w:r>
          </w:p>
        </w:tc>
        <w:tc>
          <w:tcPr>
            <w:tcW w:w="860" w:type="dxa"/>
            <w:vAlign w:val="bottom"/>
          </w:tcPr>
          <w:p>
            <w:pPr>
              <w:jc w:val="right"/>
              <w:ind w:right="125"/>
              <w:spacing w:after="0"/>
              <w:rPr>
                <w:sz w:val="20"/>
                <w:szCs w:val="20"/>
                <w:color w:val="auto"/>
              </w:rPr>
            </w:pPr>
            <w:r>
              <w:rPr>
                <w:rFonts w:ascii="Arial" w:cs="Arial" w:eastAsia="Arial" w:hAnsi="Arial"/>
                <w:sz w:val="15"/>
                <w:szCs w:val="15"/>
                <w:color w:val="auto"/>
              </w:rPr>
              <w:t>25.8</w:t>
            </w:r>
          </w:p>
        </w:tc>
        <w:tc>
          <w:tcPr>
            <w:tcW w:w="96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229"/>
        </w:trPr>
        <w:tc>
          <w:tcPr>
            <w:tcW w:w="2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Real estate funds</w:t>
            </w:r>
          </w:p>
        </w:tc>
        <w:tc>
          <w:tcPr>
            <w:tcW w:w="134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rPr>
              <w:t>8.2</w:t>
            </w:r>
          </w:p>
        </w:tc>
        <w:tc>
          <w:tcPr>
            <w:tcW w:w="8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rPr>
              <w:t>8.2</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218"/>
        </w:trPr>
        <w:tc>
          <w:tcPr>
            <w:tcW w:w="2720" w:type="dxa"/>
            <w:vAlign w:val="bottom"/>
          </w:tcPr>
          <w:p>
            <w:pPr>
              <w:ind w:left="140"/>
              <w:spacing w:after="0"/>
              <w:rPr>
                <w:sz w:val="20"/>
                <w:szCs w:val="20"/>
                <w:color w:val="auto"/>
              </w:rPr>
            </w:pPr>
            <w:r>
              <w:rPr>
                <w:rFonts w:ascii="Arial" w:cs="Arial" w:eastAsia="Arial" w:hAnsi="Arial"/>
                <w:sz w:val="15"/>
                <w:szCs w:val="15"/>
                <w:color w:val="auto"/>
              </w:rPr>
              <w:t>Insurance contracts</w:t>
            </w:r>
          </w:p>
        </w:tc>
        <w:tc>
          <w:tcPr>
            <w:tcW w:w="134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85"/>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365"/>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225"/>
              <w:spacing w:after="0"/>
              <w:rPr>
                <w:sz w:val="20"/>
                <w:szCs w:val="20"/>
                <w:color w:val="auto"/>
              </w:rPr>
            </w:pPr>
            <w:r>
              <w:rPr>
                <w:rFonts w:ascii="Arial" w:cs="Arial" w:eastAsia="Arial" w:hAnsi="Arial"/>
                <w:sz w:val="15"/>
                <w:szCs w:val="15"/>
                <w:color w:val="auto"/>
              </w:rPr>
              <w:t>108.8</w:t>
            </w:r>
          </w:p>
        </w:tc>
        <w:tc>
          <w:tcPr>
            <w:tcW w:w="860" w:type="dxa"/>
            <w:vAlign w:val="bottom"/>
          </w:tcPr>
          <w:p>
            <w:pPr>
              <w:jc w:val="right"/>
              <w:ind w:right="125"/>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245"/>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108.8</w:t>
            </w:r>
          </w:p>
        </w:tc>
      </w:tr>
      <w:tr>
        <w:trPr>
          <w:trHeight w:val="31"/>
        </w:trPr>
        <w:tc>
          <w:tcPr>
            <w:tcW w:w="27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2"/>
        </w:trPr>
        <w:tc>
          <w:tcPr>
            <w:tcW w:w="27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rPr>
              <w:t>$38.7</w:t>
            </w:r>
          </w:p>
        </w:tc>
        <w:tc>
          <w:tcPr>
            <w:tcW w:w="940" w:type="dxa"/>
            <w:vAlign w:val="bottom"/>
            <w:tcBorders>
              <w:bottom w:val="single" w:sz="8" w:color="CCEEFF"/>
            </w:tcBorders>
            <w:shd w:val="clear" w:color="auto" w:fill="CCEEFF"/>
          </w:tcPr>
          <w:p>
            <w:pPr>
              <w:jc w:val="right"/>
              <w:ind w:right="185"/>
              <w:spacing w:after="0"/>
              <w:rPr>
                <w:sz w:val="20"/>
                <w:szCs w:val="20"/>
                <w:color w:val="auto"/>
              </w:rPr>
            </w:pPr>
            <w:r>
              <w:rPr>
                <w:rFonts w:ascii="Arial" w:cs="Arial" w:eastAsia="Arial" w:hAnsi="Arial"/>
                <w:sz w:val="15"/>
                <w:szCs w:val="15"/>
                <w:color w:val="auto"/>
              </w:rPr>
              <w:t>$12.3</w:t>
            </w:r>
          </w:p>
        </w:tc>
        <w:tc>
          <w:tcPr>
            <w:tcW w:w="106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rPr>
              <w:t>$26.4</w:t>
            </w:r>
          </w:p>
        </w:tc>
        <w:tc>
          <w:tcPr>
            <w:tcW w:w="1080" w:type="dxa"/>
            <w:vAlign w:val="bottom"/>
            <w:tcBorders>
              <w:bottom w:val="single" w:sz="8" w:color="CCEEFF"/>
            </w:tcBorders>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CCEEFF"/>
            </w:tcBorders>
            <w:shd w:val="clear" w:color="auto" w:fill="CCEEFF"/>
          </w:tcPr>
          <w:p>
            <w:pPr>
              <w:jc w:val="right"/>
              <w:ind w:right="225"/>
              <w:spacing w:after="0"/>
              <w:rPr>
                <w:sz w:val="20"/>
                <w:szCs w:val="20"/>
                <w:color w:val="auto"/>
              </w:rPr>
            </w:pPr>
            <w:r>
              <w:rPr>
                <w:rFonts w:ascii="Arial" w:cs="Arial" w:eastAsia="Arial" w:hAnsi="Arial"/>
                <w:sz w:val="15"/>
                <w:szCs w:val="15"/>
                <w:color w:val="auto"/>
              </w:rPr>
              <w:t>$376.7</w:t>
            </w:r>
          </w:p>
        </w:tc>
        <w:tc>
          <w:tcPr>
            <w:tcW w:w="860" w:type="dxa"/>
            <w:vAlign w:val="bottom"/>
            <w:tcBorders>
              <w:bottom w:val="single" w:sz="8" w:color="CCEEFF"/>
            </w:tcBorders>
            <w:shd w:val="clear" w:color="auto" w:fill="CCEEFF"/>
          </w:tcPr>
          <w:p>
            <w:pPr>
              <w:jc w:val="right"/>
              <w:ind w:right="125"/>
              <w:spacing w:after="0"/>
              <w:rPr>
                <w:sz w:val="20"/>
                <w:szCs w:val="20"/>
                <w:color w:val="auto"/>
              </w:rPr>
            </w:pPr>
            <w:r>
              <w:rPr>
                <w:rFonts w:ascii="Arial" w:cs="Arial" w:eastAsia="Arial" w:hAnsi="Arial"/>
                <w:sz w:val="15"/>
                <w:szCs w:val="15"/>
                <w:color w:val="auto"/>
              </w:rPr>
              <w:t>$81.8</w:t>
            </w:r>
          </w:p>
        </w:tc>
        <w:tc>
          <w:tcPr>
            <w:tcW w:w="960" w:type="dxa"/>
            <w:vAlign w:val="bottom"/>
            <w:tcBorders>
              <w:bottom w:val="single" w:sz="8" w:color="CCEEFF"/>
            </w:tcBorders>
            <w:shd w:val="clear" w:color="auto" w:fill="CCEEFF"/>
          </w:tcPr>
          <w:p>
            <w:pPr>
              <w:jc w:val="right"/>
              <w:ind w:right="245"/>
              <w:spacing w:after="0"/>
              <w:rPr>
                <w:sz w:val="20"/>
                <w:szCs w:val="20"/>
                <w:color w:val="auto"/>
              </w:rPr>
            </w:pPr>
            <w:r>
              <w:rPr>
                <w:rFonts w:ascii="Arial" w:cs="Arial" w:eastAsia="Arial" w:hAnsi="Arial"/>
                <w:sz w:val="15"/>
                <w:szCs w:val="15"/>
                <w:color w:val="auto"/>
              </w:rPr>
              <w:t>$186.1</w:t>
            </w:r>
          </w:p>
        </w:tc>
        <w:tc>
          <w:tcPr>
            <w:tcW w:w="8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$108.8</w:t>
            </w:r>
          </w:p>
        </w:tc>
      </w:tr>
      <w:tr>
        <w:trPr>
          <w:trHeight w:val="20"/>
        </w:trPr>
        <w:tc>
          <w:tcPr>
            <w:tcW w:w="27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282A32"/>
        </w:rPr>
        <w:t>(1)This category includes a prime obligations money market portfolio.</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282A32"/>
        </w:rPr>
        <w:t>(2)This category includes United States Treasury/Federal agency securities and foreign government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282A32"/>
        </w:rPr>
        <w:t>(3)This category includes investments in approximately 60% equity securities, 30% fixed income securities and 10% cash.</w:t>
      </w:r>
    </w:p>
    <w:p>
      <w:pPr>
        <w:spacing w:after="0" w:line="247" w:lineRule="exact"/>
        <w:rPr>
          <w:sz w:val="20"/>
          <w:szCs w:val="20"/>
          <w:color w:val="auto"/>
        </w:rPr>
      </w:pPr>
    </w:p>
    <w:p>
      <w:pPr>
        <w:spacing w:after="0" w:line="265" w:lineRule="auto"/>
        <w:rPr>
          <w:sz w:val="20"/>
          <w:szCs w:val="20"/>
          <w:color w:val="auto"/>
        </w:rPr>
      </w:pPr>
      <w:r>
        <w:rPr>
          <w:rFonts w:ascii="Arial" w:cs="Arial" w:eastAsia="Arial" w:hAnsi="Arial"/>
          <w:sz w:val="17"/>
          <w:szCs w:val="17"/>
          <w:color w:val="282A32"/>
        </w:rPr>
        <w:t>The following table summarizes the changes in fair value of the pension assets that are measured using Level 3 inputs. We determined that transfers between fair-value-measurement levels occurred on the date of the event that caused the transfer.</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tcPr>
          <w:p>
            <w:pPr>
              <w:ind w:left="20"/>
              <w:spacing w:after="0"/>
              <w:rPr>
                <w:sz w:val="20"/>
                <w:szCs w:val="20"/>
                <w:color w:val="auto"/>
              </w:rPr>
            </w:pPr>
            <w:r>
              <w:rPr>
                <w:rFonts w:ascii="Arial" w:cs="Arial" w:eastAsia="Arial" w:hAnsi="Arial"/>
                <w:sz w:val="17"/>
                <w:szCs w:val="17"/>
                <w:color w:val="auto"/>
              </w:rPr>
              <w:t>Year Ended December 31</w:t>
            </w:r>
          </w:p>
        </w:tc>
        <w:tc>
          <w:tcPr>
            <w:tcW w:w="6380" w:type="dxa"/>
            <w:vAlign w:val="bottom"/>
          </w:tcPr>
          <w:p>
            <w:pPr>
              <w:jc w:val="right"/>
              <w:ind w:right="277"/>
              <w:spacing w:after="0"/>
              <w:rPr>
                <w:sz w:val="20"/>
                <w:szCs w:val="20"/>
                <w:color w:val="auto"/>
              </w:rPr>
            </w:pPr>
            <w:r>
              <w:rPr>
                <w:rFonts w:ascii="Arial" w:cs="Arial" w:eastAsia="Arial" w:hAnsi="Arial"/>
                <w:sz w:val="17"/>
                <w:szCs w:val="17"/>
                <w:color w:val="auto"/>
              </w:rPr>
              <w:t>2018</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2017</w:t>
            </w:r>
          </w:p>
        </w:tc>
      </w:tr>
      <w:tr>
        <w:trPr>
          <w:trHeight w:val="25"/>
        </w:trPr>
        <w:tc>
          <w:tcPr>
            <w:tcW w:w="416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beginning of year</w:t>
            </w:r>
          </w:p>
        </w:tc>
        <w:tc>
          <w:tcPr>
            <w:tcW w:w="63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$108.8</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$126.2</w:t>
            </w:r>
          </w:p>
        </w:tc>
      </w:tr>
      <w:tr>
        <w:trPr>
          <w:trHeight w:val="224"/>
        </w:trPr>
        <w:tc>
          <w:tcPr>
            <w:tcW w:w="4160" w:type="dxa"/>
            <w:vAlign w:val="bottom"/>
          </w:tcPr>
          <w:p>
            <w:pPr>
              <w:ind w:left="280"/>
              <w:spacing w:after="0"/>
              <w:rPr>
                <w:sz w:val="20"/>
                <w:szCs w:val="20"/>
                <w:color w:val="auto"/>
              </w:rPr>
            </w:pPr>
            <w:r>
              <w:rPr>
                <w:rFonts w:ascii="Arial" w:cs="Arial" w:eastAsia="Arial" w:hAnsi="Arial"/>
                <w:sz w:val="17"/>
                <w:szCs w:val="17"/>
                <w:color w:val="auto"/>
              </w:rPr>
              <w:t>Transfers</w:t>
            </w:r>
          </w:p>
        </w:tc>
        <w:tc>
          <w:tcPr>
            <w:tcW w:w="6380" w:type="dxa"/>
            <w:vAlign w:val="bottom"/>
          </w:tcPr>
          <w:p>
            <w:pPr>
              <w:jc w:val="right"/>
              <w:ind w:right="277"/>
              <w:spacing w:after="0"/>
              <w:rPr>
                <w:sz w:val="20"/>
                <w:szCs w:val="20"/>
                <w:color w:val="auto"/>
              </w:rPr>
            </w:pPr>
            <w:r>
              <w:rPr>
                <w:rFonts w:ascii="Arial" w:cs="Arial" w:eastAsia="Arial" w:hAnsi="Arial"/>
                <w:sz w:val="17"/>
                <w:szCs w:val="17"/>
                <w:color w:val="auto"/>
              </w:rPr>
              <w:t>46.2</w:t>
            </w:r>
          </w:p>
        </w:tc>
        <w:tc>
          <w:tcPr>
            <w:tcW w:w="880" w:type="dxa"/>
            <w:vAlign w:val="bottom"/>
          </w:tcPr>
          <w:p>
            <w:pPr>
              <w:jc w:val="right"/>
              <w:spacing w:after="0"/>
              <w:rPr>
                <w:sz w:val="20"/>
                <w:szCs w:val="20"/>
                <w:color w:val="auto"/>
              </w:rPr>
            </w:pPr>
            <w:r>
              <w:rPr>
                <w:rFonts w:ascii="Arial" w:cs="Arial" w:eastAsia="Arial" w:hAnsi="Arial"/>
                <w:sz w:val="17"/>
                <w:szCs w:val="17"/>
                <w:color w:val="auto"/>
              </w:rPr>
              <w:t>(25.4)</w:t>
            </w:r>
          </w:p>
        </w:tc>
      </w:tr>
      <w:tr>
        <w:trPr>
          <w:trHeight w:val="25"/>
        </w:trPr>
        <w:tc>
          <w:tcPr>
            <w:tcW w:w="41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Actual return on plan assets</w:t>
            </w:r>
          </w:p>
        </w:tc>
        <w:tc>
          <w:tcPr>
            <w:tcW w:w="638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4.2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24"/>
        </w:trPr>
        <w:tc>
          <w:tcPr>
            <w:tcW w:w="4160" w:type="dxa"/>
            <w:vAlign w:val="bottom"/>
          </w:tcPr>
          <w:p>
            <w:pPr>
              <w:ind w:left="280"/>
              <w:spacing w:after="0"/>
              <w:rPr>
                <w:sz w:val="20"/>
                <w:szCs w:val="20"/>
                <w:color w:val="auto"/>
              </w:rPr>
            </w:pPr>
            <w:r>
              <w:rPr>
                <w:rFonts w:ascii="Arial" w:cs="Arial" w:eastAsia="Arial" w:hAnsi="Arial"/>
                <w:sz w:val="17"/>
                <w:szCs w:val="17"/>
                <w:color w:val="auto"/>
              </w:rPr>
              <w:t>Purchases, sales and settlements, net</w:t>
            </w:r>
          </w:p>
        </w:tc>
        <w:tc>
          <w:tcPr>
            <w:tcW w:w="6380" w:type="dxa"/>
            <w:vAlign w:val="bottom"/>
          </w:tcPr>
          <w:p>
            <w:pPr>
              <w:jc w:val="right"/>
              <w:ind w:right="217"/>
              <w:spacing w:after="0"/>
              <w:rPr>
                <w:sz w:val="20"/>
                <w:szCs w:val="20"/>
                <w:color w:val="auto"/>
              </w:rPr>
            </w:pPr>
            <w:r>
              <w:rPr>
                <w:rFonts w:ascii="Arial" w:cs="Arial" w:eastAsia="Arial" w:hAnsi="Arial"/>
                <w:sz w:val="17"/>
                <w:szCs w:val="17"/>
                <w:color w:val="auto"/>
              </w:rPr>
              <w:t>(0.3)</w:t>
            </w:r>
          </w:p>
        </w:tc>
        <w:tc>
          <w:tcPr>
            <w:tcW w:w="880" w:type="dxa"/>
            <w:vAlign w:val="bottom"/>
          </w:tcPr>
          <w:p>
            <w:pPr>
              <w:jc w:val="right"/>
              <w:spacing w:after="0"/>
              <w:rPr>
                <w:sz w:val="20"/>
                <w:szCs w:val="20"/>
                <w:color w:val="auto"/>
              </w:rPr>
            </w:pPr>
            <w:r>
              <w:rPr>
                <w:rFonts w:ascii="Arial" w:cs="Arial" w:eastAsia="Arial" w:hAnsi="Arial"/>
                <w:sz w:val="17"/>
                <w:szCs w:val="17"/>
                <w:color w:val="auto"/>
              </w:rPr>
              <w:t>(0.6)</w:t>
            </w:r>
          </w:p>
        </w:tc>
      </w:tr>
      <w:tr>
        <w:trPr>
          <w:trHeight w:val="25"/>
        </w:trPr>
        <w:tc>
          <w:tcPr>
            <w:tcW w:w="4160" w:type="dxa"/>
            <w:vAlign w:val="bottom"/>
          </w:tcPr>
          <w:p>
            <w:pPr>
              <w:spacing w:after="0"/>
              <w:rPr>
                <w:sz w:val="2"/>
                <w:szCs w:val="2"/>
                <w:color w:val="auto"/>
              </w:rPr>
            </w:pPr>
          </w:p>
        </w:tc>
        <w:tc>
          <w:tcPr>
            <w:tcW w:w="6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4"/>
        </w:trPr>
        <w:tc>
          <w:tcPr>
            <w:tcW w:w="4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Currency exchange rate changes</w:t>
            </w:r>
          </w:p>
        </w:tc>
        <w:tc>
          <w:tcPr>
            <w:tcW w:w="63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(5.0)</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13.9</w:t>
            </w:r>
          </w:p>
        </w:tc>
      </w:tr>
      <w:tr>
        <w:trPr>
          <w:trHeight w:val="217"/>
        </w:trPr>
        <w:tc>
          <w:tcPr>
            <w:tcW w:w="41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Balance, end of year</w:t>
            </w:r>
          </w:p>
        </w:tc>
        <w:tc>
          <w:tcPr>
            <w:tcW w:w="6380" w:type="dxa"/>
            <w:vAlign w:val="bottom"/>
            <w:tcBorders>
              <w:top w:val="single" w:sz="8" w:color="auto"/>
            </w:tcBorders>
          </w:tcPr>
          <w:p>
            <w:pPr>
              <w:jc w:val="right"/>
              <w:ind w:right="277"/>
              <w:spacing w:after="0"/>
              <w:rPr>
                <w:sz w:val="20"/>
                <w:szCs w:val="20"/>
                <w:color w:val="auto"/>
              </w:rPr>
            </w:pPr>
            <w:r>
              <w:rPr>
                <w:rFonts w:ascii="Arial" w:cs="Arial" w:eastAsia="Arial" w:hAnsi="Arial"/>
                <w:sz w:val="17"/>
                <w:szCs w:val="17"/>
                <w:color w:val="auto"/>
              </w:rPr>
              <w:t>$153.9</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$108.8</w:t>
            </w:r>
          </w:p>
        </w:tc>
      </w:tr>
      <w:tr>
        <w:trPr>
          <w:trHeight w:val="25"/>
        </w:trPr>
        <w:tc>
          <w:tcPr>
            <w:tcW w:w="4160" w:type="dxa"/>
            <w:vAlign w:val="bottom"/>
            <w:tcBorders>
              <w:bottom w:val="single" w:sz="8" w:color="auto"/>
            </w:tcBorders>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66"/>
        </w:trPr>
        <w:tc>
          <w:tcPr>
            <w:tcW w:w="4160" w:type="dxa"/>
            <w:vAlign w:val="bottom"/>
          </w:tcPr>
          <w:p>
            <w:pPr>
              <w:spacing w:after="0"/>
              <w:rPr>
                <w:sz w:val="24"/>
                <w:szCs w:val="24"/>
                <w:color w:val="auto"/>
              </w:rPr>
            </w:pPr>
          </w:p>
        </w:tc>
        <w:tc>
          <w:tcPr>
            <w:tcW w:w="6380" w:type="dxa"/>
            <w:vAlign w:val="bottom"/>
          </w:tcPr>
          <w:p>
            <w:pPr>
              <w:jc w:val="right"/>
              <w:ind w:right="4657"/>
              <w:spacing w:after="0"/>
              <w:rPr>
                <w:sz w:val="20"/>
                <w:szCs w:val="20"/>
                <w:color w:val="auto"/>
              </w:rPr>
            </w:pPr>
            <w:r>
              <w:rPr>
                <w:rFonts w:ascii="Arial" w:cs="Arial" w:eastAsia="Arial" w:hAnsi="Arial"/>
                <w:sz w:val="17"/>
                <w:szCs w:val="17"/>
                <w:color w:val="auto"/>
              </w:rPr>
              <w:t>83</w:t>
            </w:r>
          </w:p>
        </w:tc>
        <w:tc>
          <w:tcPr>
            <w:tcW w:w="880" w:type="dxa"/>
            <w:vAlign w:val="bottom"/>
          </w:tcPr>
          <w:p>
            <w:pPr>
              <w:spacing w:after="0"/>
              <w:rPr>
                <w:sz w:val="24"/>
                <w:szCs w:val="24"/>
                <w:color w:val="auto"/>
              </w:rPr>
            </w:pPr>
          </w:p>
        </w:tc>
      </w:tr>
    </w:tbl>
    <w:p>
      <w:pPr>
        <w:sectPr>
          <w:pgSz w:w="11900" w:h="16838" w:orient="portrait"/>
          <w:cols w:equalWidth="0" w:num="1">
            <w:col w:w="11420"/>
          </w:cols>
          <w:pgMar w:left="240" w:top="574" w:right="2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7"/>
          <w:szCs w:val="17"/>
          <w:i w:val="1"/>
          <w:iCs w:val="1"/>
          <w:color w:val="282A32"/>
        </w:rPr>
        <w:t>Retiree Health Care Plan</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7"/>
          <w:szCs w:val="17"/>
          <w:color w:val="282A32"/>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20" w:type="dxa"/>
            <w:vAlign w:val="bottom"/>
          </w:tcPr>
          <w:p>
            <w:pPr>
              <w:ind w:left="20"/>
              <w:spacing w:after="0"/>
              <w:rPr>
                <w:sz w:val="20"/>
                <w:szCs w:val="20"/>
                <w:color w:val="auto"/>
              </w:rPr>
            </w:pPr>
            <w:r>
              <w:rPr>
                <w:rFonts w:ascii="Arial" w:cs="Arial" w:eastAsia="Arial" w:hAnsi="Arial"/>
                <w:sz w:val="17"/>
                <w:szCs w:val="17"/>
                <w:color w:val="auto"/>
              </w:rPr>
              <w:t>Year Ended December 31</w:t>
            </w:r>
          </w:p>
        </w:tc>
        <w:tc>
          <w:tcPr>
            <w:tcW w:w="4440" w:type="dxa"/>
            <w:vAlign w:val="bottom"/>
          </w:tcPr>
          <w:p>
            <w:pPr>
              <w:jc w:val="right"/>
              <w:ind w:right="297"/>
              <w:spacing w:after="0"/>
              <w:rPr>
                <w:sz w:val="20"/>
                <w:szCs w:val="20"/>
                <w:color w:val="auto"/>
              </w:rPr>
            </w:pPr>
            <w:r>
              <w:rPr>
                <w:rFonts w:ascii="Arial" w:cs="Arial" w:eastAsia="Arial" w:hAnsi="Arial"/>
                <w:sz w:val="17"/>
                <w:szCs w:val="17"/>
                <w:color w:val="auto"/>
              </w:rPr>
              <w:t>2018</w:t>
            </w: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2017</w:t>
            </w:r>
          </w:p>
        </w:tc>
      </w:tr>
      <w:tr>
        <w:trPr>
          <w:trHeight w:val="25"/>
        </w:trPr>
        <w:tc>
          <w:tcPr>
            <w:tcW w:w="61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Change in Benefit Obligation</w:t>
            </w:r>
          </w:p>
        </w:tc>
        <w:tc>
          <w:tcPr>
            <w:tcW w:w="44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24"/>
        </w:trPr>
        <w:tc>
          <w:tcPr>
            <w:tcW w:w="6120" w:type="dxa"/>
            <w:vAlign w:val="bottom"/>
          </w:tcPr>
          <w:p>
            <w:pPr>
              <w:ind w:left="20"/>
              <w:spacing w:after="0"/>
              <w:rPr>
                <w:sz w:val="20"/>
                <w:szCs w:val="20"/>
                <w:color w:val="auto"/>
              </w:rPr>
            </w:pPr>
            <w:r>
              <w:rPr>
                <w:rFonts w:ascii="Arial" w:cs="Arial" w:eastAsia="Arial" w:hAnsi="Arial"/>
                <w:sz w:val="17"/>
                <w:szCs w:val="17"/>
                <w:color w:val="auto"/>
              </w:rPr>
              <w:t>Benefit obligation, beginning of year</w:t>
            </w:r>
          </w:p>
        </w:tc>
        <w:tc>
          <w:tcPr>
            <w:tcW w:w="4440" w:type="dxa"/>
            <w:vAlign w:val="bottom"/>
          </w:tcPr>
          <w:p>
            <w:pPr>
              <w:jc w:val="right"/>
              <w:ind w:right="297"/>
              <w:spacing w:after="0"/>
              <w:rPr>
                <w:sz w:val="20"/>
                <w:szCs w:val="20"/>
                <w:color w:val="auto"/>
              </w:rPr>
            </w:pPr>
            <w:r>
              <w:rPr>
                <w:rFonts w:ascii="Arial" w:cs="Arial" w:eastAsia="Arial" w:hAnsi="Arial"/>
                <w:sz w:val="17"/>
                <w:szCs w:val="17"/>
                <w:color w:val="auto"/>
              </w:rPr>
              <w:t>$14.9</w:t>
            </w: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$15.6</w:t>
            </w:r>
          </w:p>
        </w:tc>
      </w:tr>
      <w:tr>
        <w:trPr>
          <w:trHeight w:val="25"/>
        </w:trPr>
        <w:tc>
          <w:tcPr>
            <w:tcW w:w="6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Interest cost</w:t>
            </w:r>
          </w:p>
        </w:tc>
        <w:tc>
          <w:tcPr>
            <w:tcW w:w="444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auto"/>
              </w:rPr>
              <w:t>0.5</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0.6</w:t>
            </w:r>
          </w:p>
        </w:tc>
      </w:tr>
      <w:tr>
        <w:trPr>
          <w:trHeight w:val="224"/>
        </w:trPr>
        <w:tc>
          <w:tcPr>
            <w:tcW w:w="6120" w:type="dxa"/>
            <w:vAlign w:val="bottom"/>
          </w:tcPr>
          <w:p>
            <w:pPr>
              <w:ind w:left="280"/>
              <w:spacing w:after="0"/>
              <w:rPr>
                <w:sz w:val="20"/>
                <w:szCs w:val="20"/>
                <w:color w:val="auto"/>
              </w:rPr>
            </w:pPr>
            <w:r>
              <w:rPr>
                <w:rFonts w:ascii="Arial" w:cs="Arial" w:eastAsia="Arial" w:hAnsi="Arial"/>
                <w:sz w:val="17"/>
                <w:szCs w:val="17"/>
                <w:color w:val="auto"/>
              </w:rPr>
              <w:t>Actuarial gain</w:t>
            </w:r>
          </w:p>
        </w:tc>
        <w:tc>
          <w:tcPr>
            <w:tcW w:w="4440" w:type="dxa"/>
            <w:vAlign w:val="bottom"/>
          </w:tcPr>
          <w:p>
            <w:pPr>
              <w:jc w:val="right"/>
              <w:ind w:right="237"/>
              <w:spacing w:after="0"/>
              <w:rPr>
                <w:sz w:val="20"/>
                <w:szCs w:val="20"/>
                <w:color w:val="auto"/>
              </w:rPr>
            </w:pPr>
            <w:r>
              <w:rPr>
                <w:rFonts w:ascii="Arial" w:cs="Arial" w:eastAsia="Arial" w:hAnsi="Arial"/>
                <w:sz w:val="17"/>
                <w:szCs w:val="17"/>
                <w:color w:val="auto"/>
              </w:rPr>
              <w:t>(0.5)</w:t>
            </w:r>
          </w:p>
        </w:tc>
        <w:tc>
          <w:tcPr>
            <w:tcW w:w="86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5"/>
        </w:trPr>
        <w:tc>
          <w:tcPr>
            <w:tcW w:w="6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4"/>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Benefits paid</w:t>
            </w:r>
          </w:p>
        </w:tc>
        <w:tc>
          <w:tcPr>
            <w:tcW w:w="44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(1.2)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17"/>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Benefit obligation, end of year</w:t>
            </w:r>
          </w:p>
        </w:tc>
        <w:tc>
          <w:tcPr>
            <w:tcW w:w="4440" w:type="dxa"/>
            <w:vAlign w:val="bottom"/>
            <w:tcBorders>
              <w:top w:val="single" w:sz="8" w:color="auto"/>
            </w:tcBorders>
          </w:tcPr>
          <w:p>
            <w:pPr>
              <w:jc w:val="right"/>
              <w:ind w:right="297"/>
              <w:spacing w:after="0"/>
              <w:rPr>
                <w:sz w:val="20"/>
                <w:szCs w:val="20"/>
                <w:color w:val="auto"/>
              </w:rPr>
            </w:pPr>
            <w:r>
              <w:rPr>
                <w:rFonts w:ascii="Arial" w:cs="Arial" w:eastAsia="Arial" w:hAnsi="Arial"/>
                <w:sz w:val="17"/>
                <w:szCs w:val="17"/>
                <w:color w:val="auto"/>
              </w:rPr>
              <w:t>$13.7</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$14.9</w:t>
            </w:r>
          </w:p>
        </w:tc>
      </w:tr>
      <w:tr>
        <w:trPr>
          <w:trHeight w:val="25"/>
        </w:trPr>
        <w:tc>
          <w:tcPr>
            <w:tcW w:w="61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Funded Status at End of Year</w:t>
            </w:r>
          </w:p>
        </w:tc>
        <w:tc>
          <w:tcPr>
            <w:tcW w:w="44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24"/>
        </w:trPr>
        <w:tc>
          <w:tcPr>
            <w:tcW w:w="6120" w:type="dxa"/>
            <w:vAlign w:val="bottom"/>
          </w:tcPr>
          <w:p>
            <w:pPr>
              <w:ind w:left="20"/>
              <w:spacing w:after="0"/>
              <w:rPr>
                <w:sz w:val="20"/>
                <w:szCs w:val="20"/>
                <w:color w:val="auto"/>
              </w:rPr>
            </w:pPr>
            <w:r>
              <w:rPr>
                <w:rFonts w:ascii="Arial" w:cs="Arial" w:eastAsia="Arial" w:hAnsi="Arial"/>
                <w:sz w:val="17"/>
                <w:szCs w:val="17"/>
                <w:color w:val="auto"/>
              </w:rPr>
              <w:t>Funded status, end of year</w:t>
            </w:r>
          </w:p>
        </w:tc>
        <w:tc>
          <w:tcPr>
            <w:tcW w:w="4440" w:type="dxa"/>
            <w:vAlign w:val="bottom"/>
          </w:tcPr>
          <w:p>
            <w:pPr>
              <w:jc w:val="right"/>
              <w:ind w:right="237"/>
              <w:spacing w:after="0"/>
              <w:rPr>
                <w:sz w:val="20"/>
                <w:szCs w:val="20"/>
                <w:color w:val="auto"/>
              </w:rPr>
            </w:pPr>
            <w:r>
              <w:rPr>
                <w:rFonts w:ascii="Arial" w:cs="Arial" w:eastAsia="Arial" w:hAnsi="Arial"/>
                <w:sz w:val="17"/>
                <w:szCs w:val="17"/>
                <w:color w:val="auto"/>
              </w:rPr>
              <w:t>($13.7)</w:t>
            </w:r>
          </w:p>
        </w:tc>
        <w:tc>
          <w:tcPr>
            <w:tcW w:w="860" w:type="dxa"/>
            <w:vAlign w:val="bottom"/>
          </w:tcPr>
          <w:p>
            <w:pPr>
              <w:jc w:val="right"/>
              <w:spacing w:after="0"/>
              <w:rPr>
                <w:sz w:val="20"/>
                <w:szCs w:val="20"/>
                <w:color w:val="auto"/>
              </w:rPr>
            </w:pPr>
            <w:r>
              <w:rPr>
                <w:rFonts w:ascii="Arial" w:cs="Arial" w:eastAsia="Arial" w:hAnsi="Arial"/>
                <w:sz w:val="17"/>
                <w:szCs w:val="17"/>
                <w:color w:val="auto"/>
              </w:rPr>
              <w:t>($14.9)</w:t>
            </w:r>
          </w:p>
        </w:tc>
      </w:tr>
      <w:tr>
        <w:trPr>
          <w:trHeight w:val="25"/>
        </w:trPr>
        <w:tc>
          <w:tcPr>
            <w:tcW w:w="61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Amounts Recognized</w:t>
            </w:r>
          </w:p>
        </w:tc>
        <w:tc>
          <w:tcPr>
            <w:tcW w:w="44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24"/>
        </w:trPr>
        <w:tc>
          <w:tcPr>
            <w:tcW w:w="612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4440" w:type="dxa"/>
            <w:vAlign w:val="bottom"/>
          </w:tcPr>
          <w:p>
            <w:pPr>
              <w:jc w:val="right"/>
              <w:ind w:right="237"/>
              <w:spacing w:after="0"/>
              <w:rPr>
                <w:sz w:val="20"/>
                <w:szCs w:val="20"/>
                <w:color w:val="auto"/>
              </w:rPr>
            </w:pPr>
            <w:r>
              <w:rPr>
                <w:rFonts w:ascii="Arial" w:cs="Arial" w:eastAsia="Arial" w:hAnsi="Arial"/>
                <w:sz w:val="17"/>
                <w:szCs w:val="17"/>
                <w:color w:val="auto"/>
              </w:rPr>
              <w:t>($1.1)</w:t>
            </w:r>
          </w:p>
        </w:tc>
        <w:tc>
          <w:tcPr>
            <w:tcW w:w="8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5"/>
        </w:trPr>
        <w:tc>
          <w:tcPr>
            <w:tcW w:w="61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Noncurrent liabilities</w:t>
            </w:r>
          </w:p>
        </w:tc>
        <w:tc>
          <w:tcPr>
            <w:tcW w:w="444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(12.6)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w:t>
            </w:r>
          </w:p>
        </w:tc>
      </w:tr>
      <w:tr>
        <w:trPr>
          <w:trHeight w:val="217"/>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Net amount recognized</w:t>
            </w:r>
          </w:p>
        </w:tc>
        <w:tc>
          <w:tcPr>
            <w:tcW w:w="4440" w:type="dxa"/>
            <w:vAlign w:val="bottom"/>
            <w:tcBorders>
              <w:top w:val="single" w:sz="8" w:color="auto"/>
            </w:tcBorders>
          </w:tcPr>
          <w:p>
            <w:pPr>
              <w:jc w:val="right"/>
              <w:ind w:right="237"/>
              <w:spacing w:after="0"/>
              <w:rPr>
                <w:sz w:val="20"/>
                <w:szCs w:val="20"/>
                <w:color w:val="auto"/>
              </w:rPr>
            </w:pPr>
            <w:r>
              <w:rPr>
                <w:rFonts w:ascii="Arial" w:cs="Arial" w:eastAsia="Arial" w:hAnsi="Arial"/>
                <w:sz w:val="17"/>
                <w:szCs w:val="17"/>
                <w:color w:val="auto"/>
              </w:rPr>
              <w:t>($13.7)</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($14.9)</w:t>
            </w:r>
          </w:p>
        </w:tc>
      </w:tr>
      <w:tr>
        <w:trPr>
          <w:trHeight w:val="25"/>
        </w:trPr>
        <w:tc>
          <w:tcPr>
            <w:tcW w:w="61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The amount recognized in accumulated other comprehensive loss, net of tax, consists of a net loss of $0.9 and $1.4 for 2018 and 2017, respectively, and a prior service credit of $4.1 and $4.8 in 2018 and 2017, respectively.</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The discount rate used in the measurement of the benefit obligation was 4.2% and 3.5% in 2018 and 2017, respectively. The discount rate used in the measurement of net periodic benefit cost was 3.2%, 4.0% and 4.3% in 2018, 2017, and 2016,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282A32"/>
        </w:rPr>
        <w:t>The components of net periodic benefit cost and other amounts recognized in other comprehensive loss for this plan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60" w:type="dxa"/>
            <w:vAlign w:val="bottom"/>
          </w:tcPr>
          <w:p>
            <w:pPr>
              <w:ind w:left="20"/>
              <w:spacing w:after="0"/>
              <w:rPr>
                <w:sz w:val="20"/>
                <w:szCs w:val="20"/>
                <w:color w:val="auto"/>
              </w:rPr>
            </w:pPr>
            <w:r>
              <w:rPr>
                <w:rFonts w:ascii="Arial" w:cs="Arial" w:eastAsia="Arial" w:hAnsi="Arial"/>
                <w:sz w:val="17"/>
                <w:szCs w:val="17"/>
                <w:color w:val="auto"/>
              </w:rPr>
              <w:t>Year Ended December 31</w:t>
            </w:r>
          </w:p>
        </w:tc>
        <w:tc>
          <w:tcPr>
            <w:tcW w:w="1400" w:type="dxa"/>
            <w:vAlign w:val="bottom"/>
          </w:tcPr>
          <w:p>
            <w:pPr>
              <w:jc w:val="right"/>
              <w:ind w:right="337"/>
              <w:spacing w:after="0"/>
              <w:rPr>
                <w:sz w:val="20"/>
                <w:szCs w:val="20"/>
                <w:color w:val="auto"/>
              </w:rPr>
            </w:pPr>
            <w:r>
              <w:rPr>
                <w:rFonts w:ascii="Arial" w:cs="Arial" w:eastAsia="Arial" w:hAnsi="Arial"/>
                <w:sz w:val="17"/>
                <w:szCs w:val="17"/>
                <w:color w:val="auto"/>
              </w:rPr>
              <w:t>2018</w:t>
            </w:r>
          </w:p>
        </w:tc>
        <w:tc>
          <w:tcPr>
            <w:tcW w:w="1160" w:type="dxa"/>
            <w:vAlign w:val="bottom"/>
          </w:tcPr>
          <w:p>
            <w:pPr>
              <w:jc w:val="right"/>
              <w:ind w:right="357"/>
              <w:spacing w:after="0"/>
              <w:rPr>
                <w:sz w:val="20"/>
                <w:szCs w:val="20"/>
                <w:color w:val="auto"/>
              </w:rPr>
            </w:pPr>
            <w:r>
              <w:rPr>
                <w:rFonts w:ascii="Arial" w:cs="Arial" w:eastAsia="Arial" w:hAnsi="Arial"/>
                <w:sz w:val="17"/>
                <w:szCs w:val="17"/>
                <w:color w:val="auto"/>
              </w:rPr>
              <w:t>2017</w:t>
            </w: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2016</w:t>
            </w:r>
          </w:p>
        </w:tc>
      </w:tr>
      <w:tr>
        <w:trPr>
          <w:trHeight w:val="25"/>
        </w:trPr>
        <w:tc>
          <w:tcPr>
            <w:tcW w:w="80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Periodic Benefit Credit</w:t>
            </w:r>
          </w:p>
        </w:tc>
        <w:tc>
          <w:tcPr>
            <w:tcW w:w="14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r>
      <w:tr>
        <w:trPr>
          <w:trHeight w:val="224"/>
        </w:trPr>
        <w:tc>
          <w:tcPr>
            <w:tcW w:w="8060" w:type="dxa"/>
            <w:vAlign w:val="bottom"/>
          </w:tcPr>
          <w:p>
            <w:pPr>
              <w:ind w:left="20"/>
              <w:spacing w:after="0"/>
              <w:rPr>
                <w:sz w:val="20"/>
                <w:szCs w:val="20"/>
                <w:color w:val="auto"/>
              </w:rPr>
            </w:pPr>
            <w:r>
              <w:rPr>
                <w:rFonts w:ascii="Arial" w:cs="Arial" w:eastAsia="Arial" w:hAnsi="Arial"/>
                <w:sz w:val="17"/>
                <w:szCs w:val="17"/>
                <w:color w:val="auto"/>
              </w:rPr>
              <w:t>Interest cost</w:t>
            </w:r>
          </w:p>
        </w:tc>
        <w:tc>
          <w:tcPr>
            <w:tcW w:w="1400" w:type="dxa"/>
            <w:vAlign w:val="bottom"/>
          </w:tcPr>
          <w:p>
            <w:pPr>
              <w:jc w:val="right"/>
              <w:ind w:right="337"/>
              <w:spacing w:after="0"/>
              <w:rPr>
                <w:sz w:val="20"/>
                <w:szCs w:val="20"/>
                <w:color w:val="auto"/>
              </w:rPr>
            </w:pPr>
            <w:r>
              <w:rPr>
                <w:rFonts w:ascii="Arial" w:cs="Arial" w:eastAsia="Arial" w:hAnsi="Arial"/>
                <w:sz w:val="17"/>
                <w:szCs w:val="17"/>
                <w:color w:val="auto"/>
              </w:rPr>
              <w:t>$0.5</w:t>
            </w:r>
          </w:p>
        </w:tc>
        <w:tc>
          <w:tcPr>
            <w:tcW w:w="1160" w:type="dxa"/>
            <w:vAlign w:val="bottom"/>
          </w:tcPr>
          <w:p>
            <w:pPr>
              <w:jc w:val="right"/>
              <w:ind w:right="357"/>
              <w:spacing w:after="0"/>
              <w:rPr>
                <w:sz w:val="20"/>
                <w:szCs w:val="20"/>
                <w:color w:val="auto"/>
              </w:rPr>
            </w:pPr>
            <w:r>
              <w:rPr>
                <w:rFonts w:ascii="Arial" w:cs="Arial" w:eastAsia="Arial" w:hAnsi="Arial"/>
                <w:sz w:val="17"/>
                <w:szCs w:val="17"/>
                <w:color w:val="auto"/>
              </w:rPr>
              <w:t>$0.6</w:t>
            </w: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$0.7</w:t>
            </w:r>
          </w:p>
        </w:tc>
      </w:tr>
      <w:tr>
        <w:trPr>
          <w:trHeight w:val="25"/>
        </w:trPr>
        <w:tc>
          <w:tcPr>
            <w:tcW w:w="8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40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0.1</w:t>
            </w: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rPr>
              <w:t>0.1</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0.1</w:t>
            </w:r>
          </w:p>
        </w:tc>
      </w:tr>
      <w:tr>
        <w:trPr>
          <w:trHeight w:val="224"/>
        </w:trPr>
        <w:tc>
          <w:tcPr>
            <w:tcW w:w="8060" w:type="dxa"/>
            <w:vAlign w:val="bottom"/>
          </w:tcPr>
          <w:p>
            <w:pPr>
              <w:ind w:left="20"/>
              <w:spacing w:after="0"/>
              <w:rPr>
                <w:sz w:val="20"/>
                <w:szCs w:val="20"/>
                <w:color w:val="auto"/>
              </w:rPr>
            </w:pPr>
            <w:r>
              <w:rPr>
                <w:rFonts w:ascii="Arial" w:cs="Arial" w:eastAsia="Arial" w:hAnsi="Arial"/>
                <w:sz w:val="17"/>
                <w:szCs w:val="17"/>
                <w:color w:val="auto"/>
              </w:rPr>
              <w:t>Prior service credit</w:t>
            </w:r>
          </w:p>
        </w:tc>
        <w:tc>
          <w:tcPr>
            <w:tcW w:w="1400" w:type="dxa"/>
            <w:vAlign w:val="bottom"/>
          </w:tcPr>
          <w:p>
            <w:pPr>
              <w:jc w:val="right"/>
              <w:ind w:right="277"/>
              <w:spacing w:after="0"/>
              <w:rPr>
                <w:sz w:val="20"/>
                <w:szCs w:val="20"/>
                <w:color w:val="auto"/>
              </w:rPr>
            </w:pPr>
            <w:r>
              <w:rPr>
                <w:rFonts w:ascii="Arial" w:cs="Arial" w:eastAsia="Arial" w:hAnsi="Arial"/>
                <w:sz w:val="17"/>
                <w:szCs w:val="17"/>
                <w:color w:val="auto"/>
              </w:rPr>
              <w:t>(0.8)</w:t>
            </w:r>
          </w:p>
        </w:tc>
        <w:tc>
          <w:tcPr>
            <w:tcW w:w="1160" w:type="dxa"/>
            <w:vAlign w:val="bottom"/>
          </w:tcPr>
          <w:p>
            <w:pPr>
              <w:jc w:val="right"/>
              <w:ind w:right="297"/>
              <w:spacing w:after="0"/>
              <w:rPr>
                <w:sz w:val="20"/>
                <w:szCs w:val="20"/>
                <w:color w:val="auto"/>
              </w:rPr>
            </w:pPr>
            <w:r>
              <w:rPr>
                <w:rFonts w:ascii="Arial" w:cs="Arial" w:eastAsia="Arial" w:hAnsi="Arial"/>
                <w:sz w:val="17"/>
                <w:szCs w:val="17"/>
                <w:color w:val="auto"/>
              </w:rPr>
              <w:t>(0.8)</w:t>
            </w:r>
          </w:p>
        </w:tc>
        <w:tc>
          <w:tcPr>
            <w:tcW w:w="800" w:type="dxa"/>
            <w:vAlign w:val="bottom"/>
          </w:tcPr>
          <w:p>
            <w:pPr>
              <w:jc w:val="right"/>
              <w:spacing w:after="0"/>
              <w:rPr>
                <w:sz w:val="20"/>
                <w:szCs w:val="20"/>
                <w:color w:val="auto"/>
              </w:rPr>
            </w:pPr>
            <w:r>
              <w:rPr>
                <w:rFonts w:ascii="Arial" w:cs="Arial" w:eastAsia="Arial" w:hAnsi="Arial"/>
                <w:sz w:val="17"/>
                <w:szCs w:val="17"/>
                <w:color w:val="auto"/>
              </w:rPr>
              <w:t>(0.8)</w:t>
            </w:r>
          </w:p>
        </w:tc>
      </w:tr>
      <w:tr>
        <w:trPr>
          <w:trHeight w:val="25"/>
        </w:trPr>
        <w:tc>
          <w:tcPr>
            <w:tcW w:w="80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periodic benefit credit</w:t>
            </w:r>
          </w:p>
        </w:tc>
        <w:tc>
          <w:tcPr>
            <w:tcW w:w="14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($0.2)</w:t>
            </w:r>
          </w:p>
        </w:tc>
        <w:tc>
          <w:tcPr>
            <w:tcW w:w="11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auto"/>
              </w:rPr>
              <w:t>($0.1)</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79"/>
        </w:trPr>
        <w:tc>
          <w:tcPr>
            <w:tcW w:w="806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w w:val="94"/>
              </w:rPr>
              <w:t>Other Changes in Plan Assets and Benefit Obligations Recognized in Other Comprehensive Income/Loss</w:t>
            </w:r>
          </w:p>
        </w:tc>
        <w:tc>
          <w:tcPr>
            <w:tcW w:w="14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
        </w:trPr>
        <w:tc>
          <w:tcPr>
            <w:tcW w:w="8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(gain) loss</w:t>
            </w:r>
          </w:p>
        </w:tc>
        <w:tc>
          <w:tcPr>
            <w:tcW w:w="1400" w:type="dxa"/>
            <w:vAlign w:val="bottom"/>
            <w:tcBorders>
              <w:bottom w:val="single" w:sz="8" w:color="CCEEFF"/>
            </w:tcBorders>
            <w:shd w:val="clear" w:color="auto" w:fill="CCEEFF"/>
          </w:tcPr>
          <w:p>
            <w:pPr>
              <w:jc w:val="right"/>
              <w:ind w:right="277"/>
              <w:spacing w:after="0"/>
              <w:rPr>
                <w:sz w:val="20"/>
                <w:szCs w:val="20"/>
                <w:color w:val="auto"/>
              </w:rPr>
            </w:pPr>
            <w:r>
              <w:rPr>
                <w:rFonts w:ascii="Arial" w:cs="Arial" w:eastAsia="Arial" w:hAnsi="Arial"/>
                <w:sz w:val="17"/>
                <w:szCs w:val="17"/>
                <w:color w:val="auto"/>
              </w:rPr>
              <w:t>($0.5)</w:t>
            </w:r>
          </w:p>
        </w:tc>
        <w:tc>
          <w:tcPr>
            <w:tcW w:w="116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7"/>
                <w:szCs w:val="17"/>
                <w:color w:val="auto"/>
              </w:rPr>
              <w:t>($0.3)</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$0.2</w:t>
            </w:r>
          </w:p>
        </w:tc>
      </w:tr>
      <w:tr>
        <w:trPr>
          <w:trHeight w:val="224"/>
        </w:trPr>
        <w:tc>
          <w:tcPr>
            <w:tcW w:w="8060" w:type="dxa"/>
            <w:vAlign w:val="bottom"/>
          </w:tcPr>
          <w:p>
            <w:pPr>
              <w:ind w:left="20"/>
              <w:spacing w:after="0"/>
              <w:rPr>
                <w:sz w:val="20"/>
                <w:szCs w:val="20"/>
                <w:color w:val="auto"/>
              </w:rPr>
            </w:pPr>
            <w:r>
              <w:rPr>
                <w:rFonts w:ascii="Arial" w:cs="Arial" w:eastAsia="Arial" w:hAnsi="Arial"/>
                <w:sz w:val="17"/>
                <w:szCs w:val="17"/>
                <w:color w:val="auto"/>
              </w:rPr>
              <w:t>Amortization of net loss</w:t>
            </w:r>
          </w:p>
        </w:tc>
        <w:tc>
          <w:tcPr>
            <w:tcW w:w="1400" w:type="dxa"/>
            <w:vAlign w:val="bottom"/>
          </w:tcPr>
          <w:p>
            <w:pPr>
              <w:jc w:val="right"/>
              <w:ind w:right="277"/>
              <w:spacing w:after="0"/>
              <w:rPr>
                <w:sz w:val="20"/>
                <w:szCs w:val="20"/>
                <w:color w:val="auto"/>
              </w:rPr>
            </w:pPr>
            <w:r>
              <w:rPr>
                <w:rFonts w:ascii="Arial" w:cs="Arial" w:eastAsia="Arial" w:hAnsi="Arial"/>
                <w:sz w:val="17"/>
                <w:szCs w:val="17"/>
                <w:color w:val="auto"/>
              </w:rPr>
              <w:t>(0.1)</w:t>
            </w:r>
          </w:p>
        </w:tc>
        <w:tc>
          <w:tcPr>
            <w:tcW w:w="1160" w:type="dxa"/>
            <w:vAlign w:val="bottom"/>
          </w:tcPr>
          <w:p>
            <w:pPr>
              <w:jc w:val="right"/>
              <w:ind w:right="297"/>
              <w:spacing w:after="0"/>
              <w:rPr>
                <w:sz w:val="20"/>
                <w:szCs w:val="20"/>
                <w:color w:val="auto"/>
              </w:rPr>
            </w:pPr>
            <w:r>
              <w:rPr>
                <w:rFonts w:ascii="Arial" w:cs="Arial" w:eastAsia="Arial" w:hAnsi="Arial"/>
                <w:sz w:val="17"/>
                <w:szCs w:val="17"/>
                <w:color w:val="auto"/>
              </w:rPr>
              <w:t>(0.1)</w:t>
            </w:r>
          </w:p>
        </w:tc>
        <w:tc>
          <w:tcPr>
            <w:tcW w:w="800" w:type="dxa"/>
            <w:vAlign w:val="bottom"/>
          </w:tcPr>
          <w:p>
            <w:pPr>
              <w:jc w:val="right"/>
              <w:spacing w:after="0"/>
              <w:rPr>
                <w:sz w:val="20"/>
                <w:szCs w:val="20"/>
                <w:color w:val="auto"/>
              </w:rPr>
            </w:pPr>
            <w:r>
              <w:rPr>
                <w:rFonts w:ascii="Arial" w:cs="Arial" w:eastAsia="Arial" w:hAnsi="Arial"/>
                <w:sz w:val="17"/>
                <w:szCs w:val="17"/>
                <w:color w:val="auto"/>
              </w:rPr>
              <w:t>(0.1)</w:t>
            </w:r>
          </w:p>
        </w:tc>
      </w:tr>
      <w:tr>
        <w:trPr>
          <w:trHeight w:val="25"/>
        </w:trPr>
        <w:tc>
          <w:tcPr>
            <w:tcW w:w="8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prior service credit</w:t>
            </w:r>
          </w:p>
        </w:tc>
        <w:tc>
          <w:tcPr>
            <w:tcW w:w="140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0.8</w:t>
            </w: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rPr>
              <w:t>0.8</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0.8</w:t>
            </w:r>
          </w:p>
        </w:tc>
      </w:tr>
      <w:tr>
        <w:trPr>
          <w:trHeight w:val="217"/>
        </w:trPr>
        <w:tc>
          <w:tcPr>
            <w:tcW w:w="80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Total recognized in other comprehensive income/loss</w:t>
            </w:r>
          </w:p>
        </w:tc>
        <w:tc>
          <w:tcPr>
            <w:tcW w:w="1400" w:type="dxa"/>
            <w:vAlign w:val="bottom"/>
            <w:tcBorders>
              <w:top w:val="single" w:sz="8" w:color="auto"/>
            </w:tcBorders>
          </w:tcPr>
          <w:p>
            <w:pPr>
              <w:jc w:val="right"/>
              <w:ind w:right="337"/>
              <w:spacing w:after="0"/>
              <w:rPr>
                <w:sz w:val="20"/>
                <w:szCs w:val="20"/>
                <w:color w:val="auto"/>
              </w:rPr>
            </w:pPr>
            <w:r>
              <w:rPr>
                <w:rFonts w:ascii="Arial" w:cs="Arial" w:eastAsia="Arial" w:hAnsi="Arial"/>
                <w:sz w:val="17"/>
                <w:szCs w:val="17"/>
                <w:color w:val="auto"/>
              </w:rPr>
              <w:t>0.2</w:t>
            </w:r>
          </w:p>
        </w:tc>
        <w:tc>
          <w:tcPr>
            <w:tcW w:w="1160" w:type="dxa"/>
            <w:vAlign w:val="bottom"/>
            <w:tcBorders>
              <w:top w:val="single" w:sz="8" w:color="auto"/>
            </w:tcBorders>
          </w:tcPr>
          <w:p>
            <w:pPr>
              <w:jc w:val="right"/>
              <w:ind w:right="357"/>
              <w:spacing w:after="0"/>
              <w:rPr>
                <w:sz w:val="20"/>
                <w:szCs w:val="20"/>
                <w:color w:val="auto"/>
              </w:rPr>
            </w:pPr>
            <w:r>
              <w:rPr>
                <w:rFonts w:ascii="Arial" w:cs="Arial" w:eastAsia="Arial" w:hAnsi="Arial"/>
                <w:sz w:val="17"/>
                <w:szCs w:val="17"/>
                <w:color w:val="auto"/>
              </w:rPr>
              <w:t>0.4</w:t>
            </w: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0.9</w:t>
            </w:r>
          </w:p>
        </w:tc>
      </w:tr>
      <w:tr>
        <w:trPr>
          <w:trHeight w:val="25"/>
        </w:trPr>
        <w:tc>
          <w:tcPr>
            <w:tcW w:w="80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2"/>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recognized in net periodic benefit cost and other comprehensive income/loss</w:t>
            </w:r>
          </w:p>
        </w:tc>
        <w:tc>
          <w:tcPr>
            <w:tcW w:w="140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7"/>
                <w:szCs w:val="17"/>
                <w:color w:val="auto"/>
              </w:rPr>
              <w:t>$0.3</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$0.9</w:t>
            </w:r>
          </w:p>
        </w:tc>
      </w:tr>
      <w:tr>
        <w:trPr>
          <w:trHeight w:val="20"/>
        </w:trPr>
        <w:tc>
          <w:tcPr>
            <w:tcW w:w="80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The estimated prior service credit for the retiree health care plan that will be amortized from accumulated other comprehensive loss into net periodic benefit cost during 2019 is $0.8.</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351" w:right="239" w:bottom="1440" w:gutter="0" w:footer="0" w:header="0"/>
        </w:sectPr>
      </w:pPr>
    </w:p>
    <w:bookmarkStart w:id="84" w:name="page85"/>
    <w:bookmarkEnd w:id="84"/>
    <w:p>
      <w:pPr>
        <w:jc w:val="both"/>
        <w:spacing w:after="0" w:line="332" w:lineRule="auto"/>
        <w:rPr>
          <w:sz w:val="20"/>
          <w:szCs w:val="20"/>
          <w:color w:val="auto"/>
        </w:rPr>
      </w:pPr>
      <w:r>
        <w:rPr>
          <w:rFonts w:ascii="Arial" w:cs="Arial" w:eastAsia="Arial" w:hAnsi="Arial"/>
          <w:sz w:val="15"/>
          <w:szCs w:val="15"/>
          <w:color w:val="282A32"/>
        </w:rPr>
        <w:t>The health care cost trend rate is assumed to be 7.3% for 2019, decreasing gradually to an ultimate rate of 4.5% in 2025. Assumed health care cost trend rates could have a significant effect on the amounts reported. A one-percentage point change in the assumed health care cost trend rate would have the following effects: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40" w:type="dxa"/>
            <w:vAlign w:val="bottom"/>
          </w:tcPr>
          <w:p>
            <w:pPr>
              <w:spacing w:after="0"/>
              <w:rPr>
                <w:sz w:val="18"/>
                <w:szCs w:val="18"/>
                <w:color w:val="auto"/>
              </w:rPr>
            </w:pPr>
          </w:p>
        </w:tc>
        <w:tc>
          <w:tcPr>
            <w:tcW w:w="3820" w:type="dxa"/>
            <w:vAlign w:val="bottom"/>
          </w:tcPr>
          <w:p>
            <w:pPr>
              <w:jc w:val="right"/>
              <w:ind w:right="497"/>
              <w:spacing w:after="0"/>
              <w:rPr>
                <w:sz w:val="20"/>
                <w:szCs w:val="20"/>
                <w:color w:val="auto"/>
              </w:rPr>
            </w:pPr>
            <w:r>
              <w:rPr>
                <w:rFonts w:ascii="Arial" w:cs="Arial" w:eastAsia="Arial" w:hAnsi="Arial"/>
                <w:sz w:val="17"/>
                <w:szCs w:val="17"/>
                <w:color w:val="auto"/>
              </w:rPr>
              <w:t>1% Increase</w:t>
            </w:r>
          </w:p>
        </w:tc>
        <w:tc>
          <w:tcPr>
            <w:tcW w:w="1560" w:type="dxa"/>
            <w:vAlign w:val="bottom"/>
          </w:tcPr>
          <w:p>
            <w:pPr>
              <w:jc w:val="right"/>
              <w:ind w:right="17"/>
              <w:spacing w:after="0"/>
              <w:rPr>
                <w:sz w:val="20"/>
                <w:szCs w:val="20"/>
                <w:color w:val="auto"/>
              </w:rPr>
            </w:pPr>
            <w:r>
              <w:rPr>
                <w:rFonts w:ascii="Arial" w:cs="Arial" w:eastAsia="Arial" w:hAnsi="Arial"/>
                <w:sz w:val="17"/>
                <w:szCs w:val="17"/>
                <w:color w:val="auto"/>
              </w:rPr>
              <w:t>1% Decrease</w:t>
            </w:r>
          </w:p>
        </w:tc>
      </w:tr>
      <w:tr>
        <w:trPr>
          <w:trHeight w:val="25"/>
        </w:trPr>
        <w:tc>
          <w:tcPr>
            <w:tcW w:w="60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2"/>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on total of service and interest cost components</w:t>
            </w:r>
          </w:p>
        </w:tc>
        <w:tc>
          <w:tcPr>
            <w:tcW w:w="3820" w:type="dxa"/>
            <w:vAlign w:val="bottom"/>
            <w:tcBorders>
              <w:bottom w:val="single" w:sz="8" w:color="CCEEFF"/>
            </w:tcBorders>
            <w:shd w:val="clear" w:color="auto" w:fill="CCEEFF"/>
          </w:tcPr>
          <w:p>
            <w:pPr>
              <w:jc w:val="right"/>
              <w:ind w:right="497"/>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4"/>
        </w:trPr>
        <w:tc>
          <w:tcPr>
            <w:tcW w:w="6040" w:type="dxa"/>
            <w:vAlign w:val="bottom"/>
          </w:tcPr>
          <w:p>
            <w:pPr>
              <w:ind w:left="20"/>
              <w:spacing w:after="0"/>
              <w:rPr>
                <w:sz w:val="20"/>
                <w:szCs w:val="20"/>
                <w:color w:val="auto"/>
              </w:rPr>
            </w:pPr>
            <w:r>
              <w:rPr>
                <w:rFonts w:ascii="Arial" w:cs="Arial" w:eastAsia="Arial" w:hAnsi="Arial"/>
                <w:sz w:val="17"/>
                <w:szCs w:val="17"/>
                <w:color w:val="auto"/>
              </w:rPr>
              <w:t>Effect on benefit obligation</w:t>
            </w:r>
          </w:p>
        </w:tc>
        <w:tc>
          <w:tcPr>
            <w:tcW w:w="3820" w:type="dxa"/>
            <w:vAlign w:val="bottom"/>
          </w:tcPr>
          <w:p>
            <w:pPr>
              <w:jc w:val="right"/>
              <w:ind w:right="497"/>
              <w:spacing w:after="0"/>
              <w:rPr>
                <w:sz w:val="20"/>
                <w:szCs w:val="20"/>
                <w:color w:val="auto"/>
              </w:rPr>
            </w:pPr>
            <w:r>
              <w:rPr>
                <w:rFonts w:ascii="Arial" w:cs="Arial" w:eastAsia="Arial" w:hAnsi="Arial"/>
                <w:sz w:val="17"/>
                <w:szCs w:val="17"/>
                <w:color w:val="auto"/>
              </w:rPr>
              <w:t>0.3</w:t>
            </w:r>
          </w:p>
        </w:tc>
        <w:tc>
          <w:tcPr>
            <w:tcW w:w="156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5"/>
        </w:trPr>
        <w:tc>
          <w:tcPr>
            <w:tcW w:w="60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Future Contributions and Payments</w:t>
      </w:r>
    </w:p>
    <w:p>
      <w:pPr>
        <w:spacing w:after="0" w:line="20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During 2019, we plan to contribute approximately $7.8 to our pension plans and to fund our retiree health care payments as incurred. Projected benefit payments from the plans as of December 31, 2018 were estimated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28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Retiree Health</w:t>
            </w:r>
          </w:p>
        </w:tc>
      </w:tr>
      <w:tr>
        <w:trPr>
          <w:trHeight w:val="212"/>
        </w:trPr>
        <w:tc>
          <w:tcPr>
            <w:tcW w:w="5280" w:type="dxa"/>
            <w:vAlign w:val="bottom"/>
          </w:tcPr>
          <w:p>
            <w:pPr>
              <w:ind w:left="20"/>
              <w:spacing w:after="0"/>
              <w:rPr>
                <w:sz w:val="20"/>
                <w:szCs w:val="20"/>
                <w:color w:val="auto"/>
              </w:rPr>
            </w:pPr>
            <w:r>
              <w:rPr>
                <w:rFonts w:ascii="Arial" w:cs="Arial" w:eastAsia="Arial" w:hAnsi="Arial"/>
                <w:sz w:val="17"/>
                <w:szCs w:val="17"/>
                <w:color w:val="auto"/>
              </w:rPr>
              <w:t>Year</w:t>
            </w:r>
          </w:p>
        </w:tc>
        <w:tc>
          <w:tcPr>
            <w:tcW w:w="4540" w:type="dxa"/>
            <w:vAlign w:val="bottom"/>
          </w:tcPr>
          <w:p>
            <w:pPr>
              <w:jc w:val="right"/>
              <w:ind w:right="457"/>
              <w:spacing w:after="0"/>
              <w:rPr>
                <w:sz w:val="20"/>
                <w:szCs w:val="20"/>
                <w:color w:val="auto"/>
              </w:rPr>
            </w:pPr>
            <w:r>
              <w:rPr>
                <w:rFonts w:ascii="Arial" w:cs="Arial" w:eastAsia="Arial" w:hAnsi="Arial"/>
                <w:sz w:val="17"/>
                <w:szCs w:val="17"/>
                <w:color w:val="auto"/>
              </w:rPr>
              <w:t>Pension Plans</w:t>
            </w: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Care Plan</w:t>
            </w:r>
          </w:p>
        </w:tc>
      </w:tr>
      <w:tr>
        <w:trPr>
          <w:trHeight w:val="25"/>
        </w:trPr>
        <w:tc>
          <w:tcPr>
            <w:tcW w:w="528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454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7"/>
                <w:szCs w:val="17"/>
                <w:color w:val="auto"/>
              </w:rPr>
              <w:t>$12.3</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w:t>
            </w:r>
          </w:p>
        </w:tc>
      </w:tr>
      <w:tr>
        <w:trPr>
          <w:trHeight w:val="224"/>
        </w:trPr>
        <w:tc>
          <w:tcPr>
            <w:tcW w:w="5280" w:type="dxa"/>
            <w:vAlign w:val="bottom"/>
          </w:tcPr>
          <w:p>
            <w:pPr>
              <w:ind w:left="20"/>
              <w:spacing w:after="0"/>
              <w:rPr>
                <w:sz w:val="20"/>
                <w:szCs w:val="20"/>
                <w:color w:val="auto"/>
              </w:rPr>
            </w:pPr>
            <w:r>
              <w:rPr>
                <w:rFonts w:ascii="Arial" w:cs="Arial" w:eastAsia="Arial" w:hAnsi="Arial"/>
                <w:sz w:val="17"/>
                <w:szCs w:val="17"/>
                <w:color w:val="auto"/>
              </w:rPr>
              <w:t>2020</w:t>
            </w:r>
          </w:p>
        </w:tc>
        <w:tc>
          <w:tcPr>
            <w:tcW w:w="4540" w:type="dxa"/>
            <w:vAlign w:val="bottom"/>
          </w:tcPr>
          <w:p>
            <w:pPr>
              <w:jc w:val="right"/>
              <w:ind w:right="457"/>
              <w:spacing w:after="0"/>
              <w:rPr>
                <w:sz w:val="20"/>
                <w:szCs w:val="20"/>
                <w:color w:val="auto"/>
              </w:rPr>
            </w:pPr>
            <w:r>
              <w:rPr>
                <w:rFonts w:ascii="Arial" w:cs="Arial" w:eastAsia="Arial" w:hAnsi="Arial"/>
                <w:sz w:val="17"/>
                <w:szCs w:val="17"/>
                <w:color w:val="auto"/>
              </w:rPr>
              <w:t>13.2</w:t>
            </w: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1.1</w:t>
            </w:r>
          </w:p>
        </w:tc>
      </w:tr>
      <w:tr>
        <w:trPr>
          <w:trHeight w:val="25"/>
        </w:trPr>
        <w:tc>
          <w:tcPr>
            <w:tcW w:w="52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454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7"/>
                <w:szCs w:val="17"/>
                <w:color w:val="auto"/>
              </w:rPr>
              <w:t>15.3</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w:t>
            </w:r>
          </w:p>
        </w:tc>
      </w:tr>
      <w:tr>
        <w:trPr>
          <w:trHeight w:val="224"/>
        </w:trPr>
        <w:tc>
          <w:tcPr>
            <w:tcW w:w="5280" w:type="dxa"/>
            <w:vAlign w:val="bottom"/>
          </w:tcPr>
          <w:p>
            <w:pPr>
              <w:ind w:left="20"/>
              <w:spacing w:after="0"/>
              <w:rPr>
                <w:sz w:val="20"/>
                <w:szCs w:val="20"/>
                <w:color w:val="auto"/>
              </w:rPr>
            </w:pPr>
            <w:r>
              <w:rPr>
                <w:rFonts w:ascii="Arial" w:cs="Arial" w:eastAsia="Arial" w:hAnsi="Arial"/>
                <w:sz w:val="17"/>
                <w:szCs w:val="17"/>
                <w:color w:val="auto"/>
              </w:rPr>
              <w:t>2022</w:t>
            </w:r>
          </w:p>
        </w:tc>
        <w:tc>
          <w:tcPr>
            <w:tcW w:w="4540" w:type="dxa"/>
            <w:vAlign w:val="bottom"/>
          </w:tcPr>
          <w:p>
            <w:pPr>
              <w:jc w:val="right"/>
              <w:ind w:right="457"/>
              <w:spacing w:after="0"/>
              <w:rPr>
                <w:sz w:val="20"/>
                <w:szCs w:val="20"/>
                <w:color w:val="auto"/>
              </w:rPr>
            </w:pPr>
            <w:r>
              <w:rPr>
                <w:rFonts w:ascii="Arial" w:cs="Arial" w:eastAsia="Arial" w:hAnsi="Arial"/>
                <w:sz w:val="17"/>
                <w:szCs w:val="17"/>
                <w:color w:val="auto"/>
              </w:rPr>
              <w:t>16.0</w:t>
            </w: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1.1</w:t>
            </w:r>
          </w:p>
        </w:tc>
      </w:tr>
      <w:tr>
        <w:trPr>
          <w:trHeight w:val="25"/>
        </w:trPr>
        <w:tc>
          <w:tcPr>
            <w:tcW w:w="52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54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7"/>
                <w:szCs w:val="17"/>
                <w:color w:val="auto"/>
              </w:rPr>
              <w:t>17.9</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w:t>
            </w:r>
          </w:p>
        </w:tc>
      </w:tr>
      <w:tr>
        <w:trPr>
          <w:trHeight w:val="224"/>
        </w:trPr>
        <w:tc>
          <w:tcPr>
            <w:tcW w:w="5280" w:type="dxa"/>
            <w:vAlign w:val="bottom"/>
          </w:tcPr>
          <w:p>
            <w:pPr>
              <w:ind w:left="20"/>
              <w:spacing w:after="0"/>
              <w:rPr>
                <w:sz w:val="20"/>
                <w:szCs w:val="20"/>
                <w:color w:val="auto"/>
              </w:rPr>
            </w:pPr>
            <w:r>
              <w:rPr>
                <w:rFonts w:ascii="Arial" w:cs="Arial" w:eastAsia="Arial" w:hAnsi="Arial"/>
                <w:sz w:val="17"/>
                <w:szCs w:val="17"/>
                <w:color w:val="auto"/>
              </w:rPr>
              <w:t>2024–2028</w:t>
            </w:r>
          </w:p>
        </w:tc>
        <w:tc>
          <w:tcPr>
            <w:tcW w:w="4540" w:type="dxa"/>
            <w:vAlign w:val="bottom"/>
          </w:tcPr>
          <w:p>
            <w:pPr>
              <w:jc w:val="right"/>
              <w:ind w:right="457"/>
              <w:spacing w:after="0"/>
              <w:rPr>
                <w:sz w:val="20"/>
                <w:szCs w:val="20"/>
                <w:color w:val="auto"/>
              </w:rPr>
            </w:pPr>
            <w:r>
              <w:rPr>
                <w:rFonts w:ascii="Arial" w:cs="Arial" w:eastAsia="Arial" w:hAnsi="Arial"/>
                <w:sz w:val="17"/>
                <w:szCs w:val="17"/>
                <w:color w:val="auto"/>
              </w:rPr>
              <w:t>117.4</w:t>
            </w: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4.9</w:t>
            </w:r>
          </w:p>
        </w:tc>
      </w:tr>
      <w:tr>
        <w:trPr>
          <w:trHeight w:val="25"/>
        </w:trPr>
        <w:tc>
          <w:tcPr>
            <w:tcW w:w="5280" w:type="dxa"/>
            <w:vAlign w:val="bottom"/>
            <w:tcBorders>
              <w:bottom w:val="single" w:sz="8" w:color="auto"/>
            </w:tcBorders>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projected benefit payments</w:t>
            </w:r>
          </w:p>
        </w:tc>
        <w:tc>
          <w:tcPr>
            <w:tcW w:w="454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7"/>
                <w:szCs w:val="17"/>
                <w:color w:val="auto"/>
              </w:rPr>
              <w:t>$192.1</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$10.4</w:t>
            </w:r>
          </w:p>
        </w:tc>
      </w:tr>
      <w:tr>
        <w:trPr>
          <w:trHeight w:val="20"/>
        </w:trPr>
        <w:tc>
          <w:tcPr>
            <w:tcW w:w="5280" w:type="dxa"/>
            <w:vAlign w:val="bottom"/>
            <w:shd w:val="clear" w:color="auto" w:fill="000000"/>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Defined Contribution Plans and Deferred Compensation Plans</w:t>
      </w:r>
    </w:p>
    <w:p>
      <w:pPr>
        <w:spacing w:after="0" w:line="20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282A32"/>
        </w:rPr>
        <w:t>We have defined contribution plans covering substantially all permanent United States employees and various other employees throughout the world. With our company-sponsored plans, employees may elect to contribute a portion of their salary to the plans and we match a portion of their contributions up to a maximum percentage of the employee’s salary. In addition, profit sharing contributions are made if a targeted earnings level is reached. The total expense for our match and any profit sharing contributions was $17.7, $17.6 and $21.4 for the years ended December 31, 2018, 2017 and 2016, respectively. In certain countries with statutory defined contribution plans, we pay a percentage of the employees' salary in pension premiums. The total expense for the statutory defined contribution plans was $37.4, $35.6 and $24.0 for the years ended December 31, 2018, 2017 and 2016, respectively.</w:t>
      </w:r>
    </w:p>
    <w:p>
      <w:pPr>
        <w:spacing w:after="0" w:line="16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We also have deferred compensation plans in the United States. One of the plans had an asset and liability of $88.5 and $98.0 as of December 31, 2018 and 2017, respectively, with the remaining plans holding immaterial amounts of assets and liabilities.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20"/>
          </w:cols>
          <w:pgMar w:left="240" w:top="351"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95"/>
        </w:trPr>
        <w:tc>
          <w:tcPr>
            <w:tcW w:w="7840" w:type="dxa"/>
            <w:vAlign w:val="bottom"/>
            <w:gridSpan w:val="3"/>
          </w:tcPr>
          <w:p>
            <w:pPr>
              <w:spacing w:after="0"/>
              <w:rPr>
                <w:sz w:val="20"/>
                <w:szCs w:val="20"/>
                <w:color w:val="auto"/>
              </w:rPr>
            </w:pPr>
            <w:r>
              <w:rPr>
                <w:rFonts w:ascii="Arial" w:cs="Arial" w:eastAsia="Arial" w:hAnsi="Arial"/>
                <w:sz w:val="17"/>
                <w:szCs w:val="17"/>
                <w:color w:val="282A32"/>
              </w:rPr>
              <w:t>(10) Accumulated Other Comprehensive Loss</w:t>
            </w: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2740" w:type="dxa"/>
            <w:vAlign w:val="bottom"/>
            <w:shd w:val="clear" w:color="auto" w:fill="282A32"/>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67"/>
        </w:trPr>
        <w:tc>
          <w:tcPr>
            <w:tcW w:w="7840" w:type="dxa"/>
            <w:vAlign w:val="bottom"/>
            <w:gridSpan w:val="3"/>
          </w:tcPr>
          <w:p>
            <w:pPr>
              <w:spacing w:after="0"/>
              <w:rPr>
                <w:sz w:val="20"/>
                <w:szCs w:val="20"/>
                <w:color w:val="auto"/>
              </w:rPr>
            </w:pPr>
            <w:r>
              <w:rPr>
                <w:rFonts w:ascii="Arial" w:cs="Arial" w:eastAsia="Arial" w:hAnsi="Arial"/>
                <w:sz w:val="17"/>
                <w:szCs w:val="17"/>
                <w:color w:val="282A32"/>
              </w:rPr>
              <w:t>The components of accumulated other comprehensive loss, net of tax, were as follows:</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49"/>
        </w:trPr>
        <w:tc>
          <w:tcPr>
            <w:tcW w:w="7840" w:type="dxa"/>
            <w:vAlign w:val="bottom"/>
            <w:gridSpan w:val="3"/>
          </w:tcPr>
          <w:p>
            <w:pPr>
              <w:ind w:left="20"/>
              <w:spacing w:after="0"/>
              <w:rPr>
                <w:sz w:val="20"/>
                <w:szCs w:val="20"/>
                <w:color w:val="auto"/>
              </w:rPr>
            </w:pPr>
            <w:r>
              <w:rPr>
                <w:rFonts w:ascii="Arial" w:cs="Arial" w:eastAsia="Arial" w:hAnsi="Arial"/>
                <w:sz w:val="17"/>
                <w:szCs w:val="17"/>
                <w:color w:val="auto"/>
              </w:rPr>
              <w:t>December 31</w:t>
            </w:r>
          </w:p>
        </w:tc>
        <w:tc>
          <w:tcPr>
            <w:tcW w:w="166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2018</w:t>
            </w:r>
          </w:p>
        </w:tc>
        <w:tc>
          <w:tcPr>
            <w:tcW w:w="36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2017</w:t>
            </w:r>
          </w:p>
        </w:tc>
      </w:tr>
      <w:tr>
        <w:trPr>
          <w:trHeight w:val="25"/>
        </w:trPr>
        <w:tc>
          <w:tcPr>
            <w:tcW w:w="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7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Foreign currency translation</w:t>
            </w:r>
          </w:p>
        </w:tc>
        <w:tc>
          <w:tcPr>
            <w:tcW w:w="16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(223.2)</w:t>
            </w: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(87.7)</w:t>
            </w:r>
          </w:p>
        </w:tc>
      </w:tr>
      <w:tr>
        <w:trPr>
          <w:trHeight w:val="224"/>
        </w:trPr>
        <w:tc>
          <w:tcPr>
            <w:tcW w:w="7840" w:type="dxa"/>
            <w:vAlign w:val="bottom"/>
            <w:gridSpan w:val="3"/>
          </w:tcPr>
          <w:p>
            <w:pPr>
              <w:ind w:left="20"/>
              <w:spacing w:after="0"/>
              <w:rPr>
                <w:sz w:val="20"/>
                <w:szCs w:val="20"/>
                <w:color w:val="auto"/>
              </w:rPr>
            </w:pPr>
            <w:r>
              <w:rPr>
                <w:rFonts w:ascii="Arial" w:cs="Arial" w:eastAsia="Arial" w:hAnsi="Arial"/>
                <w:sz w:val="17"/>
                <w:szCs w:val="17"/>
                <w:color w:val="auto"/>
              </w:rPr>
              <w:t>Translation loss on net investment hedge, net of income taxes of $(12.9) and $(23.1), respectively</w:t>
            </w:r>
          </w:p>
        </w:tc>
        <w:tc>
          <w:tcPr>
            <w:tcW w:w="1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(4.7)</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(39.9)</w:t>
            </w:r>
          </w:p>
        </w:tc>
      </w:tr>
      <w:tr>
        <w:trPr>
          <w:trHeight w:val="25"/>
        </w:trPr>
        <w:tc>
          <w:tcPr>
            <w:tcW w:w="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7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Translation loss on long-term intercompany loans</w:t>
            </w:r>
          </w:p>
        </w:tc>
        <w:tc>
          <w:tcPr>
            <w:tcW w:w="16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(137.2)</w:t>
            </w: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(128.8)</w:t>
            </w:r>
          </w:p>
        </w:tc>
      </w:tr>
      <w:tr>
        <w:trPr>
          <w:trHeight w:val="224"/>
        </w:trPr>
        <w:tc>
          <w:tcPr>
            <w:tcW w:w="7840" w:type="dxa"/>
            <w:vAlign w:val="bottom"/>
            <w:gridSpan w:val="3"/>
          </w:tcPr>
          <w:p>
            <w:pPr>
              <w:ind w:left="20"/>
              <w:spacing w:after="0"/>
              <w:rPr>
                <w:sz w:val="20"/>
                <w:szCs w:val="20"/>
                <w:color w:val="auto"/>
              </w:rPr>
            </w:pPr>
            <w:r>
              <w:rPr>
                <w:rFonts w:ascii="Arial" w:cs="Arial" w:eastAsia="Arial" w:hAnsi="Arial"/>
                <w:sz w:val="17"/>
                <w:szCs w:val="17"/>
                <w:color w:val="auto"/>
              </w:rPr>
              <w:t>Unrealized gain on investments, net of income taxes of $0.0 and $3.4, respectively</w:t>
            </w:r>
          </w:p>
        </w:tc>
        <w:tc>
          <w:tcPr>
            <w:tcW w:w="1660" w:type="dxa"/>
            <w:vAlign w:val="bottom"/>
          </w:tcPr>
          <w:p>
            <w:pPr>
              <w:spacing w:after="0"/>
              <w:rPr>
                <w:sz w:val="19"/>
                <w:szCs w:val="19"/>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15.3</w:t>
            </w:r>
          </w:p>
        </w:tc>
      </w:tr>
      <w:tr>
        <w:trPr>
          <w:trHeight w:val="25"/>
        </w:trPr>
        <w:tc>
          <w:tcPr>
            <w:tcW w:w="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29"/>
        </w:trPr>
        <w:tc>
          <w:tcPr>
            <w:tcW w:w="7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Defined benefit pension plans, net of income taxes of $(23.2) and $(27.8), respectively</w:t>
            </w:r>
          </w:p>
        </w:tc>
        <w:tc>
          <w:tcPr>
            <w:tcW w:w="16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(50.5)</w:t>
            </w:r>
          </w:p>
        </w:tc>
      </w:tr>
      <w:tr>
        <w:trPr>
          <w:trHeight w:val="224"/>
        </w:trPr>
        <w:tc>
          <w:tcPr>
            <w:tcW w:w="7840" w:type="dxa"/>
            <w:vAlign w:val="bottom"/>
            <w:gridSpan w:val="3"/>
          </w:tcPr>
          <w:p>
            <w:pPr>
              <w:ind w:left="20"/>
              <w:spacing w:after="0"/>
              <w:rPr>
                <w:sz w:val="20"/>
                <w:szCs w:val="20"/>
                <w:color w:val="auto"/>
              </w:rPr>
            </w:pPr>
            <w:r>
              <w:rPr>
                <w:rFonts w:ascii="Arial" w:cs="Arial" w:eastAsia="Arial" w:hAnsi="Arial"/>
                <w:sz w:val="17"/>
                <w:szCs w:val="17"/>
                <w:color w:val="auto"/>
              </w:rPr>
              <w:t>Retiree health care plan, net of income taxes of $2.0 for both 2018 and 2017</w:t>
            </w:r>
          </w:p>
        </w:tc>
        <w:tc>
          <w:tcPr>
            <w:tcW w:w="1660" w:type="dxa"/>
            <w:vAlign w:val="bottom"/>
          </w:tcPr>
          <w:p>
            <w:pPr>
              <w:spacing w:after="0"/>
              <w:rPr>
                <w:sz w:val="19"/>
                <w:szCs w:val="19"/>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3.2</w:t>
            </w:r>
          </w:p>
        </w:tc>
        <w:tc>
          <w:tcPr>
            <w:tcW w:w="360" w:type="dxa"/>
            <w:vAlign w:val="bottom"/>
          </w:tcPr>
          <w:p>
            <w:pPr>
              <w:spacing w:after="0"/>
              <w:rPr>
                <w:sz w:val="19"/>
                <w:szCs w:val="19"/>
                <w:color w:val="auto"/>
              </w:rPr>
            </w:pPr>
          </w:p>
        </w:tc>
        <w:tc>
          <w:tcPr>
            <w:tcW w:w="780" w:type="dxa"/>
            <w:vAlign w:val="bottom"/>
          </w:tcPr>
          <w:p>
            <w:pPr>
              <w:jc w:val="right"/>
              <w:ind w:right="17"/>
              <w:spacing w:after="0"/>
              <w:rPr>
                <w:sz w:val="20"/>
                <w:szCs w:val="20"/>
                <w:color w:val="auto"/>
              </w:rPr>
            </w:pPr>
            <w:r>
              <w:rPr>
                <w:rFonts w:ascii="Arial" w:cs="Arial" w:eastAsia="Arial" w:hAnsi="Arial"/>
                <w:sz w:val="17"/>
                <w:szCs w:val="17"/>
                <w:color w:val="auto"/>
              </w:rPr>
              <w:t>3.4</w:t>
            </w:r>
          </w:p>
        </w:tc>
      </w:tr>
      <w:tr>
        <w:trPr>
          <w:trHeight w:val="25"/>
        </w:trPr>
        <w:tc>
          <w:tcPr>
            <w:tcW w:w="3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2"/>
        </w:trPr>
        <w:tc>
          <w:tcPr>
            <w:tcW w:w="78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Accumulated other comprehensive loss</w:t>
            </w:r>
          </w:p>
        </w:tc>
        <w:tc>
          <w:tcPr>
            <w:tcW w:w="16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(399.8)</w:t>
            </w:r>
          </w:p>
        </w:tc>
        <w:tc>
          <w:tcPr>
            <w:tcW w:w="36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(288.2)</w:t>
            </w:r>
          </w:p>
        </w:tc>
      </w:tr>
      <w:tr>
        <w:trPr>
          <w:trHeight w:val="20"/>
        </w:trPr>
        <w:tc>
          <w:tcPr>
            <w:tcW w:w="32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272931"/>
        </w:rPr>
        <w:t>As of January 1, 2018, we adopted the new accounting guidance on financial instruments. The new guidance requires equity investments (except those accounted for under the equity method of accounting or those that result in consolidation of the investee) to be measured at fair value with changes in fair value recognized in net earnings. Upon adoption, we reclassified $15.3, the cumulative unrealized gain on our Swiss franchise's investment portfolio as of December 31, 2017, from accumulated other comprehensive loss to retained earnings. Going forward, we will recognize the changes in fair value on the investment portfolio in the current period earnings as opposed to other comprehensive loss.</w:t>
      </w:r>
    </w:p>
    <w:p>
      <w:pPr>
        <w:spacing w:after="0" w:line="382" w:lineRule="exact"/>
        <w:rPr>
          <w:sz w:val="20"/>
          <w:szCs w:val="20"/>
          <w:color w:val="auto"/>
        </w:rPr>
      </w:pPr>
    </w:p>
    <w:p>
      <w:pPr>
        <w:ind w:left="320" w:hanging="320"/>
        <w:spacing w:after="0"/>
        <w:tabs>
          <w:tab w:leader="none" w:pos="320" w:val="left"/>
        </w:tabs>
        <w:numPr>
          <w:ilvl w:val="0"/>
          <w:numId w:val="44"/>
        </w:numPr>
        <w:rPr>
          <w:rFonts w:ascii="Arial" w:cs="Arial" w:eastAsia="Arial" w:hAnsi="Arial"/>
          <w:sz w:val="17"/>
          <w:szCs w:val="17"/>
          <w:color w:val="282A32"/>
        </w:rPr>
      </w:pPr>
      <w:r>
        <w:rPr>
          <w:rFonts w:ascii="Arial" w:cs="Arial" w:eastAsia="Arial" w:hAnsi="Arial"/>
          <w:sz w:val="17"/>
          <w:szCs w:val="17"/>
          <w:u w:val="single" w:color="auto"/>
          <w:color w:val="282A32"/>
        </w:rPr>
        <w:t>Leases</w:t>
      </w:r>
    </w:p>
    <w:p>
      <w:pPr>
        <w:spacing w:after="0" w:line="203" w:lineRule="exact"/>
        <w:rPr>
          <w:sz w:val="20"/>
          <w:szCs w:val="20"/>
          <w:color w:val="auto"/>
        </w:rPr>
      </w:pPr>
    </w:p>
    <w:p>
      <w:pPr>
        <w:spacing w:after="0" w:line="296" w:lineRule="auto"/>
        <w:rPr>
          <w:sz w:val="20"/>
          <w:szCs w:val="20"/>
          <w:color w:val="auto"/>
        </w:rPr>
      </w:pPr>
      <w:r>
        <w:rPr>
          <w:rFonts w:ascii="Arial" w:cs="Arial" w:eastAsia="Arial" w:hAnsi="Arial"/>
          <w:sz w:val="16"/>
          <w:szCs w:val="16"/>
          <w:color w:val="282A32"/>
        </w:rPr>
        <w:t>We lease property and equipment primarily under operating leases. Renewal options exist for substantially all leases. Future undiscounted minimum payments, by year and in the aggregate, under noncancelable operating leases with any remaining terms consisted of the following as of December 31, 2018:</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7"/>
          <w:szCs w:val="17"/>
          <w:color w:val="auto"/>
        </w:rPr>
        <w:t>Year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4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$151.4</w:t>
            </w:r>
          </w:p>
        </w:tc>
      </w:tr>
      <w:tr>
        <w:trPr>
          <w:trHeight w:val="224"/>
        </w:trPr>
        <w:tc>
          <w:tcPr>
            <w:tcW w:w="6480" w:type="dxa"/>
            <w:vAlign w:val="bottom"/>
          </w:tcPr>
          <w:p>
            <w:pPr>
              <w:ind w:left="20"/>
              <w:spacing w:after="0"/>
              <w:rPr>
                <w:sz w:val="20"/>
                <w:szCs w:val="20"/>
                <w:color w:val="auto"/>
              </w:rPr>
            </w:pPr>
            <w:r>
              <w:rPr>
                <w:rFonts w:ascii="Arial" w:cs="Arial" w:eastAsia="Arial" w:hAnsi="Arial"/>
                <w:sz w:val="17"/>
                <w:szCs w:val="17"/>
                <w:color w:val="auto"/>
              </w:rPr>
              <w:t>2020</w:t>
            </w:r>
          </w:p>
        </w:tc>
        <w:tc>
          <w:tcPr>
            <w:tcW w:w="4940" w:type="dxa"/>
            <w:vAlign w:val="bottom"/>
          </w:tcPr>
          <w:p>
            <w:pPr>
              <w:jc w:val="right"/>
              <w:ind w:right="17"/>
              <w:spacing w:after="0"/>
              <w:rPr>
                <w:sz w:val="20"/>
                <w:szCs w:val="20"/>
                <w:color w:val="auto"/>
              </w:rPr>
            </w:pPr>
            <w:r>
              <w:rPr>
                <w:rFonts w:ascii="Arial" w:cs="Arial" w:eastAsia="Arial" w:hAnsi="Arial"/>
                <w:sz w:val="17"/>
                <w:szCs w:val="17"/>
                <w:color w:val="auto"/>
              </w:rPr>
              <w:t>115.2</w:t>
            </w:r>
          </w:p>
        </w:tc>
      </w:tr>
      <w:tr>
        <w:trPr>
          <w:trHeight w:val="25"/>
        </w:trPr>
        <w:tc>
          <w:tcPr>
            <w:tcW w:w="648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2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4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85.5</w:t>
            </w:r>
          </w:p>
        </w:tc>
      </w:tr>
      <w:tr>
        <w:trPr>
          <w:trHeight w:val="224"/>
        </w:trPr>
        <w:tc>
          <w:tcPr>
            <w:tcW w:w="6480" w:type="dxa"/>
            <w:vAlign w:val="bottom"/>
          </w:tcPr>
          <w:p>
            <w:pPr>
              <w:ind w:left="20"/>
              <w:spacing w:after="0"/>
              <w:rPr>
                <w:sz w:val="20"/>
                <w:szCs w:val="20"/>
                <w:color w:val="auto"/>
              </w:rPr>
            </w:pPr>
            <w:r>
              <w:rPr>
                <w:rFonts w:ascii="Arial" w:cs="Arial" w:eastAsia="Arial" w:hAnsi="Arial"/>
                <w:sz w:val="17"/>
                <w:szCs w:val="17"/>
                <w:color w:val="auto"/>
              </w:rPr>
              <w:t>2022</w:t>
            </w:r>
          </w:p>
        </w:tc>
        <w:tc>
          <w:tcPr>
            <w:tcW w:w="4940" w:type="dxa"/>
            <w:vAlign w:val="bottom"/>
          </w:tcPr>
          <w:p>
            <w:pPr>
              <w:jc w:val="right"/>
              <w:ind w:right="17"/>
              <w:spacing w:after="0"/>
              <w:rPr>
                <w:sz w:val="20"/>
                <w:szCs w:val="20"/>
                <w:color w:val="auto"/>
              </w:rPr>
            </w:pPr>
            <w:r>
              <w:rPr>
                <w:rFonts w:ascii="Arial" w:cs="Arial" w:eastAsia="Arial" w:hAnsi="Arial"/>
                <w:sz w:val="17"/>
                <w:szCs w:val="17"/>
                <w:color w:val="auto"/>
              </w:rPr>
              <w:t>65.0</w:t>
            </w:r>
          </w:p>
        </w:tc>
      </w:tr>
      <w:tr>
        <w:trPr>
          <w:trHeight w:val="25"/>
        </w:trPr>
        <w:tc>
          <w:tcPr>
            <w:tcW w:w="648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29"/>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4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44.1</w:t>
            </w:r>
          </w:p>
        </w:tc>
      </w:tr>
      <w:tr>
        <w:trPr>
          <w:trHeight w:val="224"/>
        </w:trPr>
        <w:tc>
          <w:tcPr>
            <w:tcW w:w="648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4940" w:type="dxa"/>
            <w:vAlign w:val="bottom"/>
          </w:tcPr>
          <w:p>
            <w:pPr>
              <w:jc w:val="right"/>
              <w:ind w:right="17"/>
              <w:spacing w:after="0"/>
              <w:rPr>
                <w:sz w:val="20"/>
                <w:szCs w:val="20"/>
                <w:color w:val="auto"/>
              </w:rPr>
            </w:pPr>
            <w:r>
              <w:rPr>
                <w:rFonts w:ascii="Arial" w:cs="Arial" w:eastAsia="Arial" w:hAnsi="Arial"/>
                <w:sz w:val="17"/>
                <w:szCs w:val="17"/>
                <w:color w:val="auto"/>
              </w:rPr>
              <w:t>105.6</w:t>
            </w:r>
          </w:p>
        </w:tc>
      </w:tr>
      <w:tr>
        <w:trPr>
          <w:trHeight w:val="25"/>
        </w:trPr>
        <w:tc>
          <w:tcPr>
            <w:tcW w:w="64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22"/>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minimum lease payments</w:t>
            </w:r>
          </w:p>
        </w:tc>
        <w:tc>
          <w:tcPr>
            <w:tcW w:w="4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$566.8</w:t>
            </w:r>
          </w:p>
        </w:tc>
      </w:tr>
      <w:tr>
        <w:trPr>
          <w:trHeight w:val="20"/>
        </w:trPr>
        <w:tc>
          <w:tcPr>
            <w:tcW w:w="6480" w:type="dxa"/>
            <w:vAlign w:val="bottom"/>
            <w:shd w:val="clear" w:color="auto" w:fill="000000"/>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282A32"/>
        </w:rPr>
        <w:t>Rental expense for all operating leases was $175.8, $173.1 and $166.5 for the years ended December 31, 2018,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580"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95"/>
        </w:trPr>
        <w:tc>
          <w:tcPr>
            <w:tcW w:w="6040" w:type="dxa"/>
            <w:vAlign w:val="bottom"/>
            <w:gridSpan w:val="3"/>
          </w:tcPr>
          <w:p>
            <w:pPr>
              <w:spacing w:after="0"/>
              <w:rPr>
                <w:sz w:val="20"/>
                <w:szCs w:val="20"/>
                <w:color w:val="auto"/>
              </w:rPr>
            </w:pPr>
            <w:r>
              <w:rPr>
                <w:rFonts w:ascii="Arial" w:cs="Arial" w:eastAsia="Arial" w:hAnsi="Arial"/>
                <w:sz w:val="17"/>
                <w:szCs w:val="17"/>
                <w:color w:val="282A32"/>
              </w:rPr>
              <w:t>(12) Interest and Other Expenses</w:t>
            </w:r>
          </w:p>
        </w:tc>
        <w:tc>
          <w:tcPr>
            <w:tcW w:w="3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1860" w:type="dxa"/>
            <w:vAlign w:val="bottom"/>
            <w:shd w:val="clear" w:color="auto" w:fill="282A32"/>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367"/>
        </w:trPr>
        <w:tc>
          <w:tcPr>
            <w:tcW w:w="6040" w:type="dxa"/>
            <w:vAlign w:val="bottom"/>
            <w:gridSpan w:val="3"/>
          </w:tcPr>
          <w:p>
            <w:pPr>
              <w:spacing w:after="0"/>
              <w:rPr>
                <w:sz w:val="20"/>
                <w:szCs w:val="20"/>
                <w:color w:val="auto"/>
              </w:rPr>
            </w:pPr>
            <w:r>
              <w:rPr>
                <w:rFonts w:ascii="Arial" w:cs="Arial" w:eastAsia="Arial" w:hAnsi="Arial"/>
                <w:sz w:val="17"/>
                <w:szCs w:val="17"/>
                <w:color w:val="282A32"/>
              </w:rPr>
              <w:t>Interest and other expenses consisted of the following:</w:t>
            </w:r>
          </w:p>
        </w:tc>
        <w:tc>
          <w:tcPr>
            <w:tcW w:w="3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9"/>
        </w:trPr>
        <w:tc>
          <w:tcPr>
            <w:tcW w:w="6040" w:type="dxa"/>
            <w:vAlign w:val="bottom"/>
            <w:gridSpan w:val="3"/>
          </w:tcPr>
          <w:p>
            <w:pPr>
              <w:ind w:left="20"/>
              <w:spacing w:after="0"/>
              <w:rPr>
                <w:sz w:val="20"/>
                <w:szCs w:val="20"/>
                <w:color w:val="auto"/>
              </w:rPr>
            </w:pPr>
            <w:r>
              <w:rPr>
                <w:rFonts w:ascii="Arial" w:cs="Arial" w:eastAsia="Arial" w:hAnsi="Arial"/>
                <w:sz w:val="17"/>
                <w:szCs w:val="17"/>
                <w:color w:val="auto"/>
              </w:rPr>
              <w:t>Year Ended December 31</w:t>
            </w:r>
          </w:p>
        </w:tc>
        <w:tc>
          <w:tcPr>
            <w:tcW w:w="3240" w:type="dxa"/>
            <w:vAlign w:val="bottom"/>
          </w:tcPr>
          <w:p>
            <w:pPr>
              <w:jc w:val="right"/>
              <w:ind w:right="377"/>
              <w:spacing w:after="0"/>
              <w:rPr>
                <w:sz w:val="20"/>
                <w:szCs w:val="20"/>
                <w:color w:val="auto"/>
              </w:rPr>
            </w:pPr>
            <w:r>
              <w:rPr>
                <w:rFonts w:ascii="Arial" w:cs="Arial" w:eastAsia="Arial" w:hAnsi="Arial"/>
                <w:sz w:val="17"/>
                <w:szCs w:val="17"/>
                <w:color w:val="auto"/>
              </w:rPr>
              <w:t>2018</w:t>
            </w:r>
          </w:p>
        </w:tc>
        <w:tc>
          <w:tcPr>
            <w:tcW w:w="1260" w:type="dxa"/>
            <w:vAlign w:val="bottom"/>
          </w:tcPr>
          <w:p>
            <w:pPr>
              <w:jc w:val="right"/>
              <w:ind w:right="397"/>
              <w:spacing w:after="0"/>
              <w:rPr>
                <w:sz w:val="20"/>
                <w:szCs w:val="20"/>
                <w:color w:val="auto"/>
              </w:rPr>
            </w:pPr>
            <w:r>
              <w:rPr>
                <w:rFonts w:ascii="Arial" w:cs="Arial" w:eastAsia="Arial" w:hAnsi="Arial"/>
                <w:sz w:val="17"/>
                <w:szCs w:val="17"/>
                <w:color w:val="auto"/>
              </w:rPr>
              <w:t>2017</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2016</w:t>
            </w:r>
          </w:p>
        </w:tc>
      </w:tr>
      <w:tr>
        <w:trPr>
          <w:trHeight w:val="25"/>
        </w:trPr>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6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24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$47.0</w:t>
            </w:r>
          </w:p>
        </w:tc>
        <w:tc>
          <w:tcPr>
            <w:tcW w:w="126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7"/>
                <w:szCs w:val="17"/>
                <w:color w:val="auto"/>
              </w:rPr>
              <w:t>$49.4</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$49.5</w:t>
            </w:r>
          </w:p>
        </w:tc>
      </w:tr>
      <w:tr>
        <w:trPr>
          <w:trHeight w:val="224"/>
        </w:trPr>
        <w:tc>
          <w:tcPr>
            <w:tcW w:w="6040" w:type="dxa"/>
            <w:vAlign w:val="bottom"/>
            <w:gridSpan w:val="3"/>
          </w:tcPr>
          <w:p>
            <w:pPr>
              <w:ind w:left="20"/>
              <w:spacing w:after="0"/>
              <w:rPr>
                <w:sz w:val="20"/>
                <w:szCs w:val="20"/>
                <w:color w:val="auto"/>
              </w:rPr>
            </w:pPr>
            <w:r>
              <w:rPr>
                <w:rFonts w:ascii="Arial" w:cs="Arial" w:eastAsia="Arial" w:hAnsi="Arial"/>
                <w:sz w:val="17"/>
                <w:szCs w:val="17"/>
                <w:color w:val="auto"/>
              </w:rPr>
              <w:t>Interest income</w:t>
            </w:r>
          </w:p>
        </w:tc>
        <w:tc>
          <w:tcPr>
            <w:tcW w:w="3240" w:type="dxa"/>
            <w:vAlign w:val="bottom"/>
          </w:tcPr>
          <w:p>
            <w:pPr>
              <w:jc w:val="right"/>
              <w:ind w:right="317"/>
              <w:spacing w:after="0"/>
              <w:rPr>
                <w:sz w:val="20"/>
                <w:szCs w:val="20"/>
                <w:color w:val="auto"/>
              </w:rPr>
            </w:pPr>
            <w:r>
              <w:rPr>
                <w:rFonts w:ascii="Arial" w:cs="Arial" w:eastAsia="Arial" w:hAnsi="Arial"/>
                <w:sz w:val="17"/>
                <w:szCs w:val="17"/>
                <w:color w:val="auto"/>
              </w:rPr>
              <w:t>(6.0)</w:t>
            </w:r>
          </w:p>
        </w:tc>
        <w:tc>
          <w:tcPr>
            <w:tcW w:w="1260" w:type="dxa"/>
            <w:vAlign w:val="bottom"/>
          </w:tcPr>
          <w:p>
            <w:pPr>
              <w:jc w:val="right"/>
              <w:ind w:right="337"/>
              <w:spacing w:after="0"/>
              <w:rPr>
                <w:sz w:val="20"/>
                <w:szCs w:val="20"/>
                <w:color w:val="auto"/>
              </w:rPr>
            </w:pPr>
            <w:r>
              <w:rPr>
                <w:rFonts w:ascii="Arial" w:cs="Arial" w:eastAsia="Arial" w:hAnsi="Arial"/>
                <w:sz w:val="17"/>
                <w:szCs w:val="17"/>
                <w:color w:val="auto"/>
              </w:rPr>
              <w:t>(4.8)</w:t>
            </w:r>
          </w:p>
        </w:tc>
        <w:tc>
          <w:tcPr>
            <w:tcW w:w="88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5"/>
        </w:trPr>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6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Foreign exchange loss</w:t>
            </w:r>
          </w:p>
        </w:tc>
        <w:tc>
          <w:tcPr>
            <w:tcW w:w="324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1.4</w:t>
            </w:r>
          </w:p>
        </w:tc>
        <w:tc>
          <w:tcPr>
            <w:tcW w:w="126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7"/>
                <w:szCs w:val="17"/>
                <w:color w:val="auto"/>
              </w:rPr>
              <w:t>0.8</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w:t>
            </w:r>
          </w:p>
        </w:tc>
      </w:tr>
      <w:tr>
        <w:trPr>
          <w:trHeight w:val="224"/>
        </w:trPr>
        <w:tc>
          <w:tcPr>
            <w:tcW w:w="6040" w:type="dxa"/>
            <w:vAlign w:val="bottom"/>
            <w:gridSpan w:val="3"/>
          </w:tcPr>
          <w:p>
            <w:pPr>
              <w:ind w:left="20"/>
              <w:spacing w:after="0"/>
              <w:rPr>
                <w:sz w:val="20"/>
                <w:szCs w:val="20"/>
                <w:color w:val="auto"/>
              </w:rPr>
            </w:pPr>
            <w:r>
              <w:rPr>
                <w:rFonts w:ascii="Arial" w:cs="Arial" w:eastAsia="Arial" w:hAnsi="Arial"/>
                <w:sz w:val="17"/>
                <w:szCs w:val="17"/>
                <w:color w:val="auto"/>
              </w:rPr>
              <w:t>Miscellaneous (income) expense, net</w:t>
            </w:r>
          </w:p>
        </w:tc>
        <w:tc>
          <w:tcPr>
            <w:tcW w:w="3240" w:type="dxa"/>
            <w:vAlign w:val="bottom"/>
          </w:tcPr>
          <w:p>
            <w:pPr>
              <w:jc w:val="right"/>
              <w:ind w:right="317"/>
              <w:spacing w:after="0"/>
              <w:rPr>
                <w:sz w:val="20"/>
                <w:szCs w:val="20"/>
                <w:color w:val="auto"/>
              </w:rPr>
            </w:pPr>
            <w:r>
              <w:rPr>
                <w:rFonts w:ascii="Arial" w:cs="Arial" w:eastAsia="Arial" w:hAnsi="Arial"/>
                <w:sz w:val="17"/>
                <w:szCs w:val="17"/>
                <w:color w:val="auto"/>
              </w:rPr>
              <w:t>(0.4)</w:t>
            </w:r>
          </w:p>
        </w:tc>
        <w:tc>
          <w:tcPr>
            <w:tcW w:w="1260" w:type="dxa"/>
            <w:vAlign w:val="bottom"/>
          </w:tcPr>
          <w:p>
            <w:pPr>
              <w:jc w:val="right"/>
              <w:ind w:right="397"/>
              <w:spacing w:after="0"/>
              <w:rPr>
                <w:sz w:val="20"/>
                <w:szCs w:val="20"/>
                <w:color w:val="auto"/>
              </w:rPr>
            </w:pPr>
            <w:r>
              <w:rPr>
                <w:rFonts w:ascii="Arial" w:cs="Arial" w:eastAsia="Arial" w:hAnsi="Arial"/>
                <w:sz w:val="17"/>
                <w:szCs w:val="17"/>
                <w:color w:val="auto"/>
              </w:rPr>
              <w:t>6.5</w:t>
            </w:r>
          </w:p>
        </w:tc>
        <w:tc>
          <w:tcPr>
            <w:tcW w:w="8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5"/>
        </w:trPr>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2"/>
        </w:trPr>
        <w:tc>
          <w:tcPr>
            <w:tcW w:w="6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Interest and other expenses</w:t>
            </w:r>
          </w:p>
        </w:tc>
        <w:tc>
          <w:tcPr>
            <w:tcW w:w="3240" w:type="dxa"/>
            <w:vAlign w:val="bottom"/>
            <w:tcBorders>
              <w:bottom w:val="single" w:sz="8" w:color="CCEEFF"/>
            </w:tcBorders>
            <w:shd w:val="clear" w:color="auto" w:fill="CCEEFF"/>
          </w:tcPr>
          <w:p>
            <w:pPr>
              <w:jc w:val="right"/>
              <w:ind w:right="377"/>
              <w:spacing w:after="0"/>
              <w:rPr>
                <w:sz w:val="20"/>
                <w:szCs w:val="20"/>
                <w:color w:val="auto"/>
              </w:rPr>
            </w:pPr>
            <w:r>
              <w:rPr>
                <w:rFonts w:ascii="Arial" w:cs="Arial" w:eastAsia="Arial" w:hAnsi="Arial"/>
                <w:sz w:val="17"/>
                <w:szCs w:val="17"/>
                <w:color w:val="auto"/>
              </w:rPr>
              <w:t>$42.0</w:t>
            </w:r>
          </w:p>
        </w:tc>
        <w:tc>
          <w:tcPr>
            <w:tcW w:w="1260" w:type="dxa"/>
            <w:vAlign w:val="bottom"/>
            <w:tcBorders>
              <w:bottom w:val="single" w:sz="8" w:color="CCEEFF"/>
            </w:tcBorders>
            <w:shd w:val="clear" w:color="auto" w:fill="CCEEFF"/>
          </w:tcPr>
          <w:p>
            <w:pPr>
              <w:jc w:val="right"/>
              <w:ind w:right="397"/>
              <w:spacing w:after="0"/>
              <w:rPr>
                <w:sz w:val="20"/>
                <w:szCs w:val="20"/>
                <w:color w:val="auto"/>
              </w:rPr>
            </w:pPr>
            <w:r>
              <w:rPr>
                <w:rFonts w:ascii="Arial" w:cs="Arial" w:eastAsia="Arial" w:hAnsi="Arial"/>
                <w:sz w:val="17"/>
                <w:szCs w:val="17"/>
                <w:color w:val="auto"/>
              </w:rPr>
              <w:t>$51.9</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$44.2</w:t>
            </w:r>
          </w:p>
        </w:tc>
      </w:tr>
      <w:tr>
        <w:trPr>
          <w:trHeight w:val="20"/>
        </w:trPr>
        <w:tc>
          <w:tcPr>
            <w:tcW w:w="3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12" w:lineRule="exact"/>
        <w:rPr>
          <w:sz w:val="20"/>
          <w:szCs w:val="20"/>
          <w:color w:val="auto"/>
        </w:rPr>
      </w:pPr>
    </w:p>
    <w:p>
      <w:pPr>
        <w:ind w:right="120"/>
        <w:spacing w:after="0" w:line="370" w:lineRule="auto"/>
        <w:rPr>
          <w:sz w:val="20"/>
          <w:szCs w:val="20"/>
          <w:color w:val="auto"/>
        </w:rPr>
      </w:pPr>
      <w:r>
        <w:rPr>
          <w:rFonts w:ascii="Arial" w:cs="Arial" w:eastAsia="Arial" w:hAnsi="Arial"/>
          <w:sz w:val="13"/>
          <w:szCs w:val="13"/>
          <w:color w:val="auto"/>
        </w:rPr>
        <w:t>As of January 1, 2018, we adopted new accounting guidance on presentation of net periodic pension and postretirement benefit cost ("net benefit cost"). Under the new guidance, we are required to present non-service cost components of net benefit cost in interest and other expenses, as opposed to selling and administrative expenses. All previously reported results have been restated to conform to the current year presentation. (See Note 9 to the Consolidated Financial Statements for further information.)</w:t>
      </w:r>
    </w:p>
    <w:p>
      <w:pPr>
        <w:spacing w:after="0" w:line="306" w:lineRule="exact"/>
        <w:rPr>
          <w:sz w:val="20"/>
          <w:szCs w:val="20"/>
          <w:color w:val="auto"/>
        </w:rPr>
      </w:pPr>
    </w:p>
    <w:p>
      <w:pPr>
        <w:ind w:left="320" w:hanging="320"/>
        <w:spacing w:after="0"/>
        <w:tabs>
          <w:tab w:leader="none" w:pos="320" w:val="left"/>
        </w:tabs>
        <w:numPr>
          <w:ilvl w:val="0"/>
          <w:numId w:val="45"/>
        </w:numPr>
        <w:rPr>
          <w:rFonts w:ascii="Arial" w:cs="Arial" w:eastAsia="Arial" w:hAnsi="Arial"/>
          <w:sz w:val="17"/>
          <w:szCs w:val="17"/>
          <w:color w:val="282A32"/>
        </w:rPr>
      </w:pPr>
      <w:r>
        <w:rPr>
          <w:rFonts w:ascii="Arial" w:cs="Arial" w:eastAsia="Arial" w:hAnsi="Arial"/>
          <w:sz w:val="17"/>
          <w:szCs w:val="17"/>
          <w:u w:val="single" w:color="auto"/>
          <w:color w:val="282A32"/>
        </w:rPr>
        <w:t>Derivative Financial Instruments</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282A32"/>
        </w:rPr>
        <w:t>We are exposed to various market risks relating to our ongoing business operations. The primary market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In accordance with the current accounting guidance for derivative instruments and hedging activities, we record all of our derivative instruments as either an asset or liability measured at their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Foreign Currency Exchange Rate Risk Management</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282A32"/>
        </w:rPr>
        <w:t>A portion of the €400.0 Notes (</w:t>
      </w:r>
      <w:r>
        <w:rPr>
          <w:rFonts w:ascii="Arial" w:cs="Arial" w:eastAsia="Arial" w:hAnsi="Arial"/>
          <w:sz w:val="16"/>
          <w:szCs w:val="16"/>
          <w:color w:val="000000"/>
        </w:rPr>
        <w:t>$456.8</w:t>
      </w:r>
      <w:r>
        <w:rPr>
          <w:rFonts w:ascii="Arial" w:cs="Arial" w:eastAsia="Arial" w:hAnsi="Arial"/>
          <w:sz w:val="16"/>
          <w:szCs w:val="16"/>
          <w:color w:val="282A32"/>
        </w:rPr>
        <w:t>) and €500.0 ($567.8) Notes was designated as a hedge of our net investment in our foreign subsidiaries with a Euro-functional currency as of December 31, 2018. For this portion of the Euro-denominated notes, the gain or loss associated with foreign currency translation is recorded as a component of accumulated other comprehensive loss, net of taxes. As of December 31, 2018 and 2017, we had an unrealized loss of $0.5 and $35.7, respectively, included in accumulated other comprehensive loss, net of taxes, as the net investment hedge was deemed effective.</w:t>
      </w:r>
    </w:p>
    <w:p>
      <w:pPr>
        <w:spacing w:after="0" w:line="16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On occasion, forward contracts are designated as a hedge of our net investment in our foreign subsidiaries. We had a translation loss of $4.2 as of both December 31, 2018 and 2017, included in accumulated other comprehensive loss, net of taxes, as the net investment hedge was deemed effective.</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For our forward contracts that are not designated as hedges,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and September. We recorded a $2.2 gain, no gain or loss, and a loss of $1.6 for the years ended December 31, 2018, 2017 and 2016, respectively, associated with our forward contracts in interest and other expenses.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282A32"/>
        </w:rPr>
        <w:t>The fair value measurements of these items recorded in our Consolidated Balance Sheets as of December 31, 2018 and 2017 are disclosed in Note 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20"/>
          </w:cols>
          <w:pgMar w:left="240" w:top="330" w:right="239" w:bottom="1440" w:gutter="0" w:footer="0" w:header="0"/>
        </w:sectPr>
      </w:pPr>
    </w:p>
    <w:bookmarkStart w:id="87" w:name="page88"/>
    <w:bookmarkEnd w:id="87"/>
    <w:p>
      <w:pPr>
        <w:ind w:left="320" w:hanging="320"/>
        <w:spacing w:after="0"/>
        <w:tabs>
          <w:tab w:leader="none" w:pos="320" w:val="left"/>
        </w:tabs>
        <w:numPr>
          <w:ilvl w:val="0"/>
          <w:numId w:val="46"/>
        </w:numPr>
        <w:rPr>
          <w:rFonts w:ascii="Arial" w:cs="Arial" w:eastAsia="Arial" w:hAnsi="Arial"/>
          <w:sz w:val="17"/>
          <w:szCs w:val="17"/>
          <w:color w:val="282A32"/>
        </w:rPr>
      </w:pPr>
      <w:r>
        <w:rPr>
          <w:rFonts w:ascii="Arial" w:cs="Arial" w:eastAsia="Arial" w:hAnsi="Arial"/>
          <w:sz w:val="17"/>
          <w:szCs w:val="17"/>
          <w:u w:val="single" w:color="auto"/>
          <w:color w:val="282A32"/>
        </w:rPr>
        <w:t>Contingencies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Litigation</w:t>
      </w: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In the normal course of business, the Company is named as a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On April 26, 2017, the sellers of 7S, a company we acquired in 2015, formally disputed the contingent consideration related to the acquisition and are claiming an additional $23.9 (€20.8), plus interest. The dispute has been heard by an arbitration tribunal in Germany, which is expected to render its decision during 2019. We have vigorously defended these claims in the arbitration, and we believe no further amounts are due. We are not currently able to predict the outcome of the arbitration, and consequently, no amounts have been recorded in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282A32"/>
        </w:rPr>
        <w:t>Guarantees</w:t>
      </w:r>
    </w:p>
    <w:p>
      <w:pPr>
        <w:spacing w:after="0" w:line="20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282A32"/>
        </w:rPr>
        <w:t>We have entered into certain guarantee contracts and stand-by letters of credit that total $190.3 ($139.0 for guarantees and $51.3 for stand-by letters of credit) as of December 31, 2018. The guarantees primarily relate to operating leases and indebtedness. The stand-by letters of credit relate to insurance requirements and debt facilities.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362" w:lineRule="exact"/>
        <w:rPr>
          <w:sz w:val="20"/>
          <w:szCs w:val="20"/>
          <w:color w:val="auto"/>
        </w:rPr>
      </w:pPr>
    </w:p>
    <w:p>
      <w:pPr>
        <w:ind w:left="320" w:hanging="320"/>
        <w:spacing w:after="0"/>
        <w:tabs>
          <w:tab w:leader="none" w:pos="320" w:val="left"/>
        </w:tabs>
        <w:numPr>
          <w:ilvl w:val="0"/>
          <w:numId w:val="47"/>
        </w:numPr>
        <w:rPr>
          <w:rFonts w:ascii="Arial" w:cs="Arial" w:eastAsia="Arial" w:hAnsi="Arial"/>
          <w:sz w:val="17"/>
          <w:szCs w:val="17"/>
          <w:color w:val="282A32"/>
        </w:rPr>
      </w:pPr>
      <w:r>
        <w:rPr>
          <w:rFonts w:ascii="Arial" w:cs="Arial" w:eastAsia="Arial" w:hAnsi="Arial"/>
          <w:sz w:val="17"/>
          <w:szCs w:val="17"/>
          <w:u w:val="single" w:color="auto"/>
          <w:color w:val="282A32"/>
        </w:rPr>
        <w:t>Segment Data</w:t>
      </w:r>
    </w:p>
    <w:p>
      <w:pPr>
        <w:spacing w:after="0" w:line="153"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282A32"/>
        </w:rPr>
        <w:t>We are organized and managed primarily on a geographic basis, with Right Management currently operating as a separate global business unit.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locally. We develop and implement global workforce solutions for our clients that deliver the outcomes that help them achieve their business strategy.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APME; and Right Management.</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282A32"/>
        </w:rPr>
        <w:t>The Americas, Southern Europe, Northern Europe and APME segments derive a significant majority of their revenues from the placement of contingent workers. The remaining revenues within these segments are derived from other workforce solutions and services, including ManpowerGroup Solutions (Recruitment Process Outsourcing (RPO), TAPFIN - Managed Service Provider (MSP), Proservia and Talent Based Outsourcing (TBO)), recruitment and assessment, and training and development. The Right Management segment revenues are derived from career management and talent management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282A32"/>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goodwill and intangible asset impairment charges or amortization of intangible assets related to acquisitions, corporate expenses, interest and other income and expense amounts or income taxes.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1420"/>
          </w:cols>
          <w:pgMar w:left="240" w:top="351" w:right="23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282A32"/>
        </w:rPr>
        <w:t>Total assets for the segments are reported after the elimination of investments in subsidiaries and intercompany accounts.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60" w:type="dxa"/>
            <w:vAlign w:val="bottom"/>
          </w:tcPr>
          <w:p>
            <w:pPr>
              <w:ind w:left="20"/>
              <w:spacing w:after="0"/>
              <w:rPr>
                <w:sz w:val="20"/>
                <w:szCs w:val="20"/>
                <w:color w:val="auto"/>
              </w:rPr>
            </w:pPr>
            <w:r>
              <w:rPr>
                <w:rFonts w:ascii="Arial" w:cs="Arial" w:eastAsia="Arial" w:hAnsi="Arial"/>
                <w:sz w:val="17"/>
                <w:szCs w:val="17"/>
                <w:color w:val="auto"/>
              </w:rPr>
              <w:t>Year Ended December 31</w:t>
            </w:r>
          </w:p>
        </w:tc>
        <w:tc>
          <w:tcPr>
            <w:tcW w:w="1620" w:type="dxa"/>
            <w:vAlign w:val="bottom"/>
          </w:tcPr>
          <w:p>
            <w:pPr>
              <w:spacing w:after="0"/>
              <w:rPr>
                <w:sz w:val="18"/>
                <w:szCs w:val="18"/>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2018</w:t>
            </w:r>
          </w:p>
        </w:tc>
        <w:tc>
          <w:tcPr>
            <w:tcW w:w="30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2017</w:t>
            </w:r>
          </w:p>
        </w:tc>
        <w:tc>
          <w:tcPr>
            <w:tcW w:w="280" w:type="dxa"/>
            <w:vAlign w:val="bottom"/>
          </w:tcPr>
          <w:p>
            <w:pPr>
              <w:spacing w:after="0"/>
              <w:rPr>
                <w:sz w:val="18"/>
                <w:szCs w:val="18"/>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2016</w:t>
            </w:r>
          </w:p>
        </w:tc>
      </w:tr>
      <w:tr>
        <w:trPr>
          <w:trHeight w:val="25"/>
        </w:trPr>
        <w:tc>
          <w:tcPr>
            <w:tcW w:w="6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04"/>
        </w:trPr>
        <w:tc>
          <w:tcPr>
            <w:tcW w:w="66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 from Services</w:t>
            </w:r>
            <w:r>
              <w:rPr>
                <w:rFonts w:ascii="Arial" w:cs="Arial" w:eastAsia="Arial" w:hAnsi="Arial"/>
                <w:sz w:val="23"/>
                <w:szCs w:val="23"/>
                <w:b w:val="1"/>
                <w:bCs w:val="1"/>
                <w:color w:val="auto"/>
                <w:vertAlign w:val="superscript"/>
              </w:rPr>
              <w:t>(a)</w:t>
            </w:r>
          </w:p>
        </w:tc>
        <w:tc>
          <w:tcPr>
            <w:tcW w:w="16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24"/>
        </w:trPr>
        <w:tc>
          <w:tcPr>
            <w:tcW w:w="6660" w:type="dxa"/>
            <w:vAlign w:val="bottom"/>
          </w:tcPr>
          <w:p>
            <w:pPr>
              <w:ind w:left="20"/>
              <w:spacing w:after="0"/>
              <w:rPr>
                <w:sz w:val="20"/>
                <w:szCs w:val="20"/>
                <w:color w:val="auto"/>
              </w:rPr>
            </w:pPr>
            <w:r>
              <w:rPr>
                <w:rFonts w:ascii="Arial" w:cs="Arial" w:eastAsia="Arial" w:hAnsi="Arial"/>
                <w:sz w:val="17"/>
                <w:szCs w:val="17"/>
                <w:color w:val="auto"/>
              </w:rPr>
              <w:t>Americas:</w:t>
            </w:r>
          </w:p>
        </w:tc>
        <w:tc>
          <w:tcPr>
            <w:tcW w:w="1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
        </w:trPr>
        <w:tc>
          <w:tcPr>
            <w:tcW w:w="6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9"/>
        </w:trPr>
        <w:tc>
          <w:tcPr>
            <w:tcW w:w="6660" w:type="dxa"/>
            <w:vAlign w:val="bottom"/>
            <w:shd w:val="clear" w:color="auto" w:fill="CCEEFF"/>
          </w:tcPr>
          <w:p>
            <w:pPr>
              <w:ind w:left="280"/>
              <w:spacing w:after="0" w:line="250" w:lineRule="exact"/>
              <w:rPr>
                <w:sz w:val="20"/>
                <w:szCs w:val="20"/>
                <w:color w:val="auto"/>
              </w:rPr>
            </w:pPr>
            <w:r>
              <w:rPr>
                <w:rFonts w:ascii="Arial" w:cs="Arial" w:eastAsia="Arial" w:hAnsi="Arial"/>
                <w:sz w:val="17"/>
                <w:szCs w:val="17"/>
                <w:color w:val="auto"/>
              </w:rPr>
              <w:t>United States</w:t>
            </w:r>
            <w:r>
              <w:rPr>
                <w:rFonts w:ascii="Arial" w:cs="Arial" w:eastAsia="Arial" w:hAnsi="Arial"/>
                <w:sz w:val="23"/>
                <w:szCs w:val="23"/>
                <w:color w:val="auto"/>
                <w:vertAlign w:val="superscript"/>
              </w:rPr>
              <w:t>(b)</w:t>
            </w:r>
          </w:p>
        </w:tc>
        <w:tc>
          <w:tcPr>
            <w:tcW w:w="162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2,522.3</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2,659.0</w:t>
            </w: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2,836.8</w:t>
            </w:r>
          </w:p>
        </w:tc>
      </w:tr>
      <w:tr>
        <w:trPr>
          <w:trHeight w:val="224"/>
        </w:trPr>
        <w:tc>
          <w:tcPr>
            <w:tcW w:w="6660" w:type="dxa"/>
            <w:vAlign w:val="bottom"/>
          </w:tcPr>
          <w:p>
            <w:pPr>
              <w:ind w:left="280"/>
              <w:spacing w:after="0"/>
              <w:rPr>
                <w:sz w:val="20"/>
                <w:szCs w:val="20"/>
                <w:color w:val="auto"/>
              </w:rPr>
            </w:pPr>
            <w:r>
              <w:rPr>
                <w:rFonts w:ascii="Arial" w:cs="Arial" w:eastAsia="Arial" w:hAnsi="Arial"/>
                <w:sz w:val="17"/>
                <w:szCs w:val="17"/>
                <w:color w:val="auto"/>
              </w:rPr>
              <w:t>Other Americas</w:t>
            </w:r>
          </w:p>
        </w:tc>
        <w:tc>
          <w:tcPr>
            <w:tcW w:w="162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1,637.0</w:t>
            </w:r>
          </w:p>
        </w:tc>
        <w:tc>
          <w:tcPr>
            <w:tcW w:w="30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1,557.4</w:t>
            </w:r>
          </w:p>
        </w:tc>
        <w:tc>
          <w:tcPr>
            <w:tcW w:w="28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1,460.4</w:t>
            </w:r>
          </w:p>
        </w:tc>
      </w:tr>
      <w:tr>
        <w:trPr>
          <w:trHeight w:val="25"/>
        </w:trPr>
        <w:tc>
          <w:tcPr>
            <w:tcW w:w="6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7"/>
        </w:trPr>
        <w:tc>
          <w:tcPr>
            <w:tcW w:w="6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4,159.3</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4,216.4</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4,297.2</w:t>
            </w:r>
          </w:p>
        </w:tc>
      </w:tr>
      <w:tr>
        <w:trPr>
          <w:trHeight w:val="217"/>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Southern Europe:</w:t>
            </w:r>
          </w:p>
        </w:tc>
        <w:tc>
          <w:tcPr>
            <w:tcW w:w="16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5"/>
        </w:trPr>
        <w:tc>
          <w:tcPr>
            <w:tcW w:w="6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France</w:t>
            </w:r>
          </w:p>
        </w:tc>
        <w:tc>
          <w:tcPr>
            <w:tcW w:w="16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5,827.7</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5,477.2</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4,837.4</w:t>
            </w:r>
          </w:p>
        </w:tc>
      </w:tr>
      <w:tr>
        <w:trPr>
          <w:trHeight w:val="224"/>
        </w:trPr>
        <w:tc>
          <w:tcPr>
            <w:tcW w:w="6660" w:type="dxa"/>
            <w:vAlign w:val="bottom"/>
          </w:tcPr>
          <w:p>
            <w:pPr>
              <w:ind w:left="280"/>
              <w:spacing w:after="0"/>
              <w:rPr>
                <w:sz w:val="20"/>
                <w:szCs w:val="20"/>
                <w:color w:val="auto"/>
              </w:rPr>
            </w:pPr>
            <w:r>
              <w:rPr>
                <w:rFonts w:ascii="Arial" w:cs="Arial" w:eastAsia="Arial" w:hAnsi="Arial"/>
                <w:sz w:val="17"/>
                <w:szCs w:val="17"/>
                <w:color w:val="auto"/>
              </w:rPr>
              <w:t>Italy</w:t>
            </w:r>
          </w:p>
        </w:tc>
        <w:tc>
          <w:tcPr>
            <w:tcW w:w="162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1,670.6</w:t>
            </w:r>
          </w:p>
        </w:tc>
        <w:tc>
          <w:tcPr>
            <w:tcW w:w="30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1,475.9</w:t>
            </w:r>
          </w:p>
        </w:tc>
        <w:tc>
          <w:tcPr>
            <w:tcW w:w="28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1,167.7</w:t>
            </w:r>
          </w:p>
        </w:tc>
      </w:tr>
      <w:tr>
        <w:trPr>
          <w:trHeight w:val="25"/>
        </w:trPr>
        <w:tc>
          <w:tcPr>
            <w:tcW w:w="6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4"/>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Southern Europe</w:t>
            </w:r>
          </w:p>
        </w:tc>
        <w:tc>
          <w:tcPr>
            <w:tcW w:w="1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1,873.3</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1,703.9</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1,492.5</w:t>
            </w:r>
          </w:p>
        </w:tc>
      </w:tr>
      <w:tr>
        <w:trPr>
          <w:trHeight w:val="217"/>
        </w:trPr>
        <w:tc>
          <w:tcPr>
            <w:tcW w:w="66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9,371.6</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8,657.0</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7,497.6</w:t>
            </w:r>
          </w:p>
        </w:tc>
      </w:tr>
      <w:tr>
        <w:trPr>
          <w:trHeight w:val="25"/>
        </w:trPr>
        <w:tc>
          <w:tcPr>
            <w:tcW w:w="6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Northern Europe</w:t>
            </w:r>
          </w:p>
        </w:tc>
        <w:tc>
          <w:tcPr>
            <w:tcW w:w="16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5,370.5</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5,306.4</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5,129.1</w:t>
            </w:r>
          </w:p>
        </w:tc>
      </w:tr>
      <w:tr>
        <w:trPr>
          <w:trHeight w:val="224"/>
        </w:trPr>
        <w:tc>
          <w:tcPr>
            <w:tcW w:w="6660" w:type="dxa"/>
            <w:vAlign w:val="bottom"/>
          </w:tcPr>
          <w:p>
            <w:pPr>
              <w:ind w:left="20"/>
              <w:spacing w:after="0"/>
              <w:rPr>
                <w:sz w:val="20"/>
                <w:szCs w:val="20"/>
                <w:color w:val="auto"/>
              </w:rPr>
            </w:pPr>
            <w:r>
              <w:rPr>
                <w:rFonts w:ascii="Arial" w:cs="Arial" w:eastAsia="Arial" w:hAnsi="Arial"/>
                <w:sz w:val="17"/>
                <w:szCs w:val="17"/>
                <w:color w:val="auto"/>
              </w:rPr>
              <w:t>APME</w:t>
            </w:r>
          </w:p>
        </w:tc>
        <w:tc>
          <w:tcPr>
            <w:tcW w:w="162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2,890.3</w:t>
            </w:r>
          </w:p>
        </w:tc>
        <w:tc>
          <w:tcPr>
            <w:tcW w:w="30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2,636.4</w:t>
            </w:r>
          </w:p>
        </w:tc>
        <w:tc>
          <w:tcPr>
            <w:tcW w:w="28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2,471.3</w:t>
            </w:r>
          </w:p>
        </w:tc>
      </w:tr>
      <w:tr>
        <w:trPr>
          <w:trHeight w:val="25"/>
        </w:trPr>
        <w:tc>
          <w:tcPr>
            <w:tcW w:w="6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Right Management</w:t>
            </w:r>
          </w:p>
        </w:tc>
        <w:tc>
          <w:tcPr>
            <w:tcW w:w="1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199.5</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218.1</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258.9</w:t>
            </w:r>
          </w:p>
        </w:tc>
      </w:tr>
      <w:tr>
        <w:trPr>
          <w:trHeight w:val="217"/>
        </w:trPr>
        <w:tc>
          <w:tcPr>
            <w:tcW w:w="66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21,991.2</w:t>
            </w: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21,034.3</w:t>
            </w:r>
          </w:p>
        </w:tc>
        <w:tc>
          <w:tcPr>
            <w:tcW w:w="2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19,654.1</w:t>
            </w:r>
          </w:p>
        </w:tc>
      </w:tr>
      <w:tr>
        <w:trPr>
          <w:trHeight w:val="25"/>
        </w:trPr>
        <w:tc>
          <w:tcPr>
            <w:tcW w:w="6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8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Unit Profit</w:t>
            </w:r>
          </w:p>
        </w:tc>
        <w:tc>
          <w:tcPr>
            <w:tcW w:w="16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24"/>
        </w:trPr>
        <w:tc>
          <w:tcPr>
            <w:tcW w:w="6660" w:type="dxa"/>
            <w:vAlign w:val="bottom"/>
          </w:tcPr>
          <w:p>
            <w:pPr>
              <w:ind w:left="20"/>
              <w:spacing w:after="0"/>
              <w:rPr>
                <w:sz w:val="20"/>
                <w:szCs w:val="20"/>
                <w:color w:val="auto"/>
              </w:rPr>
            </w:pPr>
            <w:r>
              <w:rPr>
                <w:rFonts w:ascii="Arial" w:cs="Arial" w:eastAsia="Arial" w:hAnsi="Arial"/>
                <w:sz w:val="17"/>
                <w:szCs w:val="17"/>
                <w:color w:val="auto"/>
              </w:rPr>
              <w:t>Americas:</w:t>
            </w:r>
          </w:p>
        </w:tc>
        <w:tc>
          <w:tcPr>
            <w:tcW w:w="1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
        </w:trPr>
        <w:tc>
          <w:tcPr>
            <w:tcW w:w="6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United States</w:t>
            </w:r>
          </w:p>
        </w:tc>
        <w:tc>
          <w:tcPr>
            <w:tcW w:w="16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130.8</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152.1</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142.3</w:t>
            </w:r>
          </w:p>
        </w:tc>
      </w:tr>
      <w:tr>
        <w:trPr>
          <w:trHeight w:val="224"/>
        </w:trPr>
        <w:tc>
          <w:tcPr>
            <w:tcW w:w="6660" w:type="dxa"/>
            <w:vAlign w:val="bottom"/>
          </w:tcPr>
          <w:p>
            <w:pPr>
              <w:ind w:left="280"/>
              <w:spacing w:after="0"/>
              <w:rPr>
                <w:sz w:val="20"/>
                <w:szCs w:val="20"/>
                <w:color w:val="auto"/>
              </w:rPr>
            </w:pPr>
            <w:r>
              <w:rPr>
                <w:rFonts w:ascii="Arial" w:cs="Arial" w:eastAsia="Arial" w:hAnsi="Arial"/>
                <w:sz w:val="17"/>
                <w:szCs w:val="17"/>
                <w:color w:val="auto"/>
              </w:rPr>
              <w:t>Other Americas</w:t>
            </w:r>
          </w:p>
        </w:tc>
        <w:tc>
          <w:tcPr>
            <w:tcW w:w="162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73.1</w:t>
            </w:r>
          </w:p>
        </w:tc>
        <w:tc>
          <w:tcPr>
            <w:tcW w:w="30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61.2</w:t>
            </w:r>
          </w:p>
        </w:tc>
        <w:tc>
          <w:tcPr>
            <w:tcW w:w="28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53.6</w:t>
            </w:r>
          </w:p>
        </w:tc>
      </w:tr>
      <w:tr>
        <w:trPr>
          <w:trHeight w:val="25"/>
        </w:trPr>
        <w:tc>
          <w:tcPr>
            <w:tcW w:w="6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7"/>
        </w:trPr>
        <w:tc>
          <w:tcPr>
            <w:tcW w:w="66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203.9</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213.3</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195.9</w:t>
            </w:r>
          </w:p>
        </w:tc>
      </w:tr>
      <w:tr>
        <w:trPr>
          <w:trHeight w:val="217"/>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Southern Europe:</w:t>
            </w:r>
          </w:p>
        </w:tc>
        <w:tc>
          <w:tcPr>
            <w:tcW w:w="16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5"/>
        </w:trPr>
        <w:tc>
          <w:tcPr>
            <w:tcW w:w="6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France</w:t>
            </w:r>
          </w:p>
        </w:tc>
        <w:tc>
          <w:tcPr>
            <w:tcW w:w="16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290.4</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280.0</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252.5</w:t>
            </w:r>
          </w:p>
        </w:tc>
      </w:tr>
      <w:tr>
        <w:trPr>
          <w:trHeight w:val="224"/>
        </w:trPr>
        <w:tc>
          <w:tcPr>
            <w:tcW w:w="6660" w:type="dxa"/>
            <w:vAlign w:val="bottom"/>
          </w:tcPr>
          <w:p>
            <w:pPr>
              <w:ind w:left="280"/>
              <w:spacing w:after="0"/>
              <w:rPr>
                <w:sz w:val="20"/>
                <w:szCs w:val="20"/>
                <w:color w:val="auto"/>
              </w:rPr>
            </w:pPr>
            <w:r>
              <w:rPr>
                <w:rFonts w:ascii="Arial" w:cs="Arial" w:eastAsia="Arial" w:hAnsi="Arial"/>
                <w:sz w:val="17"/>
                <w:szCs w:val="17"/>
                <w:color w:val="auto"/>
              </w:rPr>
              <w:t>Italy</w:t>
            </w:r>
          </w:p>
        </w:tc>
        <w:tc>
          <w:tcPr>
            <w:tcW w:w="162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111.1</w:t>
            </w:r>
          </w:p>
        </w:tc>
        <w:tc>
          <w:tcPr>
            <w:tcW w:w="30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104.5</w:t>
            </w:r>
          </w:p>
        </w:tc>
        <w:tc>
          <w:tcPr>
            <w:tcW w:w="28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79.1</w:t>
            </w:r>
          </w:p>
        </w:tc>
      </w:tr>
      <w:tr>
        <w:trPr>
          <w:trHeight w:val="25"/>
        </w:trPr>
        <w:tc>
          <w:tcPr>
            <w:tcW w:w="6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4"/>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Southern Europe</w:t>
            </w:r>
          </w:p>
        </w:tc>
        <w:tc>
          <w:tcPr>
            <w:tcW w:w="1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66.1</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59.4</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47.2</w:t>
            </w:r>
          </w:p>
        </w:tc>
      </w:tr>
      <w:tr>
        <w:trPr>
          <w:trHeight w:val="217"/>
        </w:trPr>
        <w:tc>
          <w:tcPr>
            <w:tcW w:w="66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467.6</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443.9</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378.8</w:t>
            </w:r>
          </w:p>
        </w:tc>
      </w:tr>
      <w:tr>
        <w:trPr>
          <w:trHeight w:val="25"/>
        </w:trPr>
        <w:tc>
          <w:tcPr>
            <w:tcW w:w="6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Northern Europe</w:t>
            </w:r>
          </w:p>
        </w:tc>
        <w:tc>
          <w:tcPr>
            <w:tcW w:w="16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122.7</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140.1</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166.4</w:t>
            </w:r>
          </w:p>
        </w:tc>
      </w:tr>
      <w:tr>
        <w:trPr>
          <w:trHeight w:val="224"/>
        </w:trPr>
        <w:tc>
          <w:tcPr>
            <w:tcW w:w="6660" w:type="dxa"/>
            <w:vAlign w:val="bottom"/>
          </w:tcPr>
          <w:p>
            <w:pPr>
              <w:ind w:left="20"/>
              <w:spacing w:after="0"/>
              <w:rPr>
                <w:sz w:val="20"/>
                <w:szCs w:val="20"/>
                <w:color w:val="auto"/>
              </w:rPr>
            </w:pPr>
            <w:r>
              <w:rPr>
                <w:rFonts w:ascii="Arial" w:cs="Arial" w:eastAsia="Arial" w:hAnsi="Arial"/>
                <w:sz w:val="17"/>
                <w:szCs w:val="17"/>
                <w:color w:val="auto"/>
              </w:rPr>
              <w:t>APME</w:t>
            </w:r>
          </w:p>
        </w:tc>
        <w:tc>
          <w:tcPr>
            <w:tcW w:w="162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114.8</w:t>
            </w:r>
          </w:p>
        </w:tc>
        <w:tc>
          <w:tcPr>
            <w:tcW w:w="30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98.9</w:t>
            </w:r>
          </w:p>
        </w:tc>
        <w:tc>
          <w:tcPr>
            <w:tcW w:w="28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88.5</w:t>
            </w:r>
          </w:p>
        </w:tc>
      </w:tr>
      <w:tr>
        <w:trPr>
          <w:trHeight w:val="25"/>
        </w:trPr>
        <w:tc>
          <w:tcPr>
            <w:tcW w:w="6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Right Management</w:t>
            </w:r>
          </w:p>
        </w:tc>
        <w:tc>
          <w:tcPr>
            <w:tcW w:w="1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32.8</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36.0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44.7</w:t>
            </w:r>
          </w:p>
        </w:tc>
      </w:tr>
      <w:tr>
        <w:trPr>
          <w:trHeight w:val="217"/>
        </w:trPr>
        <w:tc>
          <w:tcPr>
            <w:tcW w:w="66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941.8</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932.2</w:t>
            </w: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874.3</w:t>
            </w:r>
          </w:p>
        </w:tc>
      </w:tr>
      <w:tr>
        <w:trPr>
          <w:trHeight w:val="25"/>
        </w:trPr>
        <w:tc>
          <w:tcPr>
            <w:tcW w:w="6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 expenses</w:t>
            </w:r>
          </w:p>
        </w:tc>
        <w:tc>
          <w:tcPr>
            <w:tcW w:w="16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(108.4)</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(92.8)</w:t>
            </w:r>
          </w:p>
        </w:tc>
      </w:tr>
      <w:tr>
        <w:trPr>
          <w:trHeight w:val="249"/>
        </w:trPr>
        <w:tc>
          <w:tcPr>
            <w:tcW w:w="6660" w:type="dxa"/>
            <w:vAlign w:val="bottom"/>
          </w:tcPr>
          <w:p>
            <w:pPr>
              <w:ind w:left="20"/>
              <w:spacing w:after="0" w:line="250" w:lineRule="exact"/>
              <w:rPr>
                <w:sz w:val="20"/>
                <w:szCs w:val="20"/>
                <w:color w:val="auto"/>
              </w:rPr>
            </w:pPr>
            <w:r>
              <w:rPr>
                <w:rFonts w:ascii="Arial" w:cs="Arial" w:eastAsia="Arial" w:hAnsi="Arial"/>
                <w:sz w:val="17"/>
                <w:szCs w:val="17"/>
                <w:color w:val="auto"/>
              </w:rPr>
              <w:t>Intangible asset amortization expense</w:t>
            </w:r>
            <w:r>
              <w:rPr>
                <w:rFonts w:ascii="Arial" w:cs="Arial" w:eastAsia="Arial" w:hAnsi="Arial"/>
                <w:sz w:val="23"/>
                <w:szCs w:val="23"/>
                <w:color w:val="auto"/>
                <w:vertAlign w:val="superscript"/>
              </w:rPr>
              <w:t>(c)</w:t>
            </w:r>
          </w:p>
        </w:tc>
        <w:tc>
          <w:tcPr>
            <w:tcW w:w="1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(35.1)</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(34.6)</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(36.0)</w:t>
            </w:r>
          </w:p>
        </w:tc>
      </w:tr>
      <w:tr>
        <w:trPr>
          <w:trHeight w:val="25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expenses</w:t>
            </w:r>
          </w:p>
        </w:tc>
        <w:tc>
          <w:tcPr>
            <w:tcW w:w="1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(44.2)</w:t>
            </w:r>
          </w:p>
        </w:tc>
      </w:tr>
      <w:tr>
        <w:trPr>
          <w:trHeight w:val="217"/>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Earnings before income taxes</w:t>
            </w:r>
          </w:p>
        </w:tc>
        <w:tc>
          <w:tcPr>
            <w:tcW w:w="162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754.7</w:t>
            </w:r>
          </w:p>
        </w:tc>
        <w:tc>
          <w:tcPr>
            <w:tcW w:w="300" w:type="dxa"/>
            <w:vAlign w:val="bottom"/>
            <w:tcBorders>
              <w:top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737.3</w:t>
            </w:r>
          </w:p>
        </w:tc>
        <w:tc>
          <w:tcPr>
            <w:tcW w:w="280" w:type="dxa"/>
            <w:vAlign w:val="bottom"/>
            <w:tcBorders>
              <w:top w:val="single" w:sz="8" w:color="auto"/>
            </w:tcBorders>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701.3</w:t>
            </w:r>
          </w:p>
        </w:tc>
      </w:tr>
      <w:tr>
        <w:trPr>
          <w:trHeight w:val="25"/>
        </w:trPr>
        <w:tc>
          <w:tcPr>
            <w:tcW w:w="6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448"/>
        </w:trPr>
        <w:tc>
          <w:tcPr>
            <w:tcW w:w="6660" w:type="dxa"/>
            <w:vAlign w:val="bottom"/>
          </w:tcPr>
          <w:p>
            <w:pPr>
              <w:spacing w:after="0"/>
              <w:rPr>
                <w:sz w:val="20"/>
                <w:szCs w:val="20"/>
                <w:color w:val="auto"/>
              </w:rPr>
            </w:pPr>
            <w:r>
              <w:rPr>
                <w:rFonts w:ascii="Arial" w:cs="Arial" w:eastAsia="Arial" w:hAnsi="Arial"/>
                <w:sz w:val="15"/>
                <w:szCs w:val="15"/>
                <w:color w:val="282A32"/>
              </w:rPr>
              <w:t>(a) Further breakdown of revenues from services by geographical region was as follows:</w:t>
            </w:r>
          </w:p>
        </w:tc>
        <w:tc>
          <w:tcPr>
            <w:tcW w:w="1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3"/>
        </w:trPr>
        <w:tc>
          <w:tcPr>
            <w:tcW w:w="6660" w:type="dxa"/>
            <w:vAlign w:val="bottom"/>
          </w:tcPr>
          <w:p>
            <w:pPr>
              <w:ind w:left="20"/>
              <w:spacing w:after="0"/>
              <w:rPr>
                <w:sz w:val="20"/>
                <w:szCs w:val="20"/>
                <w:color w:val="auto"/>
              </w:rPr>
            </w:pPr>
            <w:r>
              <w:rPr>
                <w:rFonts w:ascii="Arial" w:cs="Arial" w:eastAsia="Arial" w:hAnsi="Arial"/>
                <w:sz w:val="17"/>
                <w:szCs w:val="17"/>
                <w:color w:val="auto"/>
              </w:rPr>
              <w:t>Revenues from Services</w:t>
            </w:r>
          </w:p>
        </w:tc>
        <w:tc>
          <w:tcPr>
            <w:tcW w:w="162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2018</w:t>
            </w:r>
          </w:p>
        </w:tc>
        <w:tc>
          <w:tcPr>
            <w:tcW w:w="300" w:type="dxa"/>
            <w:vAlign w:val="bottom"/>
          </w:tcPr>
          <w:p>
            <w:pPr>
              <w:spacing w:after="0"/>
              <w:rPr>
                <w:sz w:val="24"/>
                <w:szCs w:val="24"/>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2017</w:t>
            </w:r>
          </w:p>
        </w:tc>
        <w:tc>
          <w:tcPr>
            <w:tcW w:w="280" w:type="dxa"/>
            <w:vAlign w:val="bottom"/>
          </w:tcPr>
          <w:p>
            <w:pPr>
              <w:spacing w:after="0"/>
              <w:rPr>
                <w:sz w:val="24"/>
                <w:szCs w:val="24"/>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2016</w:t>
            </w:r>
          </w:p>
        </w:tc>
      </w:tr>
      <w:tr>
        <w:trPr>
          <w:trHeight w:val="25"/>
        </w:trPr>
        <w:tc>
          <w:tcPr>
            <w:tcW w:w="66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16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2,608.9</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2,758.5</w:t>
            </w: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2,950.2</w:t>
            </w:r>
          </w:p>
        </w:tc>
      </w:tr>
      <w:tr>
        <w:trPr>
          <w:trHeight w:val="224"/>
        </w:trPr>
        <w:tc>
          <w:tcPr>
            <w:tcW w:w="6660" w:type="dxa"/>
            <w:vAlign w:val="bottom"/>
          </w:tcPr>
          <w:p>
            <w:pPr>
              <w:ind w:left="20"/>
              <w:spacing w:after="0"/>
              <w:rPr>
                <w:sz w:val="20"/>
                <w:szCs w:val="20"/>
                <w:color w:val="auto"/>
              </w:rPr>
            </w:pPr>
            <w:r>
              <w:rPr>
                <w:rFonts w:ascii="Arial" w:cs="Arial" w:eastAsia="Arial" w:hAnsi="Arial"/>
                <w:sz w:val="17"/>
                <w:szCs w:val="17"/>
                <w:color w:val="auto"/>
              </w:rPr>
              <w:t>France</w:t>
            </w:r>
          </w:p>
        </w:tc>
        <w:tc>
          <w:tcPr>
            <w:tcW w:w="162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5,846.4</w:t>
            </w:r>
          </w:p>
        </w:tc>
        <w:tc>
          <w:tcPr>
            <w:tcW w:w="30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5,493.9</w:t>
            </w:r>
          </w:p>
        </w:tc>
        <w:tc>
          <w:tcPr>
            <w:tcW w:w="28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4,857.3</w:t>
            </w:r>
          </w:p>
        </w:tc>
      </w:tr>
      <w:tr>
        <w:trPr>
          <w:trHeight w:val="25"/>
        </w:trPr>
        <w:tc>
          <w:tcPr>
            <w:tcW w:w="6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Italy</w:t>
            </w:r>
          </w:p>
        </w:tc>
        <w:tc>
          <w:tcPr>
            <w:tcW w:w="16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1,673.9</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1,479.4</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1,170.7</w:t>
            </w:r>
          </w:p>
        </w:tc>
      </w:tr>
      <w:tr>
        <w:trPr>
          <w:trHeight w:val="224"/>
        </w:trPr>
        <w:tc>
          <w:tcPr>
            <w:tcW w:w="6660" w:type="dxa"/>
            <w:vAlign w:val="bottom"/>
          </w:tcPr>
          <w:p>
            <w:pPr>
              <w:ind w:left="20"/>
              <w:spacing w:after="0"/>
              <w:rPr>
                <w:sz w:val="20"/>
                <w:szCs w:val="20"/>
                <w:color w:val="auto"/>
              </w:rPr>
            </w:pPr>
            <w:r>
              <w:rPr>
                <w:rFonts w:ascii="Arial" w:cs="Arial" w:eastAsia="Arial" w:hAnsi="Arial"/>
                <w:sz w:val="17"/>
                <w:szCs w:val="17"/>
                <w:color w:val="auto"/>
              </w:rPr>
              <w:t>United Kingdom</w:t>
            </w:r>
          </w:p>
        </w:tc>
        <w:tc>
          <w:tcPr>
            <w:tcW w:w="162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1,672.1</w:t>
            </w:r>
          </w:p>
        </w:tc>
        <w:tc>
          <w:tcPr>
            <w:tcW w:w="30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1,619.2</w:t>
            </w:r>
          </w:p>
        </w:tc>
        <w:tc>
          <w:tcPr>
            <w:tcW w:w="280" w:type="dxa"/>
            <w:vAlign w:val="bottom"/>
          </w:tcPr>
          <w:p>
            <w:pPr>
              <w:spacing w:after="0"/>
              <w:rPr>
                <w:sz w:val="19"/>
                <w:szCs w:val="19"/>
                <w:color w:val="auto"/>
              </w:rPr>
            </w:pPr>
          </w:p>
        </w:tc>
        <w:tc>
          <w:tcPr>
            <w:tcW w:w="860" w:type="dxa"/>
            <w:vAlign w:val="bottom"/>
          </w:tcPr>
          <w:p>
            <w:pPr>
              <w:jc w:val="right"/>
              <w:ind w:right="17"/>
              <w:spacing w:after="0"/>
              <w:rPr>
                <w:sz w:val="20"/>
                <w:szCs w:val="20"/>
                <w:color w:val="auto"/>
              </w:rPr>
            </w:pPr>
            <w:r>
              <w:rPr>
                <w:rFonts w:ascii="Arial" w:cs="Arial" w:eastAsia="Arial" w:hAnsi="Arial"/>
                <w:sz w:val="17"/>
                <w:szCs w:val="17"/>
                <w:color w:val="auto"/>
              </w:rPr>
              <w:t>1,819.7</w:t>
            </w:r>
          </w:p>
        </w:tc>
      </w:tr>
      <w:tr>
        <w:trPr>
          <w:trHeight w:val="25"/>
        </w:trPr>
        <w:tc>
          <w:tcPr>
            <w:tcW w:w="66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Foreign</w:t>
            </w:r>
          </w:p>
        </w:tc>
        <w:tc>
          <w:tcPr>
            <w:tcW w:w="16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19,382.3</w:t>
            </w:r>
          </w:p>
        </w:tc>
        <w:tc>
          <w:tcPr>
            <w:tcW w:w="3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18,275.8</w:t>
            </w: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16,703.9</w:t>
            </w:r>
          </w:p>
        </w:tc>
      </w:tr>
      <w:tr>
        <w:trPr>
          <w:trHeight w:val="20"/>
        </w:trPr>
        <w:tc>
          <w:tcPr>
            <w:tcW w:w="666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bl>
    <w:p>
      <w:pPr>
        <w:spacing w:after="0" w:line="42" w:lineRule="exact"/>
        <w:rPr>
          <w:sz w:val="20"/>
          <w:szCs w:val="20"/>
          <w:color w:val="auto"/>
        </w:rPr>
      </w:pPr>
    </w:p>
    <w:p>
      <w:pPr>
        <w:spacing w:after="0" w:line="266" w:lineRule="auto"/>
        <w:tabs>
          <w:tab w:leader="none" w:pos="220" w:val="left"/>
        </w:tabs>
        <w:numPr>
          <w:ilvl w:val="0"/>
          <w:numId w:val="48"/>
        </w:numPr>
        <w:rPr>
          <w:rFonts w:ascii="Arial" w:cs="Arial" w:eastAsia="Arial" w:hAnsi="Arial"/>
          <w:sz w:val="15"/>
          <w:szCs w:val="15"/>
          <w:color w:val="282A32"/>
        </w:rPr>
      </w:pPr>
      <w:r>
        <w:rPr>
          <w:rFonts w:ascii="Arial" w:cs="Arial" w:eastAsia="Arial" w:hAnsi="Arial"/>
          <w:sz w:val="15"/>
          <w:szCs w:val="15"/>
          <w:color w:val="282A32"/>
        </w:rPr>
        <w:t>The United States revenues above represent revenues from our company-owned branches and franchise fees received from our franchise operations, which were $15.0, $14.8 and $15.1 for 2018, 2017 and 2016, respectively.</w:t>
      </w:r>
    </w:p>
    <w:p>
      <w:pPr>
        <w:spacing w:after="0" w:line="66" w:lineRule="exact"/>
        <w:rPr>
          <w:rFonts w:ascii="Arial" w:cs="Arial" w:eastAsia="Arial" w:hAnsi="Arial"/>
          <w:sz w:val="15"/>
          <w:szCs w:val="15"/>
          <w:color w:val="282A32"/>
        </w:rPr>
      </w:pPr>
    </w:p>
    <w:p>
      <w:pPr>
        <w:ind w:left="200" w:hanging="200"/>
        <w:spacing w:after="0"/>
        <w:tabs>
          <w:tab w:leader="none" w:pos="200" w:val="left"/>
        </w:tabs>
        <w:numPr>
          <w:ilvl w:val="0"/>
          <w:numId w:val="48"/>
        </w:numPr>
        <w:rPr>
          <w:rFonts w:ascii="Arial" w:cs="Arial" w:eastAsia="Arial" w:hAnsi="Arial"/>
          <w:sz w:val="15"/>
          <w:szCs w:val="15"/>
          <w:color w:val="282A32"/>
        </w:rPr>
      </w:pPr>
      <w:r>
        <w:rPr>
          <w:rFonts w:ascii="Arial" w:cs="Arial" w:eastAsia="Arial" w:hAnsi="Arial"/>
          <w:sz w:val="15"/>
          <w:szCs w:val="15"/>
          <w:color w:val="282A32"/>
        </w:rPr>
        <w:t>Intangible asset amortization related to acquisitions is excluded from operating costs within the reportable segments and corporate expenses, and shown separately.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420"/>
          </w:cols>
          <w:pgMar w:left="240" w:top="351"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12"/>
        </w:trPr>
        <w:tc>
          <w:tcPr>
            <w:tcW w:w="5440" w:type="dxa"/>
            <w:vAlign w:val="bottom"/>
          </w:tcPr>
          <w:p>
            <w:pPr>
              <w:ind w:left="20"/>
              <w:spacing w:after="0"/>
              <w:rPr>
                <w:sz w:val="20"/>
                <w:szCs w:val="20"/>
                <w:color w:val="auto"/>
              </w:rPr>
            </w:pPr>
            <w:r>
              <w:rPr>
                <w:rFonts w:ascii="Arial" w:cs="Arial" w:eastAsia="Arial" w:hAnsi="Arial"/>
                <w:sz w:val="17"/>
                <w:szCs w:val="17"/>
                <w:color w:val="auto"/>
              </w:rPr>
              <w:t>Year Ended December 31</w:t>
            </w:r>
          </w:p>
        </w:tc>
        <w:tc>
          <w:tcPr>
            <w:tcW w:w="298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2018</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2017</w:t>
            </w:r>
          </w:p>
        </w:tc>
        <w:tc>
          <w:tcPr>
            <w:tcW w:w="440" w:type="dxa"/>
            <w:vAlign w:val="bottom"/>
          </w:tcPr>
          <w:p>
            <w:pPr>
              <w:spacing w:after="0"/>
              <w:rPr>
                <w:sz w:val="18"/>
                <w:szCs w:val="18"/>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2016</w:t>
            </w:r>
          </w:p>
        </w:tc>
      </w:tr>
      <w:tr>
        <w:trPr>
          <w:trHeight w:val="25"/>
        </w:trPr>
        <w:tc>
          <w:tcPr>
            <w:tcW w:w="54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Depreciation and Amortization Expense</w:t>
            </w:r>
          </w:p>
        </w:tc>
        <w:tc>
          <w:tcPr>
            <w:tcW w:w="29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r>
      <w:tr>
        <w:trPr>
          <w:trHeight w:val="224"/>
        </w:trPr>
        <w:tc>
          <w:tcPr>
            <w:tcW w:w="5440" w:type="dxa"/>
            <w:vAlign w:val="bottom"/>
          </w:tcPr>
          <w:p>
            <w:pPr>
              <w:ind w:left="20"/>
              <w:spacing w:after="0"/>
              <w:rPr>
                <w:sz w:val="20"/>
                <w:szCs w:val="20"/>
                <w:color w:val="auto"/>
              </w:rPr>
            </w:pPr>
            <w:r>
              <w:rPr>
                <w:rFonts w:ascii="Arial" w:cs="Arial" w:eastAsia="Arial" w:hAnsi="Arial"/>
                <w:sz w:val="17"/>
                <w:szCs w:val="17"/>
                <w:color w:val="auto"/>
              </w:rPr>
              <w:t>Americas:</w:t>
            </w:r>
          </w:p>
        </w:tc>
        <w:tc>
          <w:tcPr>
            <w:tcW w:w="2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
        </w:trPr>
        <w:tc>
          <w:tcPr>
            <w:tcW w:w="5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United States</w:t>
            </w:r>
          </w:p>
        </w:tc>
        <w:tc>
          <w:tcPr>
            <w:tcW w:w="2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8.2</w:t>
            </w:r>
          </w:p>
        </w:tc>
        <w:tc>
          <w:tcPr>
            <w:tcW w:w="4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9.9</w:t>
            </w:r>
          </w:p>
        </w:tc>
      </w:tr>
      <w:tr>
        <w:trPr>
          <w:trHeight w:val="224"/>
        </w:trPr>
        <w:tc>
          <w:tcPr>
            <w:tcW w:w="5440" w:type="dxa"/>
            <w:vAlign w:val="bottom"/>
          </w:tcPr>
          <w:p>
            <w:pPr>
              <w:ind w:left="280"/>
              <w:spacing w:after="0"/>
              <w:rPr>
                <w:sz w:val="20"/>
                <w:szCs w:val="20"/>
                <w:color w:val="auto"/>
              </w:rPr>
            </w:pPr>
            <w:r>
              <w:rPr>
                <w:rFonts w:ascii="Arial" w:cs="Arial" w:eastAsia="Arial" w:hAnsi="Arial"/>
                <w:sz w:val="17"/>
                <w:szCs w:val="17"/>
                <w:color w:val="auto"/>
              </w:rPr>
              <w:t>Other Americas</w:t>
            </w:r>
          </w:p>
        </w:tc>
        <w:tc>
          <w:tcPr>
            <w:tcW w:w="298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2.2</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2.5</w:t>
            </w:r>
          </w:p>
        </w:tc>
        <w:tc>
          <w:tcPr>
            <w:tcW w:w="44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2.7</w:t>
            </w:r>
          </w:p>
        </w:tc>
      </w:tr>
      <w:tr>
        <w:trPr>
          <w:trHeight w:val="25"/>
        </w:trPr>
        <w:tc>
          <w:tcPr>
            <w:tcW w:w="54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7"/>
        </w:trPr>
        <w:tc>
          <w:tcPr>
            <w:tcW w:w="54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10.4</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12.6</w:t>
            </w:r>
          </w:p>
        </w:tc>
      </w:tr>
      <w:tr>
        <w:trPr>
          <w:trHeight w:val="217"/>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Southern Europe:</w:t>
            </w:r>
          </w:p>
        </w:tc>
        <w:tc>
          <w:tcPr>
            <w:tcW w:w="29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5"/>
        </w:trPr>
        <w:tc>
          <w:tcPr>
            <w:tcW w:w="5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France</w:t>
            </w:r>
          </w:p>
        </w:tc>
        <w:tc>
          <w:tcPr>
            <w:tcW w:w="29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14.0</w:t>
            </w:r>
          </w:p>
        </w:tc>
        <w:tc>
          <w:tcPr>
            <w:tcW w:w="4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4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11.0</w:t>
            </w:r>
          </w:p>
        </w:tc>
      </w:tr>
      <w:tr>
        <w:trPr>
          <w:trHeight w:val="224"/>
        </w:trPr>
        <w:tc>
          <w:tcPr>
            <w:tcW w:w="5440" w:type="dxa"/>
            <w:vAlign w:val="bottom"/>
          </w:tcPr>
          <w:p>
            <w:pPr>
              <w:ind w:left="280"/>
              <w:spacing w:after="0"/>
              <w:rPr>
                <w:sz w:val="20"/>
                <w:szCs w:val="20"/>
                <w:color w:val="auto"/>
              </w:rPr>
            </w:pPr>
            <w:r>
              <w:rPr>
                <w:rFonts w:ascii="Arial" w:cs="Arial" w:eastAsia="Arial" w:hAnsi="Arial"/>
                <w:sz w:val="17"/>
                <w:szCs w:val="17"/>
                <w:color w:val="auto"/>
              </w:rPr>
              <w:t>Italy</w:t>
            </w:r>
          </w:p>
        </w:tc>
        <w:tc>
          <w:tcPr>
            <w:tcW w:w="298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1.9</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1.8</w:t>
            </w:r>
          </w:p>
        </w:tc>
        <w:tc>
          <w:tcPr>
            <w:tcW w:w="44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1.9</w:t>
            </w:r>
          </w:p>
        </w:tc>
      </w:tr>
      <w:tr>
        <w:trPr>
          <w:trHeight w:val="25"/>
        </w:trPr>
        <w:tc>
          <w:tcPr>
            <w:tcW w:w="5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Southern Europe</w:t>
            </w:r>
          </w:p>
        </w:tc>
        <w:tc>
          <w:tcPr>
            <w:tcW w:w="2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4.8</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3.5</w:t>
            </w:r>
          </w:p>
        </w:tc>
      </w:tr>
      <w:tr>
        <w:trPr>
          <w:trHeight w:val="217"/>
        </w:trPr>
        <w:tc>
          <w:tcPr>
            <w:tcW w:w="544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20.7</w:t>
            </w: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18.8</w:t>
            </w: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16.4</w:t>
            </w:r>
          </w:p>
        </w:tc>
      </w:tr>
      <w:tr>
        <w:trPr>
          <w:trHeight w:val="25"/>
        </w:trPr>
        <w:tc>
          <w:tcPr>
            <w:tcW w:w="54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Northern Europe</w:t>
            </w:r>
          </w:p>
        </w:tc>
        <w:tc>
          <w:tcPr>
            <w:tcW w:w="29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11.0</w:t>
            </w:r>
          </w:p>
        </w:tc>
        <w:tc>
          <w:tcPr>
            <w:tcW w:w="4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4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10.9</w:t>
            </w:r>
          </w:p>
        </w:tc>
      </w:tr>
      <w:tr>
        <w:trPr>
          <w:trHeight w:val="224"/>
        </w:trPr>
        <w:tc>
          <w:tcPr>
            <w:tcW w:w="5440" w:type="dxa"/>
            <w:vAlign w:val="bottom"/>
          </w:tcPr>
          <w:p>
            <w:pPr>
              <w:ind w:left="20"/>
              <w:spacing w:after="0"/>
              <w:rPr>
                <w:sz w:val="20"/>
                <w:szCs w:val="20"/>
                <w:color w:val="auto"/>
              </w:rPr>
            </w:pPr>
            <w:r>
              <w:rPr>
                <w:rFonts w:ascii="Arial" w:cs="Arial" w:eastAsia="Arial" w:hAnsi="Arial"/>
                <w:sz w:val="17"/>
                <w:szCs w:val="17"/>
                <w:color w:val="auto"/>
              </w:rPr>
              <w:t>APME</w:t>
            </w:r>
          </w:p>
        </w:tc>
        <w:tc>
          <w:tcPr>
            <w:tcW w:w="298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5.7</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w:t>
            </w:r>
          </w:p>
        </w:tc>
        <w:tc>
          <w:tcPr>
            <w:tcW w:w="44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5.3</w:t>
            </w:r>
          </w:p>
        </w:tc>
      </w:tr>
      <w:tr>
        <w:trPr>
          <w:trHeight w:val="25"/>
        </w:trPr>
        <w:tc>
          <w:tcPr>
            <w:tcW w:w="5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Right Management</w:t>
            </w:r>
          </w:p>
        </w:tc>
        <w:tc>
          <w:tcPr>
            <w:tcW w:w="29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2.8</w:t>
            </w:r>
          </w:p>
        </w:tc>
        <w:tc>
          <w:tcPr>
            <w:tcW w:w="4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4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w:t>
            </w:r>
          </w:p>
        </w:tc>
      </w:tr>
      <w:tr>
        <w:trPr>
          <w:trHeight w:val="224"/>
        </w:trPr>
        <w:tc>
          <w:tcPr>
            <w:tcW w:w="5440" w:type="dxa"/>
            <w:vAlign w:val="bottom"/>
          </w:tcPr>
          <w:p>
            <w:pPr>
              <w:ind w:left="20"/>
              <w:spacing w:after="0"/>
              <w:rPr>
                <w:sz w:val="20"/>
                <w:szCs w:val="20"/>
                <w:color w:val="auto"/>
              </w:rPr>
            </w:pPr>
            <w:r>
              <w:rPr>
                <w:rFonts w:ascii="Arial" w:cs="Arial" w:eastAsia="Arial" w:hAnsi="Arial"/>
                <w:sz w:val="17"/>
                <w:szCs w:val="17"/>
                <w:color w:val="auto"/>
              </w:rPr>
              <w:t>Corporate expenses</w:t>
            </w:r>
          </w:p>
        </w:tc>
        <w:tc>
          <w:tcPr>
            <w:tcW w:w="298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0.1</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0.2</w:t>
            </w:r>
          </w:p>
        </w:tc>
        <w:tc>
          <w:tcPr>
            <w:tcW w:w="44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0.2</w:t>
            </w:r>
          </w:p>
        </w:tc>
      </w:tr>
      <w:tr>
        <w:trPr>
          <w:trHeight w:val="25"/>
        </w:trPr>
        <w:tc>
          <w:tcPr>
            <w:tcW w:w="5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9"/>
        </w:trPr>
        <w:tc>
          <w:tcPr>
            <w:tcW w:w="5440" w:type="dxa"/>
            <w:vAlign w:val="bottom"/>
            <w:tcBorders>
              <w:bottom w:val="single" w:sz="8" w:color="auto"/>
            </w:tcBorders>
            <w:shd w:val="clear" w:color="auto" w:fill="CCEEFF"/>
          </w:tcPr>
          <w:p>
            <w:pPr>
              <w:ind w:left="20"/>
              <w:spacing w:after="0" w:line="250" w:lineRule="exact"/>
              <w:rPr>
                <w:sz w:val="20"/>
                <w:szCs w:val="20"/>
                <w:color w:val="auto"/>
              </w:rPr>
            </w:pPr>
            <w:r>
              <w:rPr>
                <w:rFonts w:ascii="Arial" w:cs="Arial" w:eastAsia="Arial" w:hAnsi="Arial"/>
                <w:sz w:val="17"/>
                <w:szCs w:val="17"/>
                <w:color w:val="auto"/>
              </w:rPr>
              <w:t>Intangible asset amortization expense</w:t>
            </w:r>
            <w:r>
              <w:rPr>
                <w:rFonts w:ascii="Arial" w:cs="Arial" w:eastAsia="Arial" w:hAnsi="Arial"/>
                <w:sz w:val="23"/>
                <w:szCs w:val="23"/>
                <w:color w:val="auto"/>
                <w:vertAlign w:val="superscript"/>
              </w:rPr>
              <w:t>(a)</w:t>
            </w:r>
          </w:p>
        </w:tc>
        <w:tc>
          <w:tcPr>
            <w:tcW w:w="29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35.1</w:t>
            </w:r>
          </w:p>
        </w:tc>
        <w:tc>
          <w:tcPr>
            <w:tcW w:w="4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w:t>
            </w:r>
          </w:p>
        </w:tc>
        <w:tc>
          <w:tcPr>
            <w:tcW w:w="4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36.0</w:t>
            </w:r>
          </w:p>
        </w:tc>
      </w:tr>
      <w:tr>
        <w:trPr>
          <w:trHeight w:val="217"/>
        </w:trPr>
        <w:tc>
          <w:tcPr>
            <w:tcW w:w="5440" w:type="dxa"/>
            <w:vAlign w:val="bottom"/>
          </w:tcPr>
          <w:p>
            <w:pPr>
              <w:spacing w:after="0"/>
              <w:rPr>
                <w:sz w:val="18"/>
                <w:szCs w:val="18"/>
                <w:color w:val="auto"/>
              </w:rPr>
            </w:pPr>
          </w:p>
        </w:tc>
        <w:tc>
          <w:tcPr>
            <w:tcW w:w="2980" w:type="dxa"/>
            <w:vAlign w:val="bottom"/>
          </w:tcPr>
          <w:p>
            <w:pPr>
              <w:jc w:val="right"/>
              <w:ind w:right="237"/>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85.8</w:t>
            </w:r>
          </w:p>
        </w:tc>
        <w:tc>
          <w:tcPr>
            <w:tcW w:w="4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84.4</w:t>
            </w:r>
          </w:p>
        </w:tc>
        <w:tc>
          <w:tcPr>
            <w:tcW w:w="44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85.3</w:t>
            </w:r>
          </w:p>
        </w:tc>
      </w:tr>
      <w:tr>
        <w:trPr>
          <w:trHeight w:val="25"/>
        </w:trPr>
        <w:tc>
          <w:tcPr>
            <w:tcW w:w="54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Earnings from Equity Investments</w:t>
            </w:r>
          </w:p>
        </w:tc>
        <w:tc>
          <w:tcPr>
            <w:tcW w:w="29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r>
      <w:tr>
        <w:trPr>
          <w:trHeight w:val="224"/>
        </w:trPr>
        <w:tc>
          <w:tcPr>
            <w:tcW w:w="5440" w:type="dxa"/>
            <w:vAlign w:val="bottom"/>
          </w:tcPr>
          <w:p>
            <w:pPr>
              <w:ind w:left="20"/>
              <w:spacing w:after="0"/>
              <w:rPr>
                <w:sz w:val="20"/>
                <w:szCs w:val="20"/>
                <w:color w:val="auto"/>
              </w:rPr>
            </w:pPr>
            <w:r>
              <w:rPr>
                <w:rFonts w:ascii="Arial" w:cs="Arial" w:eastAsia="Arial" w:hAnsi="Arial"/>
                <w:sz w:val="17"/>
                <w:szCs w:val="17"/>
                <w:color w:val="auto"/>
              </w:rPr>
              <w:t>Americas:</w:t>
            </w:r>
          </w:p>
        </w:tc>
        <w:tc>
          <w:tcPr>
            <w:tcW w:w="2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
        </w:trPr>
        <w:tc>
          <w:tcPr>
            <w:tcW w:w="5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United States</w:t>
            </w:r>
          </w:p>
        </w:tc>
        <w:tc>
          <w:tcPr>
            <w:tcW w:w="2980" w:type="dxa"/>
            <w:vAlign w:val="bottom"/>
            <w:tcBorders>
              <w:bottom w:val="single" w:sz="8" w:color="CCEEFF"/>
            </w:tcBorders>
            <w:shd w:val="clear" w:color="auto" w:fill="CCEEFF"/>
          </w:tcPr>
          <w:p>
            <w:pPr>
              <w:jc w:val="right"/>
              <w:ind w:right="23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4"/>
        </w:trPr>
        <w:tc>
          <w:tcPr>
            <w:tcW w:w="5440" w:type="dxa"/>
            <w:vAlign w:val="bottom"/>
          </w:tcPr>
          <w:p>
            <w:pPr>
              <w:ind w:left="280"/>
              <w:spacing w:after="0"/>
              <w:rPr>
                <w:sz w:val="20"/>
                <w:szCs w:val="20"/>
                <w:color w:val="auto"/>
              </w:rPr>
            </w:pPr>
            <w:r>
              <w:rPr>
                <w:rFonts w:ascii="Arial" w:cs="Arial" w:eastAsia="Arial" w:hAnsi="Arial"/>
                <w:sz w:val="17"/>
                <w:szCs w:val="17"/>
                <w:color w:val="auto"/>
              </w:rPr>
              <w:t>Other Americas</w:t>
            </w:r>
          </w:p>
        </w:tc>
        <w:tc>
          <w:tcPr>
            <w:tcW w:w="298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54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7"/>
        </w:trPr>
        <w:tc>
          <w:tcPr>
            <w:tcW w:w="54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17"/>
        </w:trPr>
        <w:tc>
          <w:tcPr>
            <w:tcW w:w="54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Southern Europe:</w:t>
            </w:r>
          </w:p>
        </w:tc>
        <w:tc>
          <w:tcPr>
            <w:tcW w:w="29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r>
      <w:tr>
        <w:trPr>
          <w:trHeight w:val="25"/>
        </w:trPr>
        <w:tc>
          <w:tcPr>
            <w:tcW w:w="5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France</w:t>
            </w:r>
          </w:p>
        </w:tc>
        <w:tc>
          <w:tcPr>
            <w:tcW w:w="29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4"/>
        </w:trPr>
        <w:tc>
          <w:tcPr>
            <w:tcW w:w="5440" w:type="dxa"/>
            <w:vAlign w:val="bottom"/>
          </w:tcPr>
          <w:p>
            <w:pPr>
              <w:ind w:left="280"/>
              <w:spacing w:after="0"/>
              <w:rPr>
                <w:sz w:val="20"/>
                <w:szCs w:val="20"/>
                <w:color w:val="auto"/>
              </w:rPr>
            </w:pPr>
            <w:r>
              <w:rPr>
                <w:rFonts w:ascii="Arial" w:cs="Arial" w:eastAsia="Arial" w:hAnsi="Arial"/>
                <w:sz w:val="17"/>
                <w:szCs w:val="17"/>
                <w:color w:val="auto"/>
              </w:rPr>
              <w:t>Italy</w:t>
            </w:r>
          </w:p>
        </w:tc>
        <w:tc>
          <w:tcPr>
            <w:tcW w:w="29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(0.2)</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5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Southern Europe</w:t>
            </w:r>
          </w:p>
        </w:tc>
        <w:tc>
          <w:tcPr>
            <w:tcW w:w="2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3.6</w:t>
            </w:r>
          </w:p>
        </w:tc>
      </w:tr>
      <w:tr>
        <w:trPr>
          <w:trHeight w:val="217"/>
        </w:trPr>
        <w:tc>
          <w:tcPr>
            <w:tcW w:w="544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1.5</w:t>
            </w: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3.6</w:t>
            </w:r>
          </w:p>
        </w:tc>
      </w:tr>
      <w:tr>
        <w:trPr>
          <w:trHeight w:val="25"/>
        </w:trPr>
        <w:tc>
          <w:tcPr>
            <w:tcW w:w="54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2"/>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Northern Europe</w:t>
            </w:r>
          </w:p>
        </w:tc>
        <w:tc>
          <w:tcPr>
            <w:tcW w:w="29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4"/>
        </w:trPr>
        <w:tc>
          <w:tcPr>
            <w:tcW w:w="5440" w:type="dxa"/>
            <w:vAlign w:val="bottom"/>
          </w:tcPr>
          <w:p>
            <w:pPr>
              <w:ind w:left="20"/>
              <w:spacing w:after="0"/>
              <w:rPr>
                <w:sz w:val="20"/>
                <w:szCs w:val="20"/>
                <w:color w:val="auto"/>
              </w:rPr>
            </w:pPr>
            <w:r>
              <w:rPr>
                <w:rFonts w:ascii="Arial" w:cs="Arial" w:eastAsia="Arial" w:hAnsi="Arial"/>
                <w:sz w:val="17"/>
                <w:szCs w:val="17"/>
                <w:color w:val="auto"/>
              </w:rPr>
              <w:t>APME</w:t>
            </w:r>
          </w:p>
        </w:tc>
        <w:tc>
          <w:tcPr>
            <w:tcW w:w="29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(0.3)</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54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Right Management</w:t>
            </w:r>
          </w:p>
        </w:tc>
        <w:tc>
          <w:tcPr>
            <w:tcW w:w="29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17"/>
        </w:trPr>
        <w:tc>
          <w:tcPr>
            <w:tcW w:w="544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tcPr>
          <w:p>
            <w:pPr>
              <w:jc w:val="right"/>
              <w:ind w:right="237"/>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1.2</w:t>
            </w:r>
          </w:p>
        </w:tc>
        <w:tc>
          <w:tcPr>
            <w:tcW w:w="42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15.0</w:t>
            </w:r>
          </w:p>
        </w:tc>
        <w:tc>
          <w:tcPr>
            <w:tcW w:w="44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741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59" w:lineRule="exact"/>
        <w:rPr>
          <w:sz w:val="20"/>
          <w:szCs w:val="20"/>
          <w:color w:val="auto"/>
        </w:rPr>
      </w:pPr>
    </w:p>
    <w:p>
      <w:pPr>
        <w:ind w:left="200" w:hanging="200"/>
        <w:spacing w:after="0"/>
        <w:tabs>
          <w:tab w:leader="none" w:pos="200" w:val="left"/>
        </w:tabs>
        <w:numPr>
          <w:ilvl w:val="0"/>
          <w:numId w:val="49"/>
        </w:numPr>
        <w:rPr>
          <w:rFonts w:ascii="Arial" w:cs="Arial" w:eastAsia="Arial" w:hAnsi="Arial"/>
          <w:sz w:val="15"/>
          <w:szCs w:val="15"/>
          <w:color w:val="282A32"/>
        </w:rPr>
      </w:pPr>
      <w:r>
        <w:rPr>
          <w:rFonts w:ascii="Arial" w:cs="Arial" w:eastAsia="Arial" w:hAnsi="Arial"/>
          <w:sz w:val="15"/>
          <w:szCs w:val="15"/>
          <w:color w:val="282A32"/>
        </w:rPr>
        <w:t>Intangible asset amortization related to acquisitions is excluded from operating costs within the reportable segments and corporate expenses, and shown separately.</w:t>
      </w:r>
    </w:p>
    <w:p>
      <w:pPr>
        <w:spacing w:after="0" w:line="222" w:lineRule="exact"/>
        <w:rPr>
          <w:rFonts w:ascii="Arial" w:cs="Arial" w:eastAsia="Arial" w:hAnsi="Arial"/>
          <w:sz w:val="15"/>
          <w:szCs w:val="15"/>
          <w:color w:val="282A32"/>
        </w:rPr>
      </w:pPr>
    </w:p>
    <w:p>
      <w:pPr>
        <w:ind w:left="5640"/>
        <w:spacing w:after="0"/>
        <w:rPr>
          <w:rFonts w:ascii="Arial" w:cs="Arial" w:eastAsia="Arial" w:hAnsi="Arial"/>
          <w:sz w:val="15"/>
          <w:szCs w:val="15"/>
          <w:color w:val="282A32"/>
        </w:rPr>
      </w:pPr>
      <w:r>
        <w:rPr>
          <w:rFonts w:ascii="Arial" w:cs="Arial" w:eastAsia="Arial" w:hAnsi="Arial"/>
          <w:sz w:val="17"/>
          <w:szCs w:val="17"/>
          <w:color w:val="auto"/>
        </w:rPr>
        <w:t>90</w:t>
      </w:r>
    </w:p>
    <w:p>
      <w:pPr>
        <w:sectPr>
          <w:pgSz w:w="11900" w:h="16838" w:orient="portrait"/>
          <w:cols w:equalWidth="0" w:num="1">
            <w:col w:w="11420"/>
          </w:cols>
          <w:pgMar w:left="240" w:top="501"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2"/>
        </w:trPr>
        <w:tc>
          <w:tcPr>
            <w:tcW w:w="4920" w:type="dxa"/>
            <w:vAlign w:val="bottom"/>
          </w:tcPr>
          <w:p>
            <w:pPr>
              <w:ind w:left="20"/>
              <w:spacing w:after="0"/>
              <w:rPr>
                <w:sz w:val="20"/>
                <w:szCs w:val="20"/>
                <w:color w:val="auto"/>
              </w:rPr>
            </w:pPr>
            <w:r>
              <w:rPr>
                <w:rFonts w:ascii="Arial" w:cs="Arial" w:eastAsia="Arial" w:hAnsi="Arial"/>
                <w:sz w:val="17"/>
                <w:szCs w:val="17"/>
                <w:color w:val="auto"/>
              </w:rPr>
              <w:t>As of December 31</w:t>
            </w:r>
          </w:p>
        </w:tc>
        <w:tc>
          <w:tcPr>
            <w:tcW w:w="3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2018</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2017</w:t>
            </w:r>
          </w:p>
        </w:tc>
        <w:tc>
          <w:tcPr>
            <w:tcW w:w="360" w:type="dxa"/>
            <w:vAlign w:val="bottom"/>
          </w:tcPr>
          <w:p>
            <w:pPr>
              <w:spacing w:after="0"/>
              <w:rPr>
                <w:sz w:val="18"/>
                <w:szCs w:val="18"/>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2016</w:t>
            </w:r>
          </w:p>
        </w:tc>
      </w:tr>
      <w:tr>
        <w:trPr>
          <w:trHeight w:val="25"/>
        </w:trPr>
        <w:tc>
          <w:tcPr>
            <w:tcW w:w="49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Assets</w:t>
            </w:r>
          </w:p>
        </w:tc>
        <w:tc>
          <w:tcPr>
            <w:tcW w:w="34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r>
      <w:tr>
        <w:trPr>
          <w:trHeight w:val="224"/>
        </w:trPr>
        <w:tc>
          <w:tcPr>
            <w:tcW w:w="4920" w:type="dxa"/>
            <w:vAlign w:val="bottom"/>
          </w:tcPr>
          <w:p>
            <w:pPr>
              <w:ind w:left="20"/>
              <w:spacing w:after="0"/>
              <w:rPr>
                <w:sz w:val="20"/>
                <w:szCs w:val="20"/>
                <w:color w:val="auto"/>
              </w:rPr>
            </w:pPr>
            <w:r>
              <w:rPr>
                <w:rFonts w:ascii="Arial" w:cs="Arial" w:eastAsia="Arial" w:hAnsi="Arial"/>
                <w:sz w:val="17"/>
                <w:szCs w:val="17"/>
                <w:color w:val="auto"/>
              </w:rPr>
              <w:t>Americas:</w:t>
            </w:r>
          </w:p>
        </w:tc>
        <w:tc>
          <w:tcPr>
            <w:tcW w:w="3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
        </w:trPr>
        <w:tc>
          <w:tcPr>
            <w:tcW w:w="4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United States</w:t>
            </w:r>
          </w:p>
        </w:tc>
        <w:tc>
          <w:tcPr>
            <w:tcW w:w="34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1,827.4</w:t>
            </w:r>
          </w:p>
        </w:tc>
        <w:tc>
          <w:tcPr>
            <w:tcW w:w="3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1,781.4</w:t>
            </w:r>
          </w:p>
        </w:tc>
        <w:tc>
          <w:tcPr>
            <w:tcW w:w="3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1,718.9</w:t>
            </w:r>
          </w:p>
        </w:tc>
      </w:tr>
      <w:tr>
        <w:trPr>
          <w:trHeight w:val="224"/>
        </w:trPr>
        <w:tc>
          <w:tcPr>
            <w:tcW w:w="4920" w:type="dxa"/>
            <w:vAlign w:val="bottom"/>
          </w:tcPr>
          <w:p>
            <w:pPr>
              <w:ind w:left="280"/>
              <w:spacing w:after="0"/>
              <w:rPr>
                <w:sz w:val="20"/>
                <w:szCs w:val="20"/>
                <w:color w:val="auto"/>
              </w:rPr>
            </w:pPr>
            <w:r>
              <w:rPr>
                <w:rFonts w:ascii="Arial" w:cs="Arial" w:eastAsia="Arial" w:hAnsi="Arial"/>
                <w:sz w:val="17"/>
                <w:szCs w:val="17"/>
                <w:color w:val="auto"/>
              </w:rPr>
              <w:t>Other Americas</w:t>
            </w:r>
          </w:p>
        </w:tc>
        <w:tc>
          <w:tcPr>
            <w:tcW w:w="3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341.5</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329.2</w:t>
            </w:r>
          </w:p>
        </w:tc>
        <w:tc>
          <w:tcPr>
            <w:tcW w:w="36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314.4</w:t>
            </w:r>
          </w:p>
        </w:tc>
      </w:tr>
      <w:tr>
        <w:trPr>
          <w:trHeight w:val="25"/>
        </w:trPr>
        <w:tc>
          <w:tcPr>
            <w:tcW w:w="49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7"/>
        </w:trPr>
        <w:tc>
          <w:tcPr>
            <w:tcW w:w="49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2,168.9</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2,110.6</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2,033.3</w:t>
            </w:r>
          </w:p>
        </w:tc>
      </w:tr>
      <w:tr>
        <w:trPr>
          <w:trHeight w:val="217"/>
        </w:trPr>
        <w:tc>
          <w:tcPr>
            <w:tcW w:w="49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Southern Europe:</w:t>
            </w:r>
          </w:p>
        </w:tc>
        <w:tc>
          <w:tcPr>
            <w:tcW w:w="3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5"/>
        </w:trPr>
        <w:tc>
          <w:tcPr>
            <w:tcW w:w="4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France</w:t>
            </w:r>
          </w:p>
        </w:tc>
        <w:tc>
          <w:tcPr>
            <w:tcW w:w="3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2,729.7</w:t>
            </w: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2,753.1</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2,104.8</w:t>
            </w:r>
          </w:p>
        </w:tc>
      </w:tr>
      <w:tr>
        <w:trPr>
          <w:trHeight w:val="224"/>
        </w:trPr>
        <w:tc>
          <w:tcPr>
            <w:tcW w:w="4920" w:type="dxa"/>
            <w:vAlign w:val="bottom"/>
          </w:tcPr>
          <w:p>
            <w:pPr>
              <w:ind w:left="280"/>
              <w:spacing w:after="0"/>
              <w:rPr>
                <w:sz w:val="20"/>
                <w:szCs w:val="20"/>
                <w:color w:val="auto"/>
              </w:rPr>
            </w:pPr>
            <w:r>
              <w:rPr>
                <w:rFonts w:ascii="Arial" w:cs="Arial" w:eastAsia="Arial" w:hAnsi="Arial"/>
                <w:sz w:val="17"/>
                <w:szCs w:val="17"/>
                <w:color w:val="auto"/>
              </w:rPr>
              <w:t>Italy</w:t>
            </w:r>
          </w:p>
        </w:tc>
        <w:tc>
          <w:tcPr>
            <w:tcW w:w="3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405.0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436.7</w:t>
            </w:r>
          </w:p>
        </w:tc>
        <w:tc>
          <w:tcPr>
            <w:tcW w:w="36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294.9</w:t>
            </w:r>
          </w:p>
        </w:tc>
      </w:tr>
      <w:tr>
        <w:trPr>
          <w:trHeight w:val="25"/>
        </w:trPr>
        <w:tc>
          <w:tcPr>
            <w:tcW w:w="4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Southern Europe</w:t>
            </w:r>
          </w:p>
        </w:tc>
        <w:tc>
          <w:tcPr>
            <w:tcW w:w="3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576.7</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596.2</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490.1</w:t>
            </w:r>
          </w:p>
        </w:tc>
      </w:tr>
      <w:tr>
        <w:trPr>
          <w:trHeight w:val="217"/>
        </w:trPr>
        <w:tc>
          <w:tcPr>
            <w:tcW w:w="492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3,711.4</w:t>
            </w: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3,786.0</w:t>
            </w: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2,889.8</w:t>
            </w:r>
          </w:p>
        </w:tc>
      </w:tr>
      <w:tr>
        <w:trPr>
          <w:trHeight w:val="25"/>
        </w:trPr>
        <w:tc>
          <w:tcPr>
            <w:tcW w:w="49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2"/>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Northern Europe</w:t>
            </w:r>
          </w:p>
        </w:tc>
        <w:tc>
          <w:tcPr>
            <w:tcW w:w="3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1,237.0</w:t>
            </w: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1,569.0</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1,292.4</w:t>
            </w:r>
          </w:p>
        </w:tc>
      </w:tr>
      <w:tr>
        <w:trPr>
          <w:trHeight w:val="224"/>
        </w:trPr>
        <w:tc>
          <w:tcPr>
            <w:tcW w:w="4920" w:type="dxa"/>
            <w:vAlign w:val="bottom"/>
          </w:tcPr>
          <w:p>
            <w:pPr>
              <w:ind w:left="20"/>
              <w:spacing w:after="0"/>
              <w:rPr>
                <w:sz w:val="20"/>
                <w:szCs w:val="20"/>
                <w:color w:val="auto"/>
              </w:rPr>
            </w:pPr>
            <w:r>
              <w:rPr>
                <w:rFonts w:ascii="Arial" w:cs="Arial" w:eastAsia="Arial" w:hAnsi="Arial"/>
                <w:sz w:val="17"/>
                <w:szCs w:val="17"/>
                <w:color w:val="auto"/>
              </w:rPr>
              <w:t>APME</w:t>
            </w:r>
          </w:p>
        </w:tc>
        <w:tc>
          <w:tcPr>
            <w:tcW w:w="3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754.0</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780.7</w:t>
            </w:r>
          </w:p>
        </w:tc>
        <w:tc>
          <w:tcPr>
            <w:tcW w:w="36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612.8</w:t>
            </w:r>
          </w:p>
        </w:tc>
      </w:tr>
      <w:tr>
        <w:trPr>
          <w:trHeight w:val="25"/>
        </w:trPr>
        <w:tc>
          <w:tcPr>
            <w:tcW w:w="4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Right Management</w:t>
            </w:r>
          </w:p>
        </w:tc>
        <w:tc>
          <w:tcPr>
            <w:tcW w:w="3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127.6</w:t>
            </w: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138.1</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136.6</w:t>
            </w:r>
          </w:p>
        </w:tc>
      </w:tr>
      <w:tr>
        <w:trPr>
          <w:trHeight w:val="249"/>
        </w:trPr>
        <w:tc>
          <w:tcPr>
            <w:tcW w:w="4920" w:type="dxa"/>
            <w:vAlign w:val="bottom"/>
            <w:tcBorders>
              <w:bottom w:val="single" w:sz="8" w:color="auto"/>
            </w:tcBorders>
          </w:tcPr>
          <w:p>
            <w:pPr>
              <w:ind w:left="20"/>
              <w:spacing w:after="0" w:line="250" w:lineRule="exact"/>
              <w:rPr>
                <w:sz w:val="20"/>
                <w:szCs w:val="20"/>
                <w:color w:val="auto"/>
              </w:rPr>
            </w:pPr>
            <w:r>
              <w:rPr>
                <w:rFonts w:ascii="Arial" w:cs="Arial" w:eastAsia="Arial" w:hAnsi="Arial"/>
                <w:sz w:val="17"/>
                <w:szCs w:val="17"/>
                <w:color w:val="auto"/>
              </w:rPr>
              <w:t>Corporate</w:t>
            </w:r>
            <w:r>
              <w:rPr>
                <w:rFonts w:ascii="Arial" w:cs="Arial" w:eastAsia="Arial" w:hAnsi="Arial"/>
                <w:sz w:val="23"/>
                <w:szCs w:val="23"/>
                <w:color w:val="auto"/>
                <w:vertAlign w:val="superscript"/>
              </w:rPr>
              <w:t>(a)</w:t>
            </w:r>
          </w:p>
        </w:tc>
        <w:tc>
          <w:tcPr>
            <w:tcW w:w="3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520.9</w:t>
            </w:r>
          </w:p>
        </w:tc>
        <w:tc>
          <w:tcPr>
            <w:tcW w:w="3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499.2</w:t>
            </w:r>
          </w:p>
        </w:tc>
        <w:tc>
          <w:tcPr>
            <w:tcW w:w="3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609.3</w:t>
            </w:r>
          </w:p>
        </w:tc>
      </w:tr>
      <w:tr>
        <w:trPr>
          <w:trHeight w:val="247"/>
        </w:trPr>
        <w:tc>
          <w:tcPr>
            <w:tcW w:w="49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8,519.8</w:t>
            </w:r>
          </w:p>
        </w:tc>
        <w:tc>
          <w:tcPr>
            <w:tcW w:w="3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8,883.6</w:t>
            </w:r>
          </w:p>
        </w:tc>
        <w:tc>
          <w:tcPr>
            <w:tcW w:w="36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7,574.2</w:t>
            </w:r>
          </w:p>
        </w:tc>
      </w:tr>
      <w:tr>
        <w:trPr>
          <w:trHeight w:val="279"/>
        </w:trPr>
        <w:tc>
          <w:tcPr>
            <w:tcW w:w="492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Equity Investments</w:t>
            </w:r>
          </w:p>
        </w:tc>
        <w:tc>
          <w:tcPr>
            <w:tcW w:w="34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25"/>
        </w:trPr>
        <w:tc>
          <w:tcPr>
            <w:tcW w:w="4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3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24"/>
        </w:trPr>
        <w:tc>
          <w:tcPr>
            <w:tcW w:w="4920" w:type="dxa"/>
            <w:vAlign w:val="bottom"/>
          </w:tcPr>
          <w:p>
            <w:pPr>
              <w:ind w:left="280"/>
              <w:spacing w:after="0"/>
              <w:rPr>
                <w:sz w:val="20"/>
                <w:szCs w:val="20"/>
                <w:color w:val="auto"/>
              </w:rPr>
            </w:pPr>
            <w:r>
              <w:rPr>
                <w:rFonts w:ascii="Arial" w:cs="Arial" w:eastAsia="Arial" w:hAnsi="Arial"/>
                <w:sz w:val="17"/>
                <w:szCs w:val="17"/>
                <w:color w:val="auto"/>
              </w:rPr>
              <w:t>United States</w:t>
            </w:r>
          </w:p>
        </w:tc>
        <w:tc>
          <w:tcPr>
            <w:tcW w:w="340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4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Americas</w:t>
            </w:r>
          </w:p>
        </w:tc>
        <w:tc>
          <w:tcPr>
            <w:tcW w:w="3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17"/>
        </w:trPr>
        <w:tc>
          <w:tcPr>
            <w:tcW w:w="492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49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22"/>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Southern Europe:</w:t>
            </w:r>
          </w:p>
        </w:tc>
        <w:tc>
          <w:tcPr>
            <w:tcW w:w="3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24"/>
        </w:trPr>
        <w:tc>
          <w:tcPr>
            <w:tcW w:w="4920" w:type="dxa"/>
            <w:vAlign w:val="bottom"/>
          </w:tcPr>
          <w:p>
            <w:pPr>
              <w:ind w:left="280"/>
              <w:spacing w:after="0"/>
              <w:rPr>
                <w:sz w:val="20"/>
                <w:szCs w:val="20"/>
                <w:color w:val="auto"/>
              </w:rPr>
            </w:pPr>
            <w:r>
              <w:rPr>
                <w:rFonts w:ascii="Arial" w:cs="Arial" w:eastAsia="Arial" w:hAnsi="Arial"/>
                <w:sz w:val="17"/>
                <w:szCs w:val="17"/>
                <w:color w:val="auto"/>
              </w:rPr>
              <w:t>France</w:t>
            </w:r>
          </w:p>
        </w:tc>
        <w:tc>
          <w:tcPr>
            <w:tcW w:w="3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0.2</w:t>
            </w:r>
          </w:p>
        </w:tc>
      </w:tr>
      <w:tr>
        <w:trPr>
          <w:trHeight w:val="25"/>
        </w:trPr>
        <w:tc>
          <w:tcPr>
            <w:tcW w:w="4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Italy</w:t>
            </w:r>
          </w:p>
        </w:tc>
        <w:tc>
          <w:tcPr>
            <w:tcW w:w="3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0.4</w:t>
            </w:r>
          </w:p>
        </w:tc>
      </w:tr>
      <w:tr>
        <w:trPr>
          <w:trHeight w:val="224"/>
        </w:trPr>
        <w:tc>
          <w:tcPr>
            <w:tcW w:w="4920" w:type="dxa"/>
            <w:vAlign w:val="bottom"/>
          </w:tcPr>
          <w:p>
            <w:pPr>
              <w:ind w:left="280"/>
              <w:spacing w:after="0"/>
              <w:rPr>
                <w:sz w:val="20"/>
                <w:szCs w:val="20"/>
                <w:color w:val="auto"/>
              </w:rPr>
            </w:pPr>
            <w:r>
              <w:rPr>
                <w:rFonts w:ascii="Arial" w:cs="Arial" w:eastAsia="Arial" w:hAnsi="Arial"/>
                <w:sz w:val="17"/>
                <w:szCs w:val="17"/>
                <w:color w:val="auto"/>
              </w:rPr>
              <w:t>Other Southern Europe</w:t>
            </w:r>
          </w:p>
        </w:tc>
        <w:tc>
          <w:tcPr>
            <w:tcW w:w="3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157.8</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157.2</w:t>
            </w:r>
          </w:p>
        </w:tc>
        <w:tc>
          <w:tcPr>
            <w:tcW w:w="36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139.1</w:t>
            </w:r>
          </w:p>
        </w:tc>
      </w:tr>
      <w:tr>
        <w:trPr>
          <w:trHeight w:val="25"/>
        </w:trPr>
        <w:tc>
          <w:tcPr>
            <w:tcW w:w="49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7"/>
        </w:trPr>
        <w:tc>
          <w:tcPr>
            <w:tcW w:w="4920" w:type="dxa"/>
            <w:vAlign w:val="bottom"/>
            <w:tcBorders>
              <w:bottom w:val="single" w:sz="8" w:color="CCEEFF"/>
            </w:tcBorders>
            <w:shd w:val="clear" w:color="auto" w:fill="CCEEFF"/>
          </w:tcPr>
          <w:p>
            <w:pPr>
              <w:spacing w:after="0"/>
              <w:rPr>
                <w:sz w:val="21"/>
                <w:szCs w:val="21"/>
                <w:color w:val="auto"/>
              </w:rPr>
            </w:pPr>
          </w:p>
        </w:tc>
        <w:tc>
          <w:tcPr>
            <w:tcW w:w="3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158.1</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157.6</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139.7</w:t>
            </w:r>
          </w:p>
        </w:tc>
      </w:tr>
      <w:tr>
        <w:trPr>
          <w:trHeight w:val="217"/>
        </w:trPr>
        <w:tc>
          <w:tcPr>
            <w:tcW w:w="49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Northern Europe</w:t>
            </w:r>
          </w:p>
        </w:tc>
        <w:tc>
          <w:tcPr>
            <w:tcW w:w="34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0.1</w:t>
            </w:r>
          </w:p>
        </w:tc>
      </w:tr>
      <w:tr>
        <w:trPr>
          <w:trHeight w:val="25"/>
        </w:trPr>
        <w:tc>
          <w:tcPr>
            <w:tcW w:w="4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APME</w:t>
            </w:r>
          </w:p>
        </w:tc>
        <w:tc>
          <w:tcPr>
            <w:tcW w:w="34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3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3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4"/>
        </w:trPr>
        <w:tc>
          <w:tcPr>
            <w:tcW w:w="4920" w:type="dxa"/>
            <w:vAlign w:val="bottom"/>
          </w:tcPr>
          <w:p>
            <w:pPr>
              <w:ind w:left="20"/>
              <w:spacing w:after="0"/>
              <w:rPr>
                <w:sz w:val="20"/>
                <w:szCs w:val="20"/>
                <w:color w:val="auto"/>
              </w:rPr>
            </w:pPr>
            <w:r>
              <w:rPr>
                <w:rFonts w:ascii="Arial" w:cs="Arial" w:eastAsia="Arial" w:hAnsi="Arial"/>
                <w:sz w:val="17"/>
                <w:szCs w:val="17"/>
                <w:color w:val="auto"/>
              </w:rPr>
              <w:t>Right Management</w:t>
            </w:r>
          </w:p>
        </w:tc>
        <w:tc>
          <w:tcPr>
            <w:tcW w:w="3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5"/>
        </w:trPr>
        <w:tc>
          <w:tcPr>
            <w:tcW w:w="49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4"/>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w:t>
            </w:r>
          </w:p>
        </w:tc>
        <w:tc>
          <w:tcPr>
            <w:tcW w:w="3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6.0</w:t>
            </w:r>
          </w:p>
        </w:tc>
      </w:tr>
      <w:tr>
        <w:trPr>
          <w:trHeight w:val="217"/>
        </w:trPr>
        <w:tc>
          <w:tcPr>
            <w:tcW w:w="4920" w:type="dxa"/>
            <w:vAlign w:val="bottom"/>
            <w:tcBorders>
              <w:top w:val="single" w:sz="8" w:color="auto"/>
            </w:tcBorders>
          </w:tcPr>
          <w:p>
            <w:pPr>
              <w:spacing w:after="0"/>
              <w:rPr>
                <w:sz w:val="18"/>
                <w:szCs w:val="18"/>
                <w:color w:val="auto"/>
              </w:rPr>
            </w:pPr>
          </w:p>
        </w:tc>
        <w:tc>
          <w:tcPr>
            <w:tcW w:w="340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161.4</w:t>
            </w:r>
          </w:p>
        </w:tc>
        <w:tc>
          <w:tcPr>
            <w:tcW w:w="36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158.7</w:t>
            </w:r>
          </w:p>
        </w:tc>
        <w:tc>
          <w:tcPr>
            <w:tcW w:w="360" w:type="dxa"/>
            <w:vAlign w:val="bottom"/>
            <w:tcBorders>
              <w:top w:val="single" w:sz="8" w:color="auto"/>
            </w:tcBorders>
          </w:tcPr>
          <w:p>
            <w:pPr>
              <w:jc w:val="right"/>
              <w:ind w:right="137"/>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wp:posOffset>
            </wp:positionV>
            <wp:extent cx="725741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pacing w:after="0" w:line="59" w:lineRule="exact"/>
        <w:rPr>
          <w:sz w:val="20"/>
          <w:szCs w:val="20"/>
          <w:color w:val="auto"/>
        </w:rPr>
      </w:pPr>
    </w:p>
    <w:p>
      <w:pPr>
        <w:ind w:left="200" w:hanging="200"/>
        <w:spacing w:after="0"/>
        <w:tabs>
          <w:tab w:leader="none" w:pos="200" w:val="left"/>
        </w:tabs>
        <w:numPr>
          <w:ilvl w:val="0"/>
          <w:numId w:val="50"/>
        </w:numPr>
        <w:rPr>
          <w:rFonts w:ascii="Arial" w:cs="Arial" w:eastAsia="Arial" w:hAnsi="Arial"/>
          <w:sz w:val="15"/>
          <w:szCs w:val="15"/>
          <w:color w:val="282A32"/>
        </w:rPr>
      </w:pPr>
      <w:r>
        <w:rPr>
          <w:rFonts w:ascii="Arial" w:cs="Arial" w:eastAsia="Arial" w:hAnsi="Arial"/>
          <w:sz w:val="15"/>
          <w:szCs w:val="15"/>
          <w:color w:val="282A32"/>
        </w:rPr>
        <w:t>Corporate assets include assets that were not used in the operations of any segment, the most significant of which were purchased intangibles and cash.</w:t>
      </w:r>
    </w:p>
    <w:p>
      <w:pPr>
        <w:spacing w:after="0" w:line="222" w:lineRule="exact"/>
        <w:rPr>
          <w:rFonts w:ascii="Arial" w:cs="Arial" w:eastAsia="Arial" w:hAnsi="Arial"/>
          <w:sz w:val="15"/>
          <w:szCs w:val="15"/>
          <w:color w:val="282A32"/>
        </w:rPr>
      </w:pPr>
    </w:p>
    <w:p>
      <w:pPr>
        <w:ind w:left="5640"/>
        <w:spacing w:after="0"/>
        <w:rPr>
          <w:rFonts w:ascii="Arial" w:cs="Arial" w:eastAsia="Arial" w:hAnsi="Arial"/>
          <w:sz w:val="15"/>
          <w:szCs w:val="15"/>
          <w:color w:val="282A32"/>
        </w:rPr>
      </w:pPr>
      <w:r>
        <w:rPr>
          <w:rFonts w:ascii="Arial" w:cs="Arial" w:eastAsia="Arial" w:hAnsi="Arial"/>
          <w:sz w:val="17"/>
          <w:szCs w:val="17"/>
          <w:color w:val="auto"/>
        </w:rPr>
        <w:t>91</w:t>
      </w:r>
    </w:p>
    <w:p>
      <w:pPr>
        <w:sectPr>
          <w:pgSz w:w="11900" w:h="16838" w:orient="portrait"/>
          <w:cols w:equalWidth="0" w:num="1">
            <w:col w:w="11420"/>
          </w:cols>
          <w:pgMar w:left="240" w:top="501"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2"/>
        </w:trPr>
        <w:tc>
          <w:tcPr>
            <w:tcW w:w="5280" w:type="dxa"/>
            <w:vAlign w:val="bottom"/>
          </w:tcPr>
          <w:p>
            <w:pPr>
              <w:ind w:left="20"/>
              <w:spacing w:after="0"/>
              <w:rPr>
                <w:sz w:val="20"/>
                <w:szCs w:val="20"/>
                <w:color w:val="auto"/>
              </w:rPr>
            </w:pPr>
            <w:r>
              <w:rPr>
                <w:rFonts w:ascii="Arial" w:cs="Arial" w:eastAsia="Arial" w:hAnsi="Arial"/>
                <w:sz w:val="17"/>
                <w:szCs w:val="17"/>
                <w:color w:val="auto"/>
              </w:rPr>
              <w:t>As of and Year Ended December 31</w:t>
            </w:r>
          </w:p>
        </w:tc>
        <w:tc>
          <w:tcPr>
            <w:tcW w:w="3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2018</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2017</w:t>
            </w:r>
          </w:p>
        </w:tc>
        <w:tc>
          <w:tcPr>
            <w:tcW w:w="42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2016</w:t>
            </w:r>
          </w:p>
        </w:tc>
      </w:tr>
      <w:tr>
        <w:trPr>
          <w:trHeight w:val="25"/>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04"/>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Long-lived Assets</w:t>
            </w:r>
            <w:r>
              <w:rPr>
                <w:rFonts w:ascii="Arial" w:cs="Arial" w:eastAsia="Arial" w:hAnsi="Arial"/>
                <w:sz w:val="23"/>
                <w:szCs w:val="23"/>
                <w:b w:val="1"/>
                <w:bCs w:val="1"/>
                <w:color w:val="auto"/>
                <w:vertAlign w:val="superscript"/>
              </w:rPr>
              <w:t>(a)</w:t>
            </w:r>
          </w:p>
        </w:tc>
        <w:tc>
          <w:tcPr>
            <w:tcW w:w="3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r>
      <w:tr>
        <w:trPr>
          <w:trHeight w:val="224"/>
        </w:trPr>
        <w:tc>
          <w:tcPr>
            <w:tcW w:w="5280" w:type="dxa"/>
            <w:vAlign w:val="bottom"/>
          </w:tcPr>
          <w:p>
            <w:pPr>
              <w:ind w:left="20"/>
              <w:spacing w:after="0"/>
              <w:rPr>
                <w:sz w:val="20"/>
                <w:szCs w:val="20"/>
                <w:color w:val="auto"/>
              </w:rPr>
            </w:pPr>
            <w:r>
              <w:rPr>
                <w:rFonts w:ascii="Arial" w:cs="Arial" w:eastAsia="Arial" w:hAnsi="Arial"/>
                <w:sz w:val="17"/>
                <w:szCs w:val="17"/>
                <w:color w:val="auto"/>
              </w:rPr>
              <w:t>Americas:</w:t>
            </w:r>
          </w:p>
        </w:tc>
        <w:tc>
          <w:tcPr>
            <w:tcW w:w="3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United States</w:t>
            </w:r>
          </w:p>
        </w:tc>
        <w:tc>
          <w:tcPr>
            <w:tcW w:w="31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27.7</w:t>
            </w:r>
          </w:p>
        </w:tc>
      </w:tr>
      <w:tr>
        <w:trPr>
          <w:trHeight w:val="224"/>
        </w:trPr>
        <w:tc>
          <w:tcPr>
            <w:tcW w:w="5280" w:type="dxa"/>
            <w:vAlign w:val="bottom"/>
          </w:tcPr>
          <w:p>
            <w:pPr>
              <w:ind w:left="280"/>
              <w:spacing w:after="0"/>
              <w:rPr>
                <w:sz w:val="20"/>
                <w:szCs w:val="20"/>
                <w:color w:val="auto"/>
              </w:rPr>
            </w:pPr>
            <w:r>
              <w:rPr>
                <w:rFonts w:ascii="Arial" w:cs="Arial" w:eastAsia="Arial" w:hAnsi="Arial"/>
                <w:sz w:val="17"/>
                <w:szCs w:val="17"/>
                <w:color w:val="auto"/>
              </w:rPr>
              <w:t>Other Americas</w:t>
            </w:r>
          </w:p>
        </w:tc>
        <w:tc>
          <w:tcPr>
            <w:tcW w:w="3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6.0</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6.1</w:t>
            </w:r>
          </w:p>
        </w:tc>
        <w:tc>
          <w:tcPr>
            <w:tcW w:w="420" w:type="dxa"/>
            <w:vAlign w:val="bottom"/>
          </w:tcPr>
          <w:p>
            <w:pPr>
              <w:spacing w:after="0"/>
              <w:rPr>
                <w:sz w:val="19"/>
                <w:szCs w:val="19"/>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6.3</w:t>
            </w:r>
          </w:p>
        </w:tc>
      </w:tr>
      <w:tr>
        <w:trPr>
          <w:trHeight w:val="25"/>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7"/>
        </w:trPr>
        <w:tc>
          <w:tcPr>
            <w:tcW w:w="528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34.0</w:t>
            </w:r>
          </w:p>
        </w:tc>
      </w:tr>
      <w:tr>
        <w:trPr>
          <w:trHeight w:val="217"/>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Southern Europe:</w:t>
            </w:r>
          </w:p>
        </w:tc>
        <w:tc>
          <w:tcPr>
            <w:tcW w:w="3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25"/>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France</w:t>
            </w:r>
          </w:p>
        </w:tc>
        <w:tc>
          <w:tcPr>
            <w:tcW w:w="3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47.9</w:t>
            </w: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39.7</w:t>
            </w:r>
          </w:p>
        </w:tc>
      </w:tr>
      <w:tr>
        <w:trPr>
          <w:trHeight w:val="224"/>
        </w:trPr>
        <w:tc>
          <w:tcPr>
            <w:tcW w:w="5280" w:type="dxa"/>
            <w:vAlign w:val="bottom"/>
          </w:tcPr>
          <w:p>
            <w:pPr>
              <w:ind w:left="280"/>
              <w:spacing w:after="0"/>
              <w:rPr>
                <w:sz w:val="20"/>
                <w:szCs w:val="20"/>
                <w:color w:val="auto"/>
              </w:rPr>
            </w:pPr>
            <w:r>
              <w:rPr>
                <w:rFonts w:ascii="Arial" w:cs="Arial" w:eastAsia="Arial" w:hAnsi="Arial"/>
                <w:sz w:val="17"/>
                <w:szCs w:val="17"/>
                <w:color w:val="auto"/>
              </w:rPr>
              <w:t>Italy</w:t>
            </w:r>
          </w:p>
        </w:tc>
        <w:tc>
          <w:tcPr>
            <w:tcW w:w="3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w:t>
            </w:r>
          </w:p>
        </w:tc>
        <w:tc>
          <w:tcPr>
            <w:tcW w:w="420" w:type="dxa"/>
            <w:vAlign w:val="bottom"/>
          </w:tcPr>
          <w:p>
            <w:pPr>
              <w:spacing w:after="0"/>
              <w:rPr>
                <w:sz w:val="19"/>
                <w:szCs w:val="19"/>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4.4</w:t>
            </w:r>
          </w:p>
        </w:tc>
      </w:tr>
      <w:tr>
        <w:trPr>
          <w:trHeight w:val="25"/>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4"/>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Southern Europe</w:t>
            </w:r>
          </w:p>
        </w:tc>
        <w:tc>
          <w:tcPr>
            <w:tcW w:w="3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18.3</w:t>
            </w:r>
          </w:p>
        </w:tc>
      </w:tr>
      <w:tr>
        <w:trPr>
          <w:trHeight w:val="217"/>
        </w:trPr>
        <w:tc>
          <w:tcPr>
            <w:tcW w:w="528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77.1</w:t>
            </w: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62.4</w:t>
            </w:r>
          </w:p>
        </w:tc>
      </w:tr>
      <w:tr>
        <w:trPr>
          <w:trHeight w:val="25"/>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Northern Europe</w:t>
            </w:r>
          </w:p>
        </w:tc>
        <w:tc>
          <w:tcPr>
            <w:tcW w:w="3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25.4</w:t>
            </w:r>
          </w:p>
        </w:tc>
      </w:tr>
      <w:tr>
        <w:trPr>
          <w:trHeight w:val="224"/>
        </w:trPr>
        <w:tc>
          <w:tcPr>
            <w:tcW w:w="5280" w:type="dxa"/>
            <w:vAlign w:val="bottom"/>
          </w:tcPr>
          <w:p>
            <w:pPr>
              <w:ind w:left="20"/>
              <w:spacing w:after="0"/>
              <w:rPr>
                <w:sz w:val="20"/>
                <w:szCs w:val="20"/>
                <w:color w:val="auto"/>
              </w:rPr>
            </w:pPr>
            <w:r>
              <w:rPr>
                <w:rFonts w:ascii="Arial" w:cs="Arial" w:eastAsia="Arial" w:hAnsi="Arial"/>
                <w:sz w:val="17"/>
                <w:szCs w:val="17"/>
                <w:color w:val="auto"/>
              </w:rPr>
              <w:t>APME</w:t>
            </w:r>
          </w:p>
        </w:tc>
        <w:tc>
          <w:tcPr>
            <w:tcW w:w="3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21.5</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21.4</w:t>
            </w:r>
          </w:p>
        </w:tc>
        <w:tc>
          <w:tcPr>
            <w:tcW w:w="420" w:type="dxa"/>
            <w:vAlign w:val="bottom"/>
          </w:tcPr>
          <w:p>
            <w:pPr>
              <w:spacing w:after="0"/>
              <w:rPr>
                <w:sz w:val="19"/>
                <w:szCs w:val="19"/>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17.9</w:t>
            </w:r>
          </w:p>
        </w:tc>
      </w:tr>
      <w:tr>
        <w:trPr>
          <w:trHeight w:val="25"/>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Right Management</w:t>
            </w:r>
          </w:p>
        </w:tc>
        <w:tc>
          <w:tcPr>
            <w:tcW w:w="3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10.7</w:t>
            </w:r>
          </w:p>
        </w:tc>
      </w:tr>
      <w:tr>
        <w:trPr>
          <w:trHeight w:val="224"/>
        </w:trPr>
        <w:tc>
          <w:tcPr>
            <w:tcW w:w="5280" w:type="dxa"/>
            <w:vAlign w:val="bottom"/>
          </w:tcPr>
          <w:p>
            <w:pPr>
              <w:ind w:left="20"/>
              <w:spacing w:after="0"/>
              <w:rPr>
                <w:sz w:val="20"/>
                <w:szCs w:val="20"/>
                <w:color w:val="auto"/>
              </w:rPr>
            </w:pPr>
            <w:r>
              <w:rPr>
                <w:rFonts w:ascii="Arial" w:cs="Arial" w:eastAsia="Arial" w:hAnsi="Arial"/>
                <w:sz w:val="17"/>
                <w:szCs w:val="17"/>
                <w:color w:val="auto"/>
              </w:rPr>
              <w:t>Corporate</w:t>
            </w:r>
          </w:p>
        </w:tc>
        <w:tc>
          <w:tcPr>
            <w:tcW w:w="3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0.1</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0.1</w:t>
            </w:r>
          </w:p>
        </w:tc>
        <w:tc>
          <w:tcPr>
            <w:tcW w:w="420" w:type="dxa"/>
            <w:vAlign w:val="bottom"/>
          </w:tcPr>
          <w:p>
            <w:pPr>
              <w:spacing w:after="0"/>
              <w:rPr>
                <w:sz w:val="19"/>
                <w:szCs w:val="19"/>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0.2</w:t>
            </w:r>
          </w:p>
        </w:tc>
      </w:tr>
      <w:tr>
        <w:trPr>
          <w:trHeight w:val="25"/>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7"/>
        </w:trPr>
        <w:tc>
          <w:tcPr>
            <w:tcW w:w="528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160.0</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161.3</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150.6</w:t>
            </w:r>
          </w:p>
        </w:tc>
      </w:tr>
      <w:tr>
        <w:trPr>
          <w:trHeight w:val="279"/>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7"/>
                <w:szCs w:val="17"/>
                <w:b w:val="1"/>
                <w:bCs w:val="1"/>
                <w:color w:val="auto"/>
              </w:rPr>
              <w:t>Additions to Long-Lived Assets</w:t>
            </w:r>
          </w:p>
        </w:tc>
        <w:tc>
          <w:tcPr>
            <w:tcW w:w="3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5"/>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3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24"/>
        </w:trPr>
        <w:tc>
          <w:tcPr>
            <w:tcW w:w="5280" w:type="dxa"/>
            <w:vAlign w:val="bottom"/>
          </w:tcPr>
          <w:p>
            <w:pPr>
              <w:ind w:left="280"/>
              <w:spacing w:after="0"/>
              <w:rPr>
                <w:sz w:val="20"/>
                <w:szCs w:val="20"/>
                <w:color w:val="auto"/>
              </w:rPr>
            </w:pPr>
            <w:r>
              <w:rPr>
                <w:rFonts w:ascii="Arial" w:cs="Arial" w:eastAsia="Arial" w:hAnsi="Arial"/>
                <w:sz w:val="17"/>
                <w:szCs w:val="17"/>
                <w:color w:val="auto"/>
              </w:rPr>
              <w:t>United States</w:t>
            </w:r>
          </w:p>
        </w:tc>
        <w:tc>
          <w:tcPr>
            <w:tcW w:w="31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7.6</w:t>
            </w:r>
          </w:p>
        </w:tc>
        <w:tc>
          <w:tcPr>
            <w:tcW w:w="42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6.7</w:t>
            </w:r>
          </w:p>
        </w:tc>
        <w:tc>
          <w:tcPr>
            <w:tcW w:w="42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11.9</w:t>
            </w:r>
          </w:p>
        </w:tc>
      </w:tr>
      <w:tr>
        <w:trPr>
          <w:trHeight w:val="25"/>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4"/>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Other Americas</w:t>
            </w:r>
          </w:p>
        </w:tc>
        <w:tc>
          <w:tcPr>
            <w:tcW w:w="3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w:t>
            </w:r>
          </w:p>
        </w:tc>
      </w:tr>
      <w:tr>
        <w:trPr>
          <w:trHeight w:val="217"/>
        </w:trPr>
        <w:tc>
          <w:tcPr>
            <w:tcW w:w="528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13.8</w:t>
            </w:r>
          </w:p>
        </w:tc>
      </w:tr>
      <w:tr>
        <w:trPr>
          <w:trHeight w:val="25"/>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Southern Europe:</w:t>
            </w:r>
          </w:p>
        </w:tc>
        <w:tc>
          <w:tcPr>
            <w:tcW w:w="3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24"/>
        </w:trPr>
        <w:tc>
          <w:tcPr>
            <w:tcW w:w="5280" w:type="dxa"/>
            <w:vAlign w:val="bottom"/>
          </w:tcPr>
          <w:p>
            <w:pPr>
              <w:ind w:left="280"/>
              <w:spacing w:after="0"/>
              <w:rPr>
                <w:sz w:val="20"/>
                <w:szCs w:val="20"/>
                <w:color w:val="auto"/>
              </w:rPr>
            </w:pPr>
            <w:r>
              <w:rPr>
                <w:rFonts w:ascii="Arial" w:cs="Arial" w:eastAsia="Arial" w:hAnsi="Arial"/>
                <w:sz w:val="17"/>
                <w:szCs w:val="17"/>
                <w:color w:val="auto"/>
              </w:rPr>
              <w:t>France</w:t>
            </w:r>
          </w:p>
        </w:tc>
        <w:tc>
          <w:tcPr>
            <w:tcW w:w="3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18.1</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15.2</w:t>
            </w:r>
          </w:p>
        </w:tc>
        <w:tc>
          <w:tcPr>
            <w:tcW w:w="420" w:type="dxa"/>
            <w:vAlign w:val="bottom"/>
          </w:tcPr>
          <w:p>
            <w:pPr>
              <w:spacing w:after="0"/>
              <w:rPr>
                <w:sz w:val="19"/>
                <w:szCs w:val="19"/>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13.3</w:t>
            </w:r>
          </w:p>
        </w:tc>
      </w:tr>
      <w:tr>
        <w:trPr>
          <w:trHeight w:val="25"/>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Italy</w:t>
            </w:r>
          </w:p>
        </w:tc>
        <w:tc>
          <w:tcPr>
            <w:tcW w:w="3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r>
      <w:tr>
        <w:trPr>
          <w:trHeight w:val="224"/>
        </w:trPr>
        <w:tc>
          <w:tcPr>
            <w:tcW w:w="5280" w:type="dxa"/>
            <w:vAlign w:val="bottom"/>
          </w:tcPr>
          <w:p>
            <w:pPr>
              <w:ind w:left="280"/>
              <w:spacing w:after="0"/>
              <w:rPr>
                <w:sz w:val="20"/>
                <w:szCs w:val="20"/>
                <w:color w:val="auto"/>
              </w:rPr>
            </w:pPr>
            <w:r>
              <w:rPr>
                <w:rFonts w:ascii="Arial" w:cs="Arial" w:eastAsia="Arial" w:hAnsi="Arial"/>
                <w:sz w:val="17"/>
                <w:szCs w:val="17"/>
                <w:color w:val="auto"/>
              </w:rPr>
              <w:t>Other Southern Europe</w:t>
            </w:r>
          </w:p>
        </w:tc>
        <w:tc>
          <w:tcPr>
            <w:tcW w:w="3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5.9</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8.8</w:t>
            </w:r>
          </w:p>
        </w:tc>
        <w:tc>
          <w:tcPr>
            <w:tcW w:w="420" w:type="dxa"/>
            <w:vAlign w:val="bottom"/>
          </w:tcPr>
          <w:p>
            <w:pPr>
              <w:spacing w:after="0"/>
              <w:rPr>
                <w:sz w:val="19"/>
                <w:szCs w:val="19"/>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8.9</w:t>
            </w:r>
          </w:p>
        </w:tc>
      </w:tr>
      <w:tr>
        <w:trPr>
          <w:trHeight w:val="25"/>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7"/>
        </w:trPr>
        <w:tc>
          <w:tcPr>
            <w:tcW w:w="5280" w:type="dxa"/>
            <w:vAlign w:val="bottom"/>
            <w:tcBorders>
              <w:bottom w:val="single" w:sz="8" w:color="CCEEFF"/>
            </w:tcBorders>
            <w:shd w:val="clear" w:color="auto" w:fill="CCEEFF"/>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25.7</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23.9</w:t>
            </w:r>
          </w:p>
        </w:tc>
      </w:tr>
      <w:tr>
        <w:trPr>
          <w:trHeight w:val="217"/>
        </w:trPr>
        <w:tc>
          <w:tcPr>
            <w:tcW w:w="52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Northern Europe</w:t>
            </w:r>
          </w:p>
        </w:tc>
        <w:tc>
          <w:tcPr>
            <w:tcW w:w="3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16.6</w:t>
            </w: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11.8</w:t>
            </w: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8.5</w:t>
            </w:r>
          </w:p>
        </w:tc>
      </w:tr>
      <w:tr>
        <w:trPr>
          <w:trHeight w:val="25"/>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APME</w:t>
            </w:r>
          </w:p>
        </w:tc>
        <w:tc>
          <w:tcPr>
            <w:tcW w:w="3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3.9</w:t>
            </w:r>
          </w:p>
        </w:tc>
      </w:tr>
      <w:tr>
        <w:trPr>
          <w:trHeight w:val="224"/>
        </w:trPr>
        <w:tc>
          <w:tcPr>
            <w:tcW w:w="5280" w:type="dxa"/>
            <w:vAlign w:val="bottom"/>
          </w:tcPr>
          <w:p>
            <w:pPr>
              <w:ind w:left="20"/>
              <w:spacing w:after="0"/>
              <w:rPr>
                <w:sz w:val="20"/>
                <w:szCs w:val="20"/>
                <w:color w:val="auto"/>
              </w:rPr>
            </w:pPr>
            <w:r>
              <w:rPr>
                <w:rFonts w:ascii="Arial" w:cs="Arial" w:eastAsia="Arial" w:hAnsi="Arial"/>
                <w:sz w:val="17"/>
                <w:szCs w:val="17"/>
                <w:color w:val="auto"/>
              </w:rPr>
              <w:t>Right Management</w:t>
            </w:r>
          </w:p>
        </w:tc>
        <w:tc>
          <w:tcPr>
            <w:tcW w:w="3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0.2</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c>
          <w:tcPr>
            <w:tcW w:w="420" w:type="dxa"/>
            <w:vAlign w:val="bottom"/>
          </w:tcPr>
          <w:p>
            <w:pPr>
              <w:spacing w:after="0"/>
              <w:rPr>
                <w:sz w:val="19"/>
                <w:szCs w:val="19"/>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4.5</w:t>
            </w:r>
          </w:p>
        </w:tc>
      </w:tr>
      <w:tr>
        <w:trPr>
          <w:trHeight w:val="25"/>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Corporate</w:t>
            </w:r>
          </w:p>
        </w:tc>
        <w:tc>
          <w:tcPr>
            <w:tcW w:w="3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17"/>
        </w:trPr>
        <w:tc>
          <w:tcPr>
            <w:tcW w:w="528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tcPr>
          <w:p>
            <w:pPr>
              <w:jc w:val="right"/>
              <w:ind w:right="217"/>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60.3</w:t>
            </w:r>
          </w:p>
        </w:tc>
        <w:tc>
          <w:tcPr>
            <w:tcW w:w="42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53.9</w:t>
            </w:r>
          </w:p>
        </w:tc>
        <w:tc>
          <w:tcPr>
            <w:tcW w:w="420" w:type="dxa"/>
            <w:vAlign w:val="bottom"/>
            <w:tcBorders>
              <w:top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54.6</w:t>
            </w:r>
          </w:p>
        </w:tc>
      </w:tr>
      <w:tr>
        <w:trPr>
          <w:trHeight w:val="25"/>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5"/>
                <w:szCs w:val="15"/>
                <w:color w:val="282A32"/>
                <w:w w:val="97"/>
              </w:rPr>
              <w:t>(a) Further breakdown of long-lived assets by geographical region was as follows:</w:t>
            </w:r>
          </w:p>
        </w:tc>
        <w:tc>
          <w:tcPr>
            <w:tcW w:w="3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43"/>
        </w:trPr>
        <w:tc>
          <w:tcPr>
            <w:tcW w:w="5280" w:type="dxa"/>
            <w:vAlign w:val="bottom"/>
          </w:tcPr>
          <w:p>
            <w:pPr>
              <w:ind w:left="20"/>
              <w:spacing w:after="0"/>
              <w:rPr>
                <w:sz w:val="20"/>
                <w:szCs w:val="20"/>
                <w:color w:val="auto"/>
              </w:rPr>
            </w:pPr>
            <w:r>
              <w:rPr>
                <w:rFonts w:ascii="Arial" w:cs="Arial" w:eastAsia="Arial" w:hAnsi="Arial"/>
                <w:sz w:val="17"/>
                <w:szCs w:val="17"/>
                <w:color w:val="auto"/>
              </w:rPr>
              <w:t>Long-Lived Assets</w:t>
            </w:r>
          </w:p>
        </w:tc>
        <w:tc>
          <w:tcPr>
            <w:tcW w:w="3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2018</w:t>
            </w:r>
          </w:p>
        </w:tc>
        <w:tc>
          <w:tcPr>
            <w:tcW w:w="4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2017</w:t>
            </w:r>
          </w:p>
        </w:tc>
        <w:tc>
          <w:tcPr>
            <w:tcW w:w="420" w:type="dxa"/>
            <w:vAlign w:val="bottom"/>
          </w:tcPr>
          <w:p>
            <w:pPr>
              <w:spacing w:after="0"/>
              <w:rPr>
                <w:sz w:val="24"/>
                <w:szCs w:val="24"/>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2016</w:t>
            </w:r>
          </w:p>
        </w:tc>
      </w:tr>
      <w:tr>
        <w:trPr>
          <w:trHeight w:val="25"/>
        </w:trPr>
        <w:tc>
          <w:tcPr>
            <w:tcW w:w="52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2"/>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12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42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33.9</w:t>
            </w:r>
          </w:p>
        </w:tc>
      </w:tr>
      <w:tr>
        <w:trPr>
          <w:trHeight w:val="224"/>
        </w:trPr>
        <w:tc>
          <w:tcPr>
            <w:tcW w:w="5280" w:type="dxa"/>
            <w:vAlign w:val="bottom"/>
          </w:tcPr>
          <w:p>
            <w:pPr>
              <w:ind w:left="20"/>
              <w:spacing w:after="0"/>
              <w:rPr>
                <w:sz w:val="20"/>
                <w:szCs w:val="20"/>
                <w:color w:val="auto"/>
              </w:rPr>
            </w:pPr>
            <w:r>
              <w:rPr>
                <w:rFonts w:ascii="Arial" w:cs="Arial" w:eastAsia="Arial" w:hAnsi="Arial"/>
                <w:sz w:val="17"/>
                <w:szCs w:val="17"/>
                <w:color w:val="auto"/>
              </w:rPr>
              <w:t>France</w:t>
            </w:r>
          </w:p>
        </w:tc>
        <w:tc>
          <w:tcPr>
            <w:tcW w:w="3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50.1</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49.1</w:t>
            </w:r>
          </w:p>
        </w:tc>
        <w:tc>
          <w:tcPr>
            <w:tcW w:w="420" w:type="dxa"/>
            <w:vAlign w:val="bottom"/>
          </w:tcPr>
          <w:p>
            <w:pPr>
              <w:spacing w:after="0"/>
              <w:rPr>
                <w:sz w:val="19"/>
                <w:szCs w:val="19"/>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40.9</w:t>
            </w:r>
          </w:p>
        </w:tc>
      </w:tr>
      <w:tr>
        <w:trPr>
          <w:trHeight w:val="25"/>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Italy</w:t>
            </w:r>
          </w:p>
        </w:tc>
        <w:tc>
          <w:tcPr>
            <w:tcW w:w="3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4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4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4.4</w:t>
            </w:r>
          </w:p>
        </w:tc>
      </w:tr>
      <w:tr>
        <w:trPr>
          <w:trHeight w:val="224"/>
        </w:trPr>
        <w:tc>
          <w:tcPr>
            <w:tcW w:w="5280" w:type="dxa"/>
            <w:vAlign w:val="bottom"/>
          </w:tcPr>
          <w:p>
            <w:pPr>
              <w:ind w:left="20"/>
              <w:spacing w:after="0"/>
              <w:rPr>
                <w:sz w:val="20"/>
                <w:szCs w:val="20"/>
                <w:color w:val="auto"/>
              </w:rPr>
            </w:pPr>
            <w:r>
              <w:rPr>
                <w:rFonts w:ascii="Arial" w:cs="Arial" w:eastAsia="Arial" w:hAnsi="Arial"/>
                <w:sz w:val="17"/>
                <w:szCs w:val="17"/>
                <w:color w:val="auto"/>
              </w:rPr>
              <w:t>United Kingdom</w:t>
            </w:r>
          </w:p>
        </w:tc>
        <w:tc>
          <w:tcPr>
            <w:tcW w:w="3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7.0</w:t>
            </w: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9.1</w:t>
            </w:r>
          </w:p>
        </w:tc>
        <w:tc>
          <w:tcPr>
            <w:tcW w:w="420" w:type="dxa"/>
            <w:vAlign w:val="bottom"/>
          </w:tcPr>
          <w:p>
            <w:pPr>
              <w:spacing w:after="0"/>
              <w:rPr>
                <w:sz w:val="19"/>
                <w:szCs w:val="19"/>
                <w:color w:val="auto"/>
              </w:rPr>
            </w:pPr>
          </w:p>
        </w:tc>
        <w:tc>
          <w:tcPr>
            <w:tcW w:w="740" w:type="dxa"/>
            <w:vAlign w:val="bottom"/>
          </w:tcPr>
          <w:p>
            <w:pPr>
              <w:jc w:val="right"/>
              <w:ind w:right="17"/>
              <w:spacing w:after="0"/>
              <w:rPr>
                <w:sz w:val="20"/>
                <w:szCs w:val="20"/>
                <w:color w:val="auto"/>
              </w:rPr>
            </w:pPr>
            <w:r>
              <w:rPr>
                <w:rFonts w:ascii="Arial" w:cs="Arial" w:eastAsia="Arial" w:hAnsi="Arial"/>
                <w:sz w:val="17"/>
                <w:szCs w:val="17"/>
                <w:color w:val="auto"/>
              </w:rPr>
              <w:t>9.0</w:t>
            </w:r>
          </w:p>
        </w:tc>
      </w:tr>
      <w:tr>
        <w:trPr>
          <w:trHeight w:val="25"/>
        </w:trPr>
        <w:tc>
          <w:tcPr>
            <w:tcW w:w="52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4"/>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Foreign</w:t>
            </w:r>
          </w:p>
        </w:tc>
        <w:tc>
          <w:tcPr>
            <w:tcW w:w="3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137.6</w:t>
            </w: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4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116.7</w:t>
            </w:r>
          </w:p>
        </w:tc>
      </w:tr>
      <w:tr>
        <w:trPr>
          <w:trHeight w:val="416"/>
        </w:trPr>
        <w:tc>
          <w:tcPr>
            <w:tcW w:w="5280" w:type="dxa"/>
            <w:vAlign w:val="bottom"/>
            <w:tcBorders>
              <w:top w:val="single" w:sz="8" w:color="auto"/>
            </w:tcBorders>
          </w:tcPr>
          <w:p>
            <w:pPr>
              <w:spacing w:after="0"/>
              <w:rPr>
                <w:sz w:val="24"/>
                <w:szCs w:val="24"/>
                <w:color w:val="auto"/>
              </w:rPr>
            </w:pPr>
          </w:p>
        </w:tc>
        <w:tc>
          <w:tcPr>
            <w:tcW w:w="3120" w:type="dxa"/>
            <w:vAlign w:val="bottom"/>
            <w:tcBorders>
              <w:top w:val="single" w:sz="8" w:color="auto"/>
            </w:tcBorders>
          </w:tcPr>
          <w:p>
            <w:pPr>
              <w:jc w:val="right"/>
              <w:ind w:right="2517"/>
              <w:spacing w:after="0"/>
              <w:rPr>
                <w:sz w:val="20"/>
                <w:szCs w:val="20"/>
                <w:color w:val="auto"/>
              </w:rPr>
            </w:pPr>
            <w:r>
              <w:rPr>
                <w:rFonts w:ascii="Arial" w:cs="Arial" w:eastAsia="Arial" w:hAnsi="Arial"/>
                <w:sz w:val="17"/>
                <w:szCs w:val="17"/>
                <w:color w:val="auto"/>
              </w:rPr>
              <w:t>92</w:t>
            </w: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01"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gridSpan w:val="3"/>
          </w:tcPr>
          <w:p>
            <w:pPr>
              <w:spacing w:after="0"/>
              <w:rPr>
                <w:sz w:val="20"/>
                <w:szCs w:val="20"/>
                <w:color w:val="auto"/>
              </w:rPr>
            </w:pPr>
            <w:r>
              <w:rPr>
                <w:rFonts w:ascii="Arial" w:cs="Arial" w:eastAsia="Arial" w:hAnsi="Arial"/>
                <w:sz w:val="17"/>
                <w:szCs w:val="17"/>
                <w:color w:val="282A32"/>
              </w:rPr>
              <w:t>(16) Quarterly Data (Unaudited)</w:t>
            </w:r>
          </w:p>
        </w:tc>
        <w:tc>
          <w:tcPr>
            <w:tcW w:w="1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54"/>
        </w:trPr>
        <w:tc>
          <w:tcPr>
            <w:tcW w:w="320" w:type="dxa"/>
            <w:vAlign w:val="bottom"/>
          </w:tcPr>
          <w:p>
            <w:pPr>
              <w:spacing w:after="0"/>
              <w:rPr>
                <w:sz w:val="24"/>
                <w:szCs w:val="24"/>
                <w:color w:val="auto"/>
              </w:rPr>
            </w:pPr>
          </w:p>
        </w:tc>
        <w:tc>
          <w:tcPr>
            <w:tcW w:w="1840" w:type="dxa"/>
            <w:vAlign w:val="bottom"/>
            <w:tcBorders>
              <w:top w:val="single" w:sz="8" w:color="282A32"/>
            </w:tcBorders>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First</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Second</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Third</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Fourth</w:t>
            </w: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2"/>
        </w:trPr>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Quarter</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Quarter</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Quarter</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Quarter</w:t>
            </w:r>
          </w:p>
        </w:tc>
        <w:tc>
          <w:tcPr>
            <w:tcW w:w="380" w:type="dxa"/>
            <w:vAlign w:val="bottom"/>
          </w:tcPr>
          <w:p>
            <w:pPr>
              <w:spacing w:after="0"/>
              <w:rPr>
                <w:sz w:val="18"/>
                <w:szCs w:val="18"/>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Total</w:t>
            </w:r>
          </w:p>
        </w:tc>
      </w:tr>
      <w:tr>
        <w:trPr>
          <w:trHeight w:val="25"/>
        </w:trPr>
        <w:tc>
          <w:tcPr>
            <w:tcW w:w="3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4"/>
        </w:trPr>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Year Ended December 31, 2018</w:t>
            </w:r>
          </w:p>
        </w:tc>
        <w:tc>
          <w:tcPr>
            <w:tcW w:w="17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r>
      <w:tr>
        <w:trPr>
          <w:trHeight w:val="224"/>
        </w:trPr>
        <w:tc>
          <w:tcPr>
            <w:tcW w:w="3760" w:type="dxa"/>
            <w:vAlign w:val="bottom"/>
            <w:gridSpan w:val="3"/>
          </w:tcPr>
          <w:p>
            <w:pPr>
              <w:ind w:left="20"/>
              <w:spacing w:after="0"/>
              <w:rPr>
                <w:sz w:val="20"/>
                <w:szCs w:val="20"/>
                <w:color w:val="auto"/>
              </w:rPr>
            </w:pPr>
            <w:r>
              <w:rPr>
                <w:rFonts w:ascii="Arial" w:cs="Arial" w:eastAsia="Arial" w:hAnsi="Arial"/>
                <w:sz w:val="17"/>
                <w:szCs w:val="17"/>
                <w:color w:val="auto"/>
              </w:rPr>
              <w:t>Revenues from services</w:t>
            </w:r>
          </w:p>
        </w:tc>
        <w:tc>
          <w:tcPr>
            <w:tcW w:w="17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5,522.4</w:t>
            </w:r>
          </w:p>
        </w:tc>
        <w:tc>
          <w:tcPr>
            <w:tcW w:w="42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5,656.9</w:t>
            </w:r>
          </w:p>
        </w:tc>
        <w:tc>
          <w:tcPr>
            <w:tcW w:w="42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5,418.7</w:t>
            </w:r>
          </w:p>
        </w:tc>
        <w:tc>
          <w:tcPr>
            <w:tcW w:w="4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5,393.2</w:t>
            </w:r>
          </w:p>
        </w:tc>
        <w:tc>
          <w:tcPr>
            <w:tcW w:w="38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21,991.2</w:t>
            </w:r>
          </w:p>
        </w:tc>
      </w:tr>
      <w:tr>
        <w:trPr>
          <w:trHeight w:val="25"/>
        </w:trPr>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7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885.4</w:t>
            </w:r>
          </w:p>
        </w:tc>
        <w:tc>
          <w:tcPr>
            <w:tcW w:w="4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922.7</w:t>
            </w:r>
          </w:p>
        </w:tc>
        <w:tc>
          <w:tcPr>
            <w:tcW w:w="4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890.6</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880.3</w:t>
            </w:r>
          </w:p>
        </w:tc>
        <w:tc>
          <w:tcPr>
            <w:tcW w:w="3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3,579.0</w:t>
            </w:r>
          </w:p>
        </w:tc>
      </w:tr>
      <w:tr>
        <w:trPr>
          <w:trHeight w:val="249"/>
        </w:trPr>
        <w:tc>
          <w:tcPr>
            <w:tcW w:w="376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Operating profit</w:t>
            </w:r>
            <w:r>
              <w:rPr>
                <w:rFonts w:ascii="Arial" w:cs="Arial" w:eastAsia="Arial" w:hAnsi="Arial"/>
                <w:sz w:val="23"/>
                <w:szCs w:val="23"/>
                <w:color w:val="auto"/>
                <w:vertAlign w:val="superscript"/>
              </w:rPr>
              <w:t>(a)</w:t>
            </w:r>
          </w:p>
        </w:tc>
        <w:tc>
          <w:tcPr>
            <w:tcW w:w="17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153.8</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208.3</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216.7</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217.9</w:t>
            </w:r>
          </w:p>
        </w:tc>
        <w:tc>
          <w:tcPr>
            <w:tcW w:w="38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796.7</w:t>
            </w:r>
          </w:p>
        </w:tc>
      </w:tr>
      <w:tr>
        <w:trPr>
          <w:trHeight w:val="229"/>
        </w:trPr>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17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4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143.4</w:t>
            </w:r>
          </w:p>
        </w:tc>
        <w:tc>
          <w:tcPr>
            <w:tcW w:w="4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158.0</w:t>
            </w:r>
          </w:p>
        </w:tc>
        <w:tc>
          <w:tcPr>
            <w:tcW w:w="4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158.3</w:t>
            </w:r>
          </w:p>
        </w:tc>
        <w:tc>
          <w:tcPr>
            <w:tcW w:w="3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556.7</w:t>
            </w:r>
          </w:p>
        </w:tc>
      </w:tr>
      <w:tr>
        <w:trPr>
          <w:trHeight w:val="224"/>
        </w:trPr>
        <w:tc>
          <w:tcPr>
            <w:tcW w:w="3760" w:type="dxa"/>
            <w:vAlign w:val="bottom"/>
            <w:gridSpan w:val="3"/>
          </w:tcPr>
          <w:p>
            <w:pPr>
              <w:ind w:left="20"/>
              <w:spacing w:after="0"/>
              <w:rPr>
                <w:sz w:val="20"/>
                <w:szCs w:val="20"/>
                <w:color w:val="auto"/>
              </w:rPr>
            </w:pPr>
            <w:r>
              <w:rPr>
                <w:rFonts w:ascii="Arial" w:cs="Arial" w:eastAsia="Arial" w:hAnsi="Arial"/>
                <w:sz w:val="17"/>
                <w:szCs w:val="17"/>
                <w:color w:val="auto"/>
              </w:rPr>
              <w:t>Net earnings per share — basic</w:t>
            </w:r>
          </w:p>
        </w:tc>
        <w:tc>
          <w:tcPr>
            <w:tcW w:w="176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1.46</w:t>
            </w:r>
          </w:p>
        </w:tc>
        <w:tc>
          <w:tcPr>
            <w:tcW w:w="42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2.18</w:t>
            </w:r>
          </w:p>
        </w:tc>
        <w:tc>
          <w:tcPr>
            <w:tcW w:w="42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2.45</w:t>
            </w:r>
          </w:p>
        </w:tc>
        <w:tc>
          <w:tcPr>
            <w:tcW w:w="4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2.56</w:t>
            </w:r>
          </w:p>
        </w:tc>
        <w:tc>
          <w:tcPr>
            <w:tcW w:w="38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8.62</w:t>
            </w:r>
          </w:p>
        </w:tc>
      </w:tr>
      <w:tr>
        <w:trPr>
          <w:trHeight w:val="25"/>
        </w:trPr>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9"/>
        </w:trPr>
        <w:tc>
          <w:tcPr>
            <w:tcW w:w="376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Net earnings per share — diluted</w:t>
            </w:r>
            <w:r>
              <w:rPr>
                <w:rFonts w:ascii="Arial" w:cs="Arial" w:eastAsia="Arial" w:hAnsi="Arial"/>
                <w:sz w:val="23"/>
                <w:szCs w:val="23"/>
                <w:color w:val="auto"/>
                <w:vertAlign w:val="superscript"/>
              </w:rPr>
              <w:t>(b)</w:t>
            </w:r>
          </w:p>
        </w:tc>
        <w:tc>
          <w:tcPr>
            <w:tcW w:w="17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8.56</w:t>
            </w:r>
          </w:p>
        </w:tc>
      </w:tr>
      <w:tr>
        <w:trPr>
          <w:trHeight w:val="224"/>
        </w:trPr>
        <w:tc>
          <w:tcPr>
            <w:tcW w:w="3760" w:type="dxa"/>
            <w:vAlign w:val="bottom"/>
            <w:gridSpan w:val="3"/>
          </w:tcPr>
          <w:p>
            <w:pPr>
              <w:ind w:left="20"/>
              <w:spacing w:after="0"/>
              <w:rPr>
                <w:sz w:val="20"/>
                <w:szCs w:val="20"/>
                <w:color w:val="auto"/>
              </w:rPr>
            </w:pPr>
            <w:r>
              <w:rPr>
                <w:rFonts w:ascii="Arial" w:cs="Arial" w:eastAsia="Arial" w:hAnsi="Arial"/>
                <w:sz w:val="17"/>
                <w:szCs w:val="17"/>
                <w:color w:val="auto"/>
              </w:rPr>
              <w:t>Dividends per share</w:t>
            </w:r>
          </w:p>
        </w:tc>
        <w:tc>
          <w:tcPr>
            <w:tcW w:w="1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1.01</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1.01</w:t>
            </w:r>
          </w:p>
        </w:tc>
        <w:tc>
          <w:tcPr>
            <w:tcW w:w="38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2.02</w:t>
            </w:r>
          </w:p>
        </w:tc>
      </w:tr>
      <w:tr>
        <w:trPr>
          <w:trHeight w:val="25"/>
        </w:trPr>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4"/>
        </w:trPr>
        <w:tc>
          <w:tcPr>
            <w:tcW w:w="3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87"/>
        </w:trPr>
        <w:tc>
          <w:tcPr>
            <w:tcW w:w="3760" w:type="dxa"/>
            <w:vAlign w:val="bottom"/>
            <w:gridSpan w:val="3"/>
          </w:tcPr>
          <w:p>
            <w:pPr>
              <w:ind w:left="20"/>
              <w:spacing w:after="0"/>
              <w:rPr>
                <w:sz w:val="20"/>
                <w:szCs w:val="20"/>
                <w:color w:val="auto"/>
              </w:rPr>
            </w:pPr>
            <w:r>
              <w:rPr>
                <w:rFonts w:ascii="Arial" w:cs="Arial" w:eastAsia="Arial" w:hAnsi="Arial"/>
                <w:sz w:val="17"/>
                <w:szCs w:val="17"/>
                <w:b w:val="1"/>
                <w:bCs w:val="1"/>
                <w:color w:val="auto"/>
              </w:rPr>
              <w:t>Year Ended December 31, 2017</w:t>
            </w:r>
          </w:p>
        </w:tc>
        <w:tc>
          <w:tcPr>
            <w:tcW w:w="1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
        </w:trPr>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Revenues from services</w:t>
            </w:r>
          </w:p>
        </w:tc>
        <w:tc>
          <w:tcPr>
            <w:tcW w:w="17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4,757.2</w:t>
            </w:r>
          </w:p>
        </w:tc>
        <w:tc>
          <w:tcPr>
            <w:tcW w:w="4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5,174.8</w:t>
            </w:r>
          </w:p>
        </w:tc>
        <w:tc>
          <w:tcPr>
            <w:tcW w:w="4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5,464.8</w:t>
            </w:r>
          </w:p>
        </w:tc>
        <w:tc>
          <w:tcPr>
            <w:tcW w:w="4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5,637.5</w:t>
            </w:r>
          </w:p>
        </w:tc>
        <w:tc>
          <w:tcPr>
            <w:tcW w:w="3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21,034.3</w:t>
            </w:r>
          </w:p>
        </w:tc>
      </w:tr>
      <w:tr>
        <w:trPr>
          <w:trHeight w:val="224"/>
        </w:trPr>
        <w:tc>
          <w:tcPr>
            <w:tcW w:w="3760" w:type="dxa"/>
            <w:vAlign w:val="bottom"/>
            <w:gridSpan w:val="3"/>
          </w:tcPr>
          <w:p>
            <w:pPr>
              <w:ind w:left="20"/>
              <w:spacing w:after="0"/>
              <w:rPr>
                <w:sz w:val="20"/>
                <w:szCs w:val="20"/>
                <w:color w:val="auto"/>
              </w:rPr>
            </w:pPr>
            <w:r>
              <w:rPr>
                <w:rFonts w:ascii="Arial" w:cs="Arial" w:eastAsia="Arial" w:hAnsi="Arial"/>
                <w:sz w:val="17"/>
                <w:szCs w:val="17"/>
                <w:color w:val="auto"/>
              </w:rPr>
              <w:t>Gross profit</w:t>
            </w:r>
          </w:p>
        </w:tc>
        <w:tc>
          <w:tcPr>
            <w:tcW w:w="17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787.8</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861.7</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900.6</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934.5</w:t>
            </w:r>
          </w:p>
        </w:tc>
        <w:tc>
          <w:tcPr>
            <w:tcW w:w="380" w:type="dxa"/>
            <w:vAlign w:val="bottom"/>
          </w:tcPr>
          <w:p>
            <w:pPr>
              <w:spacing w:after="0"/>
              <w:rPr>
                <w:sz w:val="19"/>
                <w:szCs w:val="19"/>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3,484.6</w:t>
            </w:r>
          </w:p>
        </w:tc>
      </w:tr>
      <w:tr>
        <w:trPr>
          <w:trHeight w:val="25"/>
        </w:trPr>
        <w:tc>
          <w:tcPr>
            <w:tcW w:w="3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9"/>
        </w:trPr>
        <w:tc>
          <w:tcPr>
            <w:tcW w:w="3760" w:type="dxa"/>
            <w:vAlign w:val="bottom"/>
            <w:gridSpan w:val="3"/>
            <w:shd w:val="clear" w:color="auto" w:fill="CCEEFF"/>
          </w:tcPr>
          <w:p>
            <w:pPr>
              <w:ind w:left="20"/>
              <w:spacing w:after="0" w:line="250" w:lineRule="exact"/>
              <w:rPr>
                <w:sz w:val="20"/>
                <w:szCs w:val="20"/>
                <w:color w:val="auto"/>
              </w:rPr>
            </w:pPr>
            <w:r>
              <w:rPr>
                <w:rFonts w:ascii="Arial" w:cs="Arial" w:eastAsia="Arial" w:hAnsi="Arial"/>
                <w:sz w:val="17"/>
                <w:szCs w:val="17"/>
                <w:color w:val="auto"/>
              </w:rPr>
              <w:t>Operating profit</w:t>
            </w:r>
            <w:r>
              <w:rPr>
                <w:rFonts w:ascii="Arial" w:cs="Arial" w:eastAsia="Arial" w:hAnsi="Arial"/>
                <w:sz w:val="23"/>
                <w:szCs w:val="23"/>
                <w:color w:val="auto"/>
                <w:vertAlign w:val="superscript"/>
              </w:rPr>
              <w:t>(c)(f)</w:t>
            </w:r>
          </w:p>
        </w:tc>
        <w:tc>
          <w:tcPr>
            <w:tcW w:w="17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127.9</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195.2</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228.7</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237.4</w:t>
            </w: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789.2</w:t>
            </w:r>
          </w:p>
        </w:tc>
      </w:tr>
      <w:tr>
        <w:trPr>
          <w:trHeight w:val="249"/>
        </w:trPr>
        <w:tc>
          <w:tcPr>
            <w:tcW w:w="376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Net earnings</w:t>
            </w:r>
            <w:r>
              <w:rPr>
                <w:rFonts w:ascii="Arial" w:cs="Arial" w:eastAsia="Arial" w:hAnsi="Arial"/>
                <w:sz w:val="23"/>
                <w:szCs w:val="23"/>
                <w:color w:val="auto"/>
                <w:vertAlign w:val="superscript"/>
              </w:rPr>
              <w:t>(d)</w:t>
            </w:r>
          </w:p>
        </w:tc>
        <w:tc>
          <w:tcPr>
            <w:tcW w:w="17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74.4</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117.0</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137.7</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216.3</w:t>
            </w:r>
          </w:p>
        </w:tc>
        <w:tc>
          <w:tcPr>
            <w:tcW w:w="38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545.4</w:t>
            </w:r>
          </w:p>
        </w:tc>
      </w:tr>
      <w:tr>
        <w:trPr>
          <w:trHeight w:val="229"/>
        </w:trPr>
        <w:tc>
          <w:tcPr>
            <w:tcW w:w="37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Net earnings per share — basic</w:t>
            </w:r>
          </w:p>
        </w:tc>
        <w:tc>
          <w:tcPr>
            <w:tcW w:w="17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4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42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2.06</w:t>
            </w:r>
          </w:p>
        </w:tc>
        <w:tc>
          <w:tcPr>
            <w:tcW w:w="40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3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8.13</w:t>
            </w:r>
          </w:p>
        </w:tc>
      </w:tr>
      <w:tr>
        <w:trPr>
          <w:trHeight w:val="249"/>
        </w:trPr>
        <w:tc>
          <w:tcPr>
            <w:tcW w:w="3760" w:type="dxa"/>
            <w:vAlign w:val="bottom"/>
            <w:gridSpan w:val="3"/>
          </w:tcPr>
          <w:p>
            <w:pPr>
              <w:ind w:left="20"/>
              <w:spacing w:after="0" w:line="250" w:lineRule="exact"/>
              <w:rPr>
                <w:sz w:val="20"/>
                <w:szCs w:val="20"/>
                <w:color w:val="auto"/>
              </w:rPr>
            </w:pPr>
            <w:r>
              <w:rPr>
                <w:rFonts w:ascii="Arial" w:cs="Arial" w:eastAsia="Arial" w:hAnsi="Arial"/>
                <w:sz w:val="17"/>
                <w:szCs w:val="17"/>
                <w:color w:val="auto"/>
              </w:rPr>
              <w:t>Net earnings per share — diluted</w:t>
            </w:r>
            <w:r>
              <w:rPr>
                <w:rFonts w:ascii="Arial" w:cs="Arial" w:eastAsia="Arial" w:hAnsi="Arial"/>
                <w:sz w:val="23"/>
                <w:szCs w:val="23"/>
                <w:color w:val="auto"/>
                <w:vertAlign w:val="superscript"/>
              </w:rPr>
              <w:t>(e)</w:t>
            </w:r>
          </w:p>
        </w:tc>
        <w:tc>
          <w:tcPr>
            <w:tcW w:w="17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1.09</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1.72</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2.04</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3.22</w:t>
            </w:r>
          </w:p>
        </w:tc>
        <w:tc>
          <w:tcPr>
            <w:tcW w:w="38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8.04</w:t>
            </w:r>
          </w:p>
        </w:tc>
      </w:tr>
      <w:tr>
        <w:trPr>
          <w:trHeight w:val="224"/>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Dividends per share</w:t>
            </w:r>
          </w:p>
        </w:tc>
        <w:tc>
          <w:tcPr>
            <w:tcW w:w="17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0.93</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0.93</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1.86</w:t>
            </w:r>
          </w:p>
        </w:tc>
      </w:tr>
      <w:tr>
        <w:trPr>
          <w:trHeight w:val="25"/>
        </w:trPr>
        <w:tc>
          <w:tcPr>
            <w:tcW w:w="3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42" w:lineRule="exact"/>
        <w:rPr>
          <w:sz w:val="20"/>
          <w:szCs w:val="20"/>
          <w:color w:val="auto"/>
        </w:rPr>
      </w:pPr>
    </w:p>
    <w:p>
      <w:pPr>
        <w:ind w:left="200" w:hanging="200"/>
        <w:spacing w:after="0"/>
        <w:tabs>
          <w:tab w:leader="none" w:pos="2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Included restructuring costs of $24.0 and $15.3 recorded in the first and second quarter, respectively.</w:t>
      </w:r>
    </w:p>
    <w:p>
      <w:pPr>
        <w:spacing w:after="0" w:line="101" w:lineRule="exact"/>
        <w:rPr>
          <w:rFonts w:ascii="Arial" w:cs="Arial" w:eastAsia="Arial" w:hAnsi="Arial"/>
          <w:sz w:val="15"/>
          <w:szCs w:val="15"/>
          <w:color w:val="auto"/>
        </w:rPr>
      </w:pPr>
    </w:p>
    <w:p>
      <w:pPr>
        <w:ind w:left="220" w:hanging="220"/>
        <w:spacing w:after="0"/>
        <w:tabs>
          <w:tab w:leader="none" w:pos="2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Included in the results are restructuring costs per diluted share of $(0.27) and $(0.18) for the first and second quarter, respectively.</w:t>
      </w:r>
    </w:p>
    <w:p>
      <w:pPr>
        <w:spacing w:after="0" w:line="101" w:lineRule="exact"/>
        <w:rPr>
          <w:rFonts w:ascii="Arial" w:cs="Arial" w:eastAsia="Arial" w:hAnsi="Arial"/>
          <w:sz w:val="15"/>
          <w:szCs w:val="15"/>
          <w:color w:val="auto"/>
        </w:rPr>
      </w:pPr>
    </w:p>
    <w:p>
      <w:pPr>
        <w:ind w:left="200" w:hanging="200"/>
        <w:spacing w:after="0"/>
        <w:tabs>
          <w:tab w:leader="none" w:pos="2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Included restructuring costs of $24.0 and $10.5 recorded in the first and second quarter, respectively.</w:t>
      </w:r>
    </w:p>
    <w:p>
      <w:pPr>
        <w:spacing w:after="0" w:line="101" w:lineRule="exact"/>
        <w:rPr>
          <w:rFonts w:ascii="Arial" w:cs="Arial" w:eastAsia="Arial" w:hAnsi="Arial"/>
          <w:sz w:val="15"/>
          <w:szCs w:val="15"/>
          <w:color w:val="auto"/>
        </w:rPr>
      </w:pPr>
    </w:p>
    <w:p>
      <w:pPr>
        <w:ind w:left="220" w:hanging="220"/>
        <w:spacing w:after="0"/>
        <w:tabs>
          <w:tab w:leader="none" w:pos="2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Included net tax benefits related to the Tax Act and French tax reform of $73.7 in the fourth quarter.</w:t>
      </w:r>
    </w:p>
    <w:p>
      <w:pPr>
        <w:spacing w:after="0" w:line="101" w:lineRule="exact"/>
        <w:rPr>
          <w:rFonts w:ascii="Arial" w:cs="Arial" w:eastAsia="Arial" w:hAnsi="Arial"/>
          <w:sz w:val="15"/>
          <w:szCs w:val="15"/>
          <w:color w:val="auto"/>
        </w:rPr>
      </w:pPr>
    </w:p>
    <w:p>
      <w:pPr>
        <w:spacing w:after="0" w:line="266" w:lineRule="auto"/>
        <w:tabs>
          <w:tab w:leader="none" w:pos="211"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Included in the results are restructuring costs per diluted share of $(0.30) and $(0.10) for the first and second quarter, respectively, and net tax benefits per diluted share of $1.10 for the fourth quarter.</w:t>
      </w:r>
    </w:p>
    <w:p>
      <w:pPr>
        <w:spacing w:after="0" w:line="66" w:lineRule="exact"/>
        <w:rPr>
          <w:rFonts w:ascii="Arial" w:cs="Arial" w:eastAsia="Arial" w:hAnsi="Arial"/>
          <w:sz w:val="15"/>
          <w:szCs w:val="15"/>
          <w:color w:val="auto"/>
        </w:rPr>
      </w:pPr>
    </w:p>
    <w:p>
      <w:pPr>
        <w:jc w:val="both"/>
        <w:spacing w:after="0" w:line="254" w:lineRule="auto"/>
        <w:tabs>
          <w:tab w:leader="none" w:pos="193" w:val="left"/>
        </w:tabs>
        <w:numPr>
          <w:ilvl w:val="0"/>
          <w:numId w:val="51"/>
        </w:numPr>
        <w:rPr>
          <w:rFonts w:ascii="Arial" w:cs="Arial" w:eastAsia="Arial" w:hAnsi="Arial"/>
          <w:sz w:val="15"/>
          <w:szCs w:val="15"/>
          <w:color w:val="auto"/>
        </w:rPr>
      </w:pPr>
      <w:r>
        <w:rPr>
          <w:rFonts w:ascii="Arial" w:cs="Arial" w:eastAsia="Arial" w:hAnsi="Arial"/>
          <w:sz w:val="15"/>
          <w:szCs w:val="15"/>
          <w:color w:val="auto"/>
        </w:rPr>
        <w:t>As of January 1, 2018, we adopted new accounting guidance on presentation of net periodic pension and postretirement benefit cost ("net benefit cost"). Under the new guidance, we are required to present non-service cost components of net benefit cost in interest and other expenses, as opposed to selling and administrative expenses. All previously reported results have been restated to conform to the current year presentation. (See Note 9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330" w:right="239" w:bottom="1440" w:gutter="0" w:footer="0" w:header="0"/>
        </w:sectPr>
      </w:pPr>
    </w:p>
    <w:bookmarkStart w:id="93" w:name="page94"/>
    <w:bookmarkEnd w:id="93"/>
    <w:p>
      <w:pPr>
        <w:spacing w:after="0"/>
        <w:tabs>
          <w:tab w:leader="none" w:pos="110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3"/>
          <w:szCs w:val="13"/>
          <w:b w:val="1"/>
          <w:bCs w:val="1"/>
          <w:color w:val="auto"/>
        </w:rPr>
        <w:t>Changes in and Disagreements with Accountants on Accounting and Financial Disclosure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3"/>
          <w:szCs w:val="13"/>
          <w:b w:val="1"/>
          <w:bCs w:val="1"/>
          <w:color w:val="auto"/>
        </w:rPr>
        <w:t>Controls and Procedures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Report on Internal Control over Financial Reporting</w:t>
      </w:r>
    </w:p>
    <w:p>
      <w:pPr>
        <w:spacing w:after="0" w:line="20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are responsible for establishing and maintaining effective internal control over financial reporting as defined in Rule 13a-15(f) under the Exchange Act.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Under the supervision and with the participation of management, including our Chief Executive Officer and our Executive Vice President and Chief Financial Officer, we conducted an evaluation of the effectiveness of our internal control over financial reporting based on the framework in Internal Control — Integrated Framework (2013)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2018.</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Deloitte &amp; Touche LLP, our independent registered public accounting firm, issued an attestation report on the effectiveness of our internal control over financial reporting as of December 31, 2018, which is included herein.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207"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There have been no changes in our internal control over financial reporting that occurred during our last fiscal quarter that have materially affected, or are reasonably likely to materially affect, our internal control over financial reporting. During 2018, we implemented internal controls to ensure we have adequately evaluated our contracts and properly assessed the impact of the new accounting standards related to revenue recognition on our financial statements to facilitate the adoption on January 1, 2018. There were no significant changes to our internal control over financial reporting upon adoption of the new standard. During 2018, we implemented internal controls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20"/>
          </w:cols>
          <w:pgMar w:left="240" w:top="348" w:right="239" w:bottom="1440" w:gutter="0" w:footer="0" w:header="0"/>
        </w:sectPr>
      </w:pPr>
    </w:p>
    <w:bookmarkStart w:id="94" w:name="page95"/>
    <w:bookmarkEnd w:id="94"/>
    <w:p>
      <w:pPr>
        <w:spacing w:after="0" w:line="332" w:lineRule="auto"/>
        <w:rPr>
          <w:sz w:val="20"/>
          <w:szCs w:val="20"/>
          <w:color w:val="auto"/>
        </w:rPr>
      </w:pPr>
      <w:r>
        <w:rPr>
          <w:rFonts w:ascii="Arial" w:cs="Arial" w:eastAsia="Arial" w:hAnsi="Arial"/>
          <w:sz w:val="15"/>
          <w:szCs w:val="15"/>
          <w:color w:val="auto"/>
        </w:rPr>
        <w:t>ensure we have adequately evaluated our lease portfolio and properly assessed the impact of the new accounting standards related to leases on our financial statements to facilitate the adoption on January 1, 2019. We do not expect significant changes to our internal control over financial reporting due to the adoption of the new standard.</w:t>
      </w:r>
    </w:p>
    <w:p>
      <w:pPr>
        <w:spacing w:after="0" w:line="117" w:lineRule="exact"/>
        <w:rPr>
          <w:sz w:val="20"/>
          <w:szCs w:val="20"/>
          <w:color w:val="auto"/>
        </w:rPr>
      </w:pPr>
    </w:p>
    <w:p>
      <w:pPr>
        <w:spacing w:after="0"/>
        <w:tabs>
          <w:tab w:leader="none" w:pos="108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5"/>
          <w:szCs w:val="15"/>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35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b w:val="1"/>
          <w:bCs w:val="1"/>
          <w:color w:val="auto"/>
        </w:rPr>
        <w:t>PART III</w:t>
      </w:r>
    </w:p>
    <w:p>
      <w:pPr>
        <w:spacing w:after="0" w:line="203"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07" w:lineRule="exact"/>
        <w:rPr>
          <w:sz w:val="20"/>
          <w:szCs w:val="20"/>
          <w:color w:val="auto"/>
        </w:rPr>
      </w:pPr>
    </w:p>
    <w:p>
      <w:pPr>
        <w:ind w:left="680" w:hanging="306"/>
        <w:spacing w:after="0"/>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Executive Officers. Reference is made to “Executive Officers of ManpowerGroup” in Part I after Item 4.</w:t>
      </w:r>
    </w:p>
    <w:p>
      <w:pPr>
        <w:spacing w:after="0" w:line="203" w:lineRule="exact"/>
        <w:rPr>
          <w:rFonts w:ascii="Arial" w:cs="Arial" w:eastAsia="Arial" w:hAnsi="Arial"/>
          <w:sz w:val="17"/>
          <w:szCs w:val="17"/>
          <w:color w:val="auto"/>
        </w:rPr>
      </w:pPr>
    </w:p>
    <w:p>
      <w:pPr>
        <w:ind w:left="680" w:hanging="306"/>
        <w:spacing w:after="0" w:line="265" w:lineRule="auto"/>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Directors. The information required by this Item is set forth in our Proxy Statement for the Annual Meeting of Shareholders to be held on May 10, 2019 under the caption “Election of Directors,” which information is hereby incorporated herein by reference.</w:t>
      </w:r>
    </w:p>
    <w:p>
      <w:pPr>
        <w:spacing w:after="0" w:line="166" w:lineRule="exact"/>
        <w:rPr>
          <w:rFonts w:ascii="Arial" w:cs="Arial" w:eastAsia="Arial" w:hAnsi="Arial"/>
          <w:sz w:val="17"/>
          <w:szCs w:val="17"/>
          <w:color w:val="auto"/>
        </w:rPr>
      </w:pPr>
    </w:p>
    <w:p>
      <w:pPr>
        <w:jc w:val="both"/>
        <w:ind w:left="680" w:hanging="306"/>
        <w:spacing w:after="0" w:line="332" w:lineRule="auto"/>
        <w:tabs>
          <w:tab w:leader="none" w:pos="6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board of directors has determined that each of Gina R. Boswell, John F. Ferraro, and Paul Read, chair of the audit committee, is an “audit committee financial expert.” Ms. Boswell, Mr. Ferraro, and Mr. Read are all “independent” as that term is used in Item 7(d)(3)(iv) of Schedule 14A under the Exchange Act.</w:t>
      </w:r>
    </w:p>
    <w:p>
      <w:pPr>
        <w:spacing w:after="0" w:line="121" w:lineRule="exact"/>
        <w:rPr>
          <w:rFonts w:ascii="Arial" w:cs="Arial" w:eastAsia="Arial" w:hAnsi="Arial"/>
          <w:sz w:val="15"/>
          <w:szCs w:val="15"/>
          <w:color w:val="auto"/>
        </w:rPr>
      </w:pPr>
    </w:p>
    <w:p>
      <w:pPr>
        <w:ind w:left="680" w:hanging="306"/>
        <w:spacing w:after="0" w:line="332" w:lineRule="auto"/>
        <w:tabs>
          <w:tab w:leader="none" w:pos="68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Audit Committee. The information required by this Item is set forth in our Proxy Statement for the Annual Meeting of Shareholders to be held on May 10, 2019 under the caption “Election of Directors - Meetings and Committees of the Board,” which information is hereby incorporated herein by reference.</w:t>
      </w:r>
    </w:p>
    <w:p>
      <w:pPr>
        <w:spacing w:after="0" w:line="121" w:lineRule="exact"/>
        <w:rPr>
          <w:rFonts w:ascii="Arial" w:cs="Arial" w:eastAsia="Arial" w:hAnsi="Arial"/>
          <w:sz w:val="15"/>
          <w:szCs w:val="15"/>
          <w:color w:val="auto"/>
        </w:rPr>
      </w:pPr>
    </w:p>
    <w:p>
      <w:pPr>
        <w:ind w:left="680" w:hanging="306"/>
        <w:spacing w:after="0" w:line="296" w:lineRule="auto"/>
        <w:tabs>
          <w:tab w:leader="none" w:pos="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Section 16 Compliance. The information required by this Item is set forth in our Proxy Statement for the Annual Meeting of Shareholders to be held May 10, 2019 under the caption “Section 16(a) Beneficial Ownership Reporting Compliance,” which information is hereby incorporated herein by reference.</w:t>
      </w:r>
    </w:p>
    <w:p>
      <w:pPr>
        <w:spacing w:after="0" w:line="144" w:lineRule="exact"/>
        <w:rPr>
          <w:rFonts w:ascii="Arial" w:cs="Arial" w:eastAsia="Arial" w:hAnsi="Arial"/>
          <w:sz w:val="16"/>
          <w:szCs w:val="16"/>
          <w:color w:val="auto"/>
        </w:rPr>
      </w:pPr>
    </w:p>
    <w:p>
      <w:pPr>
        <w:jc w:val="both"/>
        <w:ind w:left="680" w:hanging="306"/>
        <w:spacing w:after="0" w:line="249" w:lineRule="auto"/>
        <w:tabs>
          <w:tab w:leader="none" w:pos="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 We intend to satisfy our disclosure requirements under Item 5.05 of Form 8-K, regarding any amendments to, or waiver of, a provision of our Code of Business Conduct and Ethics that applies to our principal executive officer, principal financial officer, principal accounting officer and controller or our directors by posting such information at this location on our website.</w:t>
      </w:r>
    </w:p>
    <w:p>
      <w:pPr>
        <w:spacing w:after="0" w:line="178"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3"/>
          <w:szCs w:val="13"/>
          <w:b w:val="1"/>
          <w:bCs w:val="1"/>
          <w:color w:val="auto"/>
        </w:rPr>
        <w:t>Executive Compensation</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information required by this Item is set forth in our Proxy Statement for the Annual Meeting of Shareholders to be held on May 10, 2019, under the captions "Compensation Discussion and Analysis," "Compensation Tables" and "CEO Pay Ratio;" under the caption “Executive Compensation and Human Resources Committee Interlocks and Insider Participation;” and under the caption “Report of the Executive Compensation and Human Resources Committee of the Board of Directors,” which information is hereby incorporated herein by reference.</w:t>
      </w:r>
    </w:p>
    <w:p>
      <w:pPr>
        <w:spacing w:after="0" w:line="175"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Shareholder Matters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information required by this Item is set forth in our Proxy Statement for the Annual Meeting of Shareholders to be held on May 10, 2019, under the caption “Security Ownership of Certain Beneficial Owners,” under the caption “Beneficial Ownership of Directors and Executive Officers,” which information is hereby incorporated herein by reference.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20"/>
          </w:cols>
          <w:pgMar w:left="240" w:top="547" w:right="239" w:bottom="1440" w:gutter="0" w:footer="0" w:header="0"/>
        </w:sectPr>
      </w:pPr>
    </w:p>
    <w:bookmarkStart w:id="96" w:name="page97"/>
    <w:bookmarkEnd w:id="96"/>
    <w:p>
      <w:pPr>
        <w:ind w:right="100"/>
        <w:spacing w:after="0" w:line="265" w:lineRule="auto"/>
        <w:rPr>
          <w:sz w:val="20"/>
          <w:szCs w:val="20"/>
          <w:color w:val="auto"/>
        </w:rPr>
      </w:pPr>
      <w:r>
        <w:rPr>
          <w:rFonts w:ascii="Arial" w:cs="Arial" w:eastAsia="Arial" w:hAnsi="Arial"/>
          <w:sz w:val="17"/>
          <w:szCs w:val="17"/>
          <w:color w:val="auto"/>
        </w:rPr>
        <w:t>The following table sets forth information as of December 31, 2018 about shares of our common stock outstanding and available for issuance under our existing equity compensation plans.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Weighted-</w:t>
            </w:r>
          </w:p>
        </w:tc>
        <w:tc>
          <w:tcPr>
            <w:tcW w:w="4000" w:type="dxa"/>
            <w:vAlign w:val="bottom"/>
          </w:tcPr>
          <w:p>
            <w:pPr>
              <w:spacing w:after="0"/>
              <w:rPr>
                <w:sz w:val="17"/>
                <w:szCs w:val="17"/>
                <w:color w:val="auto"/>
              </w:rPr>
            </w:pPr>
          </w:p>
        </w:tc>
      </w:tr>
      <w:tr>
        <w:trPr>
          <w:trHeight w:val="199"/>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average contractual</w:t>
            </w:r>
          </w:p>
        </w:tc>
        <w:tc>
          <w:tcPr>
            <w:tcW w:w="4000" w:type="dxa"/>
            <w:vAlign w:val="bottom"/>
          </w:tcPr>
          <w:p>
            <w:pPr>
              <w:spacing w:after="0"/>
              <w:rPr>
                <w:sz w:val="17"/>
                <w:szCs w:val="17"/>
                <w:color w:val="auto"/>
              </w:rPr>
            </w:pPr>
          </w:p>
        </w:tc>
      </w:tr>
      <w:tr>
        <w:trPr>
          <w:trHeight w:val="199"/>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0"/>
              </w:rPr>
              <w:t>term of</w:t>
            </w:r>
          </w:p>
        </w:tc>
        <w:tc>
          <w:tcPr>
            <w:tcW w:w="4000" w:type="dxa"/>
            <w:vAlign w:val="bottom"/>
          </w:tcPr>
          <w:p>
            <w:pPr>
              <w:spacing w:after="0"/>
              <w:rPr>
                <w:sz w:val="17"/>
                <w:szCs w:val="17"/>
                <w:color w:val="auto"/>
              </w:rPr>
            </w:pPr>
          </w:p>
        </w:tc>
      </w:tr>
      <w:tr>
        <w:trPr>
          <w:trHeight w:val="199"/>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Number of securities</w:t>
            </w:r>
          </w:p>
        </w:tc>
        <w:tc>
          <w:tcPr>
            <w:tcW w:w="25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6"/>
              </w:rPr>
              <w:t>Weighted-average 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5"/>
              </w:rPr>
              <w:t>outstanding options,</w:t>
            </w:r>
          </w:p>
        </w:tc>
        <w:tc>
          <w:tcPr>
            <w:tcW w:w="4000" w:type="dxa"/>
            <w:vAlign w:val="bottom"/>
          </w:tcPr>
          <w:p>
            <w:pPr>
              <w:spacing w:after="0"/>
              <w:rPr>
                <w:sz w:val="17"/>
                <w:szCs w:val="17"/>
                <w:color w:val="auto"/>
              </w:rPr>
            </w:pPr>
          </w:p>
        </w:tc>
      </w:tr>
      <w:tr>
        <w:trPr>
          <w:trHeight w:val="199"/>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4"/>
              </w:rPr>
              <w:t>to be issued upon exercise of</w:t>
            </w:r>
          </w:p>
        </w:tc>
        <w:tc>
          <w:tcPr>
            <w:tcW w:w="25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6"/>
              </w:rPr>
              <w:t>of</w:t>
            </w:r>
          </w:p>
        </w:tc>
        <w:tc>
          <w:tcPr>
            <w:tcW w:w="15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warrants and rights</w:t>
            </w:r>
          </w:p>
        </w:tc>
        <w:tc>
          <w:tcPr>
            <w:tcW w:w="4000" w:type="dxa"/>
            <w:vAlign w:val="bottom"/>
          </w:tcPr>
          <w:p>
            <w:pPr>
              <w:jc w:val="center"/>
              <w:spacing w:after="0"/>
              <w:rPr>
                <w:sz w:val="20"/>
                <w:szCs w:val="20"/>
                <w:color w:val="auto"/>
              </w:rPr>
            </w:pPr>
            <w:r>
              <w:rPr>
                <w:rFonts w:ascii="Arial" w:cs="Arial" w:eastAsia="Arial" w:hAnsi="Arial"/>
                <w:sz w:val="17"/>
                <w:szCs w:val="17"/>
                <w:b w:val="1"/>
                <w:bCs w:val="1"/>
                <w:color w:val="auto"/>
                <w:w w:val="87"/>
              </w:rPr>
              <w:t>Number of securities remaining</w:t>
            </w:r>
          </w:p>
        </w:tc>
      </w:tr>
      <w:tr>
        <w:trPr>
          <w:trHeight w:val="199"/>
        </w:trPr>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outstanding options, warrants</w:t>
            </w:r>
          </w:p>
        </w:tc>
        <w:tc>
          <w:tcPr>
            <w:tcW w:w="25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7"/>
              </w:rPr>
              <w:t>outstanding options, warrants and</w:t>
            </w:r>
          </w:p>
        </w:tc>
        <w:tc>
          <w:tcPr>
            <w:tcW w:w="5580" w:type="dxa"/>
            <w:vAlign w:val="bottom"/>
            <w:gridSpan w:val="3"/>
          </w:tcPr>
          <w:p>
            <w:pPr>
              <w:jc w:val="right"/>
              <w:spacing w:after="0"/>
              <w:rPr>
                <w:sz w:val="20"/>
                <w:szCs w:val="20"/>
                <w:color w:val="auto"/>
              </w:rPr>
            </w:pPr>
            <w:r>
              <w:rPr>
                <w:rFonts w:ascii="Arial" w:cs="Arial" w:eastAsia="Arial" w:hAnsi="Arial"/>
                <w:sz w:val="17"/>
                <w:szCs w:val="17"/>
                <w:b w:val="1"/>
                <w:bCs w:val="1"/>
                <w:color w:val="auto"/>
                <w:w w:val="88"/>
              </w:rPr>
              <w:t>as of December 31,   available for future issuance under equity compensation</w:t>
            </w:r>
          </w:p>
        </w:tc>
      </w:tr>
      <w:tr>
        <w:trPr>
          <w:trHeight w:val="199"/>
        </w:trPr>
        <w:tc>
          <w:tcPr>
            <w:tcW w:w="1080" w:type="dxa"/>
            <w:vAlign w:val="bottom"/>
            <w:gridSpan w:val="2"/>
          </w:tcPr>
          <w:p>
            <w:pPr>
              <w:ind w:left="340"/>
              <w:spacing w:after="0"/>
              <w:rPr>
                <w:sz w:val="20"/>
                <w:szCs w:val="20"/>
                <w:color w:val="auto"/>
              </w:rPr>
            </w:pPr>
            <w:r>
              <w:rPr>
                <w:rFonts w:ascii="Arial" w:cs="Arial" w:eastAsia="Arial" w:hAnsi="Arial"/>
                <w:sz w:val="17"/>
                <w:szCs w:val="17"/>
                <w:b w:val="1"/>
                <w:bCs w:val="1"/>
                <w:color w:val="auto"/>
              </w:rPr>
              <w:t>Plan</w:t>
            </w:r>
          </w:p>
        </w:tc>
        <w:tc>
          <w:tcPr>
            <w:tcW w:w="22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5"/>
              </w:rPr>
              <w:t>and rights as</w:t>
            </w:r>
          </w:p>
        </w:tc>
        <w:tc>
          <w:tcPr>
            <w:tcW w:w="25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7"/>
              </w:rPr>
              <w:t>rights as of December 31, 2018</w:t>
            </w: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89"/>
              </w:rPr>
              <w:t>2018</w:t>
            </w:r>
          </w:p>
        </w:tc>
        <w:tc>
          <w:tcPr>
            <w:tcW w:w="100" w:type="dxa"/>
            <w:vAlign w:val="bottom"/>
          </w:tcPr>
          <w:p>
            <w:pPr>
              <w:spacing w:after="0"/>
              <w:rPr>
                <w:sz w:val="17"/>
                <w:szCs w:val="17"/>
                <w:color w:val="auto"/>
              </w:rPr>
            </w:pPr>
          </w:p>
        </w:tc>
        <w:tc>
          <w:tcPr>
            <w:tcW w:w="4000" w:type="dxa"/>
            <w:vAlign w:val="bottom"/>
          </w:tcPr>
          <w:p>
            <w:pPr>
              <w:jc w:val="center"/>
              <w:spacing w:after="0"/>
              <w:rPr>
                <w:sz w:val="20"/>
                <w:szCs w:val="20"/>
                <w:color w:val="auto"/>
              </w:rPr>
            </w:pPr>
            <w:r>
              <w:rPr>
                <w:rFonts w:ascii="Arial" w:cs="Arial" w:eastAsia="Arial" w:hAnsi="Arial"/>
                <w:sz w:val="17"/>
                <w:szCs w:val="17"/>
                <w:b w:val="1"/>
                <w:bCs w:val="1"/>
                <w:color w:val="auto"/>
                <w:w w:val="85"/>
              </w:rPr>
              <w:t>plans as of December 31, 2018</w:t>
            </w:r>
          </w:p>
        </w:tc>
      </w:tr>
      <w:tr>
        <w:trPr>
          <w:trHeight w:val="246"/>
        </w:trPr>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category</w:t>
            </w:r>
          </w:p>
        </w:tc>
        <w:tc>
          <w:tcPr>
            <w:tcW w:w="100" w:type="dxa"/>
            <w:vAlign w:val="bottom"/>
            <w:tcBorders>
              <w:bottom w:val="single" w:sz="8" w:color="CCEEFF"/>
            </w:tcBorders>
          </w:tcPr>
          <w:p>
            <w:pPr>
              <w:spacing w:after="0"/>
              <w:rPr>
                <w:sz w:val="21"/>
                <w:szCs w:val="21"/>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of December 31, 2018</w:t>
            </w:r>
          </w:p>
        </w:tc>
        <w:tc>
          <w:tcPr>
            <w:tcW w:w="100" w:type="dxa"/>
            <w:vAlign w:val="bottom"/>
            <w:tcBorders>
              <w:bottom w:val="single" w:sz="8" w:color="CCEEFF"/>
            </w:tcBorders>
          </w:tcPr>
          <w:p>
            <w:pPr>
              <w:spacing w:after="0"/>
              <w:rPr>
                <w:sz w:val="21"/>
                <w:szCs w:val="21"/>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(years)</w:t>
            </w:r>
          </w:p>
        </w:tc>
        <w:tc>
          <w:tcPr>
            <w:tcW w:w="100" w:type="dxa"/>
            <w:vAlign w:val="bottom"/>
            <w:tcBorders>
              <w:bottom w:val="single" w:sz="8" w:color="CCEEFF"/>
            </w:tcBorders>
          </w:tcPr>
          <w:p>
            <w:pPr>
              <w:spacing w:after="0"/>
              <w:rPr>
                <w:sz w:val="21"/>
                <w:szCs w:val="21"/>
                <w:color w:val="auto"/>
              </w:rPr>
            </w:pPr>
          </w:p>
        </w:tc>
        <w:tc>
          <w:tcPr>
            <w:tcW w:w="4000" w:type="dxa"/>
            <w:vAlign w:val="bottom"/>
            <w:tcBorders>
              <w:bottom w:val="single" w:sz="8" w:color="auto"/>
            </w:tcBorders>
          </w:tcPr>
          <w:p>
            <w:pPr>
              <w:jc w:val="center"/>
              <w:spacing w:after="0" w:line="241" w:lineRule="exact"/>
              <w:rPr>
                <w:sz w:val="20"/>
                <w:szCs w:val="20"/>
                <w:color w:val="auto"/>
              </w:rPr>
            </w:pPr>
            <w:r>
              <w:rPr>
                <w:rFonts w:ascii="Arial" w:cs="Arial" w:eastAsia="Arial" w:hAnsi="Arial"/>
                <w:sz w:val="17"/>
                <w:szCs w:val="17"/>
                <w:b w:val="1"/>
                <w:bCs w:val="1"/>
                <w:color w:val="auto"/>
                <w:w w:val="86"/>
              </w:rPr>
              <w:t>(excluding securities reflected in the first column)</w:t>
            </w:r>
            <w:r>
              <w:rPr>
                <w:rFonts w:ascii="Arial" w:cs="Arial" w:eastAsia="Arial" w:hAnsi="Arial"/>
                <w:sz w:val="23"/>
                <w:szCs w:val="23"/>
                <w:b w:val="1"/>
                <w:bCs w:val="1"/>
                <w:color w:val="auto"/>
                <w:w w:val="86"/>
                <w:vertAlign w:val="superscript"/>
              </w:rPr>
              <w:t>(1)</w:t>
            </w:r>
          </w:p>
        </w:tc>
      </w:tr>
      <w:tr>
        <w:trPr>
          <w:trHeight w:val="212"/>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r>
      <w:tr>
        <w:trPr>
          <w:trHeight w:val="199"/>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8"/>
              </w:rPr>
              <w:t>compensation</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r>
      <w:tr>
        <w:trPr>
          <w:trHeight w:val="199"/>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plans</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r>
      <w:tr>
        <w:trPr>
          <w:trHeight w:val="199"/>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approved by</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r>
      <w:tr>
        <w:trPr>
          <w:trHeight w:val="199"/>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security</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0" w:type="dxa"/>
            <w:vAlign w:val="bottom"/>
            <w:shd w:val="clear" w:color="auto" w:fill="CCEEFF"/>
          </w:tcPr>
          <w:p>
            <w:pPr>
              <w:spacing w:after="0"/>
              <w:rPr>
                <w:sz w:val="17"/>
                <w:szCs w:val="17"/>
                <w:color w:val="auto"/>
              </w:rPr>
            </w:pPr>
          </w:p>
        </w:tc>
      </w:tr>
      <w:tr>
        <w:trPr>
          <w:trHeight w:val="217"/>
        </w:trPr>
        <w:tc>
          <w:tcPr>
            <w:tcW w:w="1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holders</w:t>
            </w:r>
          </w:p>
        </w:tc>
        <w:tc>
          <w:tcPr>
            <w:tcW w:w="2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1,534,928</w:t>
            </w:r>
          </w:p>
        </w:tc>
        <w:tc>
          <w:tcPr>
            <w:tcW w:w="100" w:type="dxa"/>
            <w:vAlign w:val="bottom"/>
            <w:tcBorders>
              <w:bottom w:val="single" w:sz="8" w:color="CCEEFF"/>
            </w:tcBorders>
            <w:shd w:val="clear" w:color="auto" w:fill="CCEEFF"/>
          </w:tcPr>
          <w:p>
            <w:pPr>
              <w:spacing w:after="0"/>
              <w:rPr>
                <w:sz w:val="18"/>
                <w:szCs w:val="18"/>
                <w:color w:val="auto"/>
              </w:rPr>
            </w:pPr>
          </w:p>
        </w:tc>
        <w:tc>
          <w:tcPr>
            <w:tcW w:w="2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91.19</w:t>
            </w: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3,378,602</w:t>
            </w:r>
          </w:p>
        </w:tc>
      </w:tr>
      <w:tr>
        <w:trPr>
          <w:trHeight w:val="212"/>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Equity</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199"/>
        </w:trPr>
        <w:tc>
          <w:tcPr>
            <w:tcW w:w="1080" w:type="dxa"/>
            <w:vAlign w:val="bottom"/>
            <w:gridSpan w:val="2"/>
          </w:tcPr>
          <w:p>
            <w:pPr>
              <w:ind w:left="20"/>
              <w:spacing w:after="0"/>
              <w:rPr>
                <w:sz w:val="20"/>
                <w:szCs w:val="20"/>
                <w:color w:val="auto"/>
              </w:rPr>
            </w:pPr>
            <w:r>
              <w:rPr>
                <w:rFonts w:ascii="Arial" w:cs="Arial" w:eastAsia="Arial" w:hAnsi="Arial"/>
                <w:sz w:val="17"/>
                <w:szCs w:val="17"/>
                <w:color w:val="auto"/>
                <w:w w:val="98"/>
              </w:rPr>
              <w:t>compensation</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199"/>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plans not</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199"/>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approved by</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199"/>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security</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Pr>
          <w:p>
            <w:pPr>
              <w:spacing w:after="0"/>
              <w:rPr>
                <w:sz w:val="17"/>
                <w:szCs w:val="17"/>
                <w:color w:val="auto"/>
              </w:rPr>
            </w:pPr>
          </w:p>
        </w:tc>
      </w:tr>
      <w:tr>
        <w:trPr>
          <w:trHeight w:val="212"/>
        </w:trPr>
        <w:tc>
          <w:tcPr>
            <w:tcW w:w="1080" w:type="dxa"/>
            <w:vAlign w:val="bottom"/>
            <w:gridSpan w:val="2"/>
          </w:tcPr>
          <w:p>
            <w:pPr>
              <w:ind w:left="20"/>
              <w:spacing w:after="0"/>
              <w:rPr>
                <w:sz w:val="20"/>
                <w:szCs w:val="20"/>
                <w:color w:val="auto"/>
              </w:rPr>
            </w:pPr>
            <w:r>
              <w:rPr>
                <w:rFonts w:ascii="Arial" w:cs="Arial" w:eastAsia="Arial" w:hAnsi="Arial"/>
                <w:sz w:val="17"/>
                <w:szCs w:val="17"/>
                <w:color w:val="auto"/>
              </w:rPr>
              <w:t>holders</w:t>
            </w:r>
          </w:p>
        </w:tc>
        <w:tc>
          <w:tcPr>
            <w:tcW w:w="22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5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000" w:type="dxa"/>
            <w:vAlign w:val="bottom"/>
          </w:tcPr>
          <w:p>
            <w:pPr>
              <w:jc w:val="right"/>
              <w:ind w:right="97"/>
              <w:spacing w:after="0"/>
              <w:rPr>
                <w:sz w:val="20"/>
                <w:szCs w:val="20"/>
                <w:color w:val="auto"/>
              </w:rPr>
            </w:pPr>
            <w:r>
              <w:rPr>
                <w:rFonts w:ascii="Arial" w:cs="Arial" w:eastAsia="Arial" w:hAnsi="Arial"/>
                <w:sz w:val="17"/>
                <w:szCs w:val="17"/>
                <w:color w:val="auto"/>
              </w:rPr>
              <w:t>—</w:t>
            </w:r>
          </w:p>
        </w:tc>
      </w:tr>
      <w:tr>
        <w:trPr>
          <w:trHeight w:val="25"/>
        </w:trPr>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24"/>
        </w:trPr>
        <w:tc>
          <w:tcPr>
            <w:tcW w:w="1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1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1,534,928</w:t>
            </w:r>
          </w:p>
        </w:tc>
        <w:tc>
          <w:tcPr>
            <w:tcW w:w="100" w:type="dxa"/>
            <w:vAlign w:val="bottom"/>
            <w:shd w:val="clear" w:color="auto" w:fill="CCEEFF"/>
          </w:tcPr>
          <w:p>
            <w:pPr>
              <w:spacing w:after="0"/>
              <w:rPr>
                <w:sz w:val="19"/>
                <w:szCs w:val="19"/>
                <w:color w:val="auto"/>
              </w:rPr>
            </w:pPr>
          </w:p>
        </w:tc>
        <w:tc>
          <w:tcPr>
            <w:tcW w:w="248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91.19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9"/>
                <w:szCs w:val="19"/>
                <w:color w:val="auto"/>
              </w:rPr>
            </w:pPr>
          </w:p>
        </w:tc>
        <w:tc>
          <w:tcPr>
            <w:tcW w:w="40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3,378,602</w:t>
            </w:r>
          </w:p>
        </w:tc>
      </w:tr>
      <w:tr>
        <w:trPr>
          <w:trHeight w:val="25"/>
        </w:trPr>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r>
    </w:tbl>
    <w:p>
      <w:pPr>
        <w:spacing w:after="0" w:line="42" w:lineRule="exact"/>
        <w:rPr>
          <w:sz w:val="20"/>
          <w:szCs w:val="20"/>
          <w:color w:val="auto"/>
        </w:rPr>
      </w:pPr>
    </w:p>
    <w:p>
      <w:pPr>
        <w:ind w:right="100"/>
        <w:spacing w:after="0" w:line="266" w:lineRule="auto"/>
        <w:tabs>
          <w:tab w:leader="none" w:pos="222" w:val="left"/>
        </w:tabs>
        <w:numPr>
          <w:ilvl w:val="0"/>
          <w:numId w:val="53"/>
        </w:numPr>
        <w:rPr>
          <w:rFonts w:ascii="Arial" w:cs="Arial" w:eastAsia="Arial" w:hAnsi="Arial"/>
          <w:sz w:val="15"/>
          <w:szCs w:val="15"/>
          <w:color w:val="auto"/>
        </w:rPr>
      </w:pPr>
      <w:r>
        <w:rPr>
          <w:rFonts w:ascii="Arial" w:cs="Arial" w:eastAsia="Arial" w:hAnsi="Arial"/>
          <w:sz w:val="15"/>
          <w:szCs w:val="15"/>
          <w:color w:val="auto"/>
        </w:rPr>
        <w:t>Includes the number of shares remaining available for future issuance under the following plans: 1990 Employee Stock Purchase Plan – 103,219 shares; Savings Related Share Option Scheme – 622,266 shares; and 2011 Equity Incentive Plan – 2,653,117 shares.</w:t>
      </w:r>
    </w:p>
    <w:p>
      <w:pPr>
        <w:spacing w:after="0" w:line="357"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3"/>
          <w:szCs w:val="13"/>
          <w:b w:val="1"/>
          <w:bCs w:val="1"/>
          <w:color w:val="auto"/>
        </w:rPr>
        <w:t>Certain Relationships and Related Transactions, and Director Independence</w:t>
      </w:r>
    </w:p>
    <w:p>
      <w:pPr>
        <w:spacing w:after="0" w:line="207" w:lineRule="exact"/>
        <w:rPr>
          <w:sz w:val="20"/>
          <w:szCs w:val="20"/>
          <w:color w:val="auto"/>
        </w:rPr>
      </w:pPr>
    </w:p>
    <w:p>
      <w:pPr>
        <w:jc w:val="both"/>
        <w:ind w:right="100"/>
        <w:spacing w:after="0" w:line="332" w:lineRule="auto"/>
        <w:rPr>
          <w:sz w:val="20"/>
          <w:szCs w:val="20"/>
          <w:color w:val="auto"/>
        </w:rPr>
      </w:pPr>
      <w:r>
        <w:rPr>
          <w:rFonts w:ascii="Arial" w:cs="Arial" w:eastAsia="Arial" w:hAnsi="Arial"/>
          <w:sz w:val="15"/>
          <w:szCs w:val="15"/>
          <w:color w:val="auto"/>
        </w:rPr>
        <w:t>The information required by this Item is set forth in our Proxy Statement for the Annual Meeting of Shareholders to be held on May 10, 2019, under the caption “Board Independence and Related Party Transactions” and “Meetings and Committees of the Board,” which information is hereby incorporated herein by reference.</w:t>
      </w:r>
    </w:p>
    <w:p>
      <w:pPr>
        <w:spacing w:after="0" w:line="117" w:lineRule="exact"/>
        <w:rPr>
          <w:sz w:val="20"/>
          <w:szCs w:val="20"/>
          <w:color w:val="auto"/>
        </w:rPr>
      </w:pPr>
    </w:p>
    <w:p>
      <w:pPr>
        <w:spacing w:after="0"/>
        <w:tabs>
          <w:tab w:leader="none" w:pos="11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3"/>
          <w:szCs w:val="13"/>
          <w:b w:val="1"/>
          <w:bCs w:val="1"/>
          <w:color w:val="auto"/>
        </w:rPr>
        <w:t>Principal Accounting Fees and Services</w:t>
      </w:r>
    </w:p>
    <w:p>
      <w:pPr>
        <w:spacing w:after="0" w:line="207" w:lineRule="exact"/>
        <w:rPr>
          <w:sz w:val="20"/>
          <w:szCs w:val="20"/>
          <w:color w:val="auto"/>
        </w:rPr>
      </w:pPr>
    </w:p>
    <w:p>
      <w:pPr>
        <w:jc w:val="both"/>
        <w:ind w:right="100"/>
        <w:spacing w:after="0" w:line="254" w:lineRule="auto"/>
        <w:rPr>
          <w:sz w:val="20"/>
          <w:szCs w:val="20"/>
          <w:color w:val="auto"/>
        </w:rPr>
      </w:pPr>
      <w:r>
        <w:rPr>
          <w:rFonts w:ascii="Arial" w:cs="Arial" w:eastAsia="Arial" w:hAnsi="Arial"/>
          <w:sz w:val="17"/>
          <w:szCs w:val="17"/>
          <w:color w:val="auto"/>
        </w:rPr>
        <w:t>The information required by this Item is set forth in our Proxy Statement for the Annual Meeting of Shareholders to be held on May 10, 2019, under the captions “Audit Fees,” “Audit-Related Fees,” “Tax Fees,” “All Other Fees” and “Approval Procedures” in the Audit Committee Report, which information is hereby incorporated herein by reference.</w:t>
      </w: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520"/>
          </w:cols>
          <w:pgMar w:left="240" w:top="551" w:right="1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PART IV</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99"/>
        </w:trPr>
        <w:tc>
          <w:tcPr>
            <w:tcW w:w="1060" w:type="dxa"/>
            <w:vAlign w:val="bottom"/>
            <w:gridSpan w:val="2"/>
          </w:tcPr>
          <w:p>
            <w:pPr>
              <w:spacing w:after="0"/>
              <w:rPr>
                <w:sz w:val="20"/>
                <w:szCs w:val="20"/>
                <w:color w:val="auto"/>
              </w:rPr>
            </w:pPr>
            <w:r>
              <w:rPr>
                <w:rFonts w:ascii="Arial" w:cs="Arial" w:eastAsia="Arial" w:hAnsi="Arial"/>
                <w:sz w:val="17"/>
                <w:szCs w:val="17"/>
                <w:b w:val="1"/>
                <w:bCs w:val="1"/>
                <w:color w:val="auto"/>
              </w:rPr>
              <w:t>Item 15.</w:t>
            </w:r>
          </w:p>
        </w:tc>
        <w:tc>
          <w:tcPr>
            <w:tcW w:w="3920" w:type="dxa"/>
            <w:vAlign w:val="bottom"/>
            <w:gridSpan w:val="7"/>
          </w:tcPr>
          <w:p>
            <w:pPr>
              <w:ind w:left="60"/>
              <w:spacing w:after="0"/>
              <w:rPr>
                <w:sz w:val="20"/>
                <w:szCs w:val="20"/>
                <w:color w:val="auto"/>
              </w:rPr>
            </w:pPr>
            <w:r>
              <w:rPr>
                <w:rFonts w:ascii="Arial" w:cs="Arial" w:eastAsia="Arial" w:hAnsi="Arial"/>
                <w:sz w:val="17"/>
                <w:szCs w:val="17"/>
                <w:b w:val="1"/>
                <w:bCs w:val="1"/>
                <w:color w:val="auto"/>
              </w:rPr>
              <w:t>Exhibits and Financial Statement Schedules.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99"/>
        </w:trPr>
        <w:tc>
          <w:tcPr>
            <w:tcW w:w="2760" w:type="dxa"/>
            <w:vAlign w:val="bottom"/>
            <w:gridSpan w:val="4"/>
          </w:tcPr>
          <w:p>
            <w:pPr>
              <w:spacing w:after="0"/>
              <w:rPr>
                <w:sz w:val="20"/>
                <w:szCs w:val="20"/>
                <w:color w:val="auto"/>
              </w:rPr>
            </w:pPr>
            <w:r>
              <w:rPr>
                <w:rFonts w:ascii="Arial" w:cs="Arial" w:eastAsia="Arial" w:hAnsi="Arial"/>
                <w:sz w:val="17"/>
                <w:szCs w:val="17"/>
                <w:color w:val="auto"/>
              </w:rPr>
              <w:t>(a)(1) Financial Statements.</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4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right"/>
              <w:ind w:right="400"/>
              <w:spacing w:after="0"/>
              <w:rPr>
                <w:sz w:val="20"/>
                <w:szCs w:val="20"/>
                <w:color w:val="auto"/>
              </w:rPr>
            </w:pPr>
            <w:r>
              <w:rPr>
                <w:rFonts w:ascii="Arial" w:cs="Arial" w:eastAsia="Arial" w:hAnsi="Arial"/>
                <w:sz w:val="17"/>
                <w:szCs w:val="17"/>
                <w:b w:val="1"/>
                <w:bCs w:val="1"/>
                <w:color w:val="auto"/>
                <w:w w:val="96"/>
              </w:rPr>
              <w:t>Page Number</w:t>
            </w:r>
          </w:p>
        </w:tc>
      </w:tr>
      <w:tr>
        <w:trPr>
          <w:trHeight w:val="25"/>
        </w:trPr>
        <w:tc>
          <w:tcPr>
            <w:tcW w:w="2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27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Consolidated Financial Statements:</w:t>
            </w:r>
          </w:p>
        </w:tc>
        <w:tc>
          <w:tcPr>
            <w:tcW w:w="5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4960" w:type="dxa"/>
            <w:vAlign w:val="bottom"/>
            <w:gridSpan w:val="8"/>
          </w:tcPr>
          <w:p>
            <w:pPr>
              <w:ind w:left="340"/>
              <w:spacing w:after="0" w:line="187" w:lineRule="exact"/>
              <w:rPr>
                <w:sz w:val="20"/>
                <w:szCs w:val="20"/>
                <w:color w:val="auto"/>
              </w:rPr>
            </w:pPr>
            <w:r>
              <w:rPr>
                <w:rFonts w:ascii="Arial" w:cs="Arial" w:eastAsia="Arial" w:hAnsi="Arial"/>
                <w:sz w:val="17"/>
                <w:szCs w:val="17"/>
                <w:color w:val="auto"/>
              </w:rPr>
              <w:t>Report of Independent Registered Public Accounting Firm</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3"/>
          </w:tcPr>
          <w:p>
            <w:pPr>
              <w:ind w:left="200"/>
              <w:spacing w:after="0" w:line="187" w:lineRule="exact"/>
              <w:rPr>
                <w:rFonts w:ascii="Arial" w:cs="Arial" w:eastAsia="Arial" w:hAnsi="Arial"/>
                <w:sz w:val="17"/>
                <w:szCs w:val="17"/>
                <w:color w:val="0000EE"/>
              </w:rPr>
            </w:pPr>
            <w:hyperlink w:anchor="page50">
              <w:r>
                <w:rPr>
                  <w:rFonts w:ascii="Arial" w:cs="Arial" w:eastAsia="Arial" w:hAnsi="Arial"/>
                  <w:sz w:val="17"/>
                  <w:szCs w:val="17"/>
                  <w:color w:val="0000EE"/>
                </w:rPr>
                <w:t>50</w:t>
              </w:r>
            </w:hyperlink>
          </w:p>
        </w:tc>
      </w:tr>
      <w:tr>
        <w:trPr>
          <w:trHeight w:val="42"/>
        </w:trPr>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40" w:type="dxa"/>
            <w:vAlign w:val="bottom"/>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6760" w:type="dxa"/>
            <w:vAlign w:val="bottom"/>
            <w:gridSpan w:val="12"/>
            <w:shd w:val="clear" w:color="auto" w:fill="CCEEFF"/>
          </w:tcPr>
          <w:p>
            <w:pPr>
              <w:ind w:left="340"/>
              <w:spacing w:after="0" w:line="187" w:lineRule="exact"/>
              <w:rPr>
                <w:sz w:val="20"/>
                <w:szCs w:val="20"/>
                <w:color w:val="auto"/>
              </w:rPr>
            </w:pPr>
            <w:r>
              <w:rPr>
                <w:rFonts w:ascii="Arial" w:cs="Arial" w:eastAsia="Arial" w:hAnsi="Arial"/>
                <w:sz w:val="17"/>
                <w:szCs w:val="17"/>
                <w:color w:val="auto"/>
                <w:w w:val="88"/>
              </w:rPr>
              <w:t>Consolidated Statements of Operations for the years ended December 31, 2018, 2017 and 2016</w:t>
            </w: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spacing w:after="0" w:line="187" w:lineRule="exact"/>
              <w:rPr>
                <w:rFonts w:ascii="Arial" w:cs="Arial" w:eastAsia="Arial" w:hAnsi="Arial"/>
                <w:sz w:val="17"/>
                <w:szCs w:val="17"/>
                <w:color w:val="0000EE"/>
              </w:rPr>
            </w:pPr>
            <w:hyperlink w:anchor="page52">
              <w:r>
                <w:rPr>
                  <w:rFonts w:ascii="Arial" w:cs="Arial" w:eastAsia="Arial" w:hAnsi="Arial"/>
                  <w:sz w:val="17"/>
                  <w:szCs w:val="17"/>
                  <w:color w:val="0000EE"/>
                </w:rPr>
                <w:t>52</w:t>
              </w:r>
            </w:hyperlink>
          </w:p>
        </w:tc>
      </w:tr>
      <w:tr>
        <w:trPr>
          <w:trHeight w:val="42"/>
        </w:trPr>
        <w:tc>
          <w:tcPr>
            <w:tcW w:w="20" w:type="dxa"/>
            <w:vAlign w:val="bottom"/>
          </w:tcPr>
          <w:p>
            <w:pPr>
              <w:spacing w:after="0"/>
              <w:rPr>
                <w:sz w:val="3"/>
                <w:szCs w:val="3"/>
                <w:color w:val="auto"/>
              </w:rPr>
            </w:pPr>
          </w:p>
        </w:tc>
        <w:tc>
          <w:tcPr>
            <w:tcW w:w="10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5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8120" w:type="dxa"/>
            <w:vAlign w:val="bottom"/>
            <w:gridSpan w:val="14"/>
          </w:tcPr>
          <w:p>
            <w:pPr>
              <w:ind w:left="340"/>
              <w:spacing w:after="0" w:line="187" w:lineRule="exact"/>
              <w:rPr>
                <w:sz w:val="20"/>
                <w:szCs w:val="20"/>
                <w:color w:val="auto"/>
              </w:rPr>
            </w:pPr>
            <w:r>
              <w:rPr>
                <w:rFonts w:ascii="Arial" w:cs="Arial" w:eastAsia="Arial" w:hAnsi="Arial"/>
                <w:sz w:val="17"/>
                <w:szCs w:val="17"/>
                <w:color w:val="auto"/>
                <w:w w:val="94"/>
              </w:rPr>
              <w:t>Consolidated Statements of Comprehensive Income for the years ended December 31, 2018, 2017 and 2016</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spacing w:after="0" w:line="187" w:lineRule="exact"/>
              <w:rPr>
                <w:rFonts w:ascii="Arial" w:cs="Arial" w:eastAsia="Arial" w:hAnsi="Arial"/>
                <w:sz w:val="17"/>
                <w:szCs w:val="17"/>
                <w:color w:val="0000EE"/>
              </w:rPr>
            </w:pPr>
            <w:hyperlink w:anchor="page52">
              <w:r>
                <w:rPr>
                  <w:rFonts w:ascii="Arial" w:cs="Arial" w:eastAsia="Arial" w:hAnsi="Arial"/>
                  <w:sz w:val="17"/>
                  <w:szCs w:val="17"/>
                  <w:color w:val="0000EE"/>
                </w:rPr>
                <w:t>52</w:t>
              </w:r>
            </w:hyperlink>
          </w:p>
        </w:tc>
      </w:tr>
      <w:tr>
        <w:trPr>
          <w:trHeight w:val="42"/>
        </w:trPr>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40" w:type="dxa"/>
            <w:vAlign w:val="bottom"/>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4960" w:type="dxa"/>
            <w:vAlign w:val="bottom"/>
            <w:gridSpan w:val="8"/>
            <w:shd w:val="clear" w:color="auto" w:fill="CCEEFF"/>
          </w:tcPr>
          <w:p>
            <w:pPr>
              <w:ind w:left="340"/>
              <w:spacing w:after="0" w:line="187" w:lineRule="exact"/>
              <w:rPr>
                <w:sz w:val="20"/>
                <w:szCs w:val="20"/>
                <w:color w:val="auto"/>
              </w:rPr>
            </w:pPr>
            <w:r>
              <w:rPr>
                <w:rFonts w:ascii="Arial" w:cs="Arial" w:eastAsia="Arial" w:hAnsi="Arial"/>
                <w:sz w:val="17"/>
                <w:szCs w:val="17"/>
                <w:color w:val="auto"/>
                <w:w w:val="93"/>
              </w:rPr>
              <w:t>Consolidated Balance Sheets as of December 31, 2018 and 2017</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spacing w:after="0" w:line="187" w:lineRule="exact"/>
              <w:rPr>
                <w:rFonts w:ascii="Arial" w:cs="Arial" w:eastAsia="Arial" w:hAnsi="Arial"/>
                <w:sz w:val="17"/>
                <w:szCs w:val="17"/>
                <w:color w:val="0000EE"/>
              </w:rPr>
            </w:pPr>
            <w:hyperlink w:anchor="page53">
              <w:r>
                <w:rPr>
                  <w:rFonts w:ascii="Arial" w:cs="Arial" w:eastAsia="Arial" w:hAnsi="Arial"/>
                  <w:sz w:val="17"/>
                  <w:szCs w:val="17"/>
                  <w:color w:val="0000EE"/>
                </w:rPr>
                <w:t>53</w:t>
              </w:r>
            </w:hyperlink>
          </w:p>
        </w:tc>
      </w:tr>
      <w:tr>
        <w:trPr>
          <w:trHeight w:val="42"/>
        </w:trPr>
        <w:tc>
          <w:tcPr>
            <w:tcW w:w="20" w:type="dxa"/>
            <w:vAlign w:val="bottom"/>
          </w:tcPr>
          <w:p>
            <w:pPr>
              <w:spacing w:after="0"/>
              <w:rPr>
                <w:sz w:val="3"/>
                <w:szCs w:val="3"/>
                <w:color w:val="auto"/>
              </w:rPr>
            </w:pPr>
          </w:p>
        </w:tc>
        <w:tc>
          <w:tcPr>
            <w:tcW w:w="10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5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6760" w:type="dxa"/>
            <w:vAlign w:val="bottom"/>
            <w:gridSpan w:val="12"/>
          </w:tcPr>
          <w:p>
            <w:pPr>
              <w:ind w:left="340"/>
              <w:spacing w:after="0" w:line="187" w:lineRule="exact"/>
              <w:rPr>
                <w:sz w:val="20"/>
                <w:szCs w:val="20"/>
                <w:color w:val="auto"/>
              </w:rPr>
            </w:pPr>
            <w:r>
              <w:rPr>
                <w:rFonts w:ascii="Arial" w:cs="Arial" w:eastAsia="Arial" w:hAnsi="Arial"/>
                <w:sz w:val="17"/>
                <w:szCs w:val="17"/>
                <w:color w:val="auto"/>
                <w:w w:val="87"/>
              </w:rPr>
              <w:t>Consolidated Statements of Cash Flows for the years ended December 31, 2018, 2017 and 2016</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spacing w:after="0" w:line="187" w:lineRule="exact"/>
              <w:rPr>
                <w:rFonts w:ascii="Arial" w:cs="Arial" w:eastAsia="Arial" w:hAnsi="Arial"/>
                <w:sz w:val="17"/>
                <w:szCs w:val="17"/>
                <w:color w:val="0000EE"/>
              </w:rPr>
            </w:pPr>
            <w:hyperlink w:anchor="page54">
              <w:r>
                <w:rPr>
                  <w:rFonts w:ascii="Arial" w:cs="Arial" w:eastAsia="Arial" w:hAnsi="Arial"/>
                  <w:sz w:val="17"/>
                  <w:szCs w:val="17"/>
                  <w:color w:val="0000EE"/>
                </w:rPr>
                <w:t>54</w:t>
              </w:r>
            </w:hyperlink>
          </w:p>
        </w:tc>
      </w:tr>
      <w:tr>
        <w:trPr>
          <w:trHeight w:val="42"/>
        </w:trPr>
        <w:tc>
          <w:tcPr>
            <w:tcW w:w="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840" w:type="dxa"/>
            <w:vAlign w:val="bottom"/>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8120" w:type="dxa"/>
            <w:vAlign w:val="bottom"/>
            <w:gridSpan w:val="14"/>
            <w:shd w:val="clear" w:color="auto" w:fill="CCEEFF"/>
          </w:tcPr>
          <w:p>
            <w:pPr>
              <w:ind w:left="340"/>
              <w:spacing w:after="0" w:line="187" w:lineRule="exact"/>
              <w:rPr>
                <w:sz w:val="20"/>
                <w:szCs w:val="20"/>
                <w:color w:val="auto"/>
              </w:rPr>
            </w:pPr>
            <w:r>
              <w:rPr>
                <w:rFonts w:ascii="Arial" w:cs="Arial" w:eastAsia="Arial" w:hAnsi="Arial"/>
                <w:sz w:val="17"/>
                <w:szCs w:val="17"/>
                <w:color w:val="auto"/>
                <w:w w:val="97"/>
              </w:rPr>
              <w:t>Consolidated Statements of Shareholders’ Equity for the years ended December 31, 2018, 2017 and 2016</w:t>
            </w: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spacing w:after="0" w:line="187" w:lineRule="exact"/>
              <w:rPr>
                <w:rFonts w:ascii="Arial" w:cs="Arial" w:eastAsia="Arial" w:hAnsi="Arial"/>
                <w:sz w:val="17"/>
                <w:szCs w:val="17"/>
                <w:color w:val="0000EE"/>
              </w:rPr>
            </w:pPr>
            <w:hyperlink w:anchor="page55">
              <w:r>
                <w:rPr>
                  <w:rFonts w:ascii="Arial" w:cs="Arial" w:eastAsia="Arial" w:hAnsi="Arial"/>
                  <w:sz w:val="17"/>
                  <w:szCs w:val="17"/>
                  <w:color w:val="0000EE"/>
                </w:rPr>
                <w:t>55</w:t>
              </w:r>
            </w:hyperlink>
          </w:p>
        </w:tc>
      </w:tr>
      <w:tr>
        <w:trPr>
          <w:trHeight w:val="42"/>
        </w:trPr>
        <w:tc>
          <w:tcPr>
            <w:tcW w:w="20" w:type="dxa"/>
            <w:vAlign w:val="bottom"/>
          </w:tcPr>
          <w:p>
            <w:pPr>
              <w:spacing w:after="0"/>
              <w:rPr>
                <w:sz w:val="3"/>
                <w:szCs w:val="3"/>
                <w:color w:val="auto"/>
              </w:rPr>
            </w:pPr>
          </w:p>
        </w:tc>
        <w:tc>
          <w:tcPr>
            <w:tcW w:w="1040" w:type="dxa"/>
            <w:vAlign w:val="bottom"/>
            <w:tcBorders>
              <w:top w:val="single" w:sz="8" w:color="CCEE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1020" w:type="dxa"/>
            <w:vAlign w:val="bottom"/>
            <w:tcBorders>
              <w:top w:val="single" w:sz="8" w:color="CCEEFF"/>
            </w:tcBorders>
            <w:shd w:val="clear" w:color="auto" w:fill="CCEEFF"/>
          </w:tcPr>
          <w:p>
            <w:pPr>
              <w:spacing w:after="0"/>
              <w:rPr>
                <w:sz w:val="3"/>
                <w:szCs w:val="3"/>
                <w:color w:val="auto"/>
              </w:rPr>
            </w:pPr>
          </w:p>
        </w:tc>
        <w:tc>
          <w:tcPr>
            <w:tcW w:w="50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24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15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200" w:type="dxa"/>
            <w:vAlign w:val="bottom"/>
            <w:tcBorders>
              <w:top w:val="single" w:sz="8" w:color="CCEEFF"/>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40" w:type="dxa"/>
            <w:vAlign w:val="bottom"/>
            <w:tcBorders>
              <w:top w:val="single" w:sz="8" w:color="CCEEFF"/>
            </w:tcBorders>
            <w:shd w:val="clear" w:color="auto" w:fill="CCEEFF"/>
          </w:tcPr>
          <w:p>
            <w:pPr>
              <w:spacing w:after="0"/>
              <w:rPr>
                <w:sz w:val="3"/>
                <w:szCs w:val="3"/>
                <w:color w:val="auto"/>
              </w:rPr>
            </w:pPr>
          </w:p>
        </w:tc>
      </w:tr>
      <w:tr>
        <w:trPr>
          <w:trHeight w:val="187"/>
        </w:trPr>
        <w:tc>
          <w:tcPr>
            <w:tcW w:w="20" w:type="dxa"/>
            <w:vAlign w:val="bottom"/>
          </w:tcPr>
          <w:p>
            <w:pPr>
              <w:spacing w:after="0"/>
              <w:rPr>
                <w:sz w:val="16"/>
                <w:szCs w:val="16"/>
                <w:color w:val="auto"/>
              </w:rPr>
            </w:pPr>
          </w:p>
        </w:tc>
        <w:tc>
          <w:tcPr>
            <w:tcW w:w="3360" w:type="dxa"/>
            <w:vAlign w:val="bottom"/>
            <w:gridSpan w:val="5"/>
          </w:tcPr>
          <w:p>
            <w:pPr>
              <w:ind w:left="340"/>
              <w:spacing w:after="0" w:line="187" w:lineRule="exact"/>
              <w:rPr>
                <w:sz w:val="20"/>
                <w:szCs w:val="20"/>
                <w:color w:val="auto"/>
              </w:rPr>
            </w:pPr>
            <w:r>
              <w:rPr>
                <w:rFonts w:ascii="Arial" w:cs="Arial" w:eastAsia="Arial" w:hAnsi="Arial"/>
                <w:sz w:val="17"/>
                <w:szCs w:val="17"/>
                <w:color w:val="auto"/>
                <w:w w:val="90"/>
              </w:rPr>
              <w:t>Notes to Consolidated Financial Statements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spacing w:after="0" w:line="187" w:lineRule="exact"/>
              <w:rPr>
                <w:rFonts w:ascii="Arial" w:cs="Arial" w:eastAsia="Arial" w:hAnsi="Arial"/>
                <w:sz w:val="17"/>
                <w:szCs w:val="17"/>
                <w:color w:val="0000EE"/>
              </w:rPr>
            </w:pPr>
            <w:hyperlink w:anchor="page56">
              <w:r>
                <w:rPr>
                  <w:rFonts w:ascii="Arial" w:cs="Arial" w:eastAsia="Arial" w:hAnsi="Arial"/>
                  <w:sz w:val="17"/>
                  <w:szCs w:val="17"/>
                  <w:color w:val="0000EE"/>
                </w:rPr>
                <w:t>56</w:t>
              </w:r>
            </w:hyperlink>
          </w:p>
        </w:tc>
      </w:tr>
      <w:tr>
        <w:trPr>
          <w:trHeight w:val="429"/>
        </w:trPr>
        <w:tc>
          <w:tcPr>
            <w:tcW w:w="2760" w:type="dxa"/>
            <w:vAlign w:val="bottom"/>
            <w:gridSpan w:val="4"/>
          </w:tcPr>
          <w:p>
            <w:pPr>
              <w:spacing w:after="0"/>
              <w:rPr>
                <w:sz w:val="20"/>
                <w:szCs w:val="20"/>
                <w:color w:val="auto"/>
              </w:rPr>
            </w:pPr>
            <w:r>
              <w:rPr>
                <w:rFonts w:ascii="Arial" w:cs="Arial" w:eastAsia="Arial" w:hAnsi="Arial"/>
                <w:sz w:val="17"/>
                <w:szCs w:val="17"/>
                <w:color w:val="auto"/>
                <w:w w:val="98"/>
              </w:rPr>
              <w:t>(a)(2) Financial Statement Schedule.</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r>
      <w:tr>
        <w:trPr>
          <w:trHeight w:val="199"/>
        </w:trPr>
        <w:tc>
          <w:tcPr>
            <w:tcW w:w="3620" w:type="dxa"/>
            <w:vAlign w:val="bottom"/>
            <w:gridSpan w:val="7"/>
          </w:tcPr>
          <w:p>
            <w:pPr>
              <w:spacing w:after="0"/>
              <w:rPr>
                <w:sz w:val="20"/>
                <w:szCs w:val="20"/>
                <w:color w:val="auto"/>
              </w:rPr>
            </w:pPr>
            <w:r>
              <w:rPr>
                <w:rFonts w:ascii="Arial" w:cs="Arial" w:eastAsia="Arial" w:hAnsi="Arial"/>
                <w:sz w:val="17"/>
                <w:szCs w:val="17"/>
                <w:color w:val="auto"/>
                <w:w w:val="94"/>
              </w:rPr>
              <w:t>SCHEDULE II—Valuation and Qualifying Accounts</w:t>
            </w: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9"/>
        </w:trPr>
        <w:tc>
          <w:tcPr>
            <w:tcW w:w="4980" w:type="dxa"/>
            <w:vAlign w:val="bottom"/>
            <w:gridSpan w:val="9"/>
          </w:tcPr>
          <w:p>
            <w:pPr>
              <w:spacing w:after="0"/>
              <w:rPr>
                <w:sz w:val="20"/>
                <w:szCs w:val="20"/>
                <w:color w:val="auto"/>
              </w:rPr>
            </w:pPr>
            <w:r>
              <w:rPr>
                <w:rFonts w:ascii="Arial" w:cs="Arial" w:eastAsia="Arial" w:hAnsi="Arial"/>
                <w:sz w:val="17"/>
                <w:szCs w:val="17"/>
                <w:color w:val="auto"/>
                <w:w w:val="95"/>
              </w:rPr>
              <w:t>For the years ended December 31, 2018, 2017 and 2016, in millions: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2"/>
        </w:trPr>
        <w:tc>
          <w:tcPr>
            <w:tcW w:w="2760" w:type="dxa"/>
            <w:vAlign w:val="bottom"/>
            <w:gridSpan w:val="4"/>
          </w:tcPr>
          <w:p>
            <w:pPr>
              <w:spacing w:after="0"/>
              <w:rPr>
                <w:sz w:val="20"/>
                <w:szCs w:val="20"/>
                <w:color w:val="auto"/>
              </w:rPr>
            </w:pPr>
            <w:r>
              <w:rPr>
                <w:rFonts w:ascii="Arial" w:cs="Arial" w:eastAsia="Arial" w:hAnsi="Arial"/>
                <w:sz w:val="17"/>
                <w:szCs w:val="17"/>
                <w:color w:val="auto"/>
              </w:rPr>
              <w:t>Allowance for Doubtful Accounts:</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Balance at</w:t>
            </w:r>
          </w:p>
        </w:tc>
        <w:tc>
          <w:tcPr>
            <w:tcW w:w="24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2"/>
              </w:rPr>
              <w:t>Provisions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7"/>
                <w:szCs w:val="17"/>
                <w:b w:val="1"/>
                <w:bCs w:val="1"/>
                <w:color w:val="auto"/>
              </w:rPr>
              <w:t>Balance</w:t>
            </w:r>
          </w:p>
        </w:tc>
      </w:tr>
      <w:tr>
        <w:trPr>
          <w:trHeight w:val="199"/>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6"/>
              </w:rPr>
              <w:t>Beginning</w:t>
            </w:r>
          </w:p>
        </w:tc>
        <w:tc>
          <w:tcPr>
            <w:tcW w:w="24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Charged to</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Translation</w:t>
            </w:r>
          </w:p>
        </w:tc>
        <w:tc>
          <w:tcPr>
            <w:tcW w:w="18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4"/>
              </w:rPr>
              <w:t>Reclassifications</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20"/>
              <w:spacing w:after="0"/>
              <w:rPr>
                <w:sz w:val="20"/>
                <w:szCs w:val="20"/>
                <w:color w:val="auto"/>
              </w:rPr>
            </w:pPr>
            <w:r>
              <w:rPr>
                <w:rFonts w:ascii="Arial" w:cs="Arial" w:eastAsia="Arial" w:hAnsi="Arial"/>
                <w:sz w:val="17"/>
                <w:szCs w:val="17"/>
                <w:b w:val="1"/>
                <w:bCs w:val="1"/>
                <w:color w:val="auto"/>
              </w:rPr>
              <w:t>at End</w:t>
            </w: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center"/>
              <w:ind w:left="417"/>
              <w:spacing w:after="0"/>
              <w:rPr>
                <w:sz w:val="20"/>
                <w:szCs w:val="20"/>
                <w:color w:val="auto"/>
              </w:rPr>
            </w:pPr>
            <w:r>
              <w:rPr>
                <w:rFonts w:ascii="Arial" w:cs="Arial" w:eastAsia="Arial" w:hAnsi="Arial"/>
                <w:sz w:val="17"/>
                <w:szCs w:val="17"/>
                <w:b w:val="1"/>
                <w:bCs w:val="1"/>
                <w:color w:val="auto"/>
                <w:w w:val="90"/>
              </w:rPr>
              <w:t>of Year</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7"/>
              </w:rPr>
              <w:t>Earnings</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4"/>
              </w:rPr>
              <w:t>Write-Offs</w:t>
            </w: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Adjustments</w:t>
            </w:r>
          </w:p>
        </w:tc>
        <w:tc>
          <w:tcPr>
            <w:tcW w:w="180" w:type="dxa"/>
            <w:vAlign w:val="bottom"/>
          </w:tcPr>
          <w:p>
            <w:pPr>
              <w:spacing w:after="0"/>
              <w:rPr>
                <w:sz w:val="18"/>
                <w:szCs w:val="18"/>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and Other</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7"/>
                <w:szCs w:val="17"/>
                <w:b w:val="1"/>
                <w:bCs w:val="1"/>
                <w:color w:val="auto"/>
              </w:rPr>
              <w:t>of Year</w:t>
            </w:r>
          </w:p>
        </w:tc>
      </w:tr>
      <w:tr>
        <w:trPr>
          <w:trHeight w:val="25"/>
        </w:trPr>
        <w:tc>
          <w:tcPr>
            <w:tcW w:w="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2"/>
        </w:trPr>
        <w:tc>
          <w:tcPr>
            <w:tcW w:w="20" w:type="dxa"/>
            <w:vAlign w:val="bottom"/>
          </w:tcPr>
          <w:p>
            <w:pPr>
              <w:spacing w:after="0"/>
              <w:rPr>
                <w:sz w:val="19"/>
                <w:szCs w:val="19"/>
                <w:color w:val="auto"/>
              </w:rPr>
            </w:pPr>
          </w:p>
        </w:tc>
        <w:tc>
          <w:tcPr>
            <w:tcW w:w="10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2018</w:t>
            </w:r>
          </w:p>
        </w:tc>
        <w:tc>
          <w:tcPr>
            <w:tcW w:w="1700" w:type="dxa"/>
            <w:vAlign w:val="bottom"/>
            <w:tcBorders>
              <w:bottom w:val="single" w:sz="8" w:color="CCEEFF"/>
            </w:tcBorders>
            <w:gridSpan w:val="2"/>
            <w:shd w:val="clear" w:color="auto" w:fill="CCEEFF"/>
          </w:tcPr>
          <w:p>
            <w:pPr>
              <w:jc w:val="right"/>
              <w:ind w:right="817"/>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79"/>
              </w:rPr>
              <w:t>110.8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23.0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115.7</w:t>
            </w:r>
          </w:p>
        </w:tc>
      </w:tr>
      <w:tr>
        <w:trPr>
          <w:trHeight w:val="224"/>
        </w:trPr>
        <w:tc>
          <w:tcPr>
            <w:tcW w:w="1060" w:type="dxa"/>
            <w:vAlign w:val="bottom"/>
            <w:gridSpan w:val="2"/>
          </w:tcPr>
          <w:p>
            <w:pPr>
              <w:ind w:left="660"/>
              <w:spacing w:after="0"/>
              <w:rPr>
                <w:sz w:val="20"/>
                <w:szCs w:val="20"/>
                <w:color w:val="auto"/>
              </w:rPr>
            </w:pPr>
            <w:r>
              <w:rPr>
                <w:rFonts w:ascii="Arial" w:cs="Arial" w:eastAsia="Arial" w:hAnsi="Arial"/>
                <w:sz w:val="17"/>
                <w:szCs w:val="17"/>
                <w:color w:val="auto"/>
              </w:rPr>
              <w:t>2017</w:t>
            </w:r>
          </w:p>
        </w:tc>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ind w:right="57"/>
              <w:spacing w:after="0"/>
              <w:rPr>
                <w:sz w:val="20"/>
                <w:szCs w:val="20"/>
                <w:color w:val="auto"/>
              </w:rPr>
            </w:pPr>
            <w:r>
              <w:rPr>
                <w:rFonts w:ascii="Arial" w:cs="Arial" w:eastAsia="Arial" w:hAnsi="Arial"/>
                <w:sz w:val="17"/>
                <w:szCs w:val="17"/>
                <w:color w:val="auto"/>
              </w:rPr>
              <w:t>98.2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37"/>
              <w:spacing w:after="0"/>
              <w:rPr>
                <w:sz w:val="20"/>
                <w:szCs w:val="20"/>
                <w:color w:val="auto"/>
              </w:rPr>
            </w:pPr>
            <w:r>
              <w:rPr>
                <w:rFonts w:ascii="Arial" w:cs="Arial" w:eastAsia="Arial" w:hAnsi="Arial"/>
                <w:sz w:val="17"/>
                <w:szCs w:val="17"/>
                <w:color w:val="auto"/>
              </w:rPr>
              <w:t>18.1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12.4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7"/>
                <w:szCs w:val="17"/>
                <w:color w:val="auto"/>
              </w:rPr>
              <w:t>110.8</w:t>
            </w:r>
          </w:p>
        </w:tc>
      </w:tr>
      <w:tr>
        <w:trPr>
          <w:trHeight w:val="25"/>
        </w:trPr>
        <w:tc>
          <w:tcPr>
            <w:tcW w:w="10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4"/>
        </w:trPr>
        <w:tc>
          <w:tcPr>
            <w:tcW w:w="20" w:type="dxa"/>
            <w:vAlign w:val="bottom"/>
          </w:tcPr>
          <w:p>
            <w:pPr>
              <w:spacing w:after="0"/>
              <w:rPr>
                <w:sz w:val="19"/>
                <w:szCs w:val="19"/>
                <w:color w:val="auto"/>
              </w:rPr>
            </w:pPr>
          </w:p>
        </w:tc>
        <w:tc>
          <w:tcPr>
            <w:tcW w:w="10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2016</w:t>
            </w: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98.1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98.2</w:t>
            </w:r>
          </w:p>
        </w:tc>
      </w:tr>
      <w:tr>
        <w:trPr>
          <w:trHeight w:val="25"/>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(a)(3) Exhibits.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See (c) below.</w:t>
      </w:r>
    </w:p>
    <w:p>
      <w:pPr>
        <w:spacing w:after="0" w:line="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basis.(c) Exhibits.</w:t>
      </w: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920" w:type="dxa"/>
            <w:vAlign w:val="bottom"/>
            <w:gridSpan w:val="2"/>
          </w:tcPr>
          <w:p>
            <w:pPr>
              <w:jc w:val="right"/>
              <w:ind w:right="720"/>
              <w:spacing w:after="0"/>
              <w:rPr>
                <w:rFonts w:ascii="Arial" w:cs="Arial" w:eastAsia="Arial" w:hAnsi="Arial"/>
                <w:sz w:val="17"/>
                <w:szCs w:val="17"/>
                <w:color w:val="0000FF"/>
                <w:w w:val="75"/>
              </w:rPr>
            </w:pPr>
            <w:hyperlink r:id="rId41">
              <w:r>
                <w:rPr>
                  <w:rFonts w:ascii="Arial" w:cs="Arial" w:eastAsia="Arial" w:hAnsi="Arial"/>
                  <w:sz w:val="17"/>
                  <w:szCs w:val="17"/>
                  <w:color w:val="0000FF"/>
                  <w:w w:val="75"/>
                </w:rPr>
                <w:t>3.</w:t>
              </w:r>
              <w:r>
                <w:rPr>
                  <w:rFonts w:ascii="Arial" w:cs="Arial" w:eastAsia="Arial" w:hAnsi="Arial"/>
                  <w:sz w:val="17"/>
                  <w:szCs w:val="17"/>
                  <w:u w:val="single" w:color="auto"/>
                  <w:color w:val="0000FF"/>
                  <w:w w:val="75"/>
                </w:rPr>
                <w:t>1</w:t>
              </w:r>
            </w:hyperlink>
          </w:p>
        </w:tc>
        <w:tc>
          <w:tcPr>
            <w:tcW w:w="10420" w:type="dxa"/>
            <w:vAlign w:val="bottom"/>
            <w:gridSpan w:val="4"/>
          </w:tcPr>
          <w:p>
            <w:pPr>
              <w:spacing w:after="0"/>
              <w:rPr>
                <w:rFonts w:ascii="Arial" w:cs="Arial" w:eastAsia="Arial" w:hAnsi="Arial"/>
                <w:sz w:val="17"/>
                <w:szCs w:val="17"/>
                <w:color w:val="0000FF"/>
                <w:w w:val="90"/>
              </w:rPr>
            </w:pPr>
            <w:hyperlink r:id="rId41">
              <w:r>
                <w:rPr>
                  <w:rFonts w:ascii="Arial" w:cs="Arial" w:eastAsia="Arial" w:hAnsi="Arial"/>
                  <w:sz w:val="17"/>
                  <w:szCs w:val="17"/>
                  <w:color w:val="0000FF"/>
                  <w:w w:val="90"/>
                </w:rPr>
                <w:t>Amended and Restated Articles of Incorporation of ManpowerGroup Inc., incorporated by reference to the Company’s Quarterly Report on Form 10-Q for</w:t>
              </w:r>
            </w:hyperlink>
          </w:p>
        </w:tc>
      </w:tr>
      <w:tr>
        <w:trPr>
          <w:trHeight w:val="179"/>
        </w:trPr>
        <w:tc>
          <w:tcPr>
            <w:tcW w:w="20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420" w:type="dxa"/>
            <w:vAlign w:val="bottom"/>
            <w:tcBorders>
              <w:top w:val="single" w:sz="8" w:color="0000FF"/>
            </w:tcBorders>
            <w:gridSpan w:val="4"/>
          </w:tcPr>
          <w:p>
            <w:pPr>
              <w:spacing w:after="0" w:line="180" w:lineRule="exact"/>
              <w:rPr>
                <w:rFonts w:ascii="Arial" w:cs="Arial" w:eastAsia="Arial" w:hAnsi="Arial"/>
                <w:sz w:val="17"/>
                <w:szCs w:val="17"/>
                <w:color w:val="0000FF"/>
              </w:rPr>
            </w:pPr>
            <w:hyperlink r:id="rId41">
              <w:r>
                <w:rPr>
                  <w:rFonts w:ascii="Arial" w:cs="Arial" w:eastAsia="Arial" w:hAnsi="Arial"/>
                  <w:sz w:val="17"/>
                  <w:szCs w:val="17"/>
                  <w:color w:val="0000FF"/>
                </w:rPr>
                <w:t>the quarter ended June 30, 2013.</w:t>
              </w:r>
            </w:hyperlink>
          </w:p>
        </w:tc>
      </w:tr>
      <w:tr>
        <w:trPr>
          <w:trHeight w:val="20"/>
        </w:trPr>
        <w:tc>
          <w:tcPr>
            <w:tcW w:w="920" w:type="dxa"/>
            <w:vAlign w:val="bottom"/>
            <w:gridSpan w:val="2"/>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r>
        <w:trPr>
          <w:trHeight w:val="479"/>
        </w:trPr>
        <w:tc>
          <w:tcPr>
            <w:tcW w:w="920" w:type="dxa"/>
            <w:vAlign w:val="bottom"/>
            <w:gridSpan w:val="2"/>
          </w:tcPr>
          <w:p>
            <w:pPr>
              <w:jc w:val="right"/>
              <w:ind w:right="720"/>
              <w:spacing w:after="0"/>
              <w:rPr>
                <w:rFonts w:ascii="Arial" w:cs="Arial" w:eastAsia="Arial" w:hAnsi="Arial"/>
                <w:sz w:val="17"/>
                <w:szCs w:val="17"/>
                <w:color w:val="0000FF"/>
                <w:w w:val="75"/>
              </w:rPr>
            </w:pPr>
            <w:hyperlink r:id="rId42">
              <w:r>
                <w:rPr>
                  <w:rFonts w:ascii="Arial" w:cs="Arial" w:eastAsia="Arial" w:hAnsi="Arial"/>
                  <w:sz w:val="17"/>
                  <w:szCs w:val="17"/>
                  <w:color w:val="0000FF"/>
                  <w:w w:val="75"/>
                </w:rPr>
                <w:t>3.</w:t>
              </w:r>
              <w:r>
                <w:rPr>
                  <w:rFonts w:ascii="Arial" w:cs="Arial" w:eastAsia="Arial" w:hAnsi="Arial"/>
                  <w:sz w:val="17"/>
                  <w:szCs w:val="17"/>
                  <w:u w:val="single" w:color="auto"/>
                  <w:color w:val="0000FF"/>
                  <w:w w:val="75"/>
                </w:rPr>
                <w:t>2</w:t>
              </w:r>
            </w:hyperlink>
          </w:p>
        </w:tc>
        <w:tc>
          <w:tcPr>
            <w:tcW w:w="10420" w:type="dxa"/>
            <w:vAlign w:val="bottom"/>
            <w:gridSpan w:val="4"/>
          </w:tcPr>
          <w:p>
            <w:pPr>
              <w:spacing w:after="0"/>
              <w:rPr>
                <w:rFonts w:ascii="Arial" w:cs="Arial" w:eastAsia="Arial" w:hAnsi="Arial"/>
                <w:sz w:val="17"/>
                <w:szCs w:val="17"/>
                <w:color w:val="0000FF"/>
                <w:w w:val="88"/>
              </w:rPr>
            </w:pPr>
            <w:hyperlink r:id="rId42">
              <w:r>
                <w:rPr>
                  <w:rFonts w:ascii="Arial" w:cs="Arial" w:eastAsia="Arial" w:hAnsi="Arial"/>
                  <w:sz w:val="17"/>
                  <w:szCs w:val="17"/>
                  <w:color w:val="0000FF"/>
                  <w:w w:val="88"/>
                </w:rPr>
                <w:t>Amended and Restated By-laws of ManpowerGroup Inc., incorporated by reference to the Company’s Quarterly Report on Form 10-Q for the quarter ended</w:t>
              </w:r>
            </w:hyperlink>
          </w:p>
        </w:tc>
      </w:tr>
      <w:tr>
        <w:trPr>
          <w:trHeight w:val="179"/>
        </w:trPr>
        <w:tc>
          <w:tcPr>
            <w:tcW w:w="20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tcBorders>
              <w:top w:val="single" w:sz="8" w:color="0000FF"/>
              <w:bottom w:val="single" w:sz="8" w:color="0000FF"/>
            </w:tcBorders>
          </w:tcPr>
          <w:p>
            <w:pPr>
              <w:spacing w:after="0" w:line="180" w:lineRule="exact"/>
              <w:rPr>
                <w:rFonts w:ascii="Arial" w:cs="Arial" w:eastAsia="Arial" w:hAnsi="Arial"/>
                <w:sz w:val="17"/>
                <w:szCs w:val="17"/>
                <w:color w:val="0000FF"/>
                <w:w w:val="87"/>
              </w:rPr>
            </w:pPr>
            <w:hyperlink r:id="rId42">
              <w:r>
                <w:rPr>
                  <w:rFonts w:ascii="Arial" w:cs="Arial" w:eastAsia="Arial" w:hAnsi="Arial"/>
                  <w:sz w:val="17"/>
                  <w:szCs w:val="17"/>
                  <w:color w:val="0000FF"/>
                  <w:w w:val="87"/>
                </w:rPr>
                <w:t>March 31, 2014.</w:t>
              </w:r>
            </w:hyperlink>
          </w:p>
        </w:tc>
        <w:tc>
          <w:tcPr>
            <w:tcW w:w="9320" w:type="dxa"/>
            <w:vAlign w:val="bottom"/>
            <w:tcBorders>
              <w:top w:val="single" w:sz="8" w:color="0000FF"/>
            </w:tcBorders>
            <w:gridSpan w:val="3"/>
          </w:tcPr>
          <w:p>
            <w:pPr>
              <w:spacing w:after="0"/>
              <w:rPr>
                <w:sz w:val="15"/>
                <w:szCs w:val="15"/>
                <w:color w:val="auto"/>
              </w:rPr>
            </w:pPr>
          </w:p>
        </w:tc>
      </w:tr>
      <w:tr>
        <w:trPr>
          <w:trHeight w:val="479"/>
        </w:trPr>
        <w:tc>
          <w:tcPr>
            <w:tcW w:w="920" w:type="dxa"/>
            <w:vAlign w:val="bottom"/>
            <w:gridSpan w:val="2"/>
          </w:tcPr>
          <w:p>
            <w:pPr>
              <w:jc w:val="right"/>
              <w:ind w:right="720"/>
              <w:spacing w:after="0"/>
              <w:rPr>
                <w:rFonts w:ascii="Arial" w:cs="Arial" w:eastAsia="Arial" w:hAnsi="Arial"/>
                <w:sz w:val="17"/>
                <w:szCs w:val="17"/>
                <w:color w:val="0000FF"/>
                <w:w w:val="75"/>
              </w:rPr>
            </w:pPr>
            <w:hyperlink r:id="rId43">
              <w:r>
                <w:rPr>
                  <w:rFonts w:ascii="Arial" w:cs="Arial" w:eastAsia="Arial" w:hAnsi="Arial"/>
                  <w:sz w:val="17"/>
                  <w:szCs w:val="17"/>
                  <w:color w:val="0000FF"/>
                  <w:w w:val="75"/>
                </w:rPr>
                <w:t>4.</w:t>
              </w:r>
              <w:r>
                <w:rPr>
                  <w:rFonts w:ascii="Arial" w:cs="Arial" w:eastAsia="Arial" w:hAnsi="Arial"/>
                  <w:sz w:val="17"/>
                  <w:szCs w:val="17"/>
                  <w:u w:val="single" w:color="auto"/>
                  <w:color w:val="0000FF"/>
                  <w:w w:val="75"/>
                </w:rPr>
                <w:t>1</w:t>
              </w:r>
            </w:hyperlink>
          </w:p>
        </w:tc>
        <w:tc>
          <w:tcPr>
            <w:tcW w:w="10420" w:type="dxa"/>
            <w:vAlign w:val="bottom"/>
            <w:gridSpan w:val="4"/>
          </w:tcPr>
          <w:p>
            <w:pPr>
              <w:spacing w:after="0"/>
              <w:rPr>
                <w:rFonts w:ascii="Arial" w:cs="Arial" w:eastAsia="Arial" w:hAnsi="Arial"/>
                <w:sz w:val="17"/>
                <w:szCs w:val="17"/>
                <w:color w:val="0000FF"/>
                <w:w w:val="89"/>
              </w:rPr>
            </w:pPr>
            <w:hyperlink r:id="rId43">
              <w:r>
                <w:rPr>
                  <w:rFonts w:ascii="Arial" w:cs="Arial" w:eastAsia="Arial" w:hAnsi="Arial"/>
                  <w:sz w:val="17"/>
                  <w:szCs w:val="17"/>
                  <w:color w:val="0000FF"/>
                  <w:w w:val="89"/>
                </w:rPr>
                <w:t>Fiscal and Paying Agency Agreement between the Company and Citibank, N.A., London Branch as Fiscal Agent, Principal Paying Agent and Registrar and</w:t>
              </w:r>
            </w:hyperlink>
          </w:p>
        </w:tc>
      </w:tr>
      <w:tr>
        <w:trPr>
          <w:trHeight w:val="179"/>
        </w:trPr>
        <w:tc>
          <w:tcPr>
            <w:tcW w:w="20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420" w:type="dxa"/>
            <w:vAlign w:val="bottom"/>
            <w:tcBorders>
              <w:top w:val="single" w:sz="8" w:color="0000FF"/>
              <w:bottom w:val="single" w:sz="8" w:color="0000FF"/>
            </w:tcBorders>
            <w:gridSpan w:val="4"/>
          </w:tcPr>
          <w:p>
            <w:pPr>
              <w:spacing w:after="0" w:line="180" w:lineRule="exact"/>
              <w:rPr>
                <w:rFonts w:ascii="Arial" w:cs="Arial" w:eastAsia="Arial" w:hAnsi="Arial"/>
                <w:sz w:val="17"/>
                <w:szCs w:val="17"/>
                <w:color w:val="0000FF"/>
                <w:w w:val="89"/>
              </w:rPr>
            </w:pPr>
            <w:hyperlink r:id="rId43">
              <w:r>
                <w:rPr>
                  <w:rFonts w:ascii="Arial" w:cs="Arial" w:eastAsia="Arial" w:hAnsi="Arial"/>
                  <w:sz w:val="17"/>
                  <w:szCs w:val="17"/>
                  <w:color w:val="0000FF"/>
                  <w:w w:val="89"/>
                </w:rPr>
                <w:t>Transfer Agent, dated as of June 18, 2018 (including the form of Note attached thereto as Schedule I), incorporated by reference to the Company’s Current</w:t>
              </w:r>
            </w:hyperlink>
          </w:p>
        </w:tc>
      </w:tr>
      <w:tr>
        <w:trPr>
          <w:trHeight w:val="179"/>
        </w:trPr>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80" w:type="dxa"/>
            <w:vAlign w:val="bottom"/>
            <w:tcBorders>
              <w:bottom w:val="single" w:sz="8" w:color="0000FF"/>
            </w:tcBorders>
            <w:gridSpan w:val="3"/>
          </w:tcPr>
          <w:p>
            <w:pPr>
              <w:spacing w:after="0" w:line="180" w:lineRule="exact"/>
              <w:rPr>
                <w:rFonts w:ascii="Arial" w:cs="Arial" w:eastAsia="Arial" w:hAnsi="Arial"/>
                <w:sz w:val="17"/>
                <w:szCs w:val="17"/>
                <w:color w:val="0000FF"/>
                <w:w w:val="87"/>
              </w:rPr>
            </w:pPr>
            <w:hyperlink r:id="rId43">
              <w:r>
                <w:rPr>
                  <w:rFonts w:ascii="Arial" w:cs="Arial" w:eastAsia="Arial" w:hAnsi="Arial"/>
                  <w:sz w:val="17"/>
                  <w:szCs w:val="17"/>
                  <w:color w:val="0000FF"/>
                  <w:w w:val="87"/>
                </w:rPr>
                <w:t>Report on Form 8-K dated June 18, 2018.</w:t>
              </w:r>
            </w:hyperlink>
          </w:p>
        </w:tc>
        <w:tc>
          <w:tcPr>
            <w:tcW w:w="76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547"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95"/>
        </w:trPr>
        <w:tc>
          <w:tcPr>
            <w:tcW w:w="280" w:type="dxa"/>
            <w:vAlign w:val="bottom"/>
            <w:gridSpan w:val="2"/>
          </w:tcPr>
          <w:p>
            <w:pPr>
              <w:spacing w:after="0"/>
              <w:rPr>
                <w:rFonts w:ascii="Arial" w:cs="Arial" w:eastAsia="Arial" w:hAnsi="Arial"/>
                <w:sz w:val="17"/>
                <w:szCs w:val="17"/>
                <w:color w:val="0000FF"/>
              </w:rPr>
            </w:pPr>
            <w:hyperlink r:id="rId44">
              <w:r>
                <w:rPr>
                  <w:rFonts w:ascii="Arial" w:cs="Arial" w:eastAsia="Arial" w:hAnsi="Arial"/>
                  <w:sz w:val="17"/>
                  <w:szCs w:val="17"/>
                  <w:color w:val="0000FF"/>
                </w:rPr>
                <w:t>4.</w:t>
              </w:r>
              <w:r>
                <w:rPr>
                  <w:rFonts w:ascii="Arial" w:cs="Arial" w:eastAsia="Arial" w:hAnsi="Arial"/>
                  <w:sz w:val="17"/>
                  <w:szCs w:val="17"/>
                  <w:u w:val="single" w:color="auto"/>
                  <w:color w:val="0000FF"/>
                </w:rPr>
                <w:t>2</w:t>
              </w:r>
            </w:hyperlink>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40" w:type="dxa"/>
            <w:vAlign w:val="bottom"/>
            <w:gridSpan w:val="18"/>
          </w:tcPr>
          <w:p>
            <w:pPr>
              <w:spacing w:after="0"/>
              <w:rPr>
                <w:rFonts w:ascii="Arial" w:cs="Arial" w:eastAsia="Arial" w:hAnsi="Arial"/>
                <w:sz w:val="17"/>
                <w:szCs w:val="17"/>
                <w:color w:val="0000FF"/>
                <w:w w:val="89"/>
              </w:rPr>
            </w:pPr>
            <w:hyperlink r:id="rId44">
              <w:r>
                <w:rPr>
                  <w:rFonts w:ascii="Arial" w:cs="Arial" w:eastAsia="Arial" w:hAnsi="Arial"/>
                  <w:sz w:val="17"/>
                  <w:szCs w:val="17"/>
                  <w:color w:val="0000FF"/>
                  <w:w w:val="89"/>
                </w:rPr>
                <w:t>Fiscal and Paying Agency Agreement between the Company and Citibank, N.A., as Fiscal Agent, Principal Paying Agent and Registrar and Transfer Agent,</w:t>
              </w:r>
            </w:hyperlink>
          </w:p>
        </w:tc>
      </w:tr>
      <w:tr>
        <w:trPr>
          <w:trHeight w:val="20"/>
        </w:trPr>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40" w:type="dxa"/>
            <w:vAlign w:val="bottom"/>
            <w:gridSpan w:val="18"/>
          </w:tcPr>
          <w:p>
            <w:pPr>
              <w:spacing w:after="0" w:line="180" w:lineRule="exact"/>
              <w:rPr>
                <w:rFonts w:ascii="Arial" w:cs="Arial" w:eastAsia="Arial" w:hAnsi="Arial"/>
                <w:sz w:val="17"/>
                <w:szCs w:val="17"/>
                <w:color w:val="0000FF"/>
                <w:w w:val="89"/>
              </w:rPr>
            </w:pPr>
            <w:hyperlink r:id="rId44">
              <w:r>
                <w:rPr>
                  <w:rFonts w:ascii="Arial" w:cs="Arial" w:eastAsia="Arial" w:hAnsi="Arial"/>
                  <w:sz w:val="17"/>
                  <w:szCs w:val="17"/>
                  <w:color w:val="0000FF"/>
                  <w:w w:val="89"/>
                </w:rPr>
                <w:t>dated as of September 11, 2015 (including the form of Note attached thereto as Schedule I), incorporated by reference to the Company’s Current Report on</w:t>
              </w:r>
            </w:hyperlink>
          </w:p>
        </w:tc>
      </w:tr>
      <w:tr>
        <w:trPr>
          <w:trHeight w:val="179"/>
        </w:trPr>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80" w:type="dxa"/>
            <w:vAlign w:val="bottom"/>
            <w:tcBorders>
              <w:top w:val="single" w:sz="8" w:color="0000FF"/>
              <w:bottom w:val="single" w:sz="8" w:color="0000FF"/>
            </w:tcBorders>
            <w:gridSpan w:val="3"/>
          </w:tcPr>
          <w:p>
            <w:pPr>
              <w:spacing w:after="0" w:line="180" w:lineRule="exact"/>
              <w:rPr>
                <w:rFonts w:ascii="Arial" w:cs="Arial" w:eastAsia="Arial" w:hAnsi="Arial"/>
                <w:sz w:val="17"/>
                <w:szCs w:val="17"/>
                <w:color w:val="0000FF"/>
                <w:w w:val="87"/>
              </w:rPr>
            </w:pPr>
            <w:hyperlink r:id="rId44">
              <w:r>
                <w:rPr>
                  <w:rFonts w:ascii="Arial" w:cs="Arial" w:eastAsia="Arial" w:hAnsi="Arial"/>
                  <w:sz w:val="17"/>
                  <w:szCs w:val="17"/>
                  <w:color w:val="0000FF"/>
                  <w:w w:val="87"/>
                </w:rPr>
                <w:t>Form 8-K dated September 11, 2015.</w:t>
              </w:r>
            </w:hyperlink>
          </w:p>
        </w:tc>
        <w:tc>
          <w:tcPr>
            <w:tcW w:w="794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479"/>
        </w:trPr>
        <w:tc>
          <w:tcPr>
            <w:tcW w:w="440" w:type="dxa"/>
            <w:vAlign w:val="bottom"/>
            <w:gridSpan w:val="3"/>
          </w:tcPr>
          <w:p>
            <w:pPr>
              <w:spacing w:after="0"/>
              <w:rPr>
                <w:rFonts w:ascii="Arial" w:cs="Arial" w:eastAsia="Arial" w:hAnsi="Arial"/>
                <w:sz w:val="17"/>
                <w:szCs w:val="17"/>
                <w:color w:val="0000FF"/>
              </w:rPr>
            </w:pPr>
            <w:hyperlink r:id="rId45">
              <w:r>
                <w:rPr>
                  <w:rFonts w:ascii="Arial" w:cs="Arial" w:eastAsia="Arial" w:hAnsi="Arial"/>
                  <w:sz w:val="17"/>
                  <w:szCs w:val="17"/>
                  <w:color w:val="0000FF"/>
                </w:rPr>
                <w:t>10.</w:t>
              </w:r>
              <w:r>
                <w:rPr>
                  <w:rFonts w:ascii="Arial" w:cs="Arial" w:eastAsia="Arial" w:hAnsi="Arial"/>
                  <w:sz w:val="17"/>
                  <w:szCs w:val="17"/>
                  <w:u w:val="single" w:color="auto"/>
                  <w:color w:val="0000FF"/>
                </w:rPr>
                <w:t>1</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40" w:type="dxa"/>
            <w:vAlign w:val="bottom"/>
            <w:gridSpan w:val="18"/>
          </w:tcPr>
          <w:p>
            <w:pPr>
              <w:spacing w:after="0"/>
              <w:rPr>
                <w:rFonts w:ascii="Arial" w:cs="Arial" w:eastAsia="Arial" w:hAnsi="Arial"/>
                <w:sz w:val="17"/>
                <w:szCs w:val="17"/>
                <w:color w:val="0000FF"/>
                <w:w w:val="94"/>
              </w:rPr>
            </w:pPr>
            <w:hyperlink r:id="rId45">
              <w:r>
                <w:rPr>
                  <w:rFonts w:ascii="Arial" w:cs="Arial" w:eastAsia="Arial" w:hAnsi="Arial"/>
                  <w:sz w:val="17"/>
                  <w:szCs w:val="17"/>
                  <w:color w:val="0000FF"/>
                  <w:w w:val="94"/>
                </w:rPr>
                <w:t>Amended and Restated Five-Year Credit Agreement dated as of June 18, 2018 among the Company, a syndicate of lenders and Citibank, N.A., as</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40" w:type="dxa"/>
            <w:vAlign w:val="bottom"/>
            <w:tcBorders>
              <w:top w:val="single" w:sz="8" w:color="0000FF"/>
            </w:tcBorders>
            <w:gridSpan w:val="18"/>
          </w:tcPr>
          <w:p>
            <w:pPr>
              <w:spacing w:after="0" w:line="180" w:lineRule="exact"/>
              <w:rPr>
                <w:rFonts w:ascii="Arial" w:cs="Arial" w:eastAsia="Arial" w:hAnsi="Arial"/>
                <w:sz w:val="17"/>
                <w:szCs w:val="17"/>
                <w:color w:val="0000FF"/>
              </w:rPr>
            </w:pPr>
            <w:hyperlink r:id="rId45">
              <w:r>
                <w:rPr>
                  <w:rFonts w:ascii="Arial" w:cs="Arial" w:eastAsia="Arial" w:hAnsi="Arial"/>
                  <w:sz w:val="17"/>
                  <w:szCs w:val="17"/>
                  <w:color w:val="0000FF"/>
                </w:rPr>
                <w:t>Administrative Agent, incorporated by reference to the Company’s Current Report on Form 8-K dated June 18, 2018.</w:t>
              </w:r>
            </w:hyperlink>
          </w:p>
        </w:tc>
      </w:tr>
      <w:tr>
        <w:trPr>
          <w:trHeight w:val="20"/>
        </w:trPr>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440" w:type="dxa"/>
            <w:vAlign w:val="bottom"/>
            <w:gridSpan w:val="3"/>
          </w:tcPr>
          <w:p>
            <w:pPr>
              <w:spacing w:after="0"/>
              <w:rPr>
                <w:rFonts w:ascii="Arial" w:cs="Arial" w:eastAsia="Arial" w:hAnsi="Arial"/>
                <w:sz w:val="17"/>
                <w:szCs w:val="17"/>
                <w:color w:val="0000FF"/>
              </w:rPr>
            </w:pPr>
            <w:hyperlink r:id="rId46">
              <w:r>
                <w:rPr>
                  <w:rFonts w:ascii="Arial" w:cs="Arial" w:eastAsia="Arial" w:hAnsi="Arial"/>
                  <w:sz w:val="17"/>
                  <w:szCs w:val="17"/>
                  <w:color w:val="0000FF"/>
                </w:rPr>
                <w:t>10.</w:t>
              </w:r>
              <w:r>
                <w:rPr>
                  <w:rFonts w:ascii="Arial" w:cs="Arial" w:eastAsia="Arial" w:hAnsi="Arial"/>
                  <w:sz w:val="17"/>
                  <w:szCs w:val="17"/>
                  <w:u w:val="single" w:color="auto"/>
                  <w:color w:val="0000FF"/>
                </w:rPr>
                <w:t>2</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40" w:type="dxa"/>
            <w:vAlign w:val="bottom"/>
            <w:gridSpan w:val="18"/>
          </w:tcPr>
          <w:p>
            <w:pPr>
              <w:spacing w:after="0"/>
              <w:rPr>
                <w:rFonts w:ascii="Arial" w:cs="Arial" w:eastAsia="Arial" w:hAnsi="Arial"/>
                <w:sz w:val="17"/>
                <w:szCs w:val="17"/>
                <w:color w:val="0000FF"/>
                <w:w w:val="89"/>
              </w:rPr>
            </w:pPr>
            <w:hyperlink r:id="rId46">
              <w:r>
                <w:rPr>
                  <w:rFonts w:ascii="Arial" w:cs="Arial" w:eastAsia="Arial" w:hAnsi="Arial"/>
                  <w:sz w:val="17"/>
                  <w:szCs w:val="17"/>
                  <w:color w:val="0000FF"/>
                  <w:w w:val="89"/>
                </w:rPr>
                <w:t>Manpower Savings Related Share Option Scheme incorporated by reference to the Company’s Annual Report on Form 10-K for the year ended December</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Borders>
              <w:top w:val="single" w:sz="8" w:color="0000FF"/>
              <w:bottom w:val="single" w:sz="8" w:color="0000FF"/>
            </w:tcBorders>
          </w:tcPr>
          <w:p>
            <w:pPr>
              <w:spacing w:after="0" w:line="180" w:lineRule="exact"/>
              <w:rPr>
                <w:rFonts w:ascii="Arial" w:cs="Arial" w:eastAsia="Arial" w:hAnsi="Arial"/>
                <w:sz w:val="17"/>
                <w:szCs w:val="17"/>
                <w:color w:val="0000FF"/>
                <w:w w:val="92"/>
              </w:rPr>
            </w:pPr>
            <w:hyperlink r:id="rId46">
              <w:r>
                <w:rPr>
                  <w:rFonts w:ascii="Arial" w:cs="Arial" w:eastAsia="Arial" w:hAnsi="Arial"/>
                  <w:sz w:val="17"/>
                  <w:szCs w:val="17"/>
                  <w:color w:val="0000FF"/>
                  <w:w w:val="92"/>
                </w:rPr>
                <w:t>31, 2010. **</w:t>
              </w:r>
            </w:hyperlink>
          </w:p>
        </w:tc>
        <w:tc>
          <w:tcPr>
            <w:tcW w:w="900" w:type="dxa"/>
            <w:vAlign w:val="bottom"/>
            <w:tcBorders>
              <w:top w:val="single" w:sz="8" w:color="0000FF"/>
            </w:tcBorders>
          </w:tcPr>
          <w:p>
            <w:pPr>
              <w:spacing w:after="0"/>
              <w:rPr>
                <w:sz w:val="15"/>
                <w:szCs w:val="15"/>
                <w:color w:val="auto"/>
              </w:rPr>
            </w:pPr>
          </w:p>
        </w:tc>
        <w:tc>
          <w:tcPr>
            <w:tcW w:w="7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780" w:type="dxa"/>
            <w:vAlign w:val="bottom"/>
            <w:tcBorders>
              <w:top w:val="single" w:sz="8" w:color="0000FF"/>
            </w:tcBorders>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84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0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479"/>
        </w:trPr>
        <w:tc>
          <w:tcPr>
            <w:tcW w:w="440" w:type="dxa"/>
            <w:vAlign w:val="bottom"/>
            <w:gridSpan w:val="3"/>
          </w:tcPr>
          <w:p>
            <w:pPr>
              <w:spacing w:after="0"/>
              <w:rPr>
                <w:rFonts w:ascii="Arial" w:cs="Arial" w:eastAsia="Arial" w:hAnsi="Arial"/>
                <w:sz w:val="17"/>
                <w:szCs w:val="17"/>
                <w:color w:val="0000FF"/>
              </w:rPr>
            </w:pPr>
            <w:hyperlink r:id="rId47">
              <w:r>
                <w:rPr>
                  <w:rFonts w:ascii="Arial" w:cs="Arial" w:eastAsia="Arial" w:hAnsi="Arial"/>
                  <w:sz w:val="17"/>
                  <w:szCs w:val="17"/>
                  <w:color w:val="0000FF"/>
                </w:rPr>
                <w:t>10.</w:t>
              </w:r>
              <w:r>
                <w:rPr>
                  <w:rFonts w:ascii="Arial" w:cs="Arial" w:eastAsia="Arial" w:hAnsi="Arial"/>
                  <w:sz w:val="17"/>
                  <w:szCs w:val="17"/>
                  <w:u w:val="single" w:color="auto"/>
                  <w:color w:val="0000FF"/>
                </w:rPr>
                <w:t>3</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40" w:type="dxa"/>
            <w:vAlign w:val="bottom"/>
            <w:gridSpan w:val="18"/>
          </w:tcPr>
          <w:p>
            <w:pPr>
              <w:spacing w:after="0"/>
              <w:rPr>
                <w:rFonts w:ascii="Arial" w:cs="Arial" w:eastAsia="Arial" w:hAnsi="Arial"/>
                <w:sz w:val="17"/>
                <w:szCs w:val="17"/>
                <w:color w:val="0000FF"/>
                <w:w w:val="90"/>
              </w:rPr>
            </w:pPr>
            <w:hyperlink r:id="rId47">
              <w:r>
                <w:rPr>
                  <w:rFonts w:ascii="Arial" w:cs="Arial" w:eastAsia="Arial" w:hAnsi="Arial"/>
                  <w:sz w:val="17"/>
                  <w:szCs w:val="17"/>
                  <w:color w:val="0000FF"/>
                  <w:w w:val="90"/>
                </w:rPr>
                <w:t>Manpower 1990 Employee Stock Purchase Plan (Amended and Restated effective April 26, 2005), incorporated by reference to the Company’s Quarterly</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20" w:type="dxa"/>
            <w:vAlign w:val="bottom"/>
            <w:tcBorders>
              <w:top w:val="single" w:sz="8" w:color="0000FF"/>
            </w:tcBorders>
            <w:gridSpan w:val="17"/>
          </w:tcPr>
          <w:p>
            <w:pPr>
              <w:spacing w:after="0" w:line="180" w:lineRule="exact"/>
              <w:rPr>
                <w:rFonts w:ascii="Arial" w:cs="Arial" w:eastAsia="Arial" w:hAnsi="Arial"/>
                <w:sz w:val="17"/>
                <w:szCs w:val="17"/>
                <w:color w:val="0000FF"/>
              </w:rPr>
            </w:pPr>
            <w:hyperlink r:id="rId47">
              <w:r>
                <w:rPr>
                  <w:rFonts w:ascii="Arial" w:cs="Arial" w:eastAsia="Arial" w:hAnsi="Arial"/>
                  <w:sz w:val="17"/>
                  <w:szCs w:val="17"/>
                  <w:color w:val="0000FF"/>
                </w:rPr>
                <w:t>Report on Form 10-Q for the quarter ended March 31, 2005. **</w:t>
              </w:r>
            </w:hyperlink>
          </w:p>
        </w:tc>
        <w:tc>
          <w:tcPr>
            <w:tcW w:w="20" w:type="dxa"/>
            <w:vAlign w:val="bottom"/>
          </w:tcPr>
          <w:p>
            <w:pPr>
              <w:spacing w:after="0"/>
              <w:rPr>
                <w:sz w:val="15"/>
                <w:szCs w:val="15"/>
                <w:color w:val="auto"/>
              </w:rPr>
            </w:pPr>
          </w:p>
        </w:tc>
      </w:tr>
      <w:tr>
        <w:trPr>
          <w:trHeight w:val="20"/>
        </w:trPr>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440" w:type="dxa"/>
            <w:vAlign w:val="bottom"/>
            <w:gridSpan w:val="3"/>
          </w:tcPr>
          <w:p>
            <w:pPr>
              <w:spacing w:after="0"/>
              <w:rPr>
                <w:rFonts w:ascii="Arial" w:cs="Arial" w:eastAsia="Arial" w:hAnsi="Arial"/>
                <w:sz w:val="17"/>
                <w:szCs w:val="17"/>
                <w:color w:val="0000FF"/>
              </w:rPr>
            </w:pPr>
            <w:hyperlink r:id="rId48">
              <w:r>
                <w:rPr>
                  <w:rFonts w:ascii="Arial" w:cs="Arial" w:eastAsia="Arial" w:hAnsi="Arial"/>
                  <w:sz w:val="17"/>
                  <w:szCs w:val="17"/>
                  <w:color w:val="0000FF"/>
                </w:rPr>
                <w:t>10.</w:t>
              </w:r>
              <w:r>
                <w:rPr>
                  <w:rFonts w:ascii="Arial" w:cs="Arial" w:eastAsia="Arial" w:hAnsi="Arial"/>
                  <w:sz w:val="17"/>
                  <w:szCs w:val="17"/>
                  <w:u w:val="single" w:color="auto"/>
                  <w:color w:val="0000FF"/>
                </w:rPr>
                <w:t>4</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40" w:type="dxa"/>
            <w:vAlign w:val="bottom"/>
            <w:gridSpan w:val="18"/>
          </w:tcPr>
          <w:p>
            <w:pPr>
              <w:spacing w:after="0"/>
              <w:rPr>
                <w:rFonts w:ascii="Arial" w:cs="Arial" w:eastAsia="Arial" w:hAnsi="Arial"/>
                <w:sz w:val="17"/>
                <w:szCs w:val="17"/>
                <w:color w:val="0000FF"/>
                <w:w w:val="93"/>
              </w:rPr>
            </w:pPr>
            <w:hyperlink r:id="rId48">
              <w:r>
                <w:rPr>
                  <w:rFonts w:ascii="Arial" w:cs="Arial" w:eastAsia="Arial" w:hAnsi="Arial"/>
                  <w:sz w:val="17"/>
                  <w:szCs w:val="17"/>
                  <w:color w:val="0000FF"/>
                  <w:w w:val="93"/>
                </w:rPr>
                <w:t>Amended and Restated ManpowerGroup Inc. Senior Management Annual Incentive Pool Plan, incorporated by reference to Appendix A to the Proxy</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20" w:type="dxa"/>
            <w:vAlign w:val="bottom"/>
            <w:tcBorders>
              <w:top w:val="single" w:sz="8" w:color="0000FF"/>
            </w:tcBorders>
            <w:gridSpan w:val="17"/>
          </w:tcPr>
          <w:p>
            <w:pPr>
              <w:spacing w:after="0" w:line="180" w:lineRule="exact"/>
              <w:rPr>
                <w:rFonts w:ascii="Arial" w:cs="Arial" w:eastAsia="Arial" w:hAnsi="Arial"/>
                <w:sz w:val="17"/>
                <w:szCs w:val="17"/>
                <w:color w:val="0000FF"/>
              </w:rPr>
            </w:pPr>
            <w:hyperlink r:id="rId48">
              <w:r>
                <w:rPr>
                  <w:rFonts w:ascii="Arial" w:cs="Arial" w:eastAsia="Arial" w:hAnsi="Arial"/>
                  <w:sz w:val="17"/>
                  <w:szCs w:val="17"/>
                  <w:color w:val="0000FF"/>
                </w:rPr>
                <w:t>Statement on Schedule 14A filed on March 4, 2016 in connection with the 2016 Annual Meeting of the Shareholders of the Company.**</w:t>
              </w:r>
            </w:hyperlink>
          </w:p>
        </w:tc>
        <w:tc>
          <w:tcPr>
            <w:tcW w:w="20" w:type="dxa"/>
            <w:vAlign w:val="bottom"/>
          </w:tcPr>
          <w:p>
            <w:pPr>
              <w:spacing w:after="0"/>
              <w:rPr>
                <w:sz w:val="15"/>
                <w:szCs w:val="15"/>
                <w:color w:val="auto"/>
              </w:rPr>
            </w:pPr>
          </w:p>
        </w:tc>
      </w:tr>
      <w:tr>
        <w:trPr>
          <w:trHeight w:val="20"/>
        </w:trPr>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440" w:type="dxa"/>
            <w:vAlign w:val="bottom"/>
            <w:gridSpan w:val="3"/>
          </w:tcPr>
          <w:p>
            <w:pPr>
              <w:spacing w:after="0"/>
              <w:rPr>
                <w:rFonts w:ascii="Arial" w:cs="Arial" w:eastAsia="Arial" w:hAnsi="Arial"/>
                <w:sz w:val="17"/>
                <w:szCs w:val="17"/>
                <w:color w:val="0000FF"/>
              </w:rPr>
            </w:pPr>
            <w:hyperlink r:id="rId49">
              <w:r>
                <w:rPr>
                  <w:rFonts w:ascii="Arial" w:cs="Arial" w:eastAsia="Arial" w:hAnsi="Arial"/>
                  <w:sz w:val="17"/>
                  <w:szCs w:val="17"/>
                  <w:color w:val="0000FF"/>
                </w:rPr>
                <w:t>10.</w:t>
              </w:r>
              <w:r>
                <w:rPr>
                  <w:rFonts w:ascii="Arial" w:cs="Arial" w:eastAsia="Arial" w:hAnsi="Arial"/>
                  <w:sz w:val="17"/>
                  <w:szCs w:val="17"/>
                  <w:u w:val="single" w:color="auto"/>
                  <w:color w:val="0000FF"/>
                </w:rPr>
                <w:t>5</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40" w:type="dxa"/>
            <w:vAlign w:val="bottom"/>
            <w:gridSpan w:val="18"/>
          </w:tcPr>
          <w:p>
            <w:pPr>
              <w:spacing w:after="0"/>
              <w:rPr>
                <w:rFonts w:ascii="Arial" w:cs="Arial" w:eastAsia="Arial" w:hAnsi="Arial"/>
                <w:sz w:val="17"/>
                <w:szCs w:val="17"/>
                <w:color w:val="0000FF"/>
                <w:w w:val="90"/>
              </w:rPr>
            </w:pPr>
            <w:hyperlink r:id="rId49">
              <w:r>
                <w:rPr>
                  <w:rFonts w:ascii="Arial" w:cs="Arial" w:eastAsia="Arial" w:hAnsi="Arial"/>
                  <w:sz w:val="17"/>
                  <w:szCs w:val="17"/>
                  <w:color w:val="0000FF"/>
                  <w:w w:val="90"/>
                </w:rPr>
                <w:t>Letter Agreement between Darryl Green and the Company dated as of April 4, 2007, incorporated by reference to the Company’s Annual Report on Form</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20" w:type="dxa"/>
            <w:vAlign w:val="bottom"/>
            <w:tcBorders>
              <w:top w:val="single" w:sz="8" w:color="0000FF"/>
            </w:tcBorders>
            <w:gridSpan w:val="17"/>
          </w:tcPr>
          <w:p>
            <w:pPr>
              <w:spacing w:after="0" w:line="180" w:lineRule="exact"/>
              <w:rPr>
                <w:rFonts w:ascii="Arial" w:cs="Arial" w:eastAsia="Arial" w:hAnsi="Arial"/>
                <w:sz w:val="17"/>
                <w:szCs w:val="17"/>
                <w:color w:val="0000FF"/>
              </w:rPr>
            </w:pPr>
            <w:hyperlink r:id="rId49">
              <w:r>
                <w:rPr>
                  <w:rFonts w:ascii="Arial" w:cs="Arial" w:eastAsia="Arial" w:hAnsi="Arial"/>
                  <w:sz w:val="17"/>
                  <w:szCs w:val="17"/>
                  <w:color w:val="0000FF"/>
                </w:rPr>
                <w:t>10-K for the fiscal year ended December 31, 2007. **</w:t>
              </w:r>
            </w:hyperlink>
          </w:p>
        </w:tc>
        <w:tc>
          <w:tcPr>
            <w:tcW w:w="20" w:type="dxa"/>
            <w:vAlign w:val="bottom"/>
          </w:tcPr>
          <w:p>
            <w:pPr>
              <w:spacing w:after="0"/>
              <w:rPr>
                <w:sz w:val="15"/>
                <w:szCs w:val="15"/>
                <w:color w:val="auto"/>
              </w:rPr>
            </w:pPr>
          </w:p>
        </w:tc>
      </w:tr>
      <w:tr>
        <w:trPr>
          <w:trHeight w:val="20"/>
        </w:trPr>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480" w:type="dxa"/>
            <w:vAlign w:val="bottom"/>
            <w:gridSpan w:val="5"/>
          </w:tcPr>
          <w:p>
            <w:pPr>
              <w:spacing w:after="0"/>
              <w:rPr>
                <w:rFonts w:ascii="Arial" w:cs="Arial" w:eastAsia="Arial" w:hAnsi="Arial"/>
                <w:sz w:val="17"/>
                <w:szCs w:val="17"/>
                <w:color w:val="0000FF"/>
                <w:w w:val="85"/>
              </w:rPr>
            </w:pPr>
            <w:hyperlink r:id="rId50">
              <w:r>
                <w:rPr>
                  <w:rFonts w:ascii="Arial" w:cs="Arial" w:eastAsia="Arial" w:hAnsi="Arial"/>
                  <w:sz w:val="17"/>
                  <w:szCs w:val="17"/>
                  <w:color w:val="0000FF"/>
                  <w:w w:val="85"/>
                </w:rPr>
                <w:t>10.</w:t>
              </w:r>
              <w:r>
                <w:rPr>
                  <w:rFonts w:ascii="Arial" w:cs="Arial" w:eastAsia="Arial" w:hAnsi="Arial"/>
                  <w:sz w:val="17"/>
                  <w:szCs w:val="17"/>
                  <w:u w:val="single" w:color="auto"/>
                  <w:color w:val="0000FF"/>
                  <w:w w:val="85"/>
                </w:rPr>
                <w:t>6(a)</w:t>
              </w:r>
            </w:hyperlink>
          </w:p>
        </w:tc>
        <w:tc>
          <w:tcPr>
            <w:tcW w:w="440" w:type="dxa"/>
            <w:vAlign w:val="bottom"/>
          </w:tcPr>
          <w:p>
            <w:pPr>
              <w:spacing w:after="0"/>
              <w:rPr>
                <w:sz w:val="24"/>
                <w:szCs w:val="24"/>
                <w:color w:val="auto"/>
              </w:rPr>
            </w:pPr>
          </w:p>
        </w:tc>
        <w:tc>
          <w:tcPr>
            <w:tcW w:w="10440" w:type="dxa"/>
            <w:vAlign w:val="bottom"/>
            <w:gridSpan w:val="18"/>
          </w:tcPr>
          <w:p>
            <w:pPr>
              <w:spacing w:after="0"/>
              <w:rPr>
                <w:rFonts w:ascii="Arial" w:cs="Arial" w:eastAsia="Arial" w:hAnsi="Arial"/>
                <w:sz w:val="17"/>
                <w:szCs w:val="17"/>
                <w:color w:val="0000FF"/>
                <w:w w:val="90"/>
              </w:rPr>
            </w:pPr>
            <w:hyperlink r:id="rId50">
              <w:r>
                <w:rPr>
                  <w:rFonts w:ascii="Arial" w:cs="Arial" w:eastAsia="Arial" w:hAnsi="Arial"/>
                  <w:sz w:val="17"/>
                  <w:szCs w:val="17"/>
                  <w:color w:val="0000FF"/>
                  <w:w w:val="90"/>
                </w:rPr>
                <w:t>Terms and Conditions Regarding the Grant of Awards to Non-Employee Directors under the 2003 Equity Incentive Plan of Manpower Inc. (Amended and</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9400" w:type="dxa"/>
            <w:vAlign w:val="bottom"/>
            <w:tcBorders>
              <w:top w:val="single" w:sz="8" w:color="0000FF"/>
              <w:bottom w:val="single" w:sz="8" w:color="0000FF"/>
            </w:tcBorders>
            <w:gridSpan w:val="16"/>
          </w:tcPr>
          <w:p>
            <w:pPr>
              <w:spacing w:after="0" w:line="180" w:lineRule="exact"/>
              <w:rPr>
                <w:rFonts w:ascii="Arial" w:cs="Arial" w:eastAsia="Arial" w:hAnsi="Arial"/>
                <w:sz w:val="17"/>
                <w:szCs w:val="17"/>
                <w:color w:val="0000FF"/>
                <w:w w:val="88"/>
              </w:rPr>
            </w:pPr>
            <w:hyperlink r:id="rId50">
              <w:r>
                <w:rPr>
                  <w:rFonts w:ascii="Arial" w:cs="Arial" w:eastAsia="Arial" w:hAnsi="Arial"/>
                  <w:sz w:val="17"/>
                  <w:szCs w:val="17"/>
                  <w:color w:val="0000FF"/>
                  <w:w w:val="88"/>
                </w:rPr>
                <w:t>Restated Effective February 16, 2011), incorporated by reference to the Company’s Current Report on Form 8-K dated February 16, 2011. **</w:t>
              </w:r>
            </w:hyperlink>
          </w:p>
        </w:tc>
        <w:tc>
          <w:tcPr>
            <w:tcW w:w="10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479"/>
        </w:trPr>
        <w:tc>
          <w:tcPr>
            <w:tcW w:w="920" w:type="dxa"/>
            <w:vAlign w:val="bottom"/>
            <w:gridSpan w:val="6"/>
          </w:tcPr>
          <w:p>
            <w:pPr>
              <w:spacing w:after="0"/>
              <w:rPr>
                <w:rFonts w:ascii="Arial" w:cs="Arial" w:eastAsia="Arial" w:hAnsi="Arial"/>
                <w:sz w:val="17"/>
                <w:szCs w:val="17"/>
                <w:color w:val="0000FF"/>
              </w:rPr>
            </w:pPr>
            <w:hyperlink r:id="rId51">
              <w:r>
                <w:rPr>
                  <w:rFonts w:ascii="Arial" w:cs="Arial" w:eastAsia="Arial" w:hAnsi="Arial"/>
                  <w:sz w:val="17"/>
                  <w:szCs w:val="17"/>
                  <w:color w:val="0000FF"/>
                </w:rPr>
                <w:t>10.</w:t>
              </w:r>
              <w:r>
                <w:rPr>
                  <w:rFonts w:ascii="Arial" w:cs="Arial" w:eastAsia="Arial" w:hAnsi="Arial"/>
                  <w:sz w:val="17"/>
                  <w:szCs w:val="17"/>
                  <w:u w:val="single" w:color="auto"/>
                  <w:color w:val="0000FF"/>
                </w:rPr>
                <w:t>6(b)</w:t>
              </w:r>
            </w:hyperlink>
          </w:p>
        </w:tc>
        <w:tc>
          <w:tcPr>
            <w:tcW w:w="10440" w:type="dxa"/>
            <w:vAlign w:val="bottom"/>
            <w:gridSpan w:val="18"/>
          </w:tcPr>
          <w:p>
            <w:pPr>
              <w:spacing w:after="0"/>
              <w:rPr>
                <w:rFonts w:ascii="Arial" w:cs="Arial" w:eastAsia="Arial" w:hAnsi="Arial"/>
                <w:sz w:val="17"/>
                <w:szCs w:val="17"/>
                <w:color w:val="0000FF"/>
                <w:w w:val="88"/>
              </w:rPr>
            </w:pPr>
            <w:hyperlink r:id="rId51">
              <w:r>
                <w:rPr>
                  <w:rFonts w:ascii="Arial" w:cs="Arial" w:eastAsia="Arial" w:hAnsi="Arial"/>
                  <w:sz w:val="17"/>
                  <w:szCs w:val="17"/>
                  <w:color w:val="0000FF"/>
                  <w:w w:val="88"/>
                </w:rPr>
                <w:t>Terms and Conditions Regarding the Grant of Awards to Non-Employee Directors Under the 2011 Equity Incentive Plan (Amended and Restated January 1,</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8640" w:type="dxa"/>
            <w:vAlign w:val="bottom"/>
            <w:tcBorders>
              <w:top w:val="single" w:sz="8" w:color="0000FF"/>
              <w:bottom w:val="single" w:sz="8" w:color="0000FF"/>
            </w:tcBorders>
            <w:gridSpan w:val="14"/>
          </w:tcPr>
          <w:p>
            <w:pPr>
              <w:spacing w:after="0" w:line="180" w:lineRule="exact"/>
              <w:rPr>
                <w:rFonts w:ascii="Arial" w:cs="Arial" w:eastAsia="Arial" w:hAnsi="Arial"/>
                <w:sz w:val="17"/>
                <w:szCs w:val="17"/>
                <w:color w:val="0000FF"/>
                <w:w w:val="89"/>
              </w:rPr>
            </w:pPr>
            <w:hyperlink r:id="rId51">
              <w:r>
                <w:rPr>
                  <w:rFonts w:ascii="Arial" w:cs="Arial" w:eastAsia="Arial" w:hAnsi="Arial"/>
                  <w:sz w:val="17"/>
                  <w:szCs w:val="17"/>
                  <w:color w:val="0000FF"/>
                  <w:w w:val="89"/>
                </w:rPr>
                <w:t>2018)</w:t>
              </w:r>
              <w:r>
                <w:rPr>
                  <w:rFonts w:ascii="Arial" w:cs="Arial" w:eastAsia="Arial" w:hAnsi="Arial"/>
                  <w:sz w:val="17"/>
                  <w:szCs w:val="17"/>
                  <w:u w:val="single" w:color="auto"/>
                  <w:color w:val="0000FF"/>
                  <w:w w:val="89"/>
                </w:rPr>
                <w:t>,</w:t>
              </w:r>
              <w:r>
                <w:rPr>
                  <w:rFonts w:ascii="Arial" w:cs="Arial" w:eastAsia="Arial" w:hAnsi="Arial"/>
                  <w:sz w:val="17"/>
                  <w:szCs w:val="17"/>
                  <w:color w:val="0000FF"/>
                  <w:w w:val="89"/>
                </w:rPr>
                <w:t xml:space="preserve"> incorporated by reference to the Company's Annual Report on Form 10-K for the fiscal year ended December 31, 2017. **</w:t>
              </w:r>
            </w:hyperlink>
          </w:p>
        </w:tc>
        <w:tc>
          <w:tcPr>
            <w:tcW w:w="178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479"/>
        </w:trPr>
        <w:tc>
          <w:tcPr>
            <w:tcW w:w="480" w:type="dxa"/>
            <w:vAlign w:val="bottom"/>
            <w:tcBorders>
              <w:bottom w:val="single" w:sz="8" w:color="0000FF"/>
            </w:tcBorders>
            <w:gridSpan w:val="5"/>
          </w:tcPr>
          <w:p>
            <w:pPr>
              <w:spacing w:after="0"/>
              <w:rPr>
                <w:rFonts w:ascii="Arial" w:cs="Arial" w:eastAsia="Arial" w:hAnsi="Arial"/>
                <w:sz w:val="17"/>
                <w:szCs w:val="17"/>
                <w:color w:val="0000FF"/>
                <w:w w:val="86"/>
              </w:rPr>
            </w:pPr>
            <w:hyperlink r:id="rId52">
              <w:r>
                <w:rPr>
                  <w:rFonts w:ascii="Arial" w:cs="Arial" w:eastAsia="Arial" w:hAnsi="Arial"/>
                  <w:sz w:val="17"/>
                  <w:szCs w:val="17"/>
                  <w:color w:val="0000FF"/>
                  <w:w w:val="86"/>
                </w:rPr>
                <w:t>10.</w:t>
              </w:r>
              <w:r>
                <w:rPr>
                  <w:rFonts w:ascii="Arial" w:cs="Arial" w:eastAsia="Arial" w:hAnsi="Arial"/>
                  <w:sz w:val="17"/>
                  <w:szCs w:val="17"/>
                  <w:u w:val="single" w:color="auto"/>
                  <w:color w:val="0000FF"/>
                  <w:w w:val="86"/>
                </w:rPr>
                <w:t>6(c)</w:t>
              </w:r>
            </w:hyperlink>
          </w:p>
        </w:tc>
        <w:tc>
          <w:tcPr>
            <w:tcW w:w="440" w:type="dxa"/>
            <w:vAlign w:val="bottom"/>
          </w:tcPr>
          <w:p>
            <w:pPr>
              <w:spacing w:after="0"/>
              <w:rPr>
                <w:sz w:val="24"/>
                <w:szCs w:val="24"/>
                <w:color w:val="auto"/>
              </w:rPr>
            </w:pPr>
          </w:p>
        </w:tc>
        <w:tc>
          <w:tcPr>
            <w:tcW w:w="10420" w:type="dxa"/>
            <w:vAlign w:val="bottom"/>
            <w:tcBorders>
              <w:bottom w:val="single" w:sz="8" w:color="0000FF"/>
            </w:tcBorders>
            <w:gridSpan w:val="17"/>
          </w:tcPr>
          <w:p>
            <w:pPr>
              <w:spacing w:after="0"/>
              <w:rPr>
                <w:rFonts w:ascii="Arial" w:cs="Arial" w:eastAsia="Arial" w:hAnsi="Arial"/>
                <w:sz w:val="17"/>
                <w:szCs w:val="17"/>
                <w:color w:val="0000FF"/>
                <w:w w:val="92"/>
              </w:rPr>
            </w:pPr>
            <w:hyperlink r:id="rId52">
              <w:r>
                <w:rPr>
                  <w:rFonts w:ascii="Arial" w:cs="Arial" w:eastAsia="Arial" w:hAnsi="Arial"/>
                  <w:sz w:val="17"/>
                  <w:szCs w:val="17"/>
                  <w:color w:val="0000FF"/>
                  <w:w w:val="92"/>
                </w:rPr>
                <w:t>ManpowerGroup Inc. Compensation for Non-Employee Directors (Amended and Restated Effective January 1, 2018), incorporated by reference to the</w:t>
              </w:r>
            </w:hyperlink>
          </w:p>
        </w:tc>
        <w:tc>
          <w:tcPr>
            <w:tcW w:w="20" w:type="dxa"/>
            <w:vAlign w:val="bottom"/>
          </w:tcPr>
          <w:p>
            <w:pPr>
              <w:spacing w:after="0"/>
              <w:rPr>
                <w:sz w:val="24"/>
                <w:szCs w:val="24"/>
                <w:color w:val="auto"/>
              </w:rPr>
            </w:pPr>
          </w:p>
        </w:tc>
      </w:tr>
      <w:tr>
        <w:trPr>
          <w:trHeight w:val="179"/>
        </w:trPr>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0" w:type="dxa"/>
            <w:vAlign w:val="bottom"/>
            <w:tcBorders>
              <w:bottom w:val="single" w:sz="8" w:color="0000FF"/>
            </w:tcBorders>
            <w:gridSpan w:val="10"/>
          </w:tcPr>
          <w:p>
            <w:pPr>
              <w:spacing w:after="0" w:line="180" w:lineRule="exact"/>
              <w:rPr>
                <w:rFonts w:ascii="Arial" w:cs="Arial" w:eastAsia="Arial" w:hAnsi="Arial"/>
                <w:sz w:val="17"/>
                <w:szCs w:val="17"/>
                <w:color w:val="0000FF"/>
                <w:w w:val="89"/>
              </w:rPr>
            </w:pPr>
            <w:hyperlink r:id="rId52">
              <w:r>
                <w:rPr>
                  <w:rFonts w:ascii="Arial" w:cs="Arial" w:eastAsia="Arial" w:hAnsi="Arial"/>
                  <w:sz w:val="17"/>
                  <w:szCs w:val="17"/>
                  <w:color w:val="0000FF"/>
                  <w:w w:val="89"/>
                </w:rPr>
                <w:t>Company's Annual Report on Form 10-K for the fiscal year ended December 31, 2017. **</w:t>
              </w:r>
            </w:hyperlink>
          </w:p>
        </w:tc>
        <w:tc>
          <w:tcPr>
            <w:tcW w:w="4440" w:type="dxa"/>
            <w:vAlign w:val="bottom"/>
            <w:gridSpan w:val="8"/>
          </w:tcPr>
          <w:p>
            <w:pPr>
              <w:spacing w:after="0"/>
              <w:rPr>
                <w:sz w:val="15"/>
                <w:szCs w:val="15"/>
                <w:color w:val="auto"/>
              </w:rPr>
            </w:pPr>
          </w:p>
        </w:tc>
      </w:tr>
      <w:tr>
        <w:trPr>
          <w:trHeight w:val="404"/>
        </w:trPr>
        <w:tc>
          <w:tcPr>
            <w:tcW w:w="920" w:type="dxa"/>
            <w:vAlign w:val="bottom"/>
            <w:gridSpan w:val="6"/>
          </w:tcPr>
          <w:p>
            <w:pPr>
              <w:spacing w:after="0"/>
              <w:rPr>
                <w:rFonts w:ascii="Arial" w:cs="Arial" w:eastAsia="Arial" w:hAnsi="Arial"/>
                <w:sz w:val="17"/>
                <w:szCs w:val="17"/>
                <w:color w:val="0000FF"/>
              </w:rPr>
            </w:pPr>
            <w:hyperlink r:id="rId53">
              <w:r>
                <w:rPr>
                  <w:rFonts w:ascii="Arial" w:cs="Arial" w:eastAsia="Arial" w:hAnsi="Arial"/>
                  <w:sz w:val="17"/>
                  <w:szCs w:val="17"/>
                  <w:color w:val="0000FF"/>
                </w:rPr>
                <w:t>10.</w:t>
              </w:r>
              <w:r>
                <w:rPr>
                  <w:rFonts w:ascii="Arial" w:cs="Arial" w:eastAsia="Arial" w:hAnsi="Arial"/>
                  <w:sz w:val="17"/>
                  <w:szCs w:val="17"/>
                  <w:u w:val="single" w:color="auto"/>
                  <w:color w:val="0000FF"/>
                </w:rPr>
                <w:t>6(d)</w:t>
              </w:r>
            </w:hyperlink>
          </w:p>
        </w:tc>
        <w:tc>
          <w:tcPr>
            <w:tcW w:w="10440" w:type="dxa"/>
            <w:vAlign w:val="bottom"/>
            <w:gridSpan w:val="18"/>
          </w:tcPr>
          <w:p>
            <w:pPr>
              <w:spacing w:after="0"/>
              <w:rPr>
                <w:rFonts w:ascii="Arial" w:cs="Arial" w:eastAsia="Arial" w:hAnsi="Arial"/>
                <w:sz w:val="17"/>
                <w:szCs w:val="17"/>
                <w:color w:val="0000FF"/>
                <w:w w:val="89"/>
              </w:rPr>
            </w:pPr>
            <w:hyperlink r:id="rId53">
              <w:r>
                <w:rPr>
                  <w:rFonts w:ascii="Arial" w:cs="Arial" w:eastAsia="Arial" w:hAnsi="Arial"/>
                  <w:sz w:val="17"/>
                  <w:szCs w:val="17"/>
                  <w:color w:val="0000FF"/>
                  <w:w w:val="89"/>
                </w:rPr>
                <w:t>Severance Agreement between Jonas Prising and the Company dated as of May 2, 2017, incorporated by reference to the Company’s Quarterly Report on</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3580" w:type="dxa"/>
            <w:vAlign w:val="bottom"/>
            <w:tcBorders>
              <w:top w:val="single" w:sz="8" w:color="0000FF"/>
              <w:bottom w:val="single" w:sz="8" w:color="0000FF"/>
            </w:tcBorders>
            <w:gridSpan w:val="7"/>
          </w:tcPr>
          <w:p>
            <w:pPr>
              <w:spacing w:after="0" w:line="180" w:lineRule="exact"/>
              <w:rPr>
                <w:rFonts w:ascii="Arial" w:cs="Arial" w:eastAsia="Arial" w:hAnsi="Arial"/>
                <w:sz w:val="17"/>
                <w:szCs w:val="17"/>
                <w:color w:val="0000FF"/>
                <w:w w:val="90"/>
              </w:rPr>
            </w:pPr>
            <w:hyperlink r:id="rId53">
              <w:r>
                <w:rPr>
                  <w:rFonts w:ascii="Arial" w:cs="Arial" w:eastAsia="Arial" w:hAnsi="Arial"/>
                  <w:sz w:val="17"/>
                  <w:szCs w:val="17"/>
                  <w:color w:val="0000FF"/>
                  <w:w w:val="90"/>
                </w:rPr>
                <w:t>Form 10-Q for the quarter ended March 31, 2017. **</w:t>
              </w:r>
            </w:hyperlink>
          </w:p>
        </w:tc>
        <w:tc>
          <w:tcPr>
            <w:tcW w:w="684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r>
      <w:tr>
        <w:trPr>
          <w:trHeight w:val="479"/>
        </w:trPr>
        <w:tc>
          <w:tcPr>
            <w:tcW w:w="480" w:type="dxa"/>
            <w:vAlign w:val="bottom"/>
            <w:gridSpan w:val="5"/>
          </w:tcPr>
          <w:p>
            <w:pPr>
              <w:spacing w:after="0"/>
              <w:rPr>
                <w:rFonts w:ascii="Arial" w:cs="Arial" w:eastAsia="Arial" w:hAnsi="Arial"/>
                <w:sz w:val="17"/>
                <w:szCs w:val="17"/>
                <w:color w:val="0000FF"/>
                <w:w w:val="85"/>
              </w:rPr>
            </w:pPr>
            <w:hyperlink r:id="rId54">
              <w:r>
                <w:rPr>
                  <w:rFonts w:ascii="Arial" w:cs="Arial" w:eastAsia="Arial" w:hAnsi="Arial"/>
                  <w:sz w:val="17"/>
                  <w:szCs w:val="17"/>
                  <w:color w:val="0000FF"/>
                  <w:w w:val="85"/>
                </w:rPr>
                <w:t>10.</w:t>
              </w:r>
              <w:r>
                <w:rPr>
                  <w:rFonts w:ascii="Arial" w:cs="Arial" w:eastAsia="Arial" w:hAnsi="Arial"/>
                  <w:sz w:val="17"/>
                  <w:szCs w:val="17"/>
                  <w:u w:val="single" w:color="auto"/>
                  <w:color w:val="0000FF"/>
                  <w:w w:val="85"/>
                </w:rPr>
                <w:t>6(e)</w:t>
              </w:r>
            </w:hyperlink>
          </w:p>
        </w:tc>
        <w:tc>
          <w:tcPr>
            <w:tcW w:w="440" w:type="dxa"/>
            <w:vAlign w:val="bottom"/>
          </w:tcPr>
          <w:p>
            <w:pPr>
              <w:spacing w:after="0"/>
              <w:rPr>
                <w:sz w:val="24"/>
                <w:szCs w:val="24"/>
                <w:color w:val="auto"/>
              </w:rPr>
            </w:pPr>
          </w:p>
        </w:tc>
        <w:tc>
          <w:tcPr>
            <w:tcW w:w="10440" w:type="dxa"/>
            <w:vAlign w:val="bottom"/>
            <w:gridSpan w:val="18"/>
          </w:tcPr>
          <w:p>
            <w:pPr>
              <w:spacing w:after="0"/>
              <w:rPr>
                <w:rFonts w:ascii="Arial" w:cs="Arial" w:eastAsia="Arial" w:hAnsi="Arial"/>
                <w:sz w:val="17"/>
                <w:szCs w:val="17"/>
                <w:color w:val="0000FF"/>
                <w:w w:val="87"/>
              </w:rPr>
            </w:pPr>
            <w:hyperlink r:id="rId54">
              <w:r>
                <w:rPr>
                  <w:rFonts w:ascii="Arial" w:cs="Arial" w:eastAsia="Arial" w:hAnsi="Arial"/>
                  <w:sz w:val="17"/>
                  <w:szCs w:val="17"/>
                  <w:color w:val="0000FF"/>
                  <w:w w:val="87"/>
                </w:rPr>
                <w:t>Severance Agreement between Mara Swan and the Company dated as of December 11, 2017, incorporated by reference to the Company’s Current Report on</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660" w:type="dxa"/>
            <w:vAlign w:val="bottom"/>
            <w:tcBorders>
              <w:top w:val="single" w:sz="8" w:color="0000FF"/>
              <w:bottom w:val="single" w:sz="8" w:color="0000FF"/>
            </w:tcBorders>
            <w:gridSpan w:val="4"/>
          </w:tcPr>
          <w:p>
            <w:pPr>
              <w:spacing w:after="0" w:line="180" w:lineRule="exact"/>
              <w:rPr>
                <w:rFonts w:ascii="Arial" w:cs="Arial" w:eastAsia="Arial" w:hAnsi="Arial"/>
                <w:sz w:val="17"/>
                <w:szCs w:val="17"/>
                <w:color w:val="0000FF"/>
                <w:w w:val="89"/>
              </w:rPr>
            </w:pPr>
            <w:hyperlink r:id="rId54">
              <w:r>
                <w:rPr>
                  <w:rFonts w:ascii="Arial" w:cs="Arial" w:eastAsia="Arial" w:hAnsi="Arial"/>
                  <w:sz w:val="17"/>
                  <w:szCs w:val="17"/>
                  <w:color w:val="0000FF"/>
                  <w:w w:val="89"/>
                </w:rPr>
                <w:t>Form 8-K dated December 12, 2017. **</w:t>
              </w:r>
            </w:hyperlink>
          </w:p>
        </w:tc>
        <w:tc>
          <w:tcPr>
            <w:tcW w:w="7760" w:type="dxa"/>
            <w:vAlign w:val="bottom"/>
            <w:tcBorders>
              <w:top w:val="single" w:sz="8" w:color="0000FF"/>
            </w:tcBorders>
            <w:gridSpan w:val="13"/>
          </w:tcPr>
          <w:p>
            <w:pPr>
              <w:spacing w:after="0"/>
              <w:rPr>
                <w:sz w:val="15"/>
                <w:szCs w:val="15"/>
                <w:color w:val="auto"/>
              </w:rPr>
            </w:pPr>
          </w:p>
        </w:tc>
        <w:tc>
          <w:tcPr>
            <w:tcW w:w="20" w:type="dxa"/>
            <w:vAlign w:val="bottom"/>
          </w:tcPr>
          <w:p>
            <w:pPr>
              <w:spacing w:after="0"/>
              <w:rPr>
                <w:sz w:val="15"/>
                <w:szCs w:val="15"/>
                <w:color w:val="auto"/>
              </w:rPr>
            </w:pPr>
          </w:p>
        </w:tc>
      </w:tr>
      <w:tr>
        <w:trPr>
          <w:trHeight w:val="404"/>
        </w:trPr>
        <w:tc>
          <w:tcPr>
            <w:tcW w:w="920" w:type="dxa"/>
            <w:vAlign w:val="bottom"/>
            <w:gridSpan w:val="6"/>
          </w:tcPr>
          <w:p>
            <w:pPr>
              <w:spacing w:after="0"/>
              <w:rPr>
                <w:rFonts w:ascii="Arial" w:cs="Arial" w:eastAsia="Arial" w:hAnsi="Arial"/>
                <w:sz w:val="17"/>
                <w:szCs w:val="17"/>
                <w:color w:val="0000FF"/>
              </w:rPr>
            </w:pPr>
            <w:hyperlink r:id="rId55">
              <w:r>
                <w:rPr>
                  <w:rFonts w:ascii="Arial" w:cs="Arial" w:eastAsia="Arial" w:hAnsi="Arial"/>
                  <w:sz w:val="17"/>
                  <w:szCs w:val="17"/>
                  <w:color w:val="0000FF"/>
                </w:rPr>
                <w:t>10.</w:t>
              </w:r>
              <w:r>
                <w:rPr>
                  <w:rFonts w:ascii="Arial" w:cs="Arial" w:eastAsia="Arial" w:hAnsi="Arial"/>
                  <w:sz w:val="17"/>
                  <w:szCs w:val="17"/>
                  <w:u w:val="single" w:color="auto"/>
                  <w:color w:val="0000FF"/>
                </w:rPr>
                <w:t>6(f)</w:t>
              </w:r>
            </w:hyperlink>
          </w:p>
        </w:tc>
        <w:tc>
          <w:tcPr>
            <w:tcW w:w="10440" w:type="dxa"/>
            <w:vAlign w:val="bottom"/>
            <w:gridSpan w:val="18"/>
          </w:tcPr>
          <w:p>
            <w:pPr>
              <w:spacing w:after="0"/>
              <w:rPr>
                <w:rFonts w:ascii="Arial" w:cs="Arial" w:eastAsia="Arial" w:hAnsi="Arial"/>
                <w:sz w:val="17"/>
                <w:szCs w:val="17"/>
                <w:color w:val="0000FF"/>
                <w:w w:val="89"/>
              </w:rPr>
            </w:pPr>
            <w:hyperlink r:id="rId55">
              <w:r>
                <w:rPr>
                  <w:rFonts w:ascii="Arial" w:cs="Arial" w:eastAsia="Arial" w:hAnsi="Arial"/>
                  <w:sz w:val="17"/>
                  <w:szCs w:val="17"/>
                  <w:color w:val="0000FF"/>
                  <w:w w:val="89"/>
                </w:rPr>
                <w:t>Severance Agreement dated July 28, 2016 between the Company and Darryl Green, incorporated by reference to the Company’s Quarterly Report on Form</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40" w:type="dxa"/>
            <w:vAlign w:val="bottom"/>
            <w:tcBorders>
              <w:top w:val="single" w:sz="8" w:color="0000FF"/>
            </w:tcBorders>
            <w:gridSpan w:val="18"/>
          </w:tcPr>
          <w:p>
            <w:pPr>
              <w:spacing w:after="0" w:line="180" w:lineRule="exact"/>
              <w:rPr>
                <w:rFonts w:ascii="Arial" w:cs="Arial" w:eastAsia="Arial" w:hAnsi="Arial"/>
                <w:sz w:val="17"/>
                <w:szCs w:val="17"/>
                <w:color w:val="0000FF"/>
              </w:rPr>
            </w:pPr>
            <w:hyperlink r:id="rId55">
              <w:r>
                <w:rPr>
                  <w:rFonts w:ascii="Arial" w:cs="Arial" w:eastAsia="Arial" w:hAnsi="Arial"/>
                  <w:sz w:val="17"/>
                  <w:szCs w:val="17"/>
                  <w:color w:val="0000FF"/>
                </w:rPr>
                <w:t>10-Q for the quarter ended June 30, 2016. **</w:t>
              </w:r>
            </w:hyperlink>
          </w:p>
        </w:tc>
      </w:tr>
      <w:tr>
        <w:trPr>
          <w:trHeight w:val="20"/>
        </w:trPr>
        <w:tc>
          <w:tcPr>
            <w:tcW w:w="4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920" w:type="dxa"/>
            <w:vAlign w:val="bottom"/>
            <w:gridSpan w:val="6"/>
          </w:tcPr>
          <w:p>
            <w:pPr>
              <w:spacing w:after="0"/>
              <w:rPr>
                <w:rFonts w:ascii="Arial" w:cs="Arial" w:eastAsia="Arial" w:hAnsi="Arial"/>
                <w:sz w:val="17"/>
                <w:szCs w:val="17"/>
                <w:color w:val="0000FF"/>
              </w:rPr>
            </w:pPr>
            <w:hyperlink r:id="rId56">
              <w:r>
                <w:rPr>
                  <w:rFonts w:ascii="Arial" w:cs="Arial" w:eastAsia="Arial" w:hAnsi="Arial"/>
                  <w:sz w:val="17"/>
                  <w:szCs w:val="17"/>
                  <w:color w:val="0000FF"/>
                </w:rPr>
                <w:t>10.</w:t>
              </w:r>
              <w:r>
                <w:rPr>
                  <w:rFonts w:ascii="Arial" w:cs="Arial" w:eastAsia="Arial" w:hAnsi="Arial"/>
                  <w:sz w:val="17"/>
                  <w:szCs w:val="17"/>
                  <w:u w:val="single" w:color="auto"/>
                  <w:color w:val="0000FF"/>
                </w:rPr>
                <w:t>6(g)</w:t>
              </w:r>
            </w:hyperlink>
          </w:p>
        </w:tc>
        <w:tc>
          <w:tcPr>
            <w:tcW w:w="10440" w:type="dxa"/>
            <w:vAlign w:val="bottom"/>
            <w:gridSpan w:val="18"/>
          </w:tcPr>
          <w:p>
            <w:pPr>
              <w:spacing w:after="0"/>
              <w:rPr>
                <w:rFonts w:ascii="Arial" w:cs="Arial" w:eastAsia="Arial" w:hAnsi="Arial"/>
                <w:sz w:val="17"/>
                <w:szCs w:val="17"/>
                <w:color w:val="0000FF"/>
                <w:w w:val="93"/>
              </w:rPr>
            </w:pPr>
            <w:hyperlink r:id="rId56">
              <w:r>
                <w:rPr>
                  <w:rFonts w:ascii="Arial" w:cs="Arial" w:eastAsia="Arial" w:hAnsi="Arial"/>
                  <w:sz w:val="17"/>
                  <w:szCs w:val="17"/>
                  <w:color w:val="0000FF"/>
                  <w:w w:val="93"/>
                </w:rPr>
                <w:t>Form of Amendment to Severance Agreement entered into between the Company and Jonas Prising, Darryl Green and Mara Swan, incorporated by</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6760" w:type="dxa"/>
            <w:vAlign w:val="bottom"/>
            <w:tcBorders>
              <w:top w:val="single" w:sz="8" w:color="0000FF"/>
              <w:bottom w:val="single" w:sz="8" w:color="0000FF"/>
            </w:tcBorders>
            <w:gridSpan w:val="12"/>
          </w:tcPr>
          <w:p>
            <w:pPr>
              <w:spacing w:after="0" w:line="180" w:lineRule="exact"/>
              <w:rPr>
                <w:rFonts w:ascii="Arial" w:cs="Arial" w:eastAsia="Arial" w:hAnsi="Arial"/>
                <w:sz w:val="17"/>
                <w:szCs w:val="17"/>
                <w:color w:val="0000FF"/>
                <w:w w:val="88"/>
              </w:rPr>
            </w:pPr>
            <w:hyperlink r:id="rId56">
              <w:r>
                <w:rPr>
                  <w:rFonts w:ascii="Arial" w:cs="Arial" w:eastAsia="Arial" w:hAnsi="Arial"/>
                  <w:sz w:val="17"/>
                  <w:szCs w:val="17"/>
                  <w:color w:val="0000FF"/>
                  <w:w w:val="88"/>
                </w:rPr>
                <w:t>reference to the Company's Quarterly Report on Form 10-Q for the quarter ended March 31, 2018. **</w:t>
              </w:r>
            </w:hyperlink>
          </w:p>
        </w:tc>
        <w:tc>
          <w:tcPr>
            <w:tcW w:w="366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404"/>
        </w:trPr>
        <w:tc>
          <w:tcPr>
            <w:tcW w:w="920" w:type="dxa"/>
            <w:vAlign w:val="bottom"/>
            <w:gridSpan w:val="6"/>
          </w:tcPr>
          <w:p>
            <w:pPr>
              <w:spacing w:after="0"/>
              <w:rPr>
                <w:rFonts w:ascii="Arial" w:cs="Arial" w:eastAsia="Arial" w:hAnsi="Arial"/>
                <w:sz w:val="17"/>
                <w:szCs w:val="17"/>
                <w:color w:val="0000FF"/>
              </w:rPr>
            </w:pPr>
            <w:hyperlink w:anchor="page102">
              <w:r>
                <w:rPr>
                  <w:rFonts w:ascii="Arial" w:cs="Arial" w:eastAsia="Arial" w:hAnsi="Arial"/>
                  <w:sz w:val="17"/>
                  <w:szCs w:val="17"/>
                  <w:color w:val="0000FF"/>
                </w:rPr>
                <w:t>10.</w:t>
              </w:r>
              <w:r>
                <w:rPr>
                  <w:rFonts w:ascii="Arial" w:cs="Arial" w:eastAsia="Arial" w:hAnsi="Arial"/>
                  <w:sz w:val="17"/>
                  <w:szCs w:val="17"/>
                  <w:u w:val="single" w:color="auto"/>
                  <w:color w:val="0000FF"/>
                </w:rPr>
                <w:t>6(h)</w:t>
              </w:r>
            </w:hyperlink>
          </w:p>
        </w:tc>
        <w:tc>
          <w:tcPr>
            <w:tcW w:w="10440" w:type="dxa"/>
            <w:vAlign w:val="bottom"/>
            <w:gridSpan w:val="18"/>
          </w:tcPr>
          <w:p>
            <w:pPr>
              <w:spacing w:after="0"/>
              <w:rPr>
                <w:rFonts w:ascii="Arial" w:cs="Arial" w:eastAsia="Arial" w:hAnsi="Arial"/>
                <w:sz w:val="17"/>
                <w:szCs w:val="17"/>
                <w:color w:val="0000FF"/>
              </w:rPr>
            </w:pPr>
            <w:hyperlink w:anchor="page102">
              <w:r>
                <w:rPr>
                  <w:rFonts w:ascii="Arial" w:cs="Arial" w:eastAsia="Arial" w:hAnsi="Arial"/>
                  <w:sz w:val="17"/>
                  <w:szCs w:val="17"/>
                  <w:color w:val="0000FF"/>
                </w:rPr>
                <w:t>Severance Agreement dated November 8, 2018 between the Company and Richard Buchband. **</w:t>
              </w:r>
            </w:hyperlink>
          </w:p>
        </w:tc>
      </w:tr>
      <w:tr>
        <w:trPr>
          <w:trHeight w:val="20"/>
        </w:trPr>
        <w:tc>
          <w:tcPr>
            <w:tcW w:w="44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480" w:type="dxa"/>
            <w:vAlign w:val="bottom"/>
            <w:gridSpan w:val="5"/>
          </w:tcPr>
          <w:p>
            <w:pPr>
              <w:spacing w:after="0"/>
              <w:rPr>
                <w:rFonts w:ascii="Arial" w:cs="Arial" w:eastAsia="Arial" w:hAnsi="Arial"/>
                <w:sz w:val="17"/>
                <w:szCs w:val="17"/>
                <w:color w:val="0000FF"/>
                <w:w w:val="95"/>
              </w:rPr>
            </w:pPr>
            <w:hyperlink r:id="rId57">
              <w:r>
                <w:rPr>
                  <w:rFonts w:ascii="Arial" w:cs="Arial" w:eastAsia="Arial" w:hAnsi="Arial"/>
                  <w:sz w:val="17"/>
                  <w:szCs w:val="17"/>
                  <w:color w:val="0000FF"/>
                  <w:w w:val="95"/>
                </w:rPr>
                <w:t>10.</w:t>
              </w:r>
              <w:r>
                <w:rPr>
                  <w:rFonts w:ascii="Arial" w:cs="Arial" w:eastAsia="Arial" w:hAnsi="Arial"/>
                  <w:sz w:val="17"/>
                  <w:szCs w:val="17"/>
                  <w:u w:val="single" w:color="auto"/>
                  <w:color w:val="0000FF"/>
                  <w:w w:val="95"/>
                </w:rPr>
                <w:t>6(i)</w:t>
              </w:r>
            </w:hyperlink>
          </w:p>
        </w:tc>
        <w:tc>
          <w:tcPr>
            <w:tcW w:w="440" w:type="dxa"/>
            <w:vAlign w:val="bottom"/>
          </w:tcPr>
          <w:p>
            <w:pPr>
              <w:spacing w:after="0"/>
              <w:rPr>
                <w:sz w:val="24"/>
                <w:szCs w:val="24"/>
                <w:color w:val="auto"/>
              </w:rPr>
            </w:pPr>
          </w:p>
        </w:tc>
        <w:tc>
          <w:tcPr>
            <w:tcW w:w="10440" w:type="dxa"/>
            <w:vAlign w:val="bottom"/>
            <w:gridSpan w:val="18"/>
          </w:tcPr>
          <w:p>
            <w:pPr>
              <w:spacing w:after="0"/>
              <w:rPr>
                <w:rFonts w:ascii="Arial" w:cs="Arial" w:eastAsia="Arial" w:hAnsi="Arial"/>
                <w:sz w:val="17"/>
                <w:szCs w:val="17"/>
                <w:color w:val="0000FF"/>
                <w:w w:val="90"/>
              </w:rPr>
            </w:pPr>
            <w:hyperlink r:id="rId57">
              <w:r>
                <w:rPr>
                  <w:rFonts w:ascii="Arial" w:cs="Arial" w:eastAsia="Arial" w:hAnsi="Arial"/>
                  <w:sz w:val="17"/>
                  <w:szCs w:val="17"/>
                  <w:color w:val="0000FF"/>
                  <w:w w:val="90"/>
                </w:rPr>
                <w:t>2003 Equity Incentive Plan of Manpower Inc. (Amended and Restated Effective April 28, 2009), incorporated by reference to the Company’s Registration</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20" w:type="dxa"/>
            <w:vAlign w:val="bottom"/>
            <w:tcBorders>
              <w:top w:val="single" w:sz="8" w:color="0000FF"/>
            </w:tcBorders>
            <w:gridSpan w:val="17"/>
          </w:tcPr>
          <w:p>
            <w:pPr>
              <w:spacing w:after="0" w:line="180" w:lineRule="exact"/>
              <w:rPr>
                <w:rFonts w:ascii="Arial" w:cs="Arial" w:eastAsia="Arial" w:hAnsi="Arial"/>
                <w:sz w:val="17"/>
                <w:szCs w:val="17"/>
                <w:color w:val="0000FF"/>
              </w:rPr>
            </w:pPr>
            <w:hyperlink r:id="rId57">
              <w:r>
                <w:rPr>
                  <w:rFonts w:ascii="Arial" w:cs="Arial" w:eastAsia="Arial" w:hAnsi="Arial"/>
                  <w:sz w:val="17"/>
                  <w:szCs w:val="17"/>
                  <w:color w:val="0000FF"/>
                </w:rPr>
                <w:t>Statement on Form S-8 dated September 4, 2009. **</w:t>
              </w:r>
            </w:hyperlink>
          </w:p>
        </w:tc>
        <w:tc>
          <w:tcPr>
            <w:tcW w:w="20" w:type="dxa"/>
            <w:vAlign w:val="bottom"/>
          </w:tcPr>
          <w:p>
            <w:pPr>
              <w:spacing w:after="0"/>
              <w:rPr>
                <w:sz w:val="15"/>
                <w:szCs w:val="15"/>
                <w:color w:val="auto"/>
              </w:rPr>
            </w:pPr>
          </w:p>
        </w:tc>
      </w:tr>
      <w:tr>
        <w:trPr>
          <w:trHeight w:val="20"/>
        </w:trPr>
        <w:tc>
          <w:tcPr>
            <w:tcW w:w="4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920" w:type="dxa"/>
            <w:vAlign w:val="bottom"/>
            <w:gridSpan w:val="6"/>
          </w:tcPr>
          <w:p>
            <w:pPr>
              <w:spacing w:after="0"/>
              <w:rPr>
                <w:rFonts w:ascii="Arial" w:cs="Arial" w:eastAsia="Arial" w:hAnsi="Arial"/>
                <w:sz w:val="17"/>
                <w:szCs w:val="17"/>
                <w:color w:val="0000FF"/>
              </w:rPr>
            </w:pPr>
            <w:hyperlink r:id="rId58">
              <w:r>
                <w:rPr>
                  <w:rFonts w:ascii="Arial" w:cs="Arial" w:eastAsia="Arial" w:hAnsi="Arial"/>
                  <w:sz w:val="17"/>
                  <w:szCs w:val="17"/>
                  <w:color w:val="0000FF"/>
                </w:rPr>
                <w:t>10.</w:t>
              </w:r>
              <w:r>
                <w:rPr>
                  <w:rFonts w:ascii="Arial" w:cs="Arial" w:eastAsia="Arial" w:hAnsi="Arial"/>
                  <w:sz w:val="17"/>
                  <w:szCs w:val="17"/>
                  <w:u w:val="single" w:color="auto"/>
                  <w:color w:val="0000FF"/>
                </w:rPr>
                <w:t>6(j)</w:t>
              </w:r>
            </w:hyperlink>
          </w:p>
        </w:tc>
        <w:tc>
          <w:tcPr>
            <w:tcW w:w="10440" w:type="dxa"/>
            <w:vAlign w:val="bottom"/>
            <w:gridSpan w:val="18"/>
          </w:tcPr>
          <w:p>
            <w:pPr>
              <w:spacing w:after="0"/>
              <w:rPr>
                <w:rFonts w:ascii="Arial" w:cs="Arial" w:eastAsia="Arial" w:hAnsi="Arial"/>
                <w:sz w:val="17"/>
                <w:szCs w:val="17"/>
                <w:color w:val="0000FF"/>
                <w:w w:val="92"/>
              </w:rPr>
            </w:pPr>
            <w:hyperlink r:id="rId58">
              <w:r>
                <w:rPr>
                  <w:rFonts w:ascii="Arial" w:cs="Arial" w:eastAsia="Arial" w:hAnsi="Arial"/>
                  <w:sz w:val="17"/>
                  <w:szCs w:val="17"/>
                  <w:color w:val="0000FF"/>
                  <w:w w:val="92"/>
                </w:rPr>
                <w:t>Amendment of Manpower Inc. 2003 Equity Incentive Plan, incorporated by reference to the Company’s Quarterly Report on Form 10-Q for the quarter</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40" w:type="dxa"/>
            <w:vAlign w:val="bottom"/>
            <w:tcBorders>
              <w:top w:val="single" w:sz="8" w:color="0000FF"/>
            </w:tcBorders>
            <w:gridSpan w:val="18"/>
          </w:tcPr>
          <w:p>
            <w:pPr>
              <w:spacing w:after="0" w:line="180" w:lineRule="exact"/>
              <w:rPr>
                <w:rFonts w:ascii="Arial" w:cs="Arial" w:eastAsia="Arial" w:hAnsi="Arial"/>
                <w:sz w:val="17"/>
                <w:szCs w:val="17"/>
                <w:color w:val="0000FF"/>
              </w:rPr>
            </w:pPr>
            <w:hyperlink r:id="rId58">
              <w:r>
                <w:rPr>
                  <w:rFonts w:ascii="Arial" w:cs="Arial" w:eastAsia="Arial" w:hAnsi="Arial"/>
                  <w:sz w:val="17"/>
                  <w:szCs w:val="17"/>
                  <w:color w:val="0000FF"/>
                </w:rPr>
                <w:t>ended March 31, 2010. **</w:t>
              </w:r>
            </w:hyperlink>
          </w:p>
        </w:tc>
      </w:tr>
      <w:tr>
        <w:trPr>
          <w:trHeight w:val="20"/>
        </w:trPr>
        <w:tc>
          <w:tcPr>
            <w:tcW w:w="44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4920" w:type="dxa"/>
            <w:vAlign w:val="bottom"/>
            <w:gridSpan w:val="7"/>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4"/>
        </w:trPr>
        <w:tc>
          <w:tcPr>
            <w:tcW w:w="920" w:type="dxa"/>
            <w:vAlign w:val="bottom"/>
            <w:gridSpan w:val="6"/>
          </w:tcPr>
          <w:p>
            <w:pPr>
              <w:spacing w:after="0"/>
              <w:rPr>
                <w:rFonts w:ascii="Arial" w:cs="Arial" w:eastAsia="Arial" w:hAnsi="Arial"/>
                <w:sz w:val="17"/>
                <w:szCs w:val="17"/>
                <w:color w:val="0000FF"/>
              </w:rPr>
            </w:pPr>
            <w:hyperlink r:id="rId59">
              <w:r>
                <w:rPr>
                  <w:rFonts w:ascii="Arial" w:cs="Arial" w:eastAsia="Arial" w:hAnsi="Arial"/>
                  <w:sz w:val="17"/>
                  <w:szCs w:val="17"/>
                  <w:color w:val="0000FF"/>
                </w:rPr>
                <w:t>10.</w:t>
              </w:r>
              <w:r>
                <w:rPr>
                  <w:rFonts w:ascii="Arial" w:cs="Arial" w:eastAsia="Arial" w:hAnsi="Arial"/>
                  <w:sz w:val="17"/>
                  <w:szCs w:val="17"/>
                  <w:u w:val="single" w:color="auto"/>
                  <w:color w:val="0000FF"/>
                </w:rPr>
                <w:t>6(k)</w:t>
              </w:r>
            </w:hyperlink>
          </w:p>
        </w:tc>
        <w:tc>
          <w:tcPr>
            <w:tcW w:w="10440" w:type="dxa"/>
            <w:vAlign w:val="bottom"/>
            <w:gridSpan w:val="18"/>
          </w:tcPr>
          <w:p>
            <w:pPr>
              <w:spacing w:after="0"/>
              <w:rPr>
                <w:rFonts w:ascii="Arial" w:cs="Arial" w:eastAsia="Arial" w:hAnsi="Arial"/>
                <w:sz w:val="17"/>
                <w:szCs w:val="17"/>
                <w:color w:val="0000FF"/>
                <w:w w:val="92"/>
              </w:rPr>
            </w:pPr>
            <w:hyperlink r:id="rId59">
              <w:r>
                <w:rPr>
                  <w:rFonts w:ascii="Arial" w:cs="Arial" w:eastAsia="Arial" w:hAnsi="Arial"/>
                  <w:sz w:val="17"/>
                  <w:szCs w:val="17"/>
                  <w:color w:val="0000FF"/>
                  <w:w w:val="92"/>
                </w:rPr>
                <w:t>2011 Equity Incentive Plan of Manpower Inc. (Amended and Restated Effective April 29, 2014), incorporated by reference to the Company’s Quarterly</w:t>
              </w:r>
            </w:hyperlink>
          </w:p>
        </w:tc>
      </w:tr>
      <w:tr>
        <w:trPr>
          <w:trHeight w:val="179"/>
        </w:trPr>
        <w:tc>
          <w:tcPr>
            <w:tcW w:w="2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4100" w:type="dxa"/>
            <w:vAlign w:val="bottom"/>
            <w:tcBorders>
              <w:top w:val="single" w:sz="8" w:color="0000FF"/>
              <w:bottom w:val="single" w:sz="8" w:color="0000FF"/>
            </w:tcBorders>
            <w:gridSpan w:val="8"/>
          </w:tcPr>
          <w:p>
            <w:pPr>
              <w:spacing w:after="0" w:line="180" w:lineRule="exact"/>
              <w:rPr>
                <w:rFonts w:ascii="Arial" w:cs="Arial" w:eastAsia="Arial" w:hAnsi="Arial"/>
                <w:sz w:val="17"/>
                <w:szCs w:val="17"/>
                <w:color w:val="0000FF"/>
                <w:w w:val="88"/>
              </w:rPr>
            </w:pPr>
            <w:hyperlink r:id="rId59">
              <w:r>
                <w:rPr>
                  <w:rFonts w:ascii="Arial" w:cs="Arial" w:eastAsia="Arial" w:hAnsi="Arial"/>
                  <w:sz w:val="17"/>
                  <w:szCs w:val="17"/>
                  <w:color w:val="0000FF"/>
                  <w:w w:val="88"/>
                </w:rPr>
                <w:t>Report on Form 10-Q for the quarter ended June 30, 2014. **</w:t>
              </w:r>
            </w:hyperlink>
          </w:p>
        </w:tc>
        <w:tc>
          <w:tcPr>
            <w:tcW w:w="632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r>
      <w:tr>
        <w:trPr>
          <w:trHeight w:val="479"/>
        </w:trPr>
        <w:tc>
          <w:tcPr>
            <w:tcW w:w="920" w:type="dxa"/>
            <w:vAlign w:val="bottom"/>
            <w:gridSpan w:val="6"/>
          </w:tcPr>
          <w:p>
            <w:pPr>
              <w:spacing w:after="0"/>
              <w:rPr>
                <w:rFonts w:ascii="Arial" w:cs="Arial" w:eastAsia="Arial" w:hAnsi="Arial"/>
                <w:sz w:val="17"/>
                <w:szCs w:val="17"/>
                <w:color w:val="0000FF"/>
              </w:rPr>
            </w:pPr>
            <w:hyperlink r:id="rId60">
              <w:r>
                <w:rPr>
                  <w:rFonts w:ascii="Arial" w:cs="Arial" w:eastAsia="Arial" w:hAnsi="Arial"/>
                  <w:sz w:val="17"/>
                  <w:szCs w:val="17"/>
                  <w:color w:val="0000FF"/>
                </w:rPr>
                <w:t>10.</w:t>
              </w:r>
              <w:r>
                <w:rPr>
                  <w:rFonts w:ascii="Arial" w:cs="Arial" w:eastAsia="Arial" w:hAnsi="Arial"/>
                  <w:sz w:val="17"/>
                  <w:szCs w:val="17"/>
                  <w:u w:val="single" w:color="auto"/>
                  <w:color w:val="0000FF"/>
                </w:rPr>
                <w:t>6(l)</w:t>
              </w:r>
            </w:hyperlink>
          </w:p>
        </w:tc>
        <w:tc>
          <w:tcPr>
            <w:tcW w:w="10440" w:type="dxa"/>
            <w:vAlign w:val="bottom"/>
            <w:gridSpan w:val="18"/>
          </w:tcPr>
          <w:p>
            <w:pPr>
              <w:spacing w:after="0"/>
              <w:rPr>
                <w:rFonts w:ascii="Arial" w:cs="Arial" w:eastAsia="Arial" w:hAnsi="Arial"/>
                <w:sz w:val="17"/>
                <w:szCs w:val="17"/>
                <w:color w:val="0000FF"/>
              </w:rPr>
            </w:pPr>
            <w:hyperlink r:id="rId60">
              <w:r>
                <w:rPr>
                  <w:rFonts w:ascii="Arial" w:cs="Arial" w:eastAsia="Arial" w:hAnsi="Arial"/>
                  <w:sz w:val="17"/>
                  <w:szCs w:val="17"/>
                  <w:color w:val="0000FF"/>
                </w:rPr>
                <w:t>Form of Indemnification Agreement, incorporated by reference to the Company’s Current Report on Form 8-K dated October 31, 2006.</w:t>
              </w:r>
            </w:hyperlink>
          </w:p>
        </w:tc>
      </w:tr>
      <w:tr>
        <w:trPr>
          <w:trHeight w:val="20"/>
        </w:trPr>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360"/>
          </w:cols>
          <w:pgMar w:left="280" w:top="480" w:right="259" w:bottom="1440" w:gutter="0" w:footer="0" w:header="0"/>
        </w:sectPr>
      </w:pPr>
    </w:p>
    <w:bookmarkStart w:id="99" w:name="page100"/>
    <w:bookmarkEnd w:id="99"/>
    <w:tbl>
      <w:tblPr>
        <w:tblLayout w:type="fixed"/>
        <w:tblInd w:w="3" w:type="dxa"/>
        <w:tblCellMar>
          <w:top w:w="0" w:type="dxa"/>
          <w:left w:w="0" w:type="dxa"/>
          <w:bottom w:w="0" w:type="dxa"/>
          <w:right w:w="0" w:type="dxa"/>
        </w:tblCellMar>
      </w:tblPr>
      <w:tr>
        <w:trPr>
          <w:trHeight w:val="195"/>
        </w:trPr>
        <w:tc>
          <w:tcPr>
            <w:tcW w:w="920" w:type="dxa"/>
            <w:vAlign w:val="bottom"/>
            <w:gridSpan w:val="5"/>
          </w:tcPr>
          <w:p>
            <w:pPr>
              <w:spacing w:after="0"/>
              <w:rPr>
                <w:rFonts w:ascii="Arial" w:cs="Arial" w:eastAsia="Arial" w:hAnsi="Arial"/>
                <w:sz w:val="17"/>
                <w:szCs w:val="17"/>
                <w:color w:val="0000FF"/>
              </w:rPr>
            </w:pPr>
            <w:hyperlink r:id="rId61">
              <w:r>
                <w:rPr>
                  <w:rFonts w:ascii="Arial" w:cs="Arial" w:eastAsia="Arial" w:hAnsi="Arial"/>
                  <w:sz w:val="17"/>
                  <w:szCs w:val="17"/>
                  <w:color w:val="0000FF"/>
                </w:rPr>
                <w:t>10.</w:t>
              </w:r>
              <w:r>
                <w:rPr>
                  <w:rFonts w:ascii="Arial" w:cs="Arial" w:eastAsia="Arial" w:hAnsi="Arial"/>
                  <w:sz w:val="17"/>
                  <w:szCs w:val="17"/>
                  <w:u w:val="single" w:color="auto"/>
                  <w:color w:val="0000FF"/>
                </w:rPr>
                <w:t>7(a)</w:t>
              </w:r>
            </w:hyperlink>
          </w:p>
        </w:tc>
        <w:tc>
          <w:tcPr>
            <w:tcW w:w="10420" w:type="dxa"/>
            <w:vAlign w:val="bottom"/>
            <w:gridSpan w:val="18"/>
          </w:tcPr>
          <w:p>
            <w:pPr>
              <w:spacing w:after="0"/>
              <w:rPr>
                <w:rFonts w:ascii="Arial" w:cs="Arial" w:eastAsia="Arial" w:hAnsi="Arial"/>
                <w:sz w:val="17"/>
                <w:szCs w:val="17"/>
                <w:color w:val="0000FF"/>
                <w:w w:val="91"/>
              </w:rPr>
            </w:pPr>
            <w:hyperlink r:id="rId61">
              <w:r>
                <w:rPr>
                  <w:rFonts w:ascii="Arial" w:cs="Arial" w:eastAsia="Arial" w:hAnsi="Arial"/>
                  <w:sz w:val="17"/>
                  <w:szCs w:val="17"/>
                  <w:color w:val="0000FF"/>
                  <w:w w:val="91"/>
                </w:rPr>
                <w:t>Form of Stock Option Agreement under 2011 Equity Incentive Plan, incorporated by reference to the Company’s Quarterly Report on Form 10-Q for the</w:t>
              </w:r>
            </w:hyperlink>
          </w:p>
        </w:tc>
      </w:tr>
      <w:tr>
        <w:trPr>
          <w:trHeight w:val="179"/>
        </w:trPr>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4"/>
          </w:tcPr>
          <w:p>
            <w:pPr>
              <w:spacing w:after="0" w:line="180" w:lineRule="exact"/>
              <w:rPr>
                <w:rFonts w:ascii="Arial" w:cs="Arial" w:eastAsia="Arial" w:hAnsi="Arial"/>
                <w:sz w:val="17"/>
                <w:szCs w:val="17"/>
                <w:color w:val="0000FF"/>
                <w:w w:val="89"/>
              </w:rPr>
            </w:pPr>
            <w:hyperlink r:id="rId61">
              <w:r>
                <w:rPr>
                  <w:rFonts w:ascii="Arial" w:cs="Arial" w:eastAsia="Arial" w:hAnsi="Arial"/>
                  <w:sz w:val="17"/>
                  <w:szCs w:val="17"/>
                  <w:color w:val="0000FF"/>
                  <w:w w:val="89"/>
                </w:rPr>
                <w:t>quarter ended March 31, 2012. **</w:t>
              </w:r>
            </w:hyperlink>
          </w:p>
        </w:tc>
        <w:tc>
          <w:tcPr>
            <w:tcW w:w="8160" w:type="dxa"/>
            <w:vAlign w:val="bottom"/>
            <w:tcBorders>
              <w:top w:val="single" w:sz="8" w:color="0000FF"/>
            </w:tcBorders>
            <w:gridSpan w:val="14"/>
          </w:tcPr>
          <w:p>
            <w:pPr>
              <w:spacing w:after="0"/>
              <w:rPr>
                <w:sz w:val="15"/>
                <w:szCs w:val="15"/>
                <w:color w:val="auto"/>
              </w:rPr>
            </w:pPr>
          </w:p>
        </w:tc>
      </w:tr>
      <w:tr>
        <w:trPr>
          <w:trHeight w:val="479"/>
        </w:trPr>
        <w:tc>
          <w:tcPr>
            <w:tcW w:w="920" w:type="dxa"/>
            <w:vAlign w:val="bottom"/>
            <w:gridSpan w:val="5"/>
          </w:tcPr>
          <w:p>
            <w:pPr>
              <w:spacing w:after="0"/>
              <w:rPr>
                <w:rFonts w:ascii="Arial" w:cs="Arial" w:eastAsia="Arial" w:hAnsi="Arial"/>
                <w:sz w:val="17"/>
                <w:szCs w:val="17"/>
                <w:color w:val="0000FF"/>
              </w:rPr>
            </w:pPr>
            <w:hyperlink r:id="rId62">
              <w:r>
                <w:rPr>
                  <w:rFonts w:ascii="Arial" w:cs="Arial" w:eastAsia="Arial" w:hAnsi="Arial"/>
                  <w:sz w:val="17"/>
                  <w:szCs w:val="17"/>
                  <w:color w:val="0000FF"/>
                </w:rPr>
                <w:t>10.</w:t>
              </w:r>
              <w:r>
                <w:rPr>
                  <w:rFonts w:ascii="Arial" w:cs="Arial" w:eastAsia="Arial" w:hAnsi="Arial"/>
                  <w:sz w:val="17"/>
                  <w:szCs w:val="17"/>
                  <w:u w:val="single" w:color="auto"/>
                  <w:color w:val="0000FF"/>
                </w:rPr>
                <w:t>7(b)</w:t>
              </w:r>
            </w:hyperlink>
          </w:p>
        </w:tc>
        <w:tc>
          <w:tcPr>
            <w:tcW w:w="10420" w:type="dxa"/>
            <w:vAlign w:val="bottom"/>
            <w:gridSpan w:val="18"/>
          </w:tcPr>
          <w:p>
            <w:pPr>
              <w:spacing w:after="0"/>
              <w:rPr>
                <w:rFonts w:ascii="Arial" w:cs="Arial" w:eastAsia="Arial" w:hAnsi="Arial"/>
                <w:sz w:val="17"/>
                <w:szCs w:val="17"/>
                <w:color w:val="0000FF"/>
                <w:w w:val="90"/>
              </w:rPr>
            </w:pPr>
            <w:hyperlink r:id="rId62">
              <w:r>
                <w:rPr>
                  <w:rFonts w:ascii="Arial" w:cs="Arial" w:eastAsia="Arial" w:hAnsi="Arial"/>
                  <w:sz w:val="17"/>
                  <w:szCs w:val="17"/>
                  <w:color w:val="0000FF"/>
                  <w:w w:val="90"/>
                </w:rPr>
                <w:t>Form of Restricted Stock Unit Agreement under 2011 Equity Incentive Plan, incorporated by reference to the Company’s Quarterly Report on Form 10-Q</w:t>
              </w:r>
            </w:hyperlink>
          </w:p>
        </w:tc>
      </w:tr>
      <w:tr>
        <w:trPr>
          <w:trHeight w:val="179"/>
        </w:trPr>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740" w:type="dxa"/>
            <w:vAlign w:val="bottom"/>
            <w:tcBorders>
              <w:top w:val="single" w:sz="8" w:color="0000FF"/>
              <w:bottom w:val="single" w:sz="8" w:color="0000FF"/>
            </w:tcBorders>
            <w:gridSpan w:val="7"/>
          </w:tcPr>
          <w:p>
            <w:pPr>
              <w:spacing w:after="0" w:line="180" w:lineRule="exact"/>
              <w:rPr>
                <w:rFonts w:ascii="Arial" w:cs="Arial" w:eastAsia="Arial" w:hAnsi="Arial"/>
                <w:sz w:val="17"/>
                <w:szCs w:val="17"/>
                <w:color w:val="0000FF"/>
                <w:w w:val="89"/>
              </w:rPr>
            </w:pPr>
            <w:hyperlink r:id="rId62">
              <w:r>
                <w:rPr>
                  <w:rFonts w:ascii="Arial" w:cs="Arial" w:eastAsia="Arial" w:hAnsi="Arial"/>
                  <w:sz w:val="17"/>
                  <w:szCs w:val="17"/>
                  <w:color w:val="0000FF"/>
                  <w:w w:val="89"/>
                </w:rPr>
                <w:t>for the quarter ended March 31, 2012. **</w:t>
              </w:r>
            </w:hyperlink>
          </w:p>
        </w:tc>
        <w:tc>
          <w:tcPr>
            <w:tcW w:w="7680" w:type="dxa"/>
            <w:vAlign w:val="bottom"/>
            <w:tcBorders>
              <w:top w:val="single" w:sz="8" w:color="0000FF"/>
            </w:tcBorders>
            <w:gridSpan w:val="11"/>
          </w:tcPr>
          <w:p>
            <w:pPr>
              <w:spacing w:after="0"/>
              <w:rPr>
                <w:sz w:val="15"/>
                <w:szCs w:val="15"/>
                <w:color w:val="auto"/>
              </w:rPr>
            </w:pPr>
          </w:p>
        </w:tc>
      </w:tr>
      <w:tr>
        <w:trPr>
          <w:trHeight w:val="429"/>
        </w:trPr>
        <w:tc>
          <w:tcPr>
            <w:tcW w:w="920" w:type="dxa"/>
            <w:vAlign w:val="bottom"/>
            <w:gridSpan w:val="5"/>
          </w:tcPr>
          <w:p>
            <w:pPr>
              <w:spacing w:after="0"/>
              <w:rPr>
                <w:rFonts w:ascii="Arial" w:cs="Arial" w:eastAsia="Arial" w:hAnsi="Arial"/>
                <w:sz w:val="17"/>
                <w:szCs w:val="17"/>
                <w:color w:val="0000FF"/>
              </w:rPr>
            </w:pPr>
            <w:hyperlink r:id="rId63">
              <w:r>
                <w:rPr>
                  <w:rFonts w:ascii="Arial" w:cs="Arial" w:eastAsia="Arial" w:hAnsi="Arial"/>
                  <w:sz w:val="17"/>
                  <w:szCs w:val="17"/>
                  <w:color w:val="0000FF"/>
                </w:rPr>
                <w:t>10.</w:t>
              </w:r>
              <w:r>
                <w:rPr>
                  <w:rFonts w:ascii="Arial" w:cs="Arial" w:eastAsia="Arial" w:hAnsi="Arial"/>
                  <w:sz w:val="17"/>
                  <w:szCs w:val="17"/>
                  <w:u w:val="single" w:color="auto"/>
                  <w:color w:val="0000FF"/>
                </w:rPr>
                <w:t>7(c)</w:t>
              </w:r>
            </w:hyperlink>
          </w:p>
        </w:tc>
        <w:tc>
          <w:tcPr>
            <w:tcW w:w="10420" w:type="dxa"/>
            <w:vAlign w:val="bottom"/>
            <w:gridSpan w:val="18"/>
          </w:tcPr>
          <w:p>
            <w:pPr>
              <w:spacing w:after="0"/>
              <w:rPr>
                <w:rFonts w:ascii="Arial" w:cs="Arial" w:eastAsia="Arial" w:hAnsi="Arial"/>
                <w:sz w:val="17"/>
                <w:szCs w:val="17"/>
                <w:color w:val="0000FF"/>
                <w:w w:val="89"/>
              </w:rPr>
            </w:pPr>
            <w:hyperlink r:id="rId63">
              <w:r>
                <w:rPr>
                  <w:rFonts w:ascii="Arial" w:cs="Arial" w:eastAsia="Arial" w:hAnsi="Arial"/>
                  <w:sz w:val="17"/>
                  <w:szCs w:val="17"/>
                  <w:color w:val="0000FF"/>
                  <w:w w:val="89"/>
                </w:rPr>
                <w:t>Form of 2014 Career Share Agreement under the 2011 Equity Incentive Plan, incorporated by reference to the Company’s Quarterly Report on Form 10-Q</w:t>
              </w:r>
            </w:hyperlink>
          </w:p>
        </w:tc>
      </w:tr>
      <w:tr>
        <w:trPr>
          <w:trHeight w:val="179"/>
        </w:trPr>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740" w:type="dxa"/>
            <w:vAlign w:val="bottom"/>
            <w:tcBorders>
              <w:top w:val="single" w:sz="8" w:color="0000FF"/>
              <w:bottom w:val="single" w:sz="8" w:color="0000FF"/>
            </w:tcBorders>
            <w:gridSpan w:val="7"/>
          </w:tcPr>
          <w:p>
            <w:pPr>
              <w:spacing w:after="0" w:line="180" w:lineRule="exact"/>
              <w:rPr>
                <w:rFonts w:ascii="Arial" w:cs="Arial" w:eastAsia="Arial" w:hAnsi="Arial"/>
                <w:sz w:val="17"/>
                <w:szCs w:val="17"/>
                <w:color w:val="0000FF"/>
                <w:w w:val="89"/>
              </w:rPr>
            </w:pPr>
            <w:hyperlink r:id="rId63">
              <w:r>
                <w:rPr>
                  <w:rFonts w:ascii="Arial" w:cs="Arial" w:eastAsia="Arial" w:hAnsi="Arial"/>
                  <w:sz w:val="17"/>
                  <w:szCs w:val="17"/>
                  <w:color w:val="0000FF"/>
                  <w:w w:val="89"/>
                </w:rPr>
                <w:t>for the quarter ended March 31, 2014. **</w:t>
              </w:r>
            </w:hyperlink>
          </w:p>
        </w:tc>
        <w:tc>
          <w:tcPr>
            <w:tcW w:w="7680" w:type="dxa"/>
            <w:vAlign w:val="bottom"/>
            <w:tcBorders>
              <w:top w:val="single" w:sz="8" w:color="0000FF"/>
            </w:tcBorders>
            <w:gridSpan w:val="11"/>
          </w:tcPr>
          <w:p>
            <w:pPr>
              <w:spacing w:after="0"/>
              <w:rPr>
                <w:sz w:val="15"/>
                <w:szCs w:val="15"/>
                <w:color w:val="auto"/>
              </w:rPr>
            </w:pPr>
          </w:p>
        </w:tc>
      </w:tr>
      <w:tr>
        <w:trPr>
          <w:trHeight w:val="429"/>
        </w:trPr>
        <w:tc>
          <w:tcPr>
            <w:tcW w:w="920" w:type="dxa"/>
            <w:vAlign w:val="bottom"/>
            <w:gridSpan w:val="5"/>
          </w:tcPr>
          <w:p>
            <w:pPr>
              <w:spacing w:after="0"/>
              <w:rPr>
                <w:rFonts w:ascii="Arial" w:cs="Arial" w:eastAsia="Arial" w:hAnsi="Arial"/>
                <w:sz w:val="17"/>
                <w:szCs w:val="17"/>
                <w:color w:val="0000FF"/>
              </w:rPr>
            </w:pPr>
            <w:hyperlink r:id="rId64">
              <w:r>
                <w:rPr>
                  <w:rFonts w:ascii="Arial" w:cs="Arial" w:eastAsia="Arial" w:hAnsi="Arial"/>
                  <w:sz w:val="17"/>
                  <w:szCs w:val="17"/>
                  <w:color w:val="0000FF"/>
                </w:rPr>
                <w:t>10.</w:t>
              </w:r>
              <w:r>
                <w:rPr>
                  <w:rFonts w:ascii="Arial" w:cs="Arial" w:eastAsia="Arial" w:hAnsi="Arial"/>
                  <w:sz w:val="17"/>
                  <w:szCs w:val="17"/>
                  <w:u w:val="single" w:color="auto"/>
                  <w:color w:val="0000FF"/>
                </w:rPr>
                <w:t>7(d)</w:t>
              </w:r>
            </w:hyperlink>
          </w:p>
        </w:tc>
        <w:tc>
          <w:tcPr>
            <w:tcW w:w="10420" w:type="dxa"/>
            <w:vAlign w:val="bottom"/>
            <w:gridSpan w:val="18"/>
          </w:tcPr>
          <w:p>
            <w:pPr>
              <w:spacing w:after="0"/>
              <w:rPr>
                <w:rFonts w:ascii="Arial" w:cs="Arial" w:eastAsia="Arial" w:hAnsi="Arial"/>
                <w:sz w:val="17"/>
                <w:szCs w:val="17"/>
                <w:color w:val="0000FF"/>
                <w:w w:val="90"/>
              </w:rPr>
            </w:pPr>
            <w:hyperlink r:id="rId64">
              <w:r>
                <w:rPr>
                  <w:rFonts w:ascii="Arial" w:cs="Arial" w:eastAsia="Arial" w:hAnsi="Arial"/>
                  <w:sz w:val="17"/>
                  <w:szCs w:val="17"/>
                  <w:color w:val="0000FF"/>
                  <w:w w:val="90"/>
                </w:rPr>
                <w:t>Form of 2014 Performance Share Unit Agreement under the 2011 Equity Incentive Plan, incorporated by reference to the Company’s Quarterly Report on</w:t>
              </w:r>
            </w:hyperlink>
          </w:p>
        </w:tc>
      </w:tr>
      <w:tr>
        <w:trPr>
          <w:trHeight w:val="179"/>
        </w:trPr>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3520" w:type="dxa"/>
            <w:vAlign w:val="bottom"/>
            <w:tcBorders>
              <w:top w:val="single" w:sz="8" w:color="0000FF"/>
              <w:bottom w:val="single" w:sz="8" w:color="0000FF"/>
            </w:tcBorders>
            <w:gridSpan w:val="10"/>
          </w:tcPr>
          <w:p>
            <w:pPr>
              <w:spacing w:after="0" w:line="180" w:lineRule="exact"/>
              <w:rPr>
                <w:rFonts w:ascii="Arial" w:cs="Arial" w:eastAsia="Arial" w:hAnsi="Arial"/>
                <w:sz w:val="17"/>
                <w:szCs w:val="17"/>
                <w:color w:val="0000FF"/>
                <w:w w:val="89"/>
              </w:rPr>
            </w:pPr>
            <w:hyperlink r:id="rId64">
              <w:r>
                <w:rPr>
                  <w:rFonts w:ascii="Arial" w:cs="Arial" w:eastAsia="Arial" w:hAnsi="Arial"/>
                  <w:sz w:val="17"/>
                  <w:szCs w:val="17"/>
                  <w:color w:val="0000FF"/>
                  <w:w w:val="89"/>
                </w:rPr>
                <w:t>Form 10-Q for the quarter ended March 31, 2014. **</w:t>
              </w:r>
            </w:hyperlink>
          </w:p>
        </w:tc>
        <w:tc>
          <w:tcPr>
            <w:tcW w:w="6900" w:type="dxa"/>
            <w:vAlign w:val="bottom"/>
            <w:tcBorders>
              <w:top w:val="single" w:sz="8" w:color="0000FF"/>
            </w:tcBorders>
            <w:gridSpan w:val="8"/>
          </w:tcPr>
          <w:p>
            <w:pPr>
              <w:spacing w:after="0"/>
              <w:rPr>
                <w:sz w:val="15"/>
                <w:szCs w:val="15"/>
                <w:color w:val="auto"/>
              </w:rPr>
            </w:pPr>
          </w:p>
        </w:tc>
      </w:tr>
      <w:tr>
        <w:trPr>
          <w:trHeight w:val="429"/>
        </w:trPr>
        <w:tc>
          <w:tcPr>
            <w:tcW w:w="920" w:type="dxa"/>
            <w:vAlign w:val="bottom"/>
            <w:gridSpan w:val="5"/>
          </w:tcPr>
          <w:p>
            <w:pPr>
              <w:spacing w:after="0"/>
              <w:rPr>
                <w:rFonts w:ascii="Arial" w:cs="Arial" w:eastAsia="Arial" w:hAnsi="Arial"/>
                <w:sz w:val="17"/>
                <w:szCs w:val="17"/>
                <w:color w:val="0000FF"/>
              </w:rPr>
            </w:pPr>
            <w:hyperlink r:id="rId65">
              <w:r>
                <w:rPr>
                  <w:rFonts w:ascii="Arial" w:cs="Arial" w:eastAsia="Arial" w:hAnsi="Arial"/>
                  <w:sz w:val="17"/>
                  <w:szCs w:val="17"/>
                  <w:color w:val="0000FF"/>
                </w:rPr>
                <w:t>10.</w:t>
              </w:r>
              <w:r>
                <w:rPr>
                  <w:rFonts w:ascii="Arial" w:cs="Arial" w:eastAsia="Arial" w:hAnsi="Arial"/>
                  <w:sz w:val="17"/>
                  <w:szCs w:val="17"/>
                  <w:u w:val="single" w:color="auto"/>
                  <w:color w:val="0000FF"/>
                </w:rPr>
                <w:t>7(e)</w:t>
              </w:r>
            </w:hyperlink>
          </w:p>
        </w:tc>
        <w:tc>
          <w:tcPr>
            <w:tcW w:w="10420" w:type="dxa"/>
            <w:vAlign w:val="bottom"/>
            <w:gridSpan w:val="18"/>
          </w:tcPr>
          <w:p>
            <w:pPr>
              <w:spacing w:after="0"/>
              <w:rPr>
                <w:rFonts w:ascii="Arial" w:cs="Arial" w:eastAsia="Arial" w:hAnsi="Arial"/>
                <w:sz w:val="17"/>
                <w:szCs w:val="17"/>
                <w:color w:val="0000FF"/>
                <w:w w:val="90"/>
              </w:rPr>
            </w:pPr>
            <w:hyperlink r:id="rId65">
              <w:r>
                <w:rPr>
                  <w:rFonts w:ascii="Arial" w:cs="Arial" w:eastAsia="Arial" w:hAnsi="Arial"/>
                  <w:sz w:val="17"/>
                  <w:szCs w:val="17"/>
                  <w:color w:val="0000FF"/>
                  <w:w w:val="90"/>
                </w:rPr>
                <w:t>Form of 2016 Performance Share Unit Agreement under 2011 Equity Incentive Plan of ManpowerGroup Inc., incorporated by reference to the Company's</w:t>
              </w:r>
            </w:hyperlink>
          </w:p>
        </w:tc>
      </w:tr>
      <w:tr>
        <w:trPr>
          <w:trHeight w:val="179"/>
        </w:trPr>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13"/>
          </w:tcPr>
          <w:p>
            <w:pPr>
              <w:spacing w:after="0" w:line="180" w:lineRule="exact"/>
              <w:rPr>
                <w:rFonts w:ascii="Arial" w:cs="Arial" w:eastAsia="Arial" w:hAnsi="Arial"/>
                <w:sz w:val="17"/>
                <w:szCs w:val="17"/>
                <w:color w:val="0000FF"/>
                <w:w w:val="89"/>
              </w:rPr>
            </w:pPr>
            <w:hyperlink r:id="rId65">
              <w:r>
                <w:rPr>
                  <w:rFonts w:ascii="Arial" w:cs="Arial" w:eastAsia="Arial" w:hAnsi="Arial"/>
                  <w:sz w:val="17"/>
                  <w:szCs w:val="17"/>
                  <w:color w:val="0000FF"/>
                  <w:w w:val="89"/>
                </w:rPr>
                <w:t>Quarterly Report on Form 10-Q for the Quarter ended March 31, 2016. **</w:t>
              </w:r>
            </w:hyperlink>
          </w:p>
        </w:tc>
        <w:tc>
          <w:tcPr>
            <w:tcW w:w="5480" w:type="dxa"/>
            <w:vAlign w:val="bottom"/>
            <w:tcBorders>
              <w:top w:val="single" w:sz="8" w:color="0000FF"/>
            </w:tcBorders>
            <w:gridSpan w:val="5"/>
          </w:tcPr>
          <w:p>
            <w:pPr>
              <w:spacing w:after="0"/>
              <w:rPr>
                <w:sz w:val="15"/>
                <w:szCs w:val="15"/>
                <w:color w:val="auto"/>
              </w:rPr>
            </w:pPr>
          </w:p>
        </w:tc>
      </w:tr>
      <w:tr>
        <w:trPr>
          <w:trHeight w:val="479"/>
        </w:trPr>
        <w:tc>
          <w:tcPr>
            <w:tcW w:w="920" w:type="dxa"/>
            <w:vAlign w:val="bottom"/>
            <w:gridSpan w:val="5"/>
          </w:tcPr>
          <w:p>
            <w:pPr>
              <w:spacing w:after="0"/>
              <w:rPr>
                <w:rFonts w:ascii="Arial" w:cs="Arial" w:eastAsia="Arial" w:hAnsi="Arial"/>
                <w:sz w:val="17"/>
                <w:szCs w:val="17"/>
                <w:color w:val="0000FF"/>
              </w:rPr>
            </w:pPr>
            <w:hyperlink r:id="rId66">
              <w:r>
                <w:rPr>
                  <w:rFonts w:ascii="Arial" w:cs="Arial" w:eastAsia="Arial" w:hAnsi="Arial"/>
                  <w:sz w:val="17"/>
                  <w:szCs w:val="17"/>
                  <w:color w:val="0000FF"/>
                </w:rPr>
                <w:t>10.</w:t>
              </w:r>
              <w:r>
                <w:rPr>
                  <w:rFonts w:ascii="Arial" w:cs="Arial" w:eastAsia="Arial" w:hAnsi="Arial"/>
                  <w:sz w:val="17"/>
                  <w:szCs w:val="17"/>
                  <w:u w:val="single" w:color="auto"/>
                  <w:color w:val="0000FF"/>
                </w:rPr>
                <w:t>8(a)</w:t>
              </w:r>
            </w:hyperlink>
          </w:p>
        </w:tc>
        <w:tc>
          <w:tcPr>
            <w:tcW w:w="10420" w:type="dxa"/>
            <w:vAlign w:val="bottom"/>
            <w:gridSpan w:val="18"/>
          </w:tcPr>
          <w:p>
            <w:pPr>
              <w:spacing w:after="0"/>
              <w:rPr>
                <w:rFonts w:ascii="Arial" w:cs="Arial" w:eastAsia="Arial" w:hAnsi="Arial"/>
                <w:sz w:val="17"/>
                <w:szCs w:val="17"/>
                <w:color w:val="0000FF"/>
                <w:w w:val="88"/>
              </w:rPr>
            </w:pPr>
            <w:hyperlink r:id="rId66">
              <w:r>
                <w:rPr>
                  <w:rFonts w:ascii="Arial" w:cs="Arial" w:eastAsia="Arial" w:hAnsi="Arial"/>
                  <w:sz w:val="17"/>
                  <w:szCs w:val="17"/>
                  <w:color w:val="0000FF"/>
                  <w:w w:val="88"/>
                </w:rPr>
                <w:t>Severance Agreement between Ram Chandrashekar and the Company dated August 2, 2018, incorporated by reference to the Company's Quarterly Report</w:t>
              </w:r>
            </w:hyperlink>
          </w:p>
        </w:tc>
      </w:tr>
      <w:tr>
        <w:trPr>
          <w:trHeight w:val="179"/>
        </w:trPr>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3600" w:type="dxa"/>
            <w:vAlign w:val="bottom"/>
            <w:tcBorders>
              <w:top w:val="single" w:sz="8" w:color="0000FF"/>
              <w:bottom w:val="single" w:sz="8" w:color="0000FF"/>
            </w:tcBorders>
            <w:gridSpan w:val="11"/>
          </w:tcPr>
          <w:p>
            <w:pPr>
              <w:spacing w:after="0" w:line="180" w:lineRule="exact"/>
              <w:rPr>
                <w:rFonts w:ascii="Arial" w:cs="Arial" w:eastAsia="Arial" w:hAnsi="Arial"/>
                <w:sz w:val="17"/>
                <w:szCs w:val="17"/>
                <w:color w:val="0000FF"/>
                <w:w w:val="88"/>
              </w:rPr>
            </w:pPr>
            <w:hyperlink r:id="rId66">
              <w:r>
                <w:rPr>
                  <w:rFonts w:ascii="Arial" w:cs="Arial" w:eastAsia="Arial" w:hAnsi="Arial"/>
                  <w:sz w:val="17"/>
                  <w:szCs w:val="17"/>
                  <w:color w:val="0000FF"/>
                  <w:w w:val="88"/>
                </w:rPr>
                <w:t>on Form 10-Q for the quarter ended June 30, 2018. **</w:t>
              </w:r>
            </w:hyperlink>
          </w:p>
        </w:tc>
        <w:tc>
          <w:tcPr>
            <w:tcW w:w="6820" w:type="dxa"/>
            <w:vAlign w:val="bottom"/>
            <w:tcBorders>
              <w:top w:val="single" w:sz="8" w:color="0000FF"/>
            </w:tcBorders>
            <w:gridSpan w:val="7"/>
          </w:tcPr>
          <w:p>
            <w:pPr>
              <w:spacing w:after="0"/>
              <w:rPr>
                <w:sz w:val="15"/>
                <w:szCs w:val="15"/>
                <w:color w:val="auto"/>
              </w:rPr>
            </w:pPr>
          </w:p>
        </w:tc>
      </w:tr>
      <w:tr>
        <w:trPr>
          <w:trHeight w:val="479"/>
        </w:trPr>
        <w:tc>
          <w:tcPr>
            <w:tcW w:w="920" w:type="dxa"/>
            <w:vAlign w:val="bottom"/>
            <w:gridSpan w:val="5"/>
          </w:tcPr>
          <w:p>
            <w:pPr>
              <w:spacing w:after="0"/>
              <w:rPr>
                <w:rFonts w:ascii="Arial" w:cs="Arial" w:eastAsia="Arial" w:hAnsi="Arial"/>
                <w:sz w:val="17"/>
                <w:szCs w:val="17"/>
                <w:color w:val="0000FF"/>
              </w:rPr>
            </w:pPr>
            <w:hyperlink r:id="rId67">
              <w:r>
                <w:rPr>
                  <w:rFonts w:ascii="Arial" w:cs="Arial" w:eastAsia="Arial" w:hAnsi="Arial"/>
                  <w:sz w:val="17"/>
                  <w:szCs w:val="17"/>
                  <w:color w:val="0000FF"/>
                </w:rPr>
                <w:t>10.</w:t>
              </w:r>
              <w:r>
                <w:rPr>
                  <w:rFonts w:ascii="Arial" w:cs="Arial" w:eastAsia="Arial" w:hAnsi="Arial"/>
                  <w:sz w:val="17"/>
                  <w:szCs w:val="17"/>
                  <w:u w:val="single" w:color="auto"/>
                  <w:color w:val="0000FF"/>
                </w:rPr>
                <w:t>8(b)</w:t>
              </w:r>
            </w:hyperlink>
          </w:p>
        </w:tc>
        <w:tc>
          <w:tcPr>
            <w:tcW w:w="10420" w:type="dxa"/>
            <w:vAlign w:val="bottom"/>
            <w:gridSpan w:val="18"/>
          </w:tcPr>
          <w:p>
            <w:pPr>
              <w:spacing w:after="0"/>
              <w:rPr>
                <w:rFonts w:ascii="Arial" w:cs="Arial" w:eastAsia="Arial" w:hAnsi="Arial"/>
                <w:sz w:val="17"/>
                <w:szCs w:val="17"/>
                <w:color w:val="0000FF"/>
                <w:w w:val="87"/>
              </w:rPr>
            </w:pPr>
            <w:hyperlink r:id="rId67">
              <w:r>
                <w:rPr>
                  <w:rFonts w:ascii="Arial" w:cs="Arial" w:eastAsia="Arial" w:hAnsi="Arial"/>
                  <w:sz w:val="17"/>
                  <w:szCs w:val="17"/>
                  <w:color w:val="0000FF"/>
                  <w:w w:val="87"/>
                </w:rPr>
                <w:t>Letter Agreement between Ram Chandrashekar and the Company dated March 8, 2013, incorporated by reference to the Company's Annual Report on Form</w:t>
              </w:r>
            </w:hyperlink>
          </w:p>
        </w:tc>
      </w:tr>
      <w:tr>
        <w:trPr>
          <w:trHeight w:val="179"/>
        </w:trPr>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10420" w:type="dxa"/>
            <w:vAlign w:val="bottom"/>
            <w:tcBorders>
              <w:top w:val="single" w:sz="8" w:color="0000FF"/>
            </w:tcBorders>
            <w:gridSpan w:val="18"/>
          </w:tcPr>
          <w:p>
            <w:pPr>
              <w:spacing w:after="0" w:line="180" w:lineRule="exact"/>
              <w:rPr>
                <w:rFonts w:ascii="Arial" w:cs="Arial" w:eastAsia="Arial" w:hAnsi="Arial"/>
                <w:sz w:val="17"/>
                <w:szCs w:val="17"/>
                <w:color w:val="0000FF"/>
              </w:rPr>
            </w:pPr>
            <w:hyperlink r:id="rId67">
              <w:r>
                <w:rPr>
                  <w:rFonts w:ascii="Arial" w:cs="Arial" w:eastAsia="Arial" w:hAnsi="Arial"/>
                  <w:sz w:val="17"/>
                  <w:szCs w:val="17"/>
                  <w:color w:val="0000FF"/>
                </w:rPr>
                <w:t>10-K for the year ended December 31, 2014. **</w:t>
              </w:r>
            </w:hyperlink>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79"/>
        </w:trPr>
        <w:tc>
          <w:tcPr>
            <w:tcW w:w="920" w:type="dxa"/>
            <w:vAlign w:val="bottom"/>
            <w:gridSpan w:val="5"/>
          </w:tcPr>
          <w:p>
            <w:pPr>
              <w:spacing w:after="0"/>
              <w:rPr>
                <w:rFonts w:ascii="Arial" w:cs="Arial" w:eastAsia="Arial" w:hAnsi="Arial"/>
                <w:sz w:val="17"/>
                <w:szCs w:val="17"/>
                <w:color w:val="0000FF"/>
              </w:rPr>
            </w:pPr>
            <w:hyperlink r:id="rId68">
              <w:r>
                <w:rPr>
                  <w:rFonts w:ascii="Arial" w:cs="Arial" w:eastAsia="Arial" w:hAnsi="Arial"/>
                  <w:sz w:val="17"/>
                  <w:szCs w:val="17"/>
                  <w:color w:val="0000FF"/>
                </w:rPr>
                <w:t>10.</w:t>
              </w:r>
              <w:r>
                <w:rPr>
                  <w:rFonts w:ascii="Arial" w:cs="Arial" w:eastAsia="Arial" w:hAnsi="Arial"/>
                  <w:sz w:val="17"/>
                  <w:szCs w:val="17"/>
                  <w:u w:val="single" w:color="auto"/>
                  <w:color w:val="0000FF"/>
                </w:rPr>
                <w:t>9(a)</w:t>
              </w:r>
            </w:hyperlink>
          </w:p>
        </w:tc>
        <w:tc>
          <w:tcPr>
            <w:tcW w:w="10420" w:type="dxa"/>
            <w:vAlign w:val="bottom"/>
            <w:gridSpan w:val="18"/>
          </w:tcPr>
          <w:p>
            <w:pPr>
              <w:spacing w:after="0"/>
              <w:rPr>
                <w:rFonts w:ascii="Arial" w:cs="Arial" w:eastAsia="Arial" w:hAnsi="Arial"/>
                <w:sz w:val="17"/>
                <w:szCs w:val="17"/>
                <w:color w:val="0000FF"/>
                <w:w w:val="88"/>
              </w:rPr>
            </w:pPr>
            <w:hyperlink r:id="rId68">
              <w:r>
                <w:rPr>
                  <w:rFonts w:ascii="Arial" w:cs="Arial" w:eastAsia="Arial" w:hAnsi="Arial"/>
                  <w:sz w:val="17"/>
                  <w:szCs w:val="17"/>
                  <w:color w:val="0000FF"/>
                  <w:w w:val="88"/>
                </w:rPr>
                <w:t>Severance Agreement between John T. McGinnis and the Company dated December 12, 2018, incorporated by reference to the Company's Current Report</w:t>
              </w:r>
            </w:hyperlink>
          </w:p>
        </w:tc>
      </w:tr>
      <w:tr>
        <w:trPr>
          <w:trHeight w:val="179"/>
        </w:trPr>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10420" w:type="dxa"/>
            <w:vAlign w:val="bottom"/>
            <w:tcBorders>
              <w:top w:val="single" w:sz="8" w:color="0000FF"/>
            </w:tcBorders>
            <w:gridSpan w:val="18"/>
          </w:tcPr>
          <w:p>
            <w:pPr>
              <w:spacing w:after="0" w:line="180" w:lineRule="exact"/>
              <w:rPr>
                <w:rFonts w:ascii="Arial" w:cs="Arial" w:eastAsia="Arial" w:hAnsi="Arial"/>
                <w:sz w:val="17"/>
                <w:szCs w:val="17"/>
                <w:color w:val="0000FF"/>
              </w:rPr>
            </w:pPr>
            <w:hyperlink r:id="rId68">
              <w:r>
                <w:rPr>
                  <w:rFonts w:ascii="Arial" w:cs="Arial" w:eastAsia="Arial" w:hAnsi="Arial"/>
                  <w:sz w:val="17"/>
                  <w:szCs w:val="17"/>
                  <w:color w:val="0000FF"/>
                </w:rPr>
                <w:t>on Form 8-K dated December 12, 2018. **</w:t>
              </w:r>
            </w:hyperlink>
          </w:p>
        </w:tc>
      </w:tr>
      <w:tr>
        <w:trPr>
          <w:trHeight w:val="20"/>
        </w:trPr>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29"/>
        </w:trPr>
        <w:tc>
          <w:tcPr>
            <w:tcW w:w="920" w:type="dxa"/>
            <w:vAlign w:val="bottom"/>
            <w:gridSpan w:val="5"/>
          </w:tcPr>
          <w:p>
            <w:pPr>
              <w:spacing w:after="0"/>
              <w:rPr>
                <w:rFonts w:ascii="Arial" w:cs="Arial" w:eastAsia="Arial" w:hAnsi="Arial"/>
                <w:sz w:val="17"/>
                <w:szCs w:val="17"/>
                <w:color w:val="0000FF"/>
              </w:rPr>
            </w:pPr>
            <w:hyperlink r:id="rId69">
              <w:r>
                <w:rPr>
                  <w:rFonts w:ascii="Arial" w:cs="Arial" w:eastAsia="Arial" w:hAnsi="Arial"/>
                  <w:sz w:val="17"/>
                  <w:szCs w:val="17"/>
                  <w:color w:val="0000FF"/>
                </w:rPr>
                <w:t>10.</w:t>
              </w:r>
              <w:r>
                <w:rPr>
                  <w:rFonts w:ascii="Arial" w:cs="Arial" w:eastAsia="Arial" w:hAnsi="Arial"/>
                  <w:sz w:val="17"/>
                  <w:szCs w:val="17"/>
                  <w:u w:val="single" w:color="auto"/>
                  <w:color w:val="0000FF"/>
                </w:rPr>
                <w:t>9(b)</w:t>
              </w:r>
            </w:hyperlink>
          </w:p>
        </w:tc>
        <w:tc>
          <w:tcPr>
            <w:tcW w:w="10420" w:type="dxa"/>
            <w:vAlign w:val="bottom"/>
            <w:gridSpan w:val="18"/>
          </w:tcPr>
          <w:p>
            <w:pPr>
              <w:spacing w:after="0"/>
              <w:rPr>
                <w:rFonts w:ascii="Arial" w:cs="Arial" w:eastAsia="Arial" w:hAnsi="Arial"/>
                <w:sz w:val="17"/>
                <w:szCs w:val="17"/>
                <w:color w:val="0000FF"/>
                <w:w w:val="88"/>
              </w:rPr>
            </w:pPr>
            <w:hyperlink r:id="rId69">
              <w:r>
                <w:rPr>
                  <w:rFonts w:ascii="Arial" w:cs="Arial" w:eastAsia="Arial" w:hAnsi="Arial"/>
                  <w:sz w:val="17"/>
                  <w:szCs w:val="17"/>
                  <w:color w:val="0000FF"/>
                  <w:w w:val="88"/>
                </w:rPr>
                <w:t>Letter Agreement between John T. McGinnis and the Company dated as of November 17, 2015, incorporated by reference to the Company's Current Report</w:t>
              </w:r>
            </w:hyperlink>
          </w:p>
        </w:tc>
      </w:tr>
      <w:tr>
        <w:trPr>
          <w:trHeight w:val="179"/>
        </w:trPr>
        <w:tc>
          <w:tcPr>
            <w:tcW w:w="1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2700" w:type="dxa"/>
            <w:vAlign w:val="bottom"/>
            <w:tcBorders>
              <w:top w:val="single" w:sz="8" w:color="0000FF"/>
              <w:bottom w:val="single" w:sz="8" w:color="0000FF"/>
            </w:tcBorders>
            <w:gridSpan w:val="6"/>
          </w:tcPr>
          <w:p>
            <w:pPr>
              <w:spacing w:after="0" w:line="180" w:lineRule="exact"/>
              <w:rPr>
                <w:rFonts w:ascii="Arial" w:cs="Arial" w:eastAsia="Arial" w:hAnsi="Arial"/>
                <w:sz w:val="17"/>
                <w:szCs w:val="17"/>
                <w:color w:val="0000FF"/>
                <w:w w:val="89"/>
              </w:rPr>
            </w:pPr>
            <w:hyperlink r:id="rId69">
              <w:r>
                <w:rPr>
                  <w:rFonts w:ascii="Arial" w:cs="Arial" w:eastAsia="Arial" w:hAnsi="Arial"/>
                  <w:sz w:val="17"/>
                  <w:szCs w:val="17"/>
                  <w:color w:val="0000FF"/>
                  <w:w w:val="89"/>
                </w:rPr>
                <w:t>on Form 8-K dated January 28, 2016. **</w:t>
              </w:r>
            </w:hyperlink>
          </w:p>
        </w:tc>
        <w:tc>
          <w:tcPr>
            <w:tcW w:w="7720" w:type="dxa"/>
            <w:vAlign w:val="bottom"/>
            <w:tcBorders>
              <w:top w:val="single" w:sz="8" w:color="0000FF"/>
            </w:tcBorders>
            <w:gridSpan w:val="12"/>
          </w:tcPr>
          <w:p>
            <w:pPr>
              <w:spacing w:after="0"/>
              <w:rPr>
                <w:sz w:val="15"/>
                <w:szCs w:val="15"/>
                <w:color w:val="auto"/>
              </w:rPr>
            </w:pPr>
          </w:p>
        </w:tc>
      </w:tr>
      <w:tr>
        <w:trPr>
          <w:trHeight w:val="429"/>
        </w:trPr>
        <w:tc>
          <w:tcPr>
            <w:tcW w:w="380" w:type="dxa"/>
            <w:vAlign w:val="bottom"/>
            <w:tcBorders>
              <w:bottom w:val="single" w:sz="8" w:color="0000FF"/>
            </w:tcBorders>
            <w:gridSpan w:val="3"/>
          </w:tcPr>
          <w:p>
            <w:pPr>
              <w:spacing w:after="0"/>
              <w:rPr>
                <w:rFonts w:ascii="Arial" w:cs="Arial" w:eastAsia="Arial" w:hAnsi="Arial"/>
                <w:sz w:val="17"/>
                <w:szCs w:val="17"/>
                <w:color w:val="0000FF"/>
                <w:w w:val="84"/>
              </w:rPr>
            </w:pPr>
            <w:hyperlink r:id="rId70">
              <w:r>
                <w:rPr>
                  <w:rFonts w:ascii="Arial" w:cs="Arial" w:eastAsia="Arial" w:hAnsi="Arial"/>
                  <w:sz w:val="17"/>
                  <w:szCs w:val="17"/>
                  <w:color w:val="0000FF"/>
                  <w:w w:val="84"/>
                </w:rPr>
                <w:t>10.</w:t>
              </w:r>
              <w:r>
                <w:rPr>
                  <w:rFonts w:ascii="Arial" w:cs="Arial" w:eastAsia="Arial" w:hAnsi="Arial"/>
                  <w:sz w:val="17"/>
                  <w:szCs w:val="17"/>
                  <w:u w:val="single" w:color="auto"/>
                  <w:color w:val="0000FF"/>
                  <w:w w:val="84"/>
                </w:rPr>
                <w:t>10</w:t>
              </w:r>
            </w:hyperlink>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20" w:type="dxa"/>
            <w:vAlign w:val="bottom"/>
            <w:tcBorders>
              <w:bottom w:val="single" w:sz="8" w:color="0000FF"/>
            </w:tcBorders>
            <w:gridSpan w:val="17"/>
          </w:tcPr>
          <w:p>
            <w:pPr>
              <w:spacing w:after="0"/>
              <w:rPr>
                <w:rFonts w:ascii="Arial" w:cs="Arial" w:eastAsia="Arial" w:hAnsi="Arial"/>
                <w:sz w:val="17"/>
                <w:szCs w:val="17"/>
                <w:color w:val="0000FF"/>
                <w:w w:val="89"/>
              </w:rPr>
            </w:pPr>
            <w:hyperlink r:id="rId70">
              <w:r>
                <w:rPr>
                  <w:rFonts w:ascii="Arial" w:cs="Arial" w:eastAsia="Arial" w:hAnsi="Arial"/>
                  <w:sz w:val="17"/>
                  <w:szCs w:val="17"/>
                  <w:color w:val="0000FF"/>
                  <w:w w:val="89"/>
                </w:rPr>
                <w:t>ManpowerGroup Inc. Annual Incentive Plan, incorporated by reference to the Company's Current Report on Form 8-K dated February 15, 2018. **</w:t>
              </w:r>
            </w:hyperlink>
          </w:p>
        </w:tc>
        <w:tc>
          <w:tcPr>
            <w:tcW w:w="600" w:type="dxa"/>
            <w:vAlign w:val="bottom"/>
          </w:tcPr>
          <w:p>
            <w:pPr>
              <w:spacing w:after="0"/>
              <w:rPr>
                <w:sz w:val="24"/>
                <w:szCs w:val="24"/>
                <w:color w:val="auto"/>
              </w:rPr>
            </w:pPr>
          </w:p>
        </w:tc>
      </w:tr>
      <w:tr>
        <w:trPr>
          <w:trHeight w:val="479"/>
        </w:trPr>
        <w:tc>
          <w:tcPr>
            <w:tcW w:w="280" w:type="dxa"/>
            <w:vAlign w:val="bottom"/>
            <w:gridSpan w:val="2"/>
          </w:tcPr>
          <w:p>
            <w:pPr>
              <w:spacing w:after="0"/>
              <w:rPr>
                <w:rFonts w:ascii="Arial" w:cs="Arial" w:eastAsia="Arial" w:hAnsi="Arial"/>
                <w:sz w:val="17"/>
                <w:szCs w:val="17"/>
                <w:color w:val="0000FF"/>
                <w:w w:val="78"/>
              </w:rPr>
            </w:pPr>
            <w:hyperlink w:anchor="page113">
              <w:r>
                <w:rPr>
                  <w:rFonts w:ascii="Arial" w:cs="Arial" w:eastAsia="Arial" w:hAnsi="Arial"/>
                  <w:sz w:val="17"/>
                  <w:szCs w:val="17"/>
                  <w:color w:val="0000FF"/>
                  <w:w w:val="78"/>
                </w:rPr>
                <w:t>12.</w:t>
              </w:r>
              <w:r>
                <w:rPr>
                  <w:rFonts w:ascii="Arial" w:cs="Arial" w:eastAsia="Arial" w:hAnsi="Arial"/>
                  <w:sz w:val="17"/>
                  <w:szCs w:val="17"/>
                  <w:u w:val="single" w:color="auto"/>
                  <w:color w:val="0000FF"/>
                  <w:w w:val="78"/>
                </w:rPr>
                <w:t>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17"/>
                <w:szCs w:val="17"/>
                <w:color w:val="0000FF"/>
              </w:rPr>
            </w:pPr>
            <w:hyperlink w:anchor="page113">
              <w:r>
                <w:rPr>
                  <w:rFonts w:ascii="Arial" w:cs="Arial" w:eastAsia="Arial" w:hAnsi="Arial"/>
                  <w:sz w:val="17"/>
                  <w:szCs w:val="17"/>
                  <w:color w:val="0000FF"/>
                </w:rPr>
                <w:t>Statement Regarding Computation of Ratio of Earnings to Fixed Charges</w:t>
              </w:r>
            </w:hyperlink>
            <w:r>
              <w:rPr>
                <w:rFonts w:ascii="Arial" w:cs="Arial" w:eastAsia="Arial" w:hAnsi="Arial"/>
                <w:sz w:val="17"/>
                <w:szCs w:val="17"/>
                <w:color w:val="000000"/>
              </w:rPr>
              <w:t>.</w:t>
            </w:r>
          </w:p>
        </w:tc>
      </w:tr>
      <w:tr>
        <w:trPr>
          <w:trHeight w:val="429"/>
        </w:trPr>
        <w:tc>
          <w:tcPr>
            <w:tcW w:w="160" w:type="dxa"/>
            <w:vAlign w:val="bottom"/>
            <w:tcBorders>
              <w:top w:val="single" w:sz="8" w:color="0000FF"/>
              <w:bottom w:val="single" w:sz="8" w:color="0000FF"/>
            </w:tcBorders>
          </w:tcPr>
          <w:p>
            <w:pPr>
              <w:spacing w:after="0"/>
              <w:rPr>
                <w:rFonts w:ascii="Arial" w:cs="Arial" w:eastAsia="Arial" w:hAnsi="Arial"/>
                <w:sz w:val="17"/>
                <w:szCs w:val="17"/>
                <w:color w:val="0000FF"/>
                <w:w w:val="73"/>
              </w:rPr>
            </w:pPr>
            <w:hyperlink w:anchor="page114">
              <w:r>
                <w:rPr>
                  <w:rFonts w:ascii="Arial" w:cs="Arial" w:eastAsia="Arial" w:hAnsi="Arial"/>
                  <w:sz w:val="17"/>
                  <w:szCs w:val="17"/>
                  <w:color w:val="0000FF"/>
                  <w:w w:val="73"/>
                </w:rPr>
                <w:t>21</w:t>
              </w:r>
            </w:hyperlink>
          </w:p>
        </w:tc>
        <w:tc>
          <w:tcPr>
            <w:tcW w:w="1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60" w:type="dxa"/>
            <w:vAlign w:val="bottom"/>
            <w:tcBorders>
              <w:top w:val="single" w:sz="8" w:color="0000FF"/>
              <w:bottom w:val="single" w:sz="8" w:color="0000FF"/>
            </w:tcBorders>
            <w:gridSpan w:val="3"/>
          </w:tcPr>
          <w:p>
            <w:pPr>
              <w:spacing w:after="0"/>
              <w:rPr>
                <w:rFonts w:ascii="Arial" w:cs="Arial" w:eastAsia="Arial" w:hAnsi="Arial"/>
                <w:sz w:val="17"/>
                <w:szCs w:val="17"/>
                <w:color w:val="0000FF"/>
                <w:w w:val="87"/>
              </w:rPr>
            </w:pPr>
            <w:hyperlink w:anchor="page114">
              <w:r>
                <w:rPr>
                  <w:rFonts w:ascii="Arial" w:cs="Arial" w:eastAsia="Arial" w:hAnsi="Arial"/>
                  <w:sz w:val="17"/>
                  <w:szCs w:val="17"/>
                  <w:color w:val="0000FF"/>
                  <w:w w:val="87"/>
                </w:rPr>
                <w:t>Subsidiaries of the Company.</w:t>
              </w:r>
            </w:hyperlink>
          </w:p>
        </w:tc>
        <w:tc>
          <w:tcPr>
            <w:tcW w:w="2920" w:type="dxa"/>
            <w:vAlign w:val="bottom"/>
            <w:tcBorders>
              <w:top w:val="single" w:sz="8" w:color="0000FF"/>
            </w:tcBorders>
            <w:gridSpan w:val="9"/>
          </w:tcPr>
          <w:p>
            <w:pPr>
              <w:spacing w:after="0"/>
              <w:rPr>
                <w:sz w:val="24"/>
                <w:szCs w:val="24"/>
                <w:color w:val="auto"/>
              </w:rPr>
            </w:pPr>
          </w:p>
        </w:tc>
        <w:tc>
          <w:tcPr>
            <w:tcW w:w="5540" w:type="dxa"/>
            <w:vAlign w:val="bottom"/>
            <w:gridSpan w:val="6"/>
          </w:tcPr>
          <w:p>
            <w:pPr>
              <w:spacing w:after="0"/>
              <w:rPr>
                <w:sz w:val="24"/>
                <w:szCs w:val="24"/>
                <w:color w:val="auto"/>
              </w:rPr>
            </w:pPr>
          </w:p>
        </w:tc>
      </w:tr>
      <w:tr>
        <w:trPr>
          <w:trHeight w:val="479"/>
        </w:trPr>
        <w:tc>
          <w:tcPr>
            <w:tcW w:w="280" w:type="dxa"/>
            <w:vAlign w:val="bottom"/>
            <w:tcBorders>
              <w:bottom w:val="single" w:sz="8" w:color="0000FF"/>
            </w:tcBorders>
            <w:gridSpan w:val="2"/>
          </w:tcPr>
          <w:p>
            <w:pPr>
              <w:spacing w:after="0"/>
              <w:rPr>
                <w:rFonts w:ascii="Arial" w:cs="Arial" w:eastAsia="Arial" w:hAnsi="Arial"/>
                <w:sz w:val="17"/>
                <w:szCs w:val="17"/>
                <w:color w:val="0000FF"/>
                <w:w w:val="78"/>
              </w:rPr>
            </w:pPr>
            <w:hyperlink w:anchor="page122">
              <w:r>
                <w:rPr>
                  <w:rFonts w:ascii="Arial" w:cs="Arial" w:eastAsia="Arial" w:hAnsi="Arial"/>
                  <w:sz w:val="17"/>
                  <w:szCs w:val="17"/>
                  <w:color w:val="0000FF"/>
                  <w:w w:val="78"/>
                </w:rPr>
                <w:t>23.</w:t>
              </w:r>
              <w:r>
                <w:rPr>
                  <w:rFonts w:ascii="Arial" w:cs="Arial" w:eastAsia="Arial" w:hAnsi="Arial"/>
                  <w:sz w:val="17"/>
                  <w:szCs w:val="17"/>
                  <w:u w:val="single" w:color="auto"/>
                  <w:color w:val="0000FF"/>
                  <w:w w:val="78"/>
                </w:rPr>
                <w:t>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Borders>
              <w:bottom w:val="single" w:sz="8" w:color="0000FF"/>
            </w:tcBorders>
            <w:gridSpan w:val="5"/>
          </w:tcPr>
          <w:p>
            <w:pPr>
              <w:spacing w:after="0"/>
              <w:rPr>
                <w:rFonts w:ascii="Arial" w:cs="Arial" w:eastAsia="Arial" w:hAnsi="Arial"/>
                <w:sz w:val="17"/>
                <w:szCs w:val="17"/>
                <w:color w:val="0000FF"/>
                <w:w w:val="89"/>
              </w:rPr>
            </w:pPr>
            <w:hyperlink w:anchor="page122">
              <w:r>
                <w:rPr>
                  <w:rFonts w:ascii="Arial" w:cs="Arial" w:eastAsia="Arial" w:hAnsi="Arial"/>
                  <w:sz w:val="17"/>
                  <w:szCs w:val="17"/>
                  <w:color w:val="0000FF"/>
                  <w:w w:val="89"/>
                </w:rPr>
                <w:t>Consent of Deloitte &amp; Touche LLP.</w:t>
              </w:r>
            </w:hyperlink>
          </w:p>
        </w:tc>
        <w:tc>
          <w:tcPr>
            <w:tcW w:w="8060" w:type="dxa"/>
            <w:vAlign w:val="bottom"/>
            <w:gridSpan w:val="13"/>
          </w:tcPr>
          <w:p>
            <w:pPr>
              <w:spacing w:after="0"/>
              <w:rPr>
                <w:sz w:val="24"/>
                <w:szCs w:val="24"/>
                <w:color w:val="auto"/>
              </w:rPr>
            </w:pPr>
          </w:p>
        </w:tc>
      </w:tr>
      <w:tr>
        <w:trPr>
          <w:trHeight w:val="479"/>
        </w:trPr>
        <w:tc>
          <w:tcPr>
            <w:tcW w:w="160" w:type="dxa"/>
            <w:vAlign w:val="bottom"/>
          </w:tcPr>
          <w:p>
            <w:pPr>
              <w:spacing w:after="0"/>
              <w:rPr>
                <w:rFonts w:ascii="Arial" w:cs="Arial" w:eastAsia="Arial" w:hAnsi="Arial"/>
                <w:sz w:val="17"/>
                <w:szCs w:val="17"/>
                <w:color w:val="0000FF"/>
                <w:w w:val="73"/>
              </w:rPr>
            </w:pPr>
            <w:hyperlink w:anchor="page123">
              <w:r>
                <w:rPr>
                  <w:rFonts w:ascii="Arial" w:cs="Arial" w:eastAsia="Arial" w:hAnsi="Arial"/>
                  <w:sz w:val="17"/>
                  <w:szCs w:val="17"/>
                  <w:color w:val="0000FF"/>
                  <w:w w:val="73"/>
                </w:rPr>
                <w:t>24</w:t>
              </w:r>
            </w:hyperlink>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17"/>
                <w:szCs w:val="17"/>
                <w:color w:val="0000FF"/>
              </w:rPr>
            </w:pPr>
            <w:hyperlink w:anchor="page123">
              <w:r>
                <w:rPr>
                  <w:rFonts w:ascii="Arial" w:cs="Arial" w:eastAsia="Arial" w:hAnsi="Arial"/>
                  <w:sz w:val="17"/>
                  <w:szCs w:val="17"/>
                  <w:color w:val="0000FF"/>
                </w:rPr>
                <w:t>Power of Attorney.</w:t>
              </w:r>
            </w:hyperlink>
          </w:p>
        </w:tc>
      </w:tr>
      <w:tr>
        <w:trPr>
          <w:trHeight w:val="20"/>
        </w:trPr>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4320" w:type="dxa"/>
            <w:vAlign w:val="bottom"/>
            <w:gridSpan w:val="1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r>
      <w:tr>
        <w:trPr>
          <w:trHeight w:val="479"/>
        </w:trPr>
        <w:tc>
          <w:tcPr>
            <w:tcW w:w="280" w:type="dxa"/>
            <w:vAlign w:val="bottom"/>
            <w:tcBorders>
              <w:bottom w:val="single" w:sz="8" w:color="0000FF"/>
            </w:tcBorders>
            <w:gridSpan w:val="2"/>
          </w:tcPr>
          <w:p>
            <w:pPr>
              <w:spacing w:after="0"/>
              <w:rPr>
                <w:rFonts w:ascii="Arial" w:cs="Arial" w:eastAsia="Arial" w:hAnsi="Arial"/>
                <w:sz w:val="17"/>
                <w:szCs w:val="17"/>
                <w:color w:val="0000FF"/>
                <w:w w:val="78"/>
              </w:rPr>
            </w:pPr>
            <w:hyperlink w:anchor="page124">
              <w:r>
                <w:rPr>
                  <w:rFonts w:ascii="Arial" w:cs="Arial" w:eastAsia="Arial" w:hAnsi="Arial"/>
                  <w:sz w:val="17"/>
                  <w:szCs w:val="17"/>
                  <w:color w:val="0000FF"/>
                  <w:w w:val="78"/>
                </w:rPr>
                <w:t>31.</w:t>
              </w:r>
              <w:r>
                <w:rPr>
                  <w:rFonts w:ascii="Arial" w:cs="Arial" w:eastAsia="Arial" w:hAnsi="Arial"/>
                  <w:sz w:val="17"/>
                  <w:szCs w:val="17"/>
                  <w:u w:val="single" w:color="auto"/>
                  <w:color w:val="0000FF"/>
                  <w:w w:val="78"/>
                </w:rPr>
                <w:t>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360" w:type="dxa"/>
            <w:vAlign w:val="bottom"/>
            <w:tcBorders>
              <w:bottom w:val="single" w:sz="8" w:color="0000FF"/>
            </w:tcBorders>
            <w:gridSpan w:val="16"/>
          </w:tcPr>
          <w:p>
            <w:pPr>
              <w:spacing w:after="0"/>
              <w:rPr>
                <w:rFonts w:ascii="Arial" w:cs="Arial" w:eastAsia="Arial" w:hAnsi="Arial"/>
                <w:sz w:val="17"/>
                <w:szCs w:val="17"/>
                <w:color w:val="0000FF"/>
                <w:w w:val="89"/>
              </w:rPr>
            </w:pPr>
            <w:hyperlink w:anchor="page124">
              <w:r>
                <w:rPr>
                  <w:rFonts w:ascii="Arial" w:cs="Arial" w:eastAsia="Arial" w:hAnsi="Arial"/>
                  <w:sz w:val="17"/>
                  <w:szCs w:val="17"/>
                  <w:color w:val="0000FF"/>
                  <w:w w:val="89"/>
                </w:rPr>
                <w:t>Certification of Jonas Prising, Chief Executive Officer, pursuant to Section 13a-14(a) of the Securities Exchange Act of 1934.</w:t>
              </w:r>
            </w:hyperlink>
          </w:p>
        </w:tc>
        <w:tc>
          <w:tcPr>
            <w:tcW w:w="2060" w:type="dxa"/>
            <w:vAlign w:val="bottom"/>
            <w:gridSpan w:val="2"/>
          </w:tcPr>
          <w:p>
            <w:pPr>
              <w:spacing w:after="0"/>
              <w:rPr>
                <w:sz w:val="24"/>
                <w:szCs w:val="24"/>
                <w:color w:val="auto"/>
              </w:rPr>
            </w:pPr>
          </w:p>
        </w:tc>
      </w:tr>
      <w:tr>
        <w:trPr>
          <w:trHeight w:val="479"/>
        </w:trPr>
        <w:tc>
          <w:tcPr>
            <w:tcW w:w="280" w:type="dxa"/>
            <w:vAlign w:val="bottom"/>
            <w:tcBorders>
              <w:bottom w:val="single" w:sz="8" w:color="0000FF"/>
            </w:tcBorders>
            <w:gridSpan w:val="2"/>
          </w:tcPr>
          <w:p>
            <w:pPr>
              <w:spacing w:after="0"/>
              <w:rPr>
                <w:rFonts w:ascii="Arial" w:cs="Arial" w:eastAsia="Arial" w:hAnsi="Arial"/>
                <w:sz w:val="17"/>
                <w:szCs w:val="17"/>
                <w:color w:val="0000FF"/>
                <w:w w:val="78"/>
              </w:rPr>
            </w:pPr>
            <w:hyperlink w:anchor="page125">
              <w:r>
                <w:rPr>
                  <w:rFonts w:ascii="Arial" w:cs="Arial" w:eastAsia="Arial" w:hAnsi="Arial"/>
                  <w:sz w:val="17"/>
                  <w:szCs w:val="17"/>
                  <w:color w:val="0000FF"/>
                  <w:w w:val="78"/>
                </w:rPr>
                <w:t>31.</w:t>
              </w:r>
              <w:r>
                <w:rPr>
                  <w:rFonts w:ascii="Arial" w:cs="Arial" w:eastAsia="Arial" w:hAnsi="Arial"/>
                  <w:sz w:val="17"/>
                  <w:szCs w:val="17"/>
                  <w:u w:val="single" w:color="auto"/>
                  <w:color w:val="0000FF"/>
                  <w:w w:val="78"/>
                </w:rPr>
                <w:t>2</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20" w:type="dxa"/>
            <w:vAlign w:val="bottom"/>
            <w:tcBorders>
              <w:bottom w:val="single" w:sz="8" w:color="0000FF"/>
            </w:tcBorders>
            <w:gridSpan w:val="18"/>
          </w:tcPr>
          <w:p>
            <w:pPr>
              <w:spacing w:after="0"/>
              <w:rPr>
                <w:rFonts w:ascii="Arial" w:cs="Arial" w:eastAsia="Arial" w:hAnsi="Arial"/>
                <w:sz w:val="17"/>
                <w:szCs w:val="17"/>
                <w:color w:val="0000FF"/>
                <w:w w:val="91"/>
              </w:rPr>
            </w:pPr>
            <w:hyperlink w:anchor="page125">
              <w:r>
                <w:rPr>
                  <w:rFonts w:ascii="Arial" w:cs="Arial" w:eastAsia="Arial" w:hAnsi="Arial"/>
                  <w:sz w:val="17"/>
                  <w:szCs w:val="17"/>
                  <w:color w:val="0000FF"/>
                  <w:w w:val="91"/>
                </w:rPr>
                <w:t>Certification of John T. McGinnis, Executive Vice President and Chief Financial Officer, pursuant to Section 13a-14(a) of the Securities Exchange Act of</w:t>
              </w:r>
            </w:hyperlink>
          </w:p>
        </w:tc>
      </w:tr>
      <w:tr>
        <w:trPr>
          <w:trHeight w:val="179"/>
        </w:trPr>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Borders>
              <w:bottom w:val="single" w:sz="8" w:color="0000FF"/>
            </w:tcBorders>
          </w:tcPr>
          <w:p>
            <w:pPr>
              <w:spacing w:after="0" w:line="180" w:lineRule="exact"/>
              <w:rPr>
                <w:rFonts w:ascii="Arial" w:cs="Arial" w:eastAsia="Arial" w:hAnsi="Arial"/>
                <w:sz w:val="17"/>
                <w:szCs w:val="17"/>
                <w:color w:val="0000FF"/>
                <w:w w:val="84"/>
              </w:rPr>
            </w:pPr>
            <w:hyperlink w:anchor="page125">
              <w:r>
                <w:rPr>
                  <w:rFonts w:ascii="Arial" w:cs="Arial" w:eastAsia="Arial" w:hAnsi="Arial"/>
                  <w:sz w:val="17"/>
                  <w:szCs w:val="17"/>
                  <w:color w:val="0000FF"/>
                  <w:w w:val="84"/>
                </w:rPr>
                <w:t>1934.</w:t>
              </w:r>
            </w:hyperlink>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479"/>
        </w:trPr>
        <w:tc>
          <w:tcPr>
            <w:tcW w:w="280" w:type="dxa"/>
            <w:vAlign w:val="bottom"/>
            <w:gridSpan w:val="2"/>
          </w:tcPr>
          <w:p>
            <w:pPr>
              <w:spacing w:after="0"/>
              <w:rPr>
                <w:rFonts w:ascii="Arial" w:cs="Arial" w:eastAsia="Arial" w:hAnsi="Arial"/>
                <w:sz w:val="17"/>
                <w:szCs w:val="17"/>
                <w:color w:val="0000FF"/>
                <w:w w:val="78"/>
              </w:rPr>
            </w:pPr>
            <w:hyperlink w:anchor="page126">
              <w:r>
                <w:rPr>
                  <w:rFonts w:ascii="Arial" w:cs="Arial" w:eastAsia="Arial" w:hAnsi="Arial"/>
                  <w:sz w:val="17"/>
                  <w:szCs w:val="17"/>
                  <w:color w:val="0000FF"/>
                  <w:w w:val="78"/>
                </w:rPr>
                <w:t>32.</w:t>
              </w:r>
              <w:r>
                <w:rPr>
                  <w:rFonts w:ascii="Arial" w:cs="Arial" w:eastAsia="Arial" w:hAnsi="Arial"/>
                  <w:sz w:val="17"/>
                  <w:szCs w:val="17"/>
                  <w:u w:val="single" w:color="auto"/>
                  <w:color w:val="0000FF"/>
                  <w:w w:val="78"/>
                </w:rPr>
                <w:t>1</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17"/>
                <w:szCs w:val="17"/>
                <w:color w:val="0000FF"/>
              </w:rPr>
            </w:pPr>
            <w:hyperlink w:anchor="page126">
              <w:r>
                <w:rPr>
                  <w:rFonts w:ascii="Arial" w:cs="Arial" w:eastAsia="Arial" w:hAnsi="Arial"/>
                  <w:sz w:val="17"/>
                  <w:szCs w:val="17"/>
                  <w:color w:val="0000FF"/>
                </w:rPr>
                <w:t>Statement of Jonas Prising, Chief Executive Officer, pursuant to 18 U.S.C. ss. 1350.</w:t>
              </w:r>
            </w:hyperlink>
          </w:p>
        </w:tc>
      </w:tr>
      <w:tr>
        <w:trPr>
          <w:trHeight w:val="20"/>
        </w:trPr>
        <w:tc>
          <w:tcPr>
            <w:tcW w:w="2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80" w:type="dxa"/>
            <w:vAlign w:val="bottom"/>
            <w:gridSpan w:val="14"/>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r>
      <w:tr>
        <w:trPr>
          <w:trHeight w:val="479"/>
        </w:trPr>
        <w:tc>
          <w:tcPr>
            <w:tcW w:w="280" w:type="dxa"/>
            <w:vAlign w:val="bottom"/>
            <w:gridSpan w:val="2"/>
          </w:tcPr>
          <w:p>
            <w:pPr>
              <w:spacing w:after="0"/>
              <w:rPr>
                <w:rFonts w:ascii="Arial" w:cs="Arial" w:eastAsia="Arial" w:hAnsi="Arial"/>
                <w:sz w:val="17"/>
                <w:szCs w:val="17"/>
                <w:color w:val="0000FF"/>
                <w:w w:val="78"/>
              </w:rPr>
            </w:pPr>
            <w:hyperlink w:anchor="page127">
              <w:r>
                <w:rPr>
                  <w:rFonts w:ascii="Arial" w:cs="Arial" w:eastAsia="Arial" w:hAnsi="Arial"/>
                  <w:sz w:val="17"/>
                  <w:szCs w:val="17"/>
                  <w:color w:val="0000FF"/>
                  <w:w w:val="78"/>
                </w:rPr>
                <w:t>32.</w:t>
              </w:r>
              <w:r>
                <w:rPr>
                  <w:rFonts w:ascii="Arial" w:cs="Arial" w:eastAsia="Arial" w:hAnsi="Arial"/>
                  <w:sz w:val="17"/>
                  <w:szCs w:val="17"/>
                  <w:u w:val="single" w:color="auto"/>
                  <w:color w:val="0000FF"/>
                  <w:w w:val="78"/>
                </w:rPr>
                <w:t>2</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20" w:type="dxa"/>
            <w:vAlign w:val="bottom"/>
            <w:gridSpan w:val="18"/>
          </w:tcPr>
          <w:p>
            <w:pPr>
              <w:spacing w:after="0"/>
              <w:rPr>
                <w:rFonts w:ascii="Arial" w:cs="Arial" w:eastAsia="Arial" w:hAnsi="Arial"/>
                <w:sz w:val="17"/>
                <w:szCs w:val="17"/>
                <w:color w:val="0000FF"/>
              </w:rPr>
            </w:pPr>
            <w:hyperlink w:anchor="page127">
              <w:r>
                <w:rPr>
                  <w:rFonts w:ascii="Arial" w:cs="Arial" w:eastAsia="Arial" w:hAnsi="Arial"/>
                  <w:sz w:val="17"/>
                  <w:szCs w:val="17"/>
                  <w:color w:val="0000FF"/>
                </w:rPr>
                <w:t>Statement of John T. McGinnis, Executive Vice President and Chief Financial Officer, pursuant to 18 U.S.C. ss. 1350.</w:t>
              </w:r>
            </w:hyperlink>
          </w:p>
        </w:tc>
      </w:tr>
      <w:tr>
        <w:trPr>
          <w:trHeight w:val="20"/>
        </w:trPr>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312" w:lineRule="exact"/>
        <w:rPr>
          <w:sz w:val="20"/>
          <w:szCs w:val="20"/>
          <w:color w:val="auto"/>
        </w:rPr>
      </w:pPr>
    </w:p>
    <w:p>
      <w:pPr>
        <w:jc w:val="both"/>
        <w:ind w:left="923" w:hanging="923"/>
        <w:spacing w:after="0" w:line="251" w:lineRule="auto"/>
        <w:tabs>
          <w:tab w:leader="none" w:pos="923"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following materials from the Company’s Annual Report on Form 10-K for the year ended December 31, 2018, formatted in XBRL (Extensible Business Reporting Language): (i) Consolidated Balance Sheets, (ii) Consolidated Statements of Operations, (iii) Consolidated Statements of Comprehensive Income, (iv) Consolidated Statements of Cash Flows, (v) Consolidated Statements of Shareholders’ Equity, (vi) Notes to Consolidated Financial Statements and (vii) Schedule II – Valuation and Qualifying Accounts.</w:t>
      </w:r>
    </w:p>
    <w:p>
      <w:pPr>
        <w:spacing w:after="0" w:line="5" w:lineRule="exact"/>
        <w:rPr>
          <w:sz w:val="20"/>
          <w:szCs w:val="20"/>
          <w:color w:val="auto"/>
        </w:rPr>
      </w:pPr>
    </w:p>
    <w:p>
      <w:pPr>
        <w:ind w:left="3"/>
        <w:spacing w:after="0"/>
        <w:tabs>
          <w:tab w:leader="none" w:pos="323"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3"/>
          <w:szCs w:val="13"/>
          <w:color w:val="auto"/>
        </w:rPr>
        <w:t>Management contract or compensatory plan or arrangement.</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343"/>
          </w:cols>
          <w:pgMar w:left="277" w:top="480" w:right="279" w:bottom="1440" w:gutter="0" w:footer="0" w:header="0"/>
        </w:sectPr>
      </w:pPr>
    </w:p>
    <w:bookmarkStart w:id="100" w:name="page101"/>
    <w:bookmarkEnd w:id="100"/>
    <w:p>
      <w:pPr>
        <w:spacing w:after="0"/>
        <w:tabs>
          <w:tab w:leader="none" w:pos="1180" w:val="left"/>
        </w:tabs>
        <w:rPr>
          <w:sz w:val="20"/>
          <w:szCs w:val="20"/>
          <w:color w:val="auto"/>
        </w:rPr>
      </w:pPr>
      <w:r>
        <w:rPr>
          <w:rFonts w:ascii="Arial" w:cs="Arial" w:eastAsia="Arial" w:hAnsi="Arial"/>
          <w:sz w:val="17"/>
          <w:szCs w:val="17"/>
          <w:b w:val="1"/>
          <w:bCs w:val="1"/>
          <w:color w:val="auto"/>
        </w:rPr>
        <w:t>Item 16.</w:t>
      </w:r>
      <w:r>
        <w:rPr>
          <w:sz w:val="20"/>
          <w:szCs w:val="20"/>
          <w:color w:val="auto"/>
        </w:rPr>
        <w:tab/>
      </w:r>
      <w:r>
        <w:rPr>
          <w:rFonts w:ascii="Arial" w:cs="Arial" w:eastAsia="Arial" w:hAnsi="Arial"/>
          <w:sz w:val="15"/>
          <w:szCs w:val="15"/>
          <w:b w:val="1"/>
          <w:bCs w:val="1"/>
          <w:color w:val="auto"/>
        </w:rPr>
        <w:t>Form 10-K summary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07" w:lineRule="exact"/>
        <w:rPr>
          <w:sz w:val="20"/>
          <w:szCs w:val="20"/>
          <w:color w:val="auto"/>
        </w:rPr>
      </w:pPr>
    </w:p>
    <w:p>
      <w:pPr>
        <w:ind w:firstLine="449"/>
        <w:spacing w:after="0" w:line="26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MANPOWERGROUP INC.</w:t>
      </w:r>
    </w:p>
    <w:p>
      <w:pPr>
        <w:spacing w:after="0" w:line="303"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u w:val="single" w:color="auto"/>
          <w:color w:val="auto"/>
        </w:rPr>
        <w:t>/s/ Jonas Prising</w:t>
      </w:r>
    </w:p>
    <w:p>
      <w:pPr>
        <w:spacing w:after="0" w:line="54"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Jonas Prising</w:t>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Chairman and Chief Executive Officer</w:t>
      </w:r>
    </w:p>
    <w:p>
      <w:pPr>
        <w:spacing w:after="0" w:line="290" w:lineRule="exact"/>
        <w:rPr>
          <w:sz w:val="20"/>
          <w:szCs w:val="20"/>
          <w:color w:val="auto"/>
        </w:rPr>
      </w:pPr>
    </w:p>
    <w:p>
      <w:pPr>
        <w:ind w:left="6100"/>
        <w:spacing w:after="0"/>
        <w:tabs>
          <w:tab w:leader="none" w:pos="67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449"/>
        <w:spacing w:after="0" w:line="265"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0" w:type="dxa"/>
            <w:vAlign w:val="bottom"/>
            <w:gridSpan w:val="4"/>
          </w:tcPr>
          <w:p>
            <w:pPr>
              <w:ind w:left="160"/>
              <w:spacing w:after="0"/>
              <w:rPr>
                <w:sz w:val="20"/>
                <w:szCs w:val="20"/>
                <w:color w:val="auto"/>
              </w:rPr>
            </w:pPr>
            <w:r>
              <w:rPr>
                <w:rFonts w:ascii="Arial" w:cs="Arial" w:eastAsia="Arial" w:hAnsi="Arial"/>
                <w:sz w:val="17"/>
                <w:szCs w:val="17"/>
                <w:b w:val="1"/>
                <w:bCs w:val="1"/>
                <w:color w:val="auto"/>
              </w:rPr>
              <w:t>Name</w:t>
            </w:r>
          </w:p>
        </w:tc>
        <w:tc>
          <w:tcPr>
            <w:tcW w:w="5480" w:type="dxa"/>
            <w:vAlign w:val="bottom"/>
            <w:gridSpan w:val="2"/>
          </w:tcPr>
          <w:p>
            <w:pPr>
              <w:ind w:left="2480"/>
              <w:spacing w:after="0"/>
              <w:rPr>
                <w:sz w:val="20"/>
                <w:szCs w:val="20"/>
                <w:color w:val="auto"/>
              </w:rPr>
            </w:pPr>
            <w:r>
              <w:rPr>
                <w:rFonts w:ascii="Arial" w:cs="Arial" w:eastAsia="Arial" w:hAnsi="Arial"/>
                <w:sz w:val="17"/>
                <w:szCs w:val="17"/>
                <w:b w:val="1"/>
                <w:bCs w:val="1"/>
                <w:color w:val="auto"/>
              </w:rPr>
              <w:t>Title</w:t>
            </w:r>
          </w:p>
        </w:tc>
        <w:tc>
          <w:tcPr>
            <w:tcW w:w="2000" w:type="dxa"/>
            <w:vAlign w:val="bottom"/>
          </w:tcPr>
          <w:p>
            <w:pPr>
              <w:ind w:left="840"/>
              <w:spacing w:after="0"/>
              <w:rPr>
                <w:sz w:val="20"/>
                <w:szCs w:val="20"/>
                <w:color w:val="auto"/>
              </w:rPr>
            </w:pPr>
            <w:r>
              <w:rPr>
                <w:rFonts w:ascii="Arial" w:cs="Arial" w:eastAsia="Arial" w:hAnsi="Arial"/>
                <w:sz w:val="17"/>
                <w:szCs w:val="17"/>
                <w:b w:val="1"/>
                <w:bCs w:val="1"/>
                <w:color w:val="auto"/>
              </w:rPr>
              <w:t>Date</w:t>
            </w:r>
          </w:p>
        </w:tc>
      </w:tr>
      <w:tr>
        <w:trPr>
          <w:trHeight w:val="30"/>
        </w:trPr>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436"/>
        </w:trPr>
        <w:tc>
          <w:tcPr>
            <w:tcW w:w="20" w:type="dxa"/>
            <w:vAlign w:val="bottom"/>
          </w:tcPr>
          <w:p>
            <w:pPr>
              <w:spacing w:after="0"/>
              <w:rPr>
                <w:sz w:val="24"/>
                <w:szCs w:val="24"/>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auto"/>
              </w:rPr>
              <w:t>/s/ Jonas Prising</w:t>
            </w:r>
          </w:p>
        </w:tc>
        <w:tc>
          <w:tcPr>
            <w:tcW w:w="5480" w:type="dxa"/>
            <w:vAlign w:val="bottom"/>
            <w:gridSpan w:val="2"/>
          </w:tcPr>
          <w:p>
            <w:pPr>
              <w:ind w:left="40"/>
              <w:spacing w:after="0"/>
              <w:rPr>
                <w:sz w:val="20"/>
                <w:szCs w:val="20"/>
                <w:color w:val="auto"/>
              </w:rPr>
            </w:pPr>
            <w:r>
              <w:rPr>
                <w:rFonts w:ascii="Arial" w:cs="Arial" w:eastAsia="Arial" w:hAnsi="Arial"/>
                <w:sz w:val="17"/>
                <w:szCs w:val="17"/>
                <w:color w:val="auto"/>
              </w:rPr>
              <w:t>Chairman, Chief Executive Officer and a Director</w:t>
            </w:r>
          </w:p>
        </w:tc>
        <w:tc>
          <w:tcPr>
            <w:tcW w:w="2000" w:type="dxa"/>
            <w:vAlign w:val="bottom"/>
          </w:tcPr>
          <w:p>
            <w:pPr>
              <w:ind w:left="140"/>
              <w:spacing w:after="0"/>
              <w:rPr>
                <w:sz w:val="20"/>
                <w:szCs w:val="20"/>
                <w:color w:val="auto"/>
              </w:rPr>
            </w:pPr>
            <w:r>
              <w:rPr>
                <w:rFonts w:ascii="Arial" w:cs="Arial" w:eastAsia="Arial" w:hAnsi="Arial"/>
                <w:sz w:val="17"/>
                <w:szCs w:val="17"/>
                <w:color w:val="auto"/>
              </w:rPr>
              <w:t>February 22, 2019</w:t>
            </w:r>
          </w:p>
        </w:tc>
      </w:tr>
      <w:tr>
        <w:trPr>
          <w:trHeight w:val="217"/>
        </w:trPr>
        <w:tc>
          <w:tcPr>
            <w:tcW w:w="20" w:type="dxa"/>
            <w:vAlign w:val="bottom"/>
          </w:tcPr>
          <w:p>
            <w:pPr>
              <w:spacing w:after="0"/>
              <w:rPr>
                <w:sz w:val="18"/>
                <w:szCs w:val="18"/>
                <w:color w:val="auto"/>
              </w:rPr>
            </w:pPr>
          </w:p>
        </w:tc>
        <w:tc>
          <w:tcPr>
            <w:tcW w:w="10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Jonas Prising</w:t>
            </w:r>
          </w:p>
        </w:tc>
        <w:tc>
          <w:tcPr>
            <w:tcW w:w="2600" w:type="dxa"/>
            <w:vAlign w:val="bottom"/>
            <w:gridSpan w:val="4"/>
          </w:tcPr>
          <w:p>
            <w:pPr>
              <w:spacing w:after="0"/>
              <w:rPr>
                <w:sz w:val="18"/>
                <w:szCs w:val="18"/>
                <w:color w:val="auto"/>
              </w:rPr>
            </w:pPr>
          </w:p>
        </w:tc>
        <w:tc>
          <w:tcPr>
            <w:tcW w:w="5480" w:type="dxa"/>
            <w:vAlign w:val="bottom"/>
            <w:gridSpan w:val="2"/>
          </w:tcPr>
          <w:p>
            <w:pPr>
              <w:ind w:left="40"/>
              <w:spacing w:after="0"/>
              <w:rPr>
                <w:sz w:val="20"/>
                <w:szCs w:val="20"/>
                <w:color w:val="auto"/>
              </w:rPr>
            </w:pPr>
            <w:r>
              <w:rPr>
                <w:rFonts w:ascii="Arial" w:cs="Arial" w:eastAsia="Arial" w:hAnsi="Arial"/>
                <w:sz w:val="17"/>
                <w:szCs w:val="17"/>
                <w:color w:val="auto"/>
              </w:rPr>
              <w:t>(Principal Executive Officer)</w:t>
            </w:r>
          </w:p>
        </w:tc>
        <w:tc>
          <w:tcPr>
            <w:tcW w:w="2000" w:type="dxa"/>
            <w:vAlign w:val="bottom"/>
          </w:tcPr>
          <w:p>
            <w:pPr>
              <w:spacing w:after="0"/>
              <w:rPr>
                <w:sz w:val="18"/>
                <w:szCs w:val="18"/>
                <w:color w:val="auto"/>
              </w:rPr>
            </w:pPr>
          </w:p>
        </w:tc>
      </w:tr>
      <w:tr>
        <w:trPr>
          <w:trHeight w:val="486"/>
        </w:trPr>
        <w:tc>
          <w:tcPr>
            <w:tcW w:w="20" w:type="dxa"/>
            <w:vAlign w:val="bottom"/>
          </w:tcPr>
          <w:p>
            <w:pPr>
              <w:spacing w:after="0"/>
              <w:rPr>
                <w:sz w:val="24"/>
                <w:szCs w:val="24"/>
                <w:color w:val="auto"/>
              </w:rPr>
            </w:pPr>
          </w:p>
        </w:tc>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89"/>
              </w:rPr>
              <w:t>/s/ John T. McGinnis</w:t>
            </w:r>
          </w:p>
        </w:tc>
        <w:tc>
          <w:tcPr>
            <w:tcW w:w="2280" w:type="dxa"/>
            <w:vAlign w:val="bottom"/>
            <w:gridSpan w:val="2"/>
          </w:tcPr>
          <w:p>
            <w:pPr>
              <w:spacing w:after="0"/>
              <w:rPr>
                <w:sz w:val="24"/>
                <w:szCs w:val="24"/>
                <w:color w:val="auto"/>
              </w:rPr>
            </w:pPr>
          </w:p>
        </w:tc>
        <w:tc>
          <w:tcPr>
            <w:tcW w:w="5480" w:type="dxa"/>
            <w:vAlign w:val="bottom"/>
            <w:gridSpan w:val="2"/>
          </w:tcPr>
          <w:p>
            <w:pPr>
              <w:ind w:left="40"/>
              <w:spacing w:after="0"/>
              <w:rPr>
                <w:sz w:val="20"/>
                <w:szCs w:val="20"/>
                <w:color w:val="auto"/>
              </w:rPr>
            </w:pPr>
            <w:r>
              <w:rPr>
                <w:rFonts w:ascii="Arial" w:cs="Arial" w:eastAsia="Arial" w:hAnsi="Arial"/>
                <w:sz w:val="17"/>
                <w:szCs w:val="17"/>
                <w:color w:val="auto"/>
              </w:rPr>
              <w:t>Executive Vice President and Chief Financial Officer</w:t>
            </w:r>
          </w:p>
        </w:tc>
        <w:tc>
          <w:tcPr>
            <w:tcW w:w="2000" w:type="dxa"/>
            <w:vAlign w:val="bottom"/>
          </w:tcPr>
          <w:p>
            <w:pPr>
              <w:ind w:left="140"/>
              <w:spacing w:after="0"/>
              <w:rPr>
                <w:sz w:val="20"/>
                <w:szCs w:val="20"/>
                <w:color w:val="auto"/>
              </w:rPr>
            </w:pPr>
            <w:r>
              <w:rPr>
                <w:rFonts w:ascii="Arial" w:cs="Arial" w:eastAsia="Arial" w:hAnsi="Arial"/>
                <w:sz w:val="17"/>
                <w:szCs w:val="17"/>
                <w:color w:val="auto"/>
              </w:rPr>
              <w:t>February 22, 2019</w:t>
            </w:r>
          </w:p>
        </w:tc>
      </w:tr>
      <w:tr>
        <w:trPr>
          <w:trHeight w:val="217"/>
        </w:trPr>
        <w:tc>
          <w:tcPr>
            <w:tcW w:w="20" w:type="dxa"/>
            <w:vAlign w:val="bottom"/>
          </w:tcPr>
          <w:p>
            <w:pPr>
              <w:spacing w:after="0"/>
              <w:rPr>
                <w:sz w:val="18"/>
                <w:szCs w:val="18"/>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auto"/>
              </w:rPr>
              <w:t>John T. McGinnis</w:t>
            </w:r>
          </w:p>
        </w:tc>
        <w:tc>
          <w:tcPr>
            <w:tcW w:w="5480" w:type="dxa"/>
            <w:vAlign w:val="bottom"/>
            <w:gridSpan w:val="2"/>
          </w:tcPr>
          <w:p>
            <w:pPr>
              <w:ind w:left="40"/>
              <w:spacing w:after="0"/>
              <w:rPr>
                <w:sz w:val="20"/>
                <w:szCs w:val="20"/>
                <w:color w:val="auto"/>
              </w:rPr>
            </w:pPr>
            <w:r>
              <w:rPr>
                <w:rFonts w:ascii="Arial" w:cs="Arial" w:eastAsia="Arial" w:hAnsi="Arial"/>
                <w:sz w:val="17"/>
                <w:szCs w:val="17"/>
                <w:color w:val="auto"/>
              </w:rPr>
              <w:t>(Principal Financial Officer)</w:t>
            </w:r>
          </w:p>
        </w:tc>
        <w:tc>
          <w:tcPr>
            <w:tcW w:w="2000" w:type="dxa"/>
            <w:vAlign w:val="bottom"/>
          </w:tcPr>
          <w:p>
            <w:pPr>
              <w:spacing w:after="0"/>
              <w:rPr>
                <w:sz w:val="18"/>
                <w:szCs w:val="18"/>
                <w:color w:val="auto"/>
              </w:rPr>
            </w:pPr>
          </w:p>
        </w:tc>
      </w:tr>
      <w:tr>
        <w:trPr>
          <w:trHeight w:val="461"/>
        </w:trPr>
        <w:tc>
          <w:tcPr>
            <w:tcW w:w="20" w:type="dxa"/>
            <w:vAlign w:val="bottom"/>
          </w:tcPr>
          <w:p>
            <w:pPr>
              <w:spacing w:after="0"/>
              <w:rPr>
                <w:sz w:val="24"/>
                <w:szCs w:val="24"/>
                <w:color w:val="auto"/>
              </w:rPr>
            </w:pPr>
          </w:p>
        </w:tc>
        <w:tc>
          <w:tcPr>
            <w:tcW w:w="13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9"/>
              </w:rPr>
              <w:t>/s/ Donald Mondano</w:t>
            </w:r>
          </w:p>
        </w:tc>
        <w:tc>
          <w:tcPr>
            <w:tcW w:w="2300" w:type="dxa"/>
            <w:vAlign w:val="bottom"/>
            <w:gridSpan w:val="3"/>
          </w:tcPr>
          <w:p>
            <w:pPr>
              <w:spacing w:after="0"/>
              <w:rPr>
                <w:sz w:val="24"/>
                <w:szCs w:val="24"/>
                <w:color w:val="auto"/>
              </w:rPr>
            </w:pPr>
          </w:p>
        </w:tc>
        <w:tc>
          <w:tcPr>
            <w:tcW w:w="5480" w:type="dxa"/>
            <w:vAlign w:val="bottom"/>
            <w:gridSpan w:val="2"/>
          </w:tcPr>
          <w:p>
            <w:pPr>
              <w:ind w:left="40"/>
              <w:spacing w:after="0"/>
              <w:rPr>
                <w:sz w:val="20"/>
                <w:szCs w:val="20"/>
                <w:color w:val="auto"/>
              </w:rPr>
            </w:pPr>
            <w:r>
              <w:rPr>
                <w:rFonts w:ascii="Arial" w:cs="Arial" w:eastAsia="Arial" w:hAnsi="Arial"/>
                <w:sz w:val="17"/>
                <w:szCs w:val="17"/>
                <w:color w:val="auto"/>
              </w:rPr>
              <w:t>Senior Vice President, Global Controller and Treasurer</w:t>
            </w:r>
          </w:p>
        </w:tc>
        <w:tc>
          <w:tcPr>
            <w:tcW w:w="2000" w:type="dxa"/>
            <w:vAlign w:val="bottom"/>
          </w:tcPr>
          <w:p>
            <w:pPr>
              <w:ind w:left="140"/>
              <w:spacing w:after="0"/>
              <w:rPr>
                <w:sz w:val="20"/>
                <w:szCs w:val="20"/>
                <w:color w:val="auto"/>
              </w:rPr>
            </w:pPr>
            <w:r>
              <w:rPr>
                <w:rFonts w:ascii="Arial" w:cs="Arial" w:eastAsia="Arial" w:hAnsi="Arial"/>
                <w:sz w:val="17"/>
                <w:szCs w:val="17"/>
                <w:color w:val="auto"/>
              </w:rPr>
              <w:t>February 22, 2019</w:t>
            </w:r>
          </w:p>
        </w:tc>
      </w:tr>
      <w:tr>
        <w:trPr>
          <w:trHeight w:val="217"/>
        </w:trPr>
        <w:tc>
          <w:tcPr>
            <w:tcW w:w="20" w:type="dxa"/>
            <w:vAlign w:val="bottom"/>
          </w:tcPr>
          <w:p>
            <w:pPr>
              <w:spacing w:after="0"/>
              <w:rPr>
                <w:sz w:val="18"/>
                <w:szCs w:val="18"/>
                <w:color w:val="auto"/>
              </w:rPr>
            </w:pPr>
          </w:p>
        </w:tc>
        <w:tc>
          <w:tcPr>
            <w:tcW w:w="3680" w:type="dxa"/>
            <w:vAlign w:val="bottom"/>
            <w:gridSpan w:val="5"/>
          </w:tcPr>
          <w:p>
            <w:pPr>
              <w:spacing w:after="0"/>
              <w:rPr>
                <w:sz w:val="20"/>
                <w:szCs w:val="20"/>
                <w:color w:val="auto"/>
              </w:rPr>
            </w:pPr>
            <w:r>
              <w:rPr>
                <w:rFonts w:ascii="Arial" w:cs="Arial" w:eastAsia="Arial" w:hAnsi="Arial"/>
                <w:sz w:val="17"/>
                <w:szCs w:val="17"/>
                <w:color w:val="auto"/>
              </w:rPr>
              <w:t>Donald Mondano</w:t>
            </w:r>
          </w:p>
        </w:tc>
        <w:tc>
          <w:tcPr>
            <w:tcW w:w="5480" w:type="dxa"/>
            <w:vAlign w:val="bottom"/>
            <w:gridSpan w:val="2"/>
          </w:tcPr>
          <w:p>
            <w:pPr>
              <w:ind w:left="40"/>
              <w:spacing w:after="0"/>
              <w:rPr>
                <w:sz w:val="20"/>
                <w:szCs w:val="20"/>
                <w:color w:val="auto"/>
              </w:rPr>
            </w:pPr>
            <w:r>
              <w:rPr>
                <w:rFonts w:ascii="Arial" w:cs="Arial" w:eastAsia="Arial" w:hAnsi="Arial"/>
                <w:sz w:val="17"/>
                <w:szCs w:val="17"/>
                <w:color w:val="auto"/>
              </w:rPr>
              <w:t>(Principal Accounting Officer)</w:t>
            </w:r>
          </w:p>
        </w:tc>
        <w:tc>
          <w:tcPr>
            <w:tcW w:w="2000" w:type="dxa"/>
            <w:vAlign w:val="bottom"/>
          </w:tcPr>
          <w:p>
            <w:pPr>
              <w:spacing w:after="0"/>
              <w:rPr>
                <w:sz w:val="18"/>
                <w:szCs w:val="18"/>
                <w:color w:val="auto"/>
              </w:rPr>
            </w:pPr>
          </w:p>
        </w:tc>
      </w:tr>
    </w:tbl>
    <w:p>
      <w:pPr>
        <w:spacing w:after="0" w:line="21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Directors: Gina R. Boswell, Cari M. Dominguez, William Downe, John F. Ferraro, Patricia A. Hemingway Hall, Julie M. Howard, Ulice Payne, Jr., Paul Read, Elizabeth P. Sartain, Michael J. Van Handel and John R. Walter</w:t>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360" w:type="dxa"/>
            <w:vAlign w:val="bottom"/>
          </w:tcPr>
          <w:p>
            <w:pPr>
              <w:spacing w:after="0"/>
              <w:rPr>
                <w:sz w:val="20"/>
                <w:szCs w:val="20"/>
                <w:color w:val="auto"/>
              </w:rPr>
            </w:pPr>
            <w:r>
              <w:rPr>
                <w:rFonts w:ascii="Arial" w:cs="Arial" w:eastAsia="Arial" w:hAnsi="Arial"/>
                <w:sz w:val="17"/>
                <w:szCs w:val="17"/>
                <w:color w:val="auto"/>
              </w:rPr>
              <w:t>By:</w:t>
            </w:r>
          </w:p>
        </w:tc>
        <w:tc>
          <w:tcPr>
            <w:tcW w:w="1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7"/>
              </w:rPr>
              <w:t>/s/ Richard Buchband</w:t>
            </w:r>
          </w:p>
        </w:tc>
      </w:tr>
      <w:tr>
        <w:trPr>
          <w:trHeight w:val="254"/>
        </w:trPr>
        <w:tc>
          <w:tcPr>
            <w:tcW w:w="1360" w:type="dxa"/>
            <w:vAlign w:val="bottom"/>
          </w:tcPr>
          <w:p>
            <w:pPr>
              <w:spacing w:after="0"/>
              <w:rPr>
                <w:sz w:val="22"/>
                <w:szCs w:val="22"/>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Richard Buchband</w:t>
            </w:r>
          </w:p>
        </w:tc>
      </w:tr>
      <w:tr>
        <w:trPr>
          <w:trHeight w:val="212"/>
        </w:trPr>
        <w:tc>
          <w:tcPr>
            <w:tcW w:w="136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Attorney-In-Fact*</w:t>
            </w:r>
          </w:p>
        </w:tc>
      </w:tr>
      <w:tr>
        <w:trPr>
          <w:trHeight w:val="548"/>
        </w:trPr>
        <w:tc>
          <w:tcPr>
            <w:tcW w:w="1360" w:type="dxa"/>
            <w:vAlign w:val="bottom"/>
          </w:tcPr>
          <w:p>
            <w:pPr>
              <w:spacing w:after="0"/>
              <w:rPr>
                <w:sz w:val="20"/>
                <w:szCs w:val="20"/>
                <w:color w:val="auto"/>
              </w:rPr>
            </w:pPr>
            <w:r>
              <w:rPr>
                <w:rFonts w:ascii="Arial" w:cs="Arial" w:eastAsia="Arial" w:hAnsi="Arial"/>
                <w:sz w:val="17"/>
                <w:szCs w:val="17"/>
                <w:color w:val="auto"/>
              </w:rPr>
              <w:t>Date:</w:t>
            </w:r>
          </w:p>
        </w:tc>
        <w:tc>
          <w:tcPr>
            <w:tcW w:w="1440" w:type="dxa"/>
            <w:vAlign w:val="bottom"/>
          </w:tcPr>
          <w:p>
            <w:pPr>
              <w:spacing w:after="0"/>
              <w:rPr>
                <w:sz w:val="20"/>
                <w:szCs w:val="20"/>
                <w:color w:val="auto"/>
              </w:rPr>
            </w:pPr>
            <w:r>
              <w:rPr>
                <w:rFonts w:ascii="Arial" w:cs="Arial" w:eastAsia="Arial" w:hAnsi="Arial"/>
                <w:sz w:val="17"/>
                <w:szCs w:val="17"/>
                <w:color w:val="auto"/>
              </w:rPr>
              <w:t>February 22, 2019</w:t>
            </w:r>
          </w:p>
        </w:tc>
      </w:tr>
    </w:tbl>
    <w:p>
      <w:pPr>
        <w:spacing w:after="0" w:line="200" w:lineRule="exact"/>
        <w:rPr>
          <w:sz w:val="20"/>
          <w:szCs w:val="20"/>
          <w:color w:val="auto"/>
        </w:rPr>
      </w:pPr>
    </w:p>
    <w:p>
      <w:pPr>
        <w:spacing w:after="0" w:line="211" w:lineRule="exact"/>
        <w:rPr>
          <w:sz w:val="20"/>
          <w:szCs w:val="20"/>
          <w:color w:val="auto"/>
        </w:rPr>
      </w:pPr>
    </w:p>
    <w:p>
      <w:pPr>
        <w:ind w:left="5580" w:right="5360" w:hanging="5580"/>
        <w:spacing w:after="0" w:line="922" w:lineRule="auto"/>
        <w:tabs>
          <w:tab w:leader="none" w:pos="240" w:val="left"/>
        </w:tabs>
        <w:numPr>
          <w:ilvl w:val="0"/>
          <w:numId w:val="55"/>
        </w:numPr>
        <w:rPr>
          <w:rFonts w:ascii="Arial" w:cs="Arial" w:eastAsia="Arial" w:hAnsi="Arial"/>
          <w:sz w:val="15"/>
          <w:szCs w:val="15"/>
          <w:color w:val="auto"/>
        </w:rPr>
      </w:pPr>
      <w:r>
        <w:rPr>
          <w:rFonts w:ascii="Arial" w:cs="Arial" w:eastAsia="Arial" w:hAnsi="Arial"/>
          <w:sz w:val="15"/>
          <w:szCs w:val="15"/>
          <w:color w:val="auto"/>
        </w:rPr>
        <w:t>Pursuant to authority granted by powers of attorney, copies of which are filed herewith. 101</w:t>
      </w:r>
    </w:p>
    <w:p>
      <w:pPr>
        <w:sectPr>
          <w:pgSz w:w="11900" w:h="16838" w:orient="portrait"/>
          <w:cols w:equalWidth="0" w:num="1">
            <w:col w:w="11420"/>
          </w:cols>
          <w:pgMar w:left="240" w:top="347"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b w:val="1"/>
          <w:bCs w:val="1"/>
          <w:color w:val="auto"/>
        </w:rPr>
        <w:t>Exhibit 10.6(h)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SEVERANCE AGREEMENT BETWEEN RICHARD BUCHBAND AND MANPOWERGROUP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November 08, 2018</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ManpowerGroup Inc.</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100 Manpower Place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Milwaukee, Wisconsin 53212</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November 8, 2018</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Richard Buchband</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General Counsel and Secretary</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ManpowerGroup Inc.</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100 Manpower Place</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Milwaukee, WI 53212</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Dear Richard:</w:t>
      </w:r>
    </w:p>
    <w:p>
      <w:pPr>
        <w:spacing w:after="0" w:line="203" w:lineRule="exact"/>
        <w:rPr>
          <w:sz w:val="20"/>
          <w:szCs w:val="20"/>
          <w:color w:val="auto"/>
        </w:rPr>
      </w:pPr>
    </w:p>
    <w:p>
      <w:pPr>
        <w:ind w:right="360" w:firstLine="598"/>
        <w:spacing w:after="0" w:line="278" w:lineRule="auto"/>
        <w:rPr>
          <w:sz w:val="20"/>
          <w:szCs w:val="20"/>
          <w:color w:val="auto"/>
        </w:rPr>
      </w:pPr>
      <w:r>
        <w:rPr>
          <w:rFonts w:ascii="Arial" w:cs="Arial" w:eastAsia="Arial" w:hAnsi="Arial"/>
          <w:sz w:val="16"/>
          <w:szCs w:val="16"/>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58" w:lineRule="exact"/>
        <w:rPr>
          <w:sz w:val="20"/>
          <w:szCs w:val="20"/>
          <w:color w:val="auto"/>
        </w:rPr>
      </w:pPr>
    </w:p>
    <w:p>
      <w:pPr>
        <w:ind w:left="600" w:hanging="600"/>
        <w:spacing w:after="0"/>
        <w:tabs>
          <w:tab w:leader="none" w:pos="60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letter agreement:</w:t>
      </w:r>
    </w:p>
    <w:p>
      <w:pPr>
        <w:spacing w:after="0" w:line="203" w:lineRule="exact"/>
        <w:rPr>
          <w:rFonts w:ascii="Arial" w:cs="Arial" w:eastAsia="Arial" w:hAnsi="Arial"/>
          <w:sz w:val="17"/>
          <w:szCs w:val="17"/>
          <w:color w:val="auto"/>
        </w:rPr>
      </w:pPr>
    </w:p>
    <w:p>
      <w:pPr>
        <w:ind w:left="1200" w:hanging="602"/>
        <w:spacing w:after="0"/>
        <w:tabs>
          <w:tab w:leader="none" w:pos="120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“Benefit Plans” means all benefits of employment generally made available to executives of the Corporation from time to time.</w:t>
      </w:r>
    </w:p>
    <w:p>
      <w:pPr>
        <w:spacing w:after="0" w:line="214" w:lineRule="exact"/>
        <w:rPr>
          <w:rFonts w:ascii="Arial" w:cs="Arial" w:eastAsia="Arial" w:hAnsi="Arial"/>
          <w:sz w:val="16"/>
          <w:szCs w:val="16"/>
          <w:color w:val="auto"/>
        </w:rPr>
      </w:pPr>
    </w:p>
    <w:p>
      <w:pPr>
        <w:ind w:left="1200" w:hanging="602"/>
        <w:spacing w:after="0" w:line="262" w:lineRule="auto"/>
        <w:tabs>
          <w:tab w:leader="none" w:pos="120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Statement of Policy on Securities Trading,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179" w:lineRule="exact"/>
        <w:rPr>
          <w:rFonts w:ascii="Arial" w:cs="Arial" w:eastAsia="Arial" w:hAnsi="Arial"/>
          <w:sz w:val="16"/>
          <w:szCs w:val="16"/>
          <w:color w:val="auto"/>
        </w:rPr>
      </w:pPr>
    </w:p>
    <w:p>
      <w:pPr>
        <w:ind w:left="1200" w:hanging="602"/>
        <w:spacing w:after="0"/>
        <w:tabs>
          <w:tab w:leader="none" w:pos="1200"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A “Change of Control” will mean the first to occur of the following:</w:t>
      </w:r>
    </w:p>
    <w:p>
      <w:pPr>
        <w:spacing w:after="0" w:line="203" w:lineRule="exact"/>
        <w:rPr>
          <w:rFonts w:ascii="Arial" w:cs="Arial" w:eastAsia="Arial" w:hAnsi="Arial"/>
          <w:sz w:val="17"/>
          <w:szCs w:val="17"/>
          <w:color w:val="auto"/>
        </w:rPr>
      </w:pPr>
    </w:p>
    <w:p>
      <w:pPr>
        <w:ind w:left="1800" w:right="60" w:hanging="604"/>
        <w:spacing w:after="0" w:line="248" w:lineRule="auto"/>
        <w:tabs>
          <w:tab w:leader="none" w:pos="1800" w:val="left"/>
        </w:tabs>
        <w:numPr>
          <w:ilvl w:val="2"/>
          <w:numId w:val="56"/>
        </w:numPr>
        <w:rPr>
          <w:rFonts w:ascii="Arial" w:cs="Arial" w:eastAsia="Arial" w:hAnsi="Arial"/>
          <w:sz w:val="17"/>
          <w:szCs w:val="17"/>
          <w:color w:val="auto"/>
        </w:rPr>
      </w:pPr>
      <w:r>
        <w:rPr>
          <w:rFonts w:ascii="Arial" w:cs="Arial" w:eastAsia="Arial" w:hAnsi="Arial"/>
          <w:sz w:val="17"/>
          <w:szCs w:val="17"/>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w:t>
      </w:r>
    </w:p>
    <w:p>
      <w:pPr>
        <w:sectPr>
          <w:pgSz w:w="11900" w:h="16838" w:orient="portrait"/>
          <w:cols w:equalWidth="0" w:num="1">
            <w:col w:w="11420"/>
          </w:cols>
          <w:pgMar w:left="240" w:top="547" w:right="239" w:bottom="1440" w:gutter="0" w:footer="0" w:header="0"/>
        </w:sectPr>
      </w:pPr>
    </w:p>
    <w:bookmarkStart w:id="102" w:name="page103"/>
    <w:bookmarkEnd w:id="102"/>
    <w:p>
      <w:pPr>
        <w:ind w:left="1800"/>
        <w:spacing w:after="0" w:line="314" w:lineRule="auto"/>
        <w:rPr>
          <w:sz w:val="20"/>
          <w:szCs w:val="20"/>
          <w:color w:val="auto"/>
        </w:rPr>
      </w:pPr>
      <w:r>
        <w:rPr>
          <w:rFonts w:ascii="Arial" w:cs="Arial" w:eastAsia="Arial" w:hAnsi="Arial"/>
          <w:sz w:val="16"/>
          <w:szCs w:val="16"/>
          <w:color w:val="auto"/>
        </w:rPr>
        <w:t>(A)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47" w:lineRule="exact"/>
        <w:rPr>
          <w:sz w:val="20"/>
          <w:szCs w:val="20"/>
          <w:color w:val="auto"/>
        </w:rPr>
      </w:pPr>
    </w:p>
    <w:p>
      <w:pPr>
        <w:ind w:left="1800" w:right="60" w:hanging="604"/>
        <w:spacing w:after="0" w:line="288" w:lineRule="auto"/>
        <w:tabs>
          <w:tab w:leader="none" w:pos="18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53" w:lineRule="exact"/>
        <w:rPr>
          <w:rFonts w:ascii="Arial" w:cs="Arial" w:eastAsia="Arial" w:hAnsi="Arial"/>
          <w:sz w:val="15"/>
          <w:szCs w:val="15"/>
          <w:color w:val="auto"/>
        </w:rPr>
      </w:pPr>
    </w:p>
    <w:p>
      <w:pPr>
        <w:ind w:left="1800" w:right="100" w:hanging="604"/>
        <w:spacing w:after="0" w:line="265" w:lineRule="auto"/>
        <w:tabs>
          <w:tab w:leader="none" w:pos="18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consummation of any liquidation or dissolution of the Corporation or a sale or other disposition of all or substantially all of the assets of the Corporation; or</w:t>
      </w:r>
    </w:p>
    <w:p>
      <w:pPr>
        <w:spacing w:after="0" w:line="166" w:lineRule="exact"/>
        <w:rPr>
          <w:rFonts w:ascii="Arial" w:cs="Arial" w:eastAsia="Arial" w:hAnsi="Arial"/>
          <w:sz w:val="17"/>
          <w:szCs w:val="17"/>
          <w:color w:val="auto"/>
        </w:rPr>
      </w:pPr>
    </w:p>
    <w:p>
      <w:pPr>
        <w:ind w:left="1800" w:right="40" w:hanging="604"/>
        <w:spacing w:after="0" w:line="202" w:lineRule="exact"/>
        <w:tabs>
          <w:tab w:leader="none" w:pos="18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individuals who, as of the date of this letter agreement, constitute the Board of Directors of the Corporation (as of such date, the “Incumbent Board”) cease for any reason to constitute at least a majority of such Board; provided, however,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13"/>
          <w:szCs w:val="13"/>
          <w:color w:val="auto"/>
        </w:rPr>
        <w:t>‑</w:t>
      </w:r>
      <w:r>
        <w:rPr>
          <w:rFonts w:ascii="Arial" w:cs="Arial" w:eastAsia="Arial" w:hAnsi="Arial"/>
          <w:sz w:val="13"/>
          <w:szCs w:val="13"/>
          <w:color w:val="auto"/>
        </w:rPr>
        <w:t>12(c); or</w:t>
      </w:r>
    </w:p>
    <w:p>
      <w:pPr>
        <w:spacing w:after="0" w:line="188" w:lineRule="exact"/>
        <w:rPr>
          <w:rFonts w:ascii="Arial" w:cs="Arial" w:eastAsia="Arial" w:hAnsi="Arial"/>
          <w:sz w:val="13"/>
          <w:szCs w:val="13"/>
          <w:color w:val="auto"/>
        </w:rPr>
      </w:pPr>
    </w:p>
    <w:p>
      <w:pPr>
        <w:ind w:left="1800" w:right="120" w:hanging="604"/>
        <w:spacing w:after="0" w:line="304" w:lineRule="auto"/>
        <w:tabs>
          <w:tab w:leader="none" w:pos="18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42"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w:t>
      </w:r>
    </w:p>
    <w:p>
      <w:pPr>
        <w:spacing w:after="0" w:line="158" w:lineRule="exact"/>
        <w:rPr>
          <w:sz w:val="20"/>
          <w:szCs w:val="20"/>
          <w:color w:val="auto"/>
        </w:rPr>
      </w:pPr>
    </w:p>
    <w:p>
      <w:pPr>
        <w:ind w:left="1200" w:hanging="602"/>
        <w:spacing w:after="0"/>
        <w:tabs>
          <w:tab w:leader="none" w:pos="120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03" w:lineRule="exact"/>
        <w:rPr>
          <w:rFonts w:ascii="Arial" w:cs="Arial" w:eastAsia="Arial" w:hAnsi="Arial"/>
          <w:sz w:val="17"/>
          <w:szCs w:val="17"/>
          <w:color w:val="auto"/>
        </w:rPr>
      </w:pPr>
    </w:p>
    <w:p>
      <w:pPr>
        <w:ind w:left="1800" w:right="860" w:hanging="604"/>
        <w:spacing w:after="0" w:line="252" w:lineRule="auto"/>
        <w:tabs>
          <w:tab w:leader="none" w:pos="18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any material breach of any material obligation of any member of the Consolidated ManpowerGroup for the payment or provision of compensation or other benefits to you;</w:t>
      </w:r>
    </w:p>
    <w:p>
      <w:pPr>
        <w:ind w:left="1800" w:hanging="604"/>
        <w:spacing w:after="0"/>
        <w:tabs>
          <w:tab w:leader="none" w:pos="18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 material diminution in your base salary;</w:t>
      </w:r>
    </w:p>
    <w:p>
      <w:pPr>
        <w:spacing w:after="0" w:line="3" w:lineRule="exact"/>
        <w:rPr>
          <w:rFonts w:ascii="Arial" w:cs="Arial" w:eastAsia="Arial" w:hAnsi="Arial"/>
          <w:sz w:val="17"/>
          <w:szCs w:val="17"/>
          <w:color w:val="auto"/>
        </w:rPr>
      </w:pPr>
    </w:p>
    <w:p>
      <w:pPr>
        <w:jc w:val="both"/>
        <w:ind w:left="1800" w:right="260" w:hanging="604"/>
        <w:spacing w:after="0" w:line="244" w:lineRule="auto"/>
        <w:tabs>
          <w:tab w:leader="none" w:pos="18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2" w:lineRule="exact"/>
        <w:rPr>
          <w:rFonts w:ascii="Arial" w:cs="Arial" w:eastAsia="Arial" w:hAnsi="Arial"/>
          <w:sz w:val="17"/>
          <w:szCs w:val="17"/>
          <w:color w:val="auto"/>
        </w:rPr>
      </w:pPr>
    </w:p>
    <w:p>
      <w:pPr>
        <w:ind w:left="1800" w:right="620" w:hanging="604"/>
        <w:spacing w:after="0" w:line="244" w:lineRule="auto"/>
        <w:tabs>
          <w:tab w:leader="none" w:pos="18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which is not accompanied by a material reduction in your target bonus opportunity but which diminution occurs within two years after the occurrence of a Change of Control;</w:t>
      </w:r>
    </w:p>
    <w:p>
      <w:pPr>
        <w:spacing w:after="0" w:line="1" w:lineRule="exact"/>
        <w:rPr>
          <w:rFonts w:ascii="Arial" w:cs="Arial" w:eastAsia="Arial" w:hAnsi="Arial"/>
          <w:sz w:val="17"/>
          <w:szCs w:val="17"/>
          <w:color w:val="auto"/>
        </w:rPr>
      </w:pPr>
    </w:p>
    <w:p>
      <w:pPr>
        <w:ind w:left="1800" w:right="600" w:hanging="604"/>
        <w:spacing w:after="0" w:line="244" w:lineRule="auto"/>
        <w:tabs>
          <w:tab w:leader="none" w:pos="18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2" w:lineRule="exact"/>
        <w:rPr>
          <w:rFonts w:ascii="Arial" w:cs="Arial" w:eastAsia="Arial" w:hAnsi="Arial"/>
          <w:sz w:val="17"/>
          <w:szCs w:val="17"/>
          <w:color w:val="auto"/>
        </w:rPr>
      </w:pPr>
    </w:p>
    <w:p>
      <w:pPr>
        <w:ind w:left="1800" w:hanging="604"/>
        <w:spacing w:after="0"/>
        <w:tabs>
          <w:tab w:leader="none" w:pos="18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your being required by the Corporation to materially change the location of your principal office; provided</w:t>
      </w:r>
    </w:p>
    <w:p>
      <w:pPr>
        <w:sectPr>
          <w:pgSz w:w="11900" w:h="16838" w:orient="portrait"/>
          <w:cols w:equalWidth="0" w:num="1">
            <w:col w:w="11420"/>
          </w:cols>
          <w:pgMar w:left="240" w:top="576" w:right="239" w:bottom="1440" w:gutter="0" w:footer="0" w:header="0"/>
        </w:sectPr>
      </w:pPr>
    </w:p>
    <w:bookmarkStart w:id="103" w:name="page104"/>
    <w:bookmarkEnd w:id="103"/>
    <w:p>
      <w:pPr>
        <w:ind w:left="1800"/>
        <w:spacing w:after="0"/>
        <w:rPr>
          <w:sz w:val="20"/>
          <w:szCs w:val="20"/>
          <w:color w:val="auto"/>
        </w:rPr>
      </w:pPr>
      <w:r>
        <w:rPr>
          <w:rFonts w:ascii="Arial" w:cs="Arial" w:eastAsia="Arial" w:hAnsi="Arial"/>
          <w:sz w:val="17"/>
          <w:szCs w:val="17"/>
          <w:color w:val="auto"/>
        </w:rPr>
        <w:t>such new location is one in excess of fifty miles from the location of your principal office before such change.</w:t>
      </w:r>
    </w:p>
    <w:p>
      <w:pPr>
        <w:spacing w:after="0" w:line="21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69" w:lineRule="exact"/>
        <w:rPr>
          <w:sz w:val="20"/>
          <w:szCs w:val="20"/>
          <w:color w:val="auto"/>
        </w:rPr>
      </w:pPr>
    </w:p>
    <w:p>
      <w:pPr>
        <w:ind w:left="1200" w:right="80" w:hanging="602"/>
        <w:spacing w:after="0" w:line="249" w:lineRule="auto"/>
        <w:tabs>
          <w:tab w:leader="none" w:pos="1200"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w:t>
      </w:r>
    </w:p>
    <w:p>
      <w:pPr>
        <w:spacing w:after="0" w:line="182" w:lineRule="exact"/>
        <w:rPr>
          <w:rFonts w:ascii="Arial" w:cs="Arial" w:eastAsia="Arial" w:hAnsi="Arial"/>
          <w:sz w:val="17"/>
          <w:szCs w:val="17"/>
          <w:color w:val="auto"/>
        </w:rPr>
      </w:pPr>
    </w:p>
    <w:p>
      <w:pPr>
        <w:ind w:left="1200" w:right="80" w:hanging="602"/>
        <w:spacing w:after="0" w:line="296" w:lineRule="auto"/>
        <w:tabs>
          <w:tab w:leader="none" w:pos="1200"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44" w:lineRule="exact"/>
        <w:rPr>
          <w:rFonts w:ascii="Arial" w:cs="Arial" w:eastAsia="Arial" w:hAnsi="Arial"/>
          <w:sz w:val="16"/>
          <w:szCs w:val="16"/>
          <w:color w:val="auto"/>
        </w:rPr>
      </w:pPr>
    </w:p>
    <w:p>
      <w:pPr>
        <w:ind w:left="1200" w:hanging="602"/>
        <w:spacing w:after="0"/>
        <w:tabs>
          <w:tab w:leader="none" w:pos="1200" w:val="left"/>
        </w:tabs>
        <w:numPr>
          <w:ilvl w:val="1"/>
          <w:numId w:val="59"/>
        </w:numPr>
        <w:rPr>
          <w:rFonts w:ascii="Arial" w:cs="Arial" w:eastAsia="Arial" w:hAnsi="Arial"/>
          <w:sz w:val="17"/>
          <w:szCs w:val="17"/>
          <w:color w:val="auto"/>
        </w:rPr>
      </w:pPr>
      <w:r>
        <w:rPr>
          <w:rFonts w:ascii="Arial" w:cs="Arial" w:eastAsia="Arial" w:hAnsi="Arial"/>
          <w:sz w:val="17"/>
          <w:szCs w:val="17"/>
          <w:u w:val="single" w:color="auto"/>
          <w:color w:val="auto"/>
        </w:rPr>
        <w:t>Protected Period</w:t>
      </w:r>
      <w:r>
        <w:rPr>
          <w:rFonts w:ascii="Arial" w:cs="Arial" w:eastAsia="Arial" w:hAnsi="Arial"/>
          <w:sz w:val="17"/>
          <w:szCs w:val="17"/>
          <w:color w:val="auto"/>
        </w:rPr>
        <w:t>. The “Protected Period” shall be a period of time determined in accordance with the following:</w:t>
      </w:r>
    </w:p>
    <w:p>
      <w:pPr>
        <w:spacing w:after="0" w:line="16" w:lineRule="exact"/>
        <w:rPr>
          <w:rFonts w:ascii="Arial" w:cs="Arial" w:eastAsia="Arial" w:hAnsi="Arial"/>
          <w:sz w:val="17"/>
          <w:szCs w:val="17"/>
          <w:color w:val="auto"/>
        </w:rPr>
      </w:pPr>
    </w:p>
    <w:p>
      <w:pPr>
        <w:ind w:left="1800" w:right="400" w:hanging="604"/>
        <w:spacing w:after="0" w:line="296" w:lineRule="auto"/>
        <w:tabs>
          <w:tab w:leader="none" w:pos="1800" w:val="left"/>
        </w:tabs>
        <w:numPr>
          <w:ilvl w:val="2"/>
          <w:numId w:val="59"/>
        </w:numPr>
        <w:rPr>
          <w:rFonts w:ascii="Arial" w:cs="Arial" w:eastAsia="Arial" w:hAnsi="Arial"/>
          <w:sz w:val="15"/>
          <w:szCs w:val="15"/>
          <w:color w:val="auto"/>
        </w:rPr>
      </w:pPr>
      <w:r>
        <w:rPr>
          <w:rFonts w:ascii="Arial" w:cs="Arial" w:eastAsia="Arial" w:hAnsi="Arial"/>
          <w:sz w:val="15"/>
          <w:szCs w:val="15"/>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46" w:lineRule="exact"/>
        <w:rPr>
          <w:rFonts w:ascii="Arial" w:cs="Arial" w:eastAsia="Arial" w:hAnsi="Arial"/>
          <w:sz w:val="15"/>
          <w:szCs w:val="15"/>
          <w:color w:val="auto"/>
        </w:rPr>
      </w:pPr>
    </w:p>
    <w:p>
      <w:pPr>
        <w:ind w:left="1800" w:right="220" w:hanging="604"/>
        <w:spacing w:after="0" w:line="251" w:lineRule="auto"/>
        <w:tabs>
          <w:tab w:leader="none" w:pos="1800" w:val="left"/>
        </w:tabs>
        <w:numPr>
          <w:ilvl w:val="2"/>
          <w:numId w:val="59"/>
        </w:numPr>
        <w:rPr>
          <w:rFonts w:ascii="Arial" w:cs="Arial" w:eastAsia="Arial" w:hAnsi="Arial"/>
          <w:sz w:val="17"/>
          <w:szCs w:val="17"/>
          <w:color w:val="auto"/>
        </w:rPr>
      </w:pPr>
      <w:r>
        <w:rPr>
          <w:rFonts w:ascii="Arial" w:cs="Arial" w:eastAsia="Arial" w:hAnsi="Arial"/>
          <w:sz w:val="17"/>
          <w:szCs w:val="17"/>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79" w:lineRule="exact"/>
        <w:rPr>
          <w:rFonts w:ascii="Arial" w:cs="Arial" w:eastAsia="Arial" w:hAnsi="Arial"/>
          <w:sz w:val="17"/>
          <w:szCs w:val="17"/>
          <w:color w:val="auto"/>
        </w:rPr>
      </w:pPr>
    </w:p>
    <w:p>
      <w:pPr>
        <w:ind w:left="1800" w:right="100" w:hanging="604"/>
        <w:spacing w:after="0" w:line="296" w:lineRule="auto"/>
        <w:tabs>
          <w:tab w:leader="none" w:pos="1800" w:val="left"/>
        </w:tabs>
        <w:numPr>
          <w:ilvl w:val="2"/>
          <w:numId w:val="59"/>
        </w:numPr>
        <w:rPr>
          <w:rFonts w:ascii="Arial" w:cs="Arial" w:eastAsia="Arial" w:hAnsi="Arial"/>
          <w:sz w:val="16"/>
          <w:szCs w:val="16"/>
          <w:color w:val="auto"/>
        </w:rPr>
      </w:pPr>
      <w:r>
        <w:rPr>
          <w:rFonts w:ascii="Arial" w:cs="Arial" w:eastAsia="Arial" w:hAnsi="Arial"/>
          <w:sz w:val="16"/>
          <w:szCs w:val="16"/>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144" w:lineRule="exact"/>
        <w:rPr>
          <w:rFonts w:ascii="Arial" w:cs="Arial" w:eastAsia="Arial" w:hAnsi="Arial"/>
          <w:sz w:val="16"/>
          <w:szCs w:val="16"/>
          <w:color w:val="auto"/>
        </w:rPr>
      </w:pPr>
    </w:p>
    <w:p>
      <w:pPr>
        <w:ind w:left="1200" w:right="40" w:hanging="602"/>
        <w:spacing w:after="0" w:line="283" w:lineRule="auto"/>
        <w:tabs>
          <w:tab w:leader="none" w:pos="1200" w:val="left"/>
        </w:tabs>
        <w:numPr>
          <w:ilvl w:val="1"/>
          <w:numId w:val="59"/>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The “Term” will be a period beginning on the date of this letter agreement indicated above and ending on the first to occur of the following: (a) the date which is the two-year anniversary of the occurrence of a Change of Control; (b) the date which is the three year anniversary of the date of this letter agreement indicated above if no Change of Control occurs between the date of this letter agreement indicated above and such three year anniversary; or</w:t>
      </w:r>
    </w:p>
    <w:p>
      <w:pPr>
        <w:ind w:left="1200"/>
        <w:spacing w:after="0"/>
        <w:rPr>
          <w:rFonts w:ascii="Arial" w:cs="Arial" w:eastAsia="Arial" w:hAnsi="Arial"/>
          <w:sz w:val="15"/>
          <w:szCs w:val="15"/>
          <w:color w:val="auto"/>
        </w:rPr>
      </w:pPr>
      <w:r>
        <w:rPr>
          <w:rFonts w:ascii="Arial" w:cs="Arial" w:eastAsia="Arial" w:hAnsi="Arial"/>
          <w:sz w:val="17"/>
          <w:szCs w:val="17"/>
          <w:color w:val="auto"/>
        </w:rPr>
        <w:t>(c) the Date of Termination.</w:t>
      </w:r>
    </w:p>
    <w:p>
      <w:pPr>
        <w:spacing w:after="0" w:line="190" w:lineRule="exact"/>
        <w:rPr>
          <w:rFonts w:ascii="Arial" w:cs="Arial" w:eastAsia="Arial" w:hAnsi="Arial"/>
          <w:sz w:val="15"/>
          <w:szCs w:val="15"/>
          <w:color w:val="auto"/>
        </w:rPr>
      </w:pPr>
    </w:p>
    <w:p>
      <w:pPr>
        <w:ind w:left="600" w:hanging="600"/>
        <w:spacing w:after="0"/>
        <w:tabs>
          <w:tab w:leader="none" w:pos="60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Compensation and Benefits on Termination</w:t>
      </w:r>
      <w:r>
        <w:rPr>
          <w:rFonts w:ascii="Arial" w:cs="Arial" w:eastAsia="Arial" w:hAnsi="Arial"/>
          <w:sz w:val="17"/>
          <w:szCs w:val="17"/>
          <w:color w:val="auto"/>
        </w:rPr>
        <w:t>.</w:t>
      </w:r>
    </w:p>
    <w:p>
      <w:pPr>
        <w:spacing w:after="0" w:line="203" w:lineRule="exact"/>
        <w:rPr>
          <w:rFonts w:ascii="Arial" w:cs="Arial" w:eastAsia="Arial" w:hAnsi="Arial"/>
          <w:sz w:val="17"/>
          <w:szCs w:val="17"/>
          <w:color w:val="auto"/>
        </w:rPr>
      </w:pPr>
    </w:p>
    <w:p>
      <w:pPr>
        <w:ind w:left="1200" w:hanging="602"/>
        <w:spacing w:after="0" w:line="269" w:lineRule="auto"/>
        <w:tabs>
          <w:tab w:leader="none" w:pos="1200"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t>Termination by the Corporation for Cause or by You Other Than for Good Reason</w:t>
      </w:r>
      <w:r>
        <w:rPr>
          <w:rFonts w:ascii="Arial" w:cs="Arial" w:eastAsia="Arial" w:hAnsi="Arial"/>
          <w:sz w:val="16"/>
          <w:szCs w:val="16"/>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165" w:lineRule="exact"/>
        <w:rPr>
          <w:rFonts w:ascii="Arial" w:cs="Arial" w:eastAsia="Arial" w:hAnsi="Arial"/>
          <w:sz w:val="16"/>
          <w:szCs w:val="16"/>
          <w:color w:val="auto"/>
        </w:rPr>
      </w:pPr>
    </w:p>
    <w:p>
      <w:pPr>
        <w:jc w:val="both"/>
        <w:ind w:left="1200" w:right="20" w:hanging="602"/>
        <w:spacing w:after="0" w:line="254" w:lineRule="auto"/>
        <w:tabs>
          <w:tab w:leader="none" w:pos="1200"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Disability or Death</w:t>
      </w:r>
      <w:r>
        <w:rPr>
          <w:rFonts w:ascii="Arial" w:cs="Arial" w:eastAsia="Arial" w:hAnsi="Arial"/>
          <w:sz w:val="17"/>
          <w:szCs w:val="17"/>
          <w:color w:val="auto"/>
        </w:rPr>
        <w:t>. If your employment with the Consolidated ManpowerGroup terminates during the Term by reason of your disability or death, the Corporation will pay or provide you with (i) your unpaid bonus, if any, attributable to any complete fiscal year of the Consolidated ManpowerGroup ended</w:t>
      </w:r>
    </w:p>
    <w:p>
      <w:pPr>
        <w:sectPr>
          <w:pgSz w:w="11900" w:h="16838" w:orient="portrait"/>
          <w:cols w:equalWidth="0" w:num="1">
            <w:col w:w="11420"/>
          </w:cols>
          <w:pgMar w:left="240" w:top="576" w:right="239" w:bottom="1440" w:gutter="0" w:footer="0" w:header="0"/>
        </w:sectPr>
      </w:pPr>
    </w:p>
    <w:bookmarkStart w:id="104" w:name="page105"/>
    <w:bookmarkEnd w:id="104"/>
    <w:p>
      <w:pPr>
        <w:ind w:left="602"/>
        <w:spacing w:after="0" w:line="314" w:lineRule="auto"/>
        <w:rPr>
          <w:sz w:val="20"/>
          <w:szCs w:val="20"/>
          <w:color w:val="auto"/>
        </w:rPr>
      </w:pPr>
      <w:r>
        <w:rPr>
          <w:rFonts w:ascii="Arial" w:cs="Arial" w:eastAsia="Arial" w:hAnsi="Arial"/>
          <w:sz w:val="16"/>
          <w:szCs w:val="16"/>
          <w:color w:val="auto"/>
        </w:rPr>
        <w:t>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agreement,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47" w:lineRule="exact"/>
        <w:rPr>
          <w:sz w:val="20"/>
          <w:szCs w:val="20"/>
          <w:color w:val="auto"/>
        </w:rPr>
      </w:pPr>
    </w:p>
    <w:p>
      <w:pPr>
        <w:jc w:val="both"/>
        <w:ind w:left="602" w:hanging="602"/>
        <w:spacing w:after="0" w:line="254" w:lineRule="auto"/>
        <w:tabs>
          <w:tab w:leader="none" w:pos="602"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Termination for Any Other Reason - Other than in a Change of Control</w:t>
      </w:r>
      <w:r>
        <w:rPr>
          <w:rFonts w:ascii="Arial" w:cs="Arial" w:eastAsia="Arial" w:hAnsi="Arial"/>
          <w:sz w:val="17"/>
          <w:szCs w:val="17"/>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77" w:lineRule="exact"/>
        <w:rPr>
          <w:rFonts w:ascii="Arial" w:cs="Arial" w:eastAsia="Arial" w:hAnsi="Arial"/>
          <w:sz w:val="17"/>
          <w:szCs w:val="17"/>
          <w:color w:val="auto"/>
        </w:rPr>
      </w:pPr>
    </w:p>
    <w:p>
      <w:pPr>
        <w:ind w:left="1802" w:right="140" w:hanging="606"/>
        <w:spacing w:after="0" w:line="265" w:lineRule="auto"/>
        <w:tabs>
          <w:tab w:leader="none" w:pos="1802"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Corporation will pay you, your unpaid bonus, if any, attributable to any complete fiscal year of the Consolidated ManpowerGroup ended before the Date of Termination;</w:t>
      </w:r>
    </w:p>
    <w:p>
      <w:pPr>
        <w:spacing w:after="0" w:line="166" w:lineRule="exact"/>
        <w:rPr>
          <w:rFonts w:ascii="Arial" w:cs="Arial" w:eastAsia="Arial" w:hAnsi="Arial"/>
          <w:sz w:val="17"/>
          <w:szCs w:val="17"/>
          <w:color w:val="auto"/>
        </w:rPr>
      </w:pPr>
    </w:p>
    <w:p>
      <w:pPr>
        <w:ind w:left="1802" w:right="20" w:hanging="606"/>
        <w:spacing w:after="0" w:line="249" w:lineRule="auto"/>
        <w:tabs>
          <w:tab w:leader="none" w:pos="1802"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2" w:lineRule="exact"/>
        <w:rPr>
          <w:rFonts w:ascii="Arial" w:cs="Arial" w:eastAsia="Arial" w:hAnsi="Arial"/>
          <w:sz w:val="17"/>
          <w:szCs w:val="17"/>
          <w:color w:val="auto"/>
        </w:rPr>
      </w:pPr>
    </w:p>
    <w:p>
      <w:pPr>
        <w:ind w:left="1802" w:right="160" w:hanging="606"/>
        <w:spacing w:after="0" w:line="332" w:lineRule="auto"/>
        <w:tabs>
          <w:tab w:leader="none" w:pos="1802" w:val="left"/>
        </w:tabs>
        <w:numPr>
          <w:ilvl w:val="1"/>
          <w:numId w:val="61"/>
        </w:numPr>
        <w:rPr>
          <w:rFonts w:ascii="Arial" w:cs="Arial" w:eastAsia="Arial" w:hAnsi="Arial"/>
          <w:sz w:val="15"/>
          <w:szCs w:val="15"/>
          <w:color w:val="auto"/>
        </w:rPr>
      </w:pPr>
      <w:r>
        <w:rPr>
          <w:rFonts w:ascii="Arial" w:cs="Arial" w:eastAsia="Arial" w:hAnsi="Arial"/>
          <w:sz w:val="15"/>
          <w:szCs w:val="15"/>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w:t>
      </w:r>
    </w:p>
    <w:p>
      <w:pPr>
        <w:spacing w:after="0" w:line="121" w:lineRule="exact"/>
        <w:rPr>
          <w:rFonts w:ascii="Arial" w:cs="Arial" w:eastAsia="Arial" w:hAnsi="Arial"/>
          <w:sz w:val="15"/>
          <w:szCs w:val="15"/>
          <w:color w:val="auto"/>
        </w:rPr>
      </w:pPr>
    </w:p>
    <w:p>
      <w:pPr>
        <w:ind w:left="1802" w:hanging="606"/>
        <w:spacing w:after="0" w:line="201" w:lineRule="exact"/>
        <w:tabs>
          <w:tab w:leader="none" w:pos="1802" w:val="left"/>
        </w:tabs>
        <w:numPr>
          <w:ilvl w:val="1"/>
          <w:numId w:val="61"/>
        </w:numPr>
        <w:rPr>
          <w:rFonts w:ascii="Arial" w:cs="Arial" w:eastAsia="Arial" w:hAnsi="Arial"/>
          <w:sz w:val="16"/>
          <w:szCs w:val="16"/>
          <w:color w:val="auto"/>
        </w:rPr>
      </w:pPr>
      <w:r>
        <w:rPr>
          <w:rFonts w:ascii="Arial" w:cs="Arial" w:eastAsia="Arial" w:hAnsi="Arial"/>
          <w:sz w:val="16"/>
          <w:szCs w:val="16"/>
          <w:color w:val="auto"/>
        </w:rPr>
        <w:t>for up to a twelve</w:t>
      </w:r>
      <w:r>
        <w:rPr>
          <w:rFonts w:ascii="MS PGothic" w:cs="MS PGothic" w:eastAsia="MS PGothic" w:hAnsi="MS PGothic"/>
          <w:sz w:val="16"/>
          <w:szCs w:val="16"/>
          <w:color w:val="auto"/>
        </w:rPr>
        <w:t>‑</w:t>
      </w:r>
      <w:r>
        <w:rPr>
          <w:rFonts w:ascii="Arial" w:cs="Arial" w:eastAsia="Arial" w:hAnsi="Arial"/>
          <w:sz w:val="16"/>
          <w:szCs w:val="16"/>
          <w:color w:val="auto"/>
        </w:rPr>
        <w:t>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w:t>
      </w:r>
      <w:r>
        <w:rPr>
          <w:rFonts w:ascii="MS PGothic" w:cs="MS PGothic" w:eastAsia="MS PGothic" w:hAnsi="MS PGothic"/>
          <w:sz w:val="16"/>
          <w:szCs w:val="16"/>
          <w:color w:val="auto"/>
        </w:rPr>
        <w:t>‑</w:t>
      </w:r>
      <w:r>
        <w:rPr>
          <w:rFonts w:ascii="Arial" w:cs="Arial" w:eastAsia="Arial" w:hAnsi="Arial"/>
          <w:sz w:val="16"/>
          <w:szCs w:val="16"/>
          <w:color w:val="auto"/>
        </w:rPr>
        <w:t>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189" w:lineRule="exact"/>
        <w:rPr>
          <w:rFonts w:ascii="Arial" w:cs="Arial" w:eastAsia="Arial" w:hAnsi="Arial"/>
          <w:sz w:val="16"/>
          <w:szCs w:val="16"/>
          <w:color w:val="auto"/>
        </w:rPr>
      </w:pPr>
    </w:p>
    <w:p>
      <w:pPr>
        <w:ind w:left="1802"/>
        <w:spacing w:after="0" w:line="281" w:lineRule="auto"/>
        <w:rPr>
          <w:rFonts w:ascii="Arial" w:cs="Arial" w:eastAsia="Arial" w:hAnsi="Arial"/>
          <w:sz w:val="16"/>
          <w:szCs w:val="16"/>
          <w:color w:val="auto"/>
        </w:rPr>
      </w:pPr>
      <w:r>
        <w:rPr>
          <w:rFonts w:ascii="Arial" w:cs="Arial" w:eastAsia="Arial" w:hAnsi="Arial"/>
          <w:sz w:val="15"/>
          <w:szCs w:val="15"/>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w:t>
      </w:r>
    </w:p>
    <w:p>
      <w:pPr>
        <w:sectPr>
          <w:pgSz w:w="11900" w:h="16838" w:orient="portrait"/>
          <w:cols w:equalWidth="0" w:num="1">
            <w:col w:w="10822"/>
          </w:cols>
          <w:pgMar w:left="838" w:top="576" w:right="239" w:bottom="1440" w:gutter="0" w:footer="0" w:header="0"/>
        </w:sectPr>
      </w:pPr>
    </w:p>
    <w:bookmarkStart w:id="105" w:name="page106"/>
    <w:bookmarkEnd w:id="105"/>
    <w:p>
      <w:pPr>
        <w:ind w:left="1802" w:right="180"/>
        <w:spacing w:after="0" w:line="265" w:lineRule="auto"/>
        <w:rPr>
          <w:sz w:val="20"/>
          <w:szCs w:val="20"/>
          <w:color w:val="auto"/>
        </w:rPr>
      </w:pPr>
      <w:r>
        <w:rPr>
          <w:rFonts w:ascii="Arial" w:cs="Arial" w:eastAsia="Arial" w:hAnsi="Arial"/>
          <w:sz w:val="17"/>
          <w:szCs w:val="17"/>
          <w:color w:val="auto"/>
        </w:rPr>
        <w:t>grossed-up so that the net amount received by you, after subtraction of all taxes applicable to the payments plus the gross-up amount, will equal the cost of such COBRA coverage; and</w:t>
      </w:r>
    </w:p>
    <w:p>
      <w:pPr>
        <w:spacing w:after="0" w:line="167" w:lineRule="exact"/>
        <w:rPr>
          <w:sz w:val="20"/>
          <w:szCs w:val="20"/>
          <w:color w:val="auto"/>
        </w:rPr>
      </w:pPr>
    </w:p>
    <w:p>
      <w:pPr>
        <w:ind w:left="1802" w:right="40" w:hanging="606"/>
        <w:spacing w:after="0" w:line="288" w:lineRule="auto"/>
        <w:tabs>
          <w:tab w:leader="none" w:pos="1802" w:val="left"/>
        </w:tabs>
        <w:numPr>
          <w:ilvl w:val="1"/>
          <w:numId w:val="62"/>
        </w:numPr>
        <w:rPr>
          <w:rFonts w:ascii="Arial" w:cs="Arial" w:eastAsia="Arial" w:hAnsi="Arial"/>
          <w:sz w:val="15"/>
          <w:szCs w:val="15"/>
          <w:color w:val="auto"/>
        </w:rPr>
      </w:pPr>
      <w:r>
        <w:rPr>
          <w:rFonts w:ascii="Arial" w:cs="Arial" w:eastAsia="Arial" w:hAnsi="Arial"/>
          <w:sz w:val="15"/>
          <w:szCs w:val="15"/>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153" w:lineRule="exact"/>
        <w:rPr>
          <w:rFonts w:ascii="Arial" w:cs="Arial" w:eastAsia="Arial" w:hAnsi="Arial"/>
          <w:sz w:val="15"/>
          <w:szCs w:val="15"/>
          <w:color w:val="auto"/>
        </w:rPr>
      </w:pPr>
    </w:p>
    <w:p>
      <w:pPr>
        <w:ind w:left="602" w:right="60" w:hanging="602"/>
        <w:spacing w:after="0" w:line="254" w:lineRule="auto"/>
        <w:tabs>
          <w:tab w:leader="none" w:pos="602"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Termination for Any Other Reason - Change of Control</w:t>
      </w:r>
      <w:r>
        <w:rPr>
          <w:rFonts w:ascii="Arial" w:cs="Arial" w:eastAsia="Arial" w:hAnsi="Arial"/>
          <w:sz w:val="17"/>
          <w:szCs w:val="17"/>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177" w:lineRule="exact"/>
        <w:rPr>
          <w:rFonts w:ascii="Arial" w:cs="Arial" w:eastAsia="Arial" w:hAnsi="Arial"/>
          <w:sz w:val="17"/>
          <w:szCs w:val="17"/>
          <w:color w:val="auto"/>
        </w:rPr>
      </w:pPr>
    </w:p>
    <w:p>
      <w:pPr>
        <w:ind w:left="1802" w:right="140" w:hanging="606"/>
        <w:spacing w:after="0" w:line="265" w:lineRule="auto"/>
        <w:tabs>
          <w:tab w:leader="none" w:pos="1802" w:val="left"/>
        </w:tabs>
        <w:numPr>
          <w:ilvl w:val="1"/>
          <w:numId w:val="63"/>
        </w:numPr>
        <w:rPr>
          <w:rFonts w:ascii="Arial" w:cs="Arial" w:eastAsia="Arial" w:hAnsi="Arial"/>
          <w:sz w:val="17"/>
          <w:szCs w:val="17"/>
          <w:color w:val="auto"/>
        </w:rPr>
      </w:pPr>
      <w:r>
        <w:rPr>
          <w:rFonts w:ascii="Arial" w:cs="Arial" w:eastAsia="Arial" w:hAnsi="Arial"/>
          <w:sz w:val="17"/>
          <w:szCs w:val="17"/>
          <w:color w:val="auto"/>
        </w:rPr>
        <w:t>the Corporation will pay you, your unpaid bonus, if any, attributable to any complete fiscal year of the Consolidated ManpowerGroup ended before the Date of Termination;</w:t>
      </w:r>
    </w:p>
    <w:p>
      <w:pPr>
        <w:spacing w:after="0" w:line="167" w:lineRule="exact"/>
        <w:rPr>
          <w:sz w:val="20"/>
          <w:szCs w:val="20"/>
          <w:color w:val="auto"/>
        </w:rPr>
      </w:pPr>
    </w:p>
    <w:p>
      <w:pPr>
        <w:jc w:val="both"/>
        <w:ind w:left="1802" w:right="220" w:hanging="606"/>
        <w:spacing w:after="0" w:line="304" w:lineRule="auto"/>
        <w:tabs>
          <w:tab w:leader="none" w:pos="1802"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142" w:lineRule="exact"/>
        <w:rPr>
          <w:rFonts w:ascii="Arial" w:cs="Arial" w:eastAsia="Arial" w:hAnsi="Arial"/>
          <w:sz w:val="15"/>
          <w:szCs w:val="15"/>
          <w:color w:val="auto"/>
        </w:rPr>
      </w:pPr>
    </w:p>
    <w:p>
      <w:pPr>
        <w:jc w:val="both"/>
        <w:ind w:left="1802" w:right="40" w:hanging="606"/>
        <w:spacing w:after="0" w:line="332" w:lineRule="auto"/>
        <w:tabs>
          <w:tab w:leader="none" w:pos="1802"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w:t>
      </w:r>
    </w:p>
    <w:p>
      <w:pPr>
        <w:spacing w:after="0" w:line="121" w:lineRule="exact"/>
        <w:rPr>
          <w:rFonts w:ascii="Arial" w:cs="Arial" w:eastAsia="Arial" w:hAnsi="Arial"/>
          <w:sz w:val="15"/>
          <w:szCs w:val="15"/>
          <w:color w:val="auto"/>
        </w:rPr>
      </w:pPr>
    </w:p>
    <w:p>
      <w:pPr>
        <w:ind w:left="1802" w:hanging="606"/>
        <w:spacing w:after="0" w:line="285" w:lineRule="auto"/>
        <w:tabs>
          <w:tab w:leader="none" w:pos="1802" w:val="left"/>
        </w:tabs>
        <w:numPr>
          <w:ilvl w:val="0"/>
          <w:numId w:val="64"/>
        </w:numPr>
        <w:rPr>
          <w:rFonts w:ascii="Arial" w:cs="Arial" w:eastAsia="Arial" w:hAnsi="Arial"/>
          <w:sz w:val="15"/>
          <w:szCs w:val="15"/>
          <w:color w:val="auto"/>
        </w:rPr>
      </w:pPr>
      <w:r>
        <w:rPr>
          <w:rFonts w:ascii="Arial" w:cs="Arial" w:eastAsia="Arial" w:hAnsi="Arial"/>
          <w:sz w:val="15"/>
          <w:szCs w:val="15"/>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56" w:lineRule="exact"/>
        <w:rPr>
          <w:rFonts w:ascii="Arial" w:cs="Arial" w:eastAsia="Arial" w:hAnsi="Arial"/>
          <w:sz w:val="15"/>
          <w:szCs w:val="15"/>
          <w:color w:val="auto"/>
        </w:rPr>
      </w:pPr>
    </w:p>
    <w:p>
      <w:pPr>
        <w:ind w:left="1802" w:right="80"/>
        <w:spacing w:after="0" w:line="282" w:lineRule="auto"/>
        <w:rPr>
          <w:rFonts w:ascii="Arial" w:cs="Arial" w:eastAsia="Arial" w:hAnsi="Arial"/>
          <w:sz w:val="15"/>
          <w:szCs w:val="15"/>
          <w:color w:val="auto"/>
        </w:rPr>
      </w:pPr>
      <w:r>
        <w:rPr>
          <w:rFonts w:ascii="Arial" w:cs="Arial" w:eastAsia="Arial" w:hAnsi="Arial"/>
          <w:sz w:val="15"/>
          <w:szCs w:val="15"/>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w:t>
      </w:r>
    </w:p>
    <w:p>
      <w:pPr>
        <w:sectPr>
          <w:pgSz w:w="11900" w:h="16838" w:orient="portrait"/>
          <w:cols w:equalWidth="0" w:num="1">
            <w:col w:w="10822"/>
          </w:cols>
          <w:pgMar w:left="838" w:top="551" w:right="239" w:bottom="1440" w:gutter="0" w:footer="0" w:header="0"/>
        </w:sectPr>
      </w:pPr>
    </w:p>
    <w:bookmarkStart w:id="106" w:name="page107"/>
    <w:bookmarkEnd w:id="106"/>
    <w:p>
      <w:pPr>
        <w:jc w:val="both"/>
        <w:ind w:left="1802" w:right="180"/>
        <w:spacing w:after="0" w:line="254" w:lineRule="auto"/>
        <w:rPr>
          <w:sz w:val="20"/>
          <w:szCs w:val="20"/>
          <w:color w:val="auto"/>
        </w:rPr>
      </w:pPr>
      <w:r>
        <w:rPr>
          <w:rFonts w:ascii="Arial" w:cs="Arial" w:eastAsia="Arial" w:hAnsi="Arial"/>
          <w:sz w:val="17"/>
          <w:szCs w:val="17"/>
          <w:color w:val="auto"/>
        </w:rPr>
        <w:t>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w:t>
      </w:r>
    </w:p>
    <w:p>
      <w:pPr>
        <w:spacing w:after="0" w:line="177" w:lineRule="exact"/>
        <w:rPr>
          <w:sz w:val="20"/>
          <w:szCs w:val="20"/>
          <w:color w:val="auto"/>
        </w:rPr>
      </w:pPr>
    </w:p>
    <w:p>
      <w:pPr>
        <w:ind w:left="1802" w:right="40" w:hanging="606"/>
        <w:spacing w:after="0" w:line="288" w:lineRule="auto"/>
        <w:tabs>
          <w:tab w:leader="none" w:pos="1802" w:val="left"/>
        </w:tabs>
        <w:numPr>
          <w:ilvl w:val="1"/>
          <w:numId w:val="65"/>
        </w:numPr>
        <w:rPr>
          <w:rFonts w:ascii="Arial" w:cs="Arial" w:eastAsia="Arial" w:hAnsi="Arial"/>
          <w:sz w:val="15"/>
          <w:szCs w:val="15"/>
          <w:color w:val="auto"/>
        </w:rPr>
      </w:pPr>
      <w:r>
        <w:rPr>
          <w:rFonts w:ascii="Arial" w:cs="Arial" w:eastAsia="Arial" w:hAnsi="Arial"/>
          <w:sz w:val="15"/>
          <w:szCs w:val="15"/>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153" w:lineRule="exact"/>
        <w:rPr>
          <w:rFonts w:ascii="Arial" w:cs="Arial" w:eastAsia="Arial" w:hAnsi="Arial"/>
          <w:sz w:val="15"/>
          <w:szCs w:val="15"/>
          <w:color w:val="auto"/>
        </w:rPr>
      </w:pPr>
    </w:p>
    <w:p>
      <w:pPr>
        <w:ind w:left="602" w:hanging="602"/>
        <w:spacing w:after="0" w:line="282" w:lineRule="auto"/>
        <w:tabs>
          <w:tab w:leader="none" w:pos="602"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Limitation on Benefits</w:t>
      </w:r>
      <w:r>
        <w:rPr>
          <w:rFonts w:ascii="Arial" w:cs="Arial" w:eastAsia="Arial" w:hAnsi="Arial"/>
          <w:sz w:val="15"/>
          <w:szCs w:val="15"/>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157" w:lineRule="exact"/>
        <w:rPr>
          <w:rFonts w:ascii="Arial" w:cs="Arial" w:eastAsia="Arial" w:hAnsi="Arial"/>
          <w:sz w:val="15"/>
          <w:szCs w:val="15"/>
          <w:color w:val="auto"/>
        </w:rPr>
      </w:pPr>
    </w:p>
    <w:p>
      <w:pPr>
        <w:ind w:left="602" w:right="60" w:hanging="602"/>
        <w:spacing w:after="0" w:line="272" w:lineRule="auto"/>
        <w:tabs>
          <w:tab w:leader="none" w:pos="602" w:val="left"/>
        </w:tabs>
        <w:numPr>
          <w:ilvl w:val="0"/>
          <w:numId w:val="66"/>
        </w:numPr>
        <w:rPr>
          <w:rFonts w:ascii="Arial" w:cs="Arial" w:eastAsia="Arial" w:hAnsi="Arial"/>
          <w:sz w:val="15"/>
          <w:szCs w:val="15"/>
          <w:color w:val="auto"/>
        </w:rPr>
      </w:pPr>
      <w:r>
        <w:rPr>
          <w:rFonts w:ascii="Arial" w:cs="Arial" w:eastAsia="Arial" w:hAnsi="Arial"/>
          <w:sz w:val="15"/>
          <w:szCs w:val="15"/>
          <w:u w:val="single" w:color="auto"/>
          <w:color w:val="auto"/>
        </w:rPr>
        <w:t>Timing of Payments</w:t>
      </w:r>
      <w:r>
        <w:rPr>
          <w:rFonts w:ascii="Arial" w:cs="Arial" w:eastAsia="Arial" w:hAnsi="Arial"/>
          <w:sz w:val="15"/>
          <w:szCs w:val="15"/>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5"/>
          <w:szCs w:val="15"/>
          <w:i w:val="1"/>
          <w:iCs w:val="1"/>
          <w:color w:val="auto"/>
        </w:rPr>
        <w:t>The Wall Street Journal</w:t>
      </w:r>
      <w:r>
        <w:rPr>
          <w:rFonts w:ascii="Arial" w:cs="Arial" w:eastAsia="Arial" w:hAnsi="Arial"/>
          <w:sz w:val="15"/>
          <w:szCs w:val="15"/>
          <w:color w:val="auto"/>
        </w:rPr>
        <w:t>, Midwest edition (or, if not so reported, as reported in such other similar source(s) as the Corporation shall select).</w:t>
      </w:r>
    </w:p>
    <w:p>
      <w:pPr>
        <w:spacing w:after="0" w:line="172" w:lineRule="exact"/>
        <w:rPr>
          <w:rFonts w:ascii="Arial" w:cs="Arial" w:eastAsia="Arial" w:hAnsi="Arial"/>
          <w:sz w:val="15"/>
          <w:szCs w:val="15"/>
          <w:color w:val="auto"/>
        </w:rPr>
      </w:pPr>
    </w:p>
    <w:p>
      <w:pPr>
        <w:ind w:left="602" w:right="80" w:hanging="602"/>
        <w:spacing w:after="0" w:line="248" w:lineRule="auto"/>
        <w:tabs>
          <w:tab w:leader="none" w:pos="602"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Notwithstanding the foregoing, you will have no right to receive any payment or benefit described in Subsections 2(c)(ii)-(v) or 2(d) (ii)-(v),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w:t>
      </w:r>
    </w:p>
    <w:p>
      <w:pPr>
        <w:sectPr>
          <w:pgSz w:w="11900" w:h="16838" w:orient="portrait"/>
          <w:cols w:equalWidth="0" w:num="1">
            <w:col w:w="10822"/>
          </w:cols>
          <w:pgMar w:left="838" w:top="551" w:right="239" w:bottom="1440" w:gutter="0" w:footer="0" w:header="0"/>
        </w:sectPr>
      </w:pPr>
    </w:p>
    <w:bookmarkStart w:id="107" w:name="page108"/>
    <w:bookmarkEnd w:id="107"/>
    <w:p>
      <w:pPr>
        <w:ind w:left="1200" w:right="20"/>
        <w:spacing w:after="0" w:line="289" w:lineRule="auto"/>
        <w:rPr>
          <w:sz w:val="20"/>
          <w:szCs w:val="20"/>
          <w:color w:val="auto"/>
        </w:rPr>
      </w:pPr>
      <w:r>
        <w:rPr>
          <w:rFonts w:ascii="Arial" w:cs="Arial" w:eastAsia="Arial" w:hAnsi="Arial"/>
          <w:sz w:val="17"/>
          <w:szCs w:val="17"/>
          <w:color w:val="auto"/>
        </w:rPr>
        <w:t>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23"/>
          <w:szCs w:val="23"/>
          <w:color w:val="auto"/>
          <w:vertAlign w:val="superscript"/>
        </w:rPr>
        <w:t>th</w:t>
      </w:r>
      <w:r>
        <w:rPr>
          <w:rFonts w:ascii="Arial" w:cs="Arial" w:eastAsia="Arial" w:hAnsi="Arial"/>
          <w:sz w:val="17"/>
          <w:szCs w:val="17"/>
          <w:color w:val="auto"/>
        </w:rPr>
        <w:t>) day after the Date of Termination.</w:t>
      </w:r>
    </w:p>
    <w:p>
      <w:pPr>
        <w:spacing w:after="0" w:line="97" w:lineRule="exact"/>
        <w:rPr>
          <w:sz w:val="20"/>
          <w:szCs w:val="20"/>
          <w:color w:val="auto"/>
        </w:rPr>
      </w:pPr>
    </w:p>
    <w:p>
      <w:pPr>
        <w:ind w:left="1200" w:right="100" w:hanging="602"/>
        <w:spacing w:after="0" w:line="251" w:lineRule="auto"/>
        <w:tabs>
          <w:tab w:leader="none" w:pos="1200" w:val="left"/>
        </w:tabs>
        <w:numPr>
          <w:ilvl w:val="1"/>
          <w:numId w:val="67"/>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79" w:lineRule="exact"/>
        <w:rPr>
          <w:rFonts w:ascii="Arial" w:cs="Arial" w:eastAsia="Arial" w:hAnsi="Arial"/>
          <w:sz w:val="17"/>
          <w:szCs w:val="17"/>
          <w:color w:val="auto"/>
        </w:rPr>
      </w:pPr>
    </w:p>
    <w:p>
      <w:pPr>
        <w:ind w:left="600" w:hanging="600"/>
        <w:spacing w:after="0"/>
        <w:tabs>
          <w:tab w:leader="none" w:pos="600"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Nondisclosure</w:t>
      </w:r>
      <w:r>
        <w:rPr>
          <w:rFonts w:ascii="Arial" w:cs="Arial" w:eastAsia="Arial" w:hAnsi="Arial"/>
          <w:sz w:val="17"/>
          <w:szCs w:val="17"/>
          <w:color w:val="auto"/>
        </w:rPr>
        <w:t>.</w:t>
      </w:r>
    </w:p>
    <w:p>
      <w:pPr>
        <w:spacing w:after="0" w:line="203" w:lineRule="exact"/>
        <w:rPr>
          <w:rFonts w:ascii="Arial" w:cs="Arial" w:eastAsia="Arial" w:hAnsi="Arial"/>
          <w:sz w:val="17"/>
          <w:szCs w:val="17"/>
          <w:color w:val="auto"/>
        </w:rPr>
      </w:pPr>
    </w:p>
    <w:p>
      <w:pPr>
        <w:ind w:left="1200" w:hanging="602"/>
        <w:spacing w:after="0" w:line="282" w:lineRule="auto"/>
        <w:tabs>
          <w:tab w:leader="none" w:pos="1200" w:val="left"/>
        </w:tabs>
        <w:numPr>
          <w:ilvl w:val="1"/>
          <w:numId w:val="68"/>
        </w:numPr>
        <w:rPr>
          <w:rFonts w:ascii="Arial" w:cs="Arial" w:eastAsia="Arial" w:hAnsi="Arial"/>
          <w:sz w:val="15"/>
          <w:szCs w:val="15"/>
          <w:color w:val="auto"/>
        </w:rPr>
      </w:pPr>
      <w:r>
        <w:rPr>
          <w:rFonts w:ascii="Arial" w:cs="Arial" w:eastAsia="Arial" w:hAnsi="Arial"/>
          <w:sz w:val="15"/>
          <w:szCs w:val="15"/>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analysis,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160" w:lineRule="exact"/>
        <w:rPr>
          <w:rFonts w:ascii="Arial" w:cs="Arial" w:eastAsia="Arial" w:hAnsi="Arial"/>
          <w:sz w:val="15"/>
          <w:szCs w:val="15"/>
          <w:color w:val="auto"/>
        </w:rPr>
      </w:pPr>
    </w:p>
    <w:p>
      <w:pPr>
        <w:ind w:left="1200" w:hanging="602"/>
        <w:spacing w:after="0" w:line="263" w:lineRule="auto"/>
        <w:tabs>
          <w:tab w:leader="none" w:pos="1200" w:val="left"/>
        </w:tabs>
        <w:numPr>
          <w:ilvl w:val="1"/>
          <w:numId w:val="68"/>
        </w:numPr>
        <w:rPr>
          <w:rFonts w:ascii="Arial" w:cs="Arial" w:eastAsia="Arial" w:hAnsi="Arial"/>
          <w:sz w:val="16"/>
          <w:szCs w:val="16"/>
          <w:color w:val="auto"/>
        </w:rPr>
      </w:pPr>
      <w:r>
        <w:rPr>
          <w:rFonts w:ascii="Arial" w:cs="Arial" w:eastAsia="Arial" w:hAnsi="Arial"/>
          <w:sz w:val="16"/>
          <w:szCs w:val="16"/>
          <w:color w:val="auto"/>
        </w:rPr>
        <w:t>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172" w:lineRule="exact"/>
        <w:rPr>
          <w:rFonts w:ascii="Arial" w:cs="Arial" w:eastAsia="Arial" w:hAnsi="Arial"/>
          <w:sz w:val="16"/>
          <w:szCs w:val="16"/>
          <w:color w:val="auto"/>
        </w:rPr>
      </w:pPr>
    </w:p>
    <w:p>
      <w:pPr>
        <w:ind w:left="1200" w:right="540" w:hanging="602"/>
        <w:spacing w:after="0" w:line="251" w:lineRule="auto"/>
        <w:tabs>
          <w:tab w:leader="none" w:pos="12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379" w:lineRule="exact"/>
        <w:rPr>
          <w:sz w:val="20"/>
          <w:szCs w:val="20"/>
          <w:color w:val="auto"/>
        </w:rPr>
      </w:pPr>
    </w:p>
    <w:p>
      <w:pPr>
        <w:ind w:left="600" w:right="80" w:hanging="600"/>
        <w:spacing w:after="0" w:line="272" w:lineRule="auto"/>
        <w:tabs>
          <w:tab w:leader="none" w:pos="60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w:t>
      </w:r>
    </w:p>
    <w:p>
      <w:pPr>
        <w:sectPr>
          <w:pgSz w:w="11900" w:h="16838" w:orient="portrait"/>
          <w:cols w:equalWidth="0" w:num="1">
            <w:col w:w="11420"/>
          </w:cols>
          <w:pgMar w:left="240" w:top="576" w:right="239" w:bottom="1440" w:gutter="0" w:footer="0" w:header="0"/>
        </w:sectPr>
      </w:pPr>
    </w:p>
    <w:bookmarkStart w:id="108" w:name="page109"/>
    <w:bookmarkEnd w:id="108"/>
    <w:p>
      <w:pPr>
        <w:ind w:left="600" w:right="40"/>
        <w:spacing w:after="0" w:line="297" w:lineRule="auto"/>
        <w:rPr>
          <w:sz w:val="20"/>
          <w:szCs w:val="20"/>
          <w:color w:val="auto"/>
        </w:rPr>
      </w:pPr>
      <w:r>
        <w:rPr>
          <w:rFonts w:ascii="Arial" w:cs="Arial" w:eastAsia="Arial" w:hAnsi="Arial"/>
          <w:sz w:val="17"/>
          <w:szCs w:val="17"/>
          <w:color w:val="auto"/>
        </w:rPr>
        <w:t>Consolidated ManpowerGroup and (i) who is a top-level employee of the Consolidated ManpowerGroup, has special skills or knowledge important to the Consolidated ManpowerGroup, or has skills that are difficult for the Consolidated ManpowerGroup to replace and (ii) with whom you had a working relationship or about whom you acquired or possessed specialized knowledge, in each case, in connection with your employment with the Consolidated ManpowerGroup during the one-year period preceding the Date of Termination.</w:t>
      </w:r>
    </w:p>
    <w:p>
      <w:pPr>
        <w:spacing w:after="0" w:line="154" w:lineRule="exact"/>
        <w:rPr>
          <w:sz w:val="20"/>
          <w:szCs w:val="20"/>
          <w:color w:val="auto"/>
        </w:rPr>
      </w:pPr>
    </w:p>
    <w:p>
      <w:pPr>
        <w:jc w:val="both"/>
        <w:ind w:left="600" w:right="460" w:hanging="600"/>
        <w:spacing w:after="0" w:line="254" w:lineRule="auto"/>
        <w:tabs>
          <w:tab w:leader="none" w:pos="60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Restrictions During Employment</w:t>
      </w:r>
      <w:r>
        <w:rPr>
          <w:rFonts w:ascii="Arial" w:cs="Arial" w:eastAsia="Arial" w:hAnsi="Arial"/>
          <w:sz w:val="17"/>
          <w:szCs w:val="17"/>
          <w:color w:val="auto"/>
        </w:rPr>
        <w:t>.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w:t>
      </w:r>
    </w:p>
    <w:p>
      <w:pPr>
        <w:spacing w:after="0" w:line="177" w:lineRule="exact"/>
        <w:rPr>
          <w:rFonts w:ascii="Arial" w:cs="Arial" w:eastAsia="Arial" w:hAnsi="Arial"/>
          <w:sz w:val="17"/>
          <w:szCs w:val="17"/>
          <w:color w:val="auto"/>
        </w:rPr>
      </w:pPr>
    </w:p>
    <w:p>
      <w:pPr>
        <w:ind w:left="600" w:right="700" w:hanging="600"/>
        <w:spacing w:after="0" w:line="265" w:lineRule="auto"/>
        <w:tabs>
          <w:tab w:leader="none" w:pos="60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Noncompetition Agreement</w:t>
      </w:r>
      <w:r>
        <w:rPr>
          <w:rFonts w:ascii="Arial" w:cs="Arial" w:eastAsia="Arial" w:hAnsi="Arial"/>
          <w:sz w:val="17"/>
          <w:szCs w:val="17"/>
          <w:color w:val="auto"/>
        </w:rPr>
        <w:t>. During the one-year period which immediately follows the termination, for whatever reason, of your employment with the Consolidated ManpowerGroup:</w:t>
      </w:r>
    </w:p>
    <w:p>
      <w:pPr>
        <w:spacing w:after="0" w:line="166" w:lineRule="exact"/>
        <w:rPr>
          <w:rFonts w:ascii="Arial" w:cs="Arial" w:eastAsia="Arial" w:hAnsi="Arial"/>
          <w:sz w:val="17"/>
          <w:szCs w:val="17"/>
          <w:color w:val="auto"/>
        </w:rPr>
      </w:pPr>
    </w:p>
    <w:p>
      <w:pPr>
        <w:ind w:left="1200" w:right="40" w:hanging="602"/>
        <w:spacing w:after="0" w:line="202" w:lineRule="exact"/>
        <w:tabs>
          <w:tab w:leader="none" w:pos="12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16"/>
          <w:szCs w:val="16"/>
          <w:color w:val="auto"/>
        </w:rPr>
        <w:t>‑</w:t>
      </w:r>
      <w:r>
        <w:rPr>
          <w:rFonts w:ascii="Arial" w:cs="Arial" w:eastAsia="Arial" w:hAnsi="Arial"/>
          <w:sz w:val="16"/>
          <w:szCs w:val="16"/>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16"/>
          <w:szCs w:val="16"/>
          <w:color w:val="auto"/>
        </w:rPr>
        <w:t>‑</w:t>
      </w:r>
      <w:r>
        <w:rPr>
          <w:rFonts w:ascii="Arial" w:cs="Arial" w:eastAsia="Arial" w:hAnsi="Arial"/>
          <w:sz w:val="16"/>
          <w:szCs w:val="16"/>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188" w:lineRule="exact"/>
        <w:rPr>
          <w:rFonts w:ascii="Arial" w:cs="Arial" w:eastAsia="Arial" w:hAnsi="Arial"/>
          <w:sz w:val="16"/>
          <w:szCs w:val="16"/>
          <w:color w:val="auto"/>
        </w:rPr>
      </w:pPr>
    </w:p>
    <w:p>
      <w:pPr>
        <w:ind w:left="1200" w:right="20" w:hanging="602"/>
        <w:spacing w:after="0" w:line="201" w:lineRule="exact"/>
        <w:tabs>
          <w:tab w:leader="none" w:pos="12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16"/>
          <w:szCs w:val="16"/>
          <w:color w:val="auto"/>
        </w:rPr>
        <w:t>‑</w:t>
      </w:r>
      <w:r>
        <w:rPr>
          <w:rFonts w:ascii="Arial" w:cs="Arial" w:eastAsia="Arial" w:hAnsi="Arial"/>
          <w:sz w:val="16"/>
          <w:szCs w:val="16"/>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391" w:lineRule="exact"/>
        <w:rPr>
          <w:rFonts w:ascii="Arial" w:cs="Arial" w:eastAsia="Arial" w:hAnsi="Arial"/>
          <w:sz w:val="16"/>
          <w:szCs w:val="16"/>
          <w:color w:val="auto"/>
        </w:rPr>
      </w:pPr>
    </w:p>
    <w:p>
      <w:pPr>
        <w:ind w:left="300" w:hanging="300"/>
        <w:spacing w:after="0"/>
        <w:tabs>
          <w:tab w:leader="none" w:pos="30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Injunctive and Other Interim Measures</w:t>
      </w:r>
      <w:r>
        <w:rPr>
          <w:rFonts w:ascii="Arial" w:cs="Arial" w:eastAsia="Arial" w:hAnsi="Arial"/>
          <w:sz w:val="17"/>
          <w:szCs w:val="17"/>
          <w:color w:val="auto"/>
        </w:rPr>
        <w:t>.</w:t>
      </w:r>
    </w:p>
    <w:p>
      <w:pPr>
        <w:spacing w:after="0" w:line="203" w:lineRule="exact"/>
        <w:rPr>
          <w:rFonts w:ascii="Arial" w:cs="Arial" w:eastAsia="Arial" w:hAnsi="Arial"/>
          <w:sz w:val="17"/>
          <w:szCs w:val="17"/>
          <w:color w:val="auto"/>
        </w:rPr>
      </w:pPr>
    </w:p>
    <w:p>
      <w:pPr>
        <w:ind w:left="1200" w:hanging="602"/>
        <w:spacing w:after="0" w:line="248" w:lineRule="auto"/>
        <w:tabs>
          <w:tab w:leader="none" w:pos="1200"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Injunction</w:t>
      </w:r>
      <w:r>
        <w:rPr>
          <w:rFonts w:ascii="Arial" w:cs="Arial" w:eastAsia="Arial" w:hAnsi="Arial"/>
          <w:sz w:val="17"/>
          <w:szCs w:val="17"/>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81" w:lineRule="exact"/>
        <w:rPr>
          <w:rFonts w:ascii="Arial" w:cs="Arial" w:eastAsia="Arial" w:hAnsi="Arial"/>
          <w:sz w:val="17"/>
          <w:szCs w:val="17"/>
          <w:color w:val="auto"/>
        </w:rPr>
      </w:pPr>
    </w:p>
    <w:p>
      <w:pPr>
        <w:ind w:left="1200" w:right="200" w:hanging="602"/>
        <w:spacing w:after="0" w:line="332" w:lineRule="auto"/>
        <w:tabs>
          <w:tab w:leader="none" w:pos="1200" w:val="left"/>
        </w:tabs>
        <w:numPr>
          <w:ilvl w:val="1"/>
          <w:numId w:val="70"/>
        </w:numPr>
        <w:rPr>
          <w:rFonts w:ascii="Arial" w:cs="Arial" w:eastAsia="Arial" w:hAnsi="Arial"/>
          <w:sz w:val="15"/>
          <w:szCs w:val="15"/>
          <w:color w:val="auto"/>
        </w:rPr>
      </w:pPr>
      <w:r>
        <w:rPr>
          <w:rFonts w:ascii="Arial" w:cs="Arial" w:eastAsia="Arial" w:hAnsi="Arial"/>
          <w:sz w:val="15"/>
          <w:szCs w:val="15"/>
          <w:u w:val="single" w:color="auto"/>
          <w:color w:val="auto"/>
        </w:rPr>
        <w:t>Nonapplication</w:t>
      </w:r>
      <w:r>
        <w:rPr>
          <w:rFonts w:ascii="Arial" w:cs="Arial" w:eastAsia="Arial" w:hAnsi="Arial"/>
          <w:sz w:val="15"/>
          <w:szCs w:val="15"/>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121" w:lineRule="exact"/>
        <w:rPr>
          <w:rFonts w:ascii="Arial" w:cs="Arial" w:eastAsia="Arial" w:hAnsi="Arial"/>
          <w:sz w:val="15"/>
          <w:szCs w:val="15"/>
          <w:color w:val="auto"/>
        </w:rPr>
      </w:pPr>
    </w:p>
    <w:p>
      <w:pPr>
        <w:ind w:left="600" w:right="220" w:hanging="600"/>
        <w:spacing w:after="0" w:line="202" w:lineRule="exact"/>
        <w:tabs>
          <w:tab w:leader="none" w:pos="600"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Unemployment Compensation</w:t>
      </w:r>
      <w:r>
        <w:rPr>
          <w:rFonts w:ascii="Arial" w:cs="Arial" w:eastAsia="Arial" w:hAnsi="Arial"/>
          <w:sz w:val="17"/>
          <w:szCs w:val="17"/>
          <w:color w:val="auto"/>
        </w:rPr>
        <w:t>. To the extent allowed by applicable law, the severance benefits provided for in Subsection 2(c)(iii) will be assigned for unemployment compensation benefit purposes to the one</w:t>
      </w:r>
      <w:r>
        <w:rPr>
          <w:rFonts w:ascii="MS PGothic" w:cs="MS PGothic" w:eastAsia="MS PGothic" w:hAnsi="MS PGothic"/>
          <w:sz w:val="17"/>
          <w:szCs w:val="17"/>
          <w:color w:val="auto"/>
        </w:rPr>
        <w:t>‑</w:t>
      </w:r>
      <w:r>
        <w:rPr>
          <w:rFonts w:ascii="Arial" w:cs="Arial" w:eastAsia="Arial" w:hAnsi="Arial"/>
          <w:sz w:val="17"/>
          <w:szCs w:val="17"/>
          <w:color w:val="auto"/>
        </w:rPr>
        <w:t>year period following the Date of Termination, and the severance benefits provided for in Subsection 2(d)(iii) will be assigned for unemployment compensation purposes to the two</w:t>
      </w:r>
      <w:r>
        <w:rPr>
          <w:rFonts w:ascii="MS PGothic" w:cs="MS PGothic" w:eastAsia="MS PGothic" w:hAnsi="MS PGothic"/>
          <w:sz w:val="17"/>
          <w:szCs w:val="17"/>
          <w:color w:val="auto"/>
        </w:rPr>
        <w:t>‑</w:t>
      </w:r>
      <w:r>
        <w:rPr>
          <w:rFonts w:ascii="Arial" w:cs="Arial" w:eastAsia="Arial" w:hAnsi="Arial"/>
          <w:sz w:val="17"/>
          <w:szCs w:val="17"/>
          <w:color w:val="auto"/>
        </w:rPr>
        <w:t>year period following the Date of Termination, and you will be ineligible to receive, and you agree not to apply for, unemployment compensation during such periods.</w:t>
      </w:r>
    </w:p>
    <w:p>
      <w:pPr>
        <w:sectPr>
          <w:pgSz w:w="11900" w:h="16838" w:orient="portrait"/>
          <w:cols w:equalWidth="0" w:num="1">
            <w:col w:w="11380"/>
          </w:cols>
          <w:pgMar w:left="240" w:top="576" w:right="279" w:bottom="1440" w:gutter="0" w:footer="0" w:header="0"/>
        </w:sectPr>
      </w:pPr>
    </w:p>
    <w:bookmarkStart w:id="109" w:name="page110"/>
    <w:bookmarkEnd w:id="109"/>
    <w:p>
      <w:pPr>
        <w:ind w:left="600" w:hanging="600"/>
        <w:spacing w:after="0" w:line="265"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69" w:lineRule="exact"/>
        <w:rPr>
          <w:rFonts w:ascii="Arial" w:cs="Arial" w:eastAsia="Arial" w:hAnsi="Arial"/>
          <w:sz w:val="16"/>
          <w:szCs w:val="16"/>
          <w:color w:val="auto"/>
        </w:rPr>
      </w:pPr>
    </w:p>
    <w:p>
      <w:pPr>
        <w:ind w:left="600" w:right="60" w:hanging="600"/>
        <w:spacing w:after="0" w:line="265"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This letter agreement will be binding on the Corporation and its successors and will inure to the benefit of and be enforceable by your personal or legal representatives, heirs and successors.</w:t>
      </w:r>
    </w:p>
    <w:p>
      <w:pPr>
        <w:spacing w:after="0" w:line="166" w:lineRule="exact"/>
        <w:rPr>
          <w:rFonts w:ascii="Arial" w:cs="Arial" w:eastAsia="Arial" w:hAnsi="Arial"/>
          <w:sz w:val="17"/>
          <w:szCs w:val="17"/>
          <w:color w:val="auto"/>
        </w:rPr>
      </w:pPr>
    </w:p>
    <w:p>
      <w:pPr>
        <w:ind w:left="600" w:hanging="600"/>
        <w:spacing w:after="0" w:line="254"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77" w:lineRule="exact"/>
        <w:rPr>
          <w:rFonts w:ascii="Arial" w:cs="Arial" w:eastAsia="Arial" w:hAnsi="Arial"/>
          <w:sz w:val="17"/>
          <w:szCs w:val="17"/>
          <w:color w:val="auto"/>
        </w:rPr>
      </w:pPr>
    </w:p>
    <w:p>
      <w:pPr>
        <w:ind w:left="600" w:right="240" w:hanging="600"/>
        <w:spacing w:after="0" w:line="304" w:lineRule="auto"/>
        <w:tabs>
          <w:tab w:leader="none" w:pos="600"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No Right to Remain Employed</w:t>
      </w:r>
      <w:r>
        <w:rPr>
          <w:rFonts w:ascii="Arial" w:cs="Arial" w:eastAsia="Arial" w:hAnsi="Arial"/>
          <w:sz w:val="15"/>
          <w:szCs w:val="15"/>
          <w:color w:val="auto"/>
        </w:rPr>
        <w:t>.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142" w:lineRule="exact"/>
        <w:rPr>
          <w:rFonts w:ascii="Arial" w:cs="Arial" w:eastAsia="Arial" w:hAnsi="Arial"/>
          <w:sz w:val="15"/>
          <w:szCs w:val="15"/>
          <w:color w:val="auto"/>
        </w:rPr>
      </w:pPr>
    </w:p>
    <w:p>
      <w:pPr>
        <w:ind w:left="600" w:right="180" w:hanging="600"/>
        <w:spacing w:after="0" w:line="265"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No provision of this letter agreement may be modified, waived or discharged unless such waiver, modification or discharge is agreed to in writing by you and the Corporation.</w:t>
      </w:r>
    </w:p>
    <w:p>
      <w:pPr>
        <w:spacing w:after="0" w:line="166" w:lineRule="exact"/>
        <w:rPr>
          <w:rFonts w:ascii="Arial" w:cs="Arial" w:eastAsia="Arial" w:hAnsi="Arial"/>
          <w:sz w:val="17"/>
          <w:szCs w:val="17"/>
          <w:color w:val="auto"/>
        </w:rPr>
      </w:pPr>
    </w:p>
    <w:p>
      <w:pPr>
        <w:ind w:left="600" w:right="340" w:hanging="600"/>
        <w:spacing w:after="0" w:line="265"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66" w:lineRule="exact"/>
        <w:rPr>
          <w:rFonts w:ascii="Arial" w:cs="Arial" w:eastAsia="Arial" w:hAnsi="Arial"/>
          <w:sz w:val="17"/>
          <w:szCs w:val="17"/>
          <w:color w:val="auto"/>
        </w:rPr>
      </w:pPr>
    </w:p>
    <w:p>
      <w:pPr>
        <w:ind w:left="600" w:right="400" w:hanging="600"/>
        <w:spacing w:after="0" w:line="265"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letter agreement shall be governed by and interpreted in accordance with the laws of the State of New York, United States of America, without regard to its conflict of law provisions.</w:t>
      </w:r>
    </w:p>
    <w:p>
      <w:pPr>
        <w:spacing w:after="0" w:line="166" w:lineRule="exact"/>
        <w:rPr>
          <w:rFonts w:ascii="Arial" w:cs="Arial" w:eastAsia="Arial" w:hAnsi="Arial"/>
          <w:sz w:val="17"/>
          <w:szCs w:val="17"/>
          <w:color w:val="auto"/>
        </w:rPr>
      </w:pPr>
    </w:p>
    <w:p>
      <w:pPr>
        <w:ind w:left="600" w:hanging="600"/>
        <w:spacing w:after="0" w:line="249"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Reduction of Amounts Due Under Law</w:t>
      </w:r>
      <w:r>
        <w:rPr>
          <w:rFonts w:ascii="Arial" w:cs="Arial" w:eastAsia="Arial" w:hAnsi="Arial"/>
          <w:sz w:val="17"/>
          <w:szCs w:val="17"/>
          <w:color w:val="auto"/>
        </w:rPr>
        <w:t>. You agree that any severance payment (</w:t>
      </w:r>
      <w:r>
        <w:rPr>
          <w:rFonts w:ascii="Arial" w:cs="Arial" w:eastAsia="Arial" w:hAnsi="Arial"/>
          <w:sz w:val="17"/>
          <w:szCs w:val="17"/>
          <w:i w:val="1"/>
          <w:iCs w:val="1"/>
          <w:color w:val="auto"/>
        </w:rPr>
        <w:t>i.e</w:t>
      </w:r>
      <w:r>
        <w:rPr>
          <w:rFonts w:ascii="Arial" w:cs="Arial" w:eastAsia="Arial" w:hAnsi="Arial"/>
          <w:sz w:val="17"/>
          <w:szCs w:val="17"/>
          <w:color w:val="auto"/>
        </w:rPr>
        <w:t>,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82" w:lineRule="exact"/>
        <w:rPr>
          <w:rFonts w:ascii="Arial" w:cs="Arial" w:eastAsia="Arial" w:hAnsi="Arial"/>
          <w:sz w:val="17"/>
          <w:szCs w:val="17"/>
          <w:color w:val="auto"/>
        </w:rPr>
      </w:pPr>
    </w:p>
    <w:p>
      <w:pPr>
        <w:ind w:left="600" w:hanging="600"/>
        <w:spacing w:after="0" w:line="295" w:lineRule="auto"/>
        <w:tabs>
          <w:tab w:leader="none" w:pos="600"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Previous Agreements</w:t>
      </w:r>
      <w:r>
        <w:rPr>
          <w:rFonts w:ascii="Arial" w:cs="Arial" w:eastAsia="Arial" w:hAnsi="Arial"/>
          <w:sz w:val="15"/>
          <w:szCs w:val="15"/>
          <w:color w:val="auto"/>
        </w:rPr>
        <w:t>. This letter agreement, upon acceptance by you, expressly supersedes any and all previous agreements or understandings relating to your employment by the Corporation or the Consolidated ManpowerGroup, except for the letter from the Corporation to you dated January 3, 2013, regarding the terms of your employment (provided this letter agreement will supersede the sections of that prior letter concerning severance protection) or the termination of such employment, and any such agreements or understandings shall, as of the date of your acceptance, have no further force or effect.</w:t>
      </w:r>
    </w:p>
    <w:p>
      <w:pPr>
        <w:spacing w:after="0" w:line="148" w:lineRule="exact"/>
        <w:rPr>
          <w:rFonts w:ascii="Arial" w:cs="Arial" w:eastAsia="Arial" w:hAnsi="Arial"/>
          <w:sz w:val="15"/>
          <w:szCs w:val="15"/>
          <w:color w:val="auto"/>
        </w:rPr>
      </w:pPr>
    </w:p>
    <w:p>
      <w:pPr>
        <w:ind w:left="600" w:right="20" w:hanging="600"/>
        <w:spacing w:after="0" w:line="295" w:lineRule="auto"/>
        <w:tabs>
          <w:tab w:leader="none" w:pos="600" w:val="left"/>
        </w:tabs>
        <w:numPr>
          <w:ilvl w:val="0"/>
          <w:numId w:val="71"/>
        </w:numPr>
        <w:rPr>
          <w:rFonts w:ascii="Arial" w:cs="Arial" w:eastAsia="Arial" w:hAnsi="Arial"/>
          <w:sz w:val="15"/>
          <w:szCs w:val="15"/>
          <w:color w:val="auto"/>
        </w:rPr>
      </w:pPr>
      <w:r>
        <w:rPr>
          <w:rFonts w:ascii="Arial" w:cs="Arial" w:eastAsia="Arial" w:hAnsi="Arial"/>
          <w:sz w:val="15"/>
          <w:szCs w:val="15"/>
          <w:u w:val="single" w:color="auto"/>
          <w:color w:val="auto"/>
        </w:rPr>
        <w:t>Dispute Resolution</w:t>
      </w:r>
      <w:r>
        <w:rPr>
          <w:rFonts w:ascii="Arial" w:cs="Arial" w:eastAsia="Arial" w:hAnsi="Arial"/>
          <w:sz w:val="15"/>
          <w:szCs w:val="15"/>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148" w:lineRule="exact"/>
        <w:rPr>
          <w:rFonts w:ascii="Arial" w:cs="Arial" w:eastAsia="Arial" w:hAnsi="Arial"/>
          <w:sz w:val="15"/>
          <w:szCs w:val="15"/>
          <w:color w:val="auto"/>
        </w:rPr>
      </w:pPr>
    </w:p>
    <w:p>
      <w:pPr>
        <w:ind w:left="1200" w:right="60" w:hanging="602"/>
        <w:spacing w:after="0" w:line="249" w:lineRule="auto"/>
        <w:tabs>
          <w:tab w:leader="none" w:pos="12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w:t>
      </w:r>
    </w:p>
    <w:p>
      <w:pPr>
        <w:sectPr>
          <w:pgSz w:w="11900" w:h="16838" w:orient="portrait"/>
          <w:cols w:equalWidth="0" w:num="1">
            <w:col w:w="11420"/>
          </w:cols>
          <w:pgMar w:left="240" w:top="551" w:right="239" w:bottom="1440" w:gutter="0" w:footer="0" w:header="0"/>
        </w:sectPr>
      </w:pPr>
    </w:p>
    <w:bookmarkStart w:id="110" w:name="page111"/>
    <w:bookmarkEnd w:id="110"/>
    <w:p>
      <w:pPr>
        <w:ind w:left="1200" w:right="40"/>
        <w:spacing w:after="0" w:line="314" w:lineRule="auto"/>
        <w:rPr>
          <w:sz w:val="20"/>
          <w:szCs w:val="20"/>
          <w:color w:val="auto"/>
        </w:rPr>
      </w:pPr>
      <w:r>
        <w:rPr>
          <w:rFonts w:ascii="Arial" w:cs="Arial" w:eastAsia="Arial" w:hAnsi="Arial"/>
          <w:sz w:val="16"/>
          <w:szCs w:val="16"/>
          <w:color w:val="auto"/>
        </w:rPr>
        <w:t>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47" w:lineRule="exact"/>
        <w:rPr>
          <w:sz w:val="20"/>
          <w:szCs w:val="20"/>
          <w:color w:val="auto"/>
        </w:rPr>
      </w:pPr>
    </w:p>
    <w:p>
      <w:pPr>
        <w:ind w:left="1200" w:right="20" w:hanging="602"/>
        <w:spacing w:after="0" w:line="282" w:lineRule="auto"/>
        <w:tabs>
          <w:tab w:leader="none" w:pos="1200" w:val="left"/>
        </w:tabs>
        <w:numPr>
          <w:ilvl w:val="1"/>
          <w:numId w:val="72"/>
        </w:numPr>
        <w:rPr>
          <w:rFonts w:ascii="Arial" w:cs="Arial" w:eastAsia="Arial" w:hAnsi="Arial"/>
          <w:sz w:val="15"/>
          <w:szCs w:val="15"/>
          <w:color w:val="auto"/>
        </w:rPr>
      </w:pPr>
      <w:r>
        <w:rPr>
          <w:rFonts w:ascii="Arial" w:cs="Arial" w:eastAsia="Arial" w:hAnsi="Arial"/>
          <w:sz w:val="15"/>
          <w:szCs w:val="15"/>
          <w:color w:val="auto"/>
        </w:rPr>
        <w:t>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et seq.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63" w:lineRule="exact"/>
        <w:rPr>
          <w:rFonts w:ascii="Arial" w:cs="Arial" w:eastAsia="Arial" w:hAnsi="Arial"/>
          <w:sz w:val="15"/>
          <w:szCs w:val="15"/>
          <w:color w:val="auto"/>
        </w:rPr>
      </w:pPr>
    </w:p>
    <w:p>
      <w:pPr>
        <w:ind w:left="600" w:hanging="600"/>
        <w:spacing w:after="0" w:line="265" w:lineRule="auto"/>
        <w:tabs>
          <w:tab w:leader="none" w:pos="60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obligations imposed by Paragraphs 3-6, above, of this letter agreement are severable and should be construed independently of each other. The invalidity of one such provision shall not affect the validity of any other such provision.</w:t>
      </w:r>
    </w:p>
    <w:p>
      <w:pPr>
        <w:spacing w:after="0" w:line="166" w:lineRule="exact"/>
        <w:rPr>
          <w:rFonts w:ascii="Arial" w:cs="Arial" w:eastAsia="Arial" w:hAnsi="Arial"/>
          <w:sz w:val="17"/>
          <w:szCs w:val="17"/>
          <w:color w:val="auto"/>
        </w:rPr>
      </w:pPr>
    </w:p>
    <w:p>
      <w:pPr>
        <w:jc w:val="both"/>
        <w:ind w:left="600" w:hanging="600"/>
        <w:spacing w:after="0" w:line="288" w:lineRule="auto"/>
        <w:tabs>
          <w:tab w:leader="none" w:pos="600" w:val="left"/>
        </w:tabs>
        <w:numPr>
          <w:ilvl w:val="0"/>
          <w:numId w:val="73"/>
        </w:numPr>
        <w:rPr>
          <w:rFonts w:ascii="Arial" w:cs="Arial" w:eastAsia="Arial" w:hAnsi="Arial"/>
          <w:sz w:val="15"/>
          <w:szCs w:val="15"/>
          <w:color w:val="auto"/>
        </w:rPr>
      </w:pPr>
      <w:r>
        <w:rPr>
          <w:rFonts w:ascii="Arial" w:cs="Arial" w:eastAsia="Arial" w:hAnsi="Arial"/>
          <w:sz w:val="15"/>
          <w:szCs w:val="15"/>
          <w:u w:val="single" w:color="auto"/>
          <w:color w:val="auto"/>
        </w:rPr>
        <w:t>Consistency with Applicable Law</w:t>
      </w:r>
      <w:r>
        <w:rPr>
          <w:rFonts w:ascii="Arial" w:cs="Arial" w:eastAsia="Arial" w:hAnsi="Arial"/>
          <w:sz w:val="15"/>
          <w:szCs w:val="15"/>
          <w:color w:val="auto"/>
        </w:rPr>
        <w:t>.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 Group or any of its agents that you have made such reports or disclosures; however, we encourage you to do so. Finally, your good faith report or disclosure shall not trigger the forfeiture rights under Subsection 2(h) of this Agreement or otherwise limit your right to receive an award for information provided to any government agency.</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1420"/>
          </w:cols>
          <w:pgMar w:left="240" w:top="576" w:right="239" w:bottom="1440" w:gutter="0" w:footer="0" w:header="0"/>
        </w:sectPr>
      </w:pPr>
    </w:p>
    <w:bookmarkStart w:id="111" w:name="page112"/>
    <w:bookmarkEnd w:id="111"/>
    <w:p>
      <w:pPr>
        <w:spacing w:after="0" w:line="265" w:lineRule="auto"/>
        <w:rPr>
          <w:sz w:val="20"/>
          <w:szCs w:val="20"/>
          <w:color w:val="auto"/>
        </w:rPr>
      </w:pPr>
      <w:r>
        <w:rPr>
          <w:rFonts w:ascii="Arial" w:cs="Arial" w:eastAsia="Arial" w:hAnsi="Arial"/>
          <w:sz w:val="17"/>
          <w:szCs w:val="17"/>
          <w:color w:val="auto"/>
        </w:rPr>
        <w:t>If you are in agreement with the foregoing, please sign and return one copy of this letter agreement which will constitute our agreement with respect to the subject matter of this letter agreement.</w:t>
      </w:r>
    </w:p>
    <w:p>
      <w:pPr>
        <w:spacing w:after="0" w:line="36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Sincerely,</w:t>
      </w:r>
    </w:p>
    <w:p>
      <w:pPr>
        <w:spacing w:after="0" w:line="200" w:lineRule="exact"/>
        <w:rPr>
          <w:sz w:val="20"/>
          <w:szCs w:val="20"/>
          <w:color w:val="auto"/>
        </w:rPr>
      </w:pP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MANPOWERGROUP INC.</w:t>
      </w:r>
    </w:p>
    <w:p>
      <w:pPr>
        <w:spacing w:after="0" w:line="200" w:lineRule="exact"/>
        <w:rPr>
          <w:sz w:val="20"/>
          <w:szCs w:val="20"/>
          <w:color w:val="auto"/>
        </w:rPr>
      </w:pPr>
    </w:p>
    <w:p>
      <w:pPr>
        <w:spacing w:after="0" w:line="2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By: ————————————————————</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Jonas Prising, Chief Executive Officer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Agreed as of the _____ day of ______________, 2018.</w:t>
      </w:r>
    </w:p>
    <w:p>
      <w:pPr>
        <w:spacing w:after="0" w:line="200" w:lineRule="exact"/>
        <w:rPr>
          <w:sz w:val="20"/>
          <w:szCs w:val="20"/>
          <w:color w:val="auto"/>
        </w:rPr>
      </w:pPr>
    </w:p>
    <w:p>
      <w:pPr>
        <w:spacing w:after="0" w:line="20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p>
    <w:p>
      <w:pPr>
        <w:spacing w:after="0" w:line="1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Richard Buchband,</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Executive Vice President and Chief Financial Officer</w:t>
      </w:r>
    </w:p>
    <w:p>
      <w:pPr>
        <w:sectPr>
          <w:pgSz w:w="11900" w:h="16838" w:orient="portrait"/>
          <w:cols w:equalWidth="0" w:num="1">
            <w:col w:w="11240"/>
          </w:cols>
          <w:pgMar w:left="240" w:top="551" w:right="41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Exhibit 12.1</w:t>
            </w:r>
          </w:p>
        </w:tc>
      </w:tr>
      <w:tr>
        <w:trPr>
          <w:trHeight w:val="382"/>
        </w:trPr>
        <w:tc>
          <w:tcPr>
            <w:tcW w:w="3440" w:type="dxa"/>
            <w:vAlign w:val="bottom"/>
          </w:tcPr>
          <w:p>
            <w:pPr>
              <w:spacing w:after="0"/>
              <w:rPr>
                <w:sz w:val="24"/>
                <w:szCs w:val="24"/>
                <w:color w:val="auto"/>
              </w:rPr>
            </w:pPr>
          </w:p>
        </w:tc>
        <w:tc>
          <w:tcPr>
            <w:tcW w:w="4020" w:type="dxa"/>
            <w:vAlign w:val="bottom"/>
            <w:gridSpan w:val="8"/>
          </w:tcPr>
          <w:p>
            <w:pPr>
              <w:jc w:val="center"/>
              <w:ind w:left="457"/>
              <w:spacing w:after="0"/>
              <w:rPr>
                <w:sz w:val="20"/>
                <w:szCs w:val="20"/>
                <w:color w:val="auto"/>
              </w:rPr>
            </w:pPr>
            <w:r>
              <w:rPr>
                <w:rFonts w:ascii="Arial" w:cs="Arial" w:eastAsia="Arial" w:hAnsi="Arial"/>
                <w:sz w:val="17"/>
                <w:szCs w:val="17"/>
                <w:b w:val="1"/>
                <w:bCs w:val="1"/>
                <w:color w:val="auto"/>
                <w:w w:val="98"/>
              </w:rPr>
              <w:t>STATEMENT REGARDING COMPUTATION</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4300" w:type="dxa"/>
            <w:vAlign w:val="bottom"/>
            <w:gridSpan w:val="9"/>
          </w:tcPr>
          <w:p>
            <w:pPr>
              <w:jc w:val="center"/>
              <w:ind w:left="157"/>
              <w:spacing w:after="0"/>
              <w:rPr>
                <w:sz w:val="20"/>
                <w:szCs w:val="20"/>
                <w:color w:val="auto"/>
              </w:rPr>
            </w:pPr>
            <w:r>
              <w:rPr>
                <w:rFonts w:ascii="Arial" w:cs="Arial" w:eastAsia="Arial" w:hAnsi="Arial"/>
                <w:sz w:val="17"/>
                <w:szCs w:val="17"/>
                <w:b w:val="1"/>
                <w:bCs w:val="1"/>
                <w:color w:val="auto"/>
                <w:w w:val="98"/>
              </w:rPr>
              <w:t>OF RATIO OF EARNINGS TO FIXED CHARGES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86"/>
        </w:trPr>
        <w:tc>
          <w:tcPr>
            <w:tcW w:w="3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760" w:type="dxa"/>
            <w:vAlign w:val="bottom"/>
            <w:gridSpan w:val="7"/>
          </w:tcPr>
          <w:p>
            <w:pPr>
              <w:jc w:val="center"/>
              <w:ind w:right="740"/>
              <w:spacing w:after="0"/>
              <w:rPr>
                <w:sz w:val="20"/>
                <w:szCs w:val="20"/>
                <w:color w:val="auto"/>
              </w:rPr>
            </w:pPr>
            <w:r>
              <w:rPr>
                <w:rFonts w:ascii="Arial" w:cs="Arial" w:eastAsia="Arial" w:hAnsi="Arial"/>
                <w:sz w:val="17"/>
                <w:szCs w:val="17"/>
                <w:color w:val="auto"/>
                <w:w w:val="93"/>
              </w:rPr>
              <w:t>MANPOWERGROUP INC.</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2"/>
        </w:trPr>
        <w:tc>
          <w:tcPr>
            <w:tcW w:w="3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3"/>
          </w:tcPr>
          <w:p>
            <w:pPr>
              <w:jc w:val="center"/>
              <w:ind w:left="217"/>
              <w:spacing w:after="0"/>
              <w:rPr>
                <w:sz w:val="20"/>
                <w:szCs w:val="20"/>
                <w:color w:val="auto"/>
              </w:rPr>
            </w:pPr>
            <w:r>
              <w:rPr>
                <w:rFonts w:ascii="Arial" w:cs="Arial" w:eastAsia="Arial" w:hAnsi="Arial"/>
                <w:sz w:val="17"/>
                <w:szCs w:val="17"/>
                <w:color w:val="auto"/>
                <w:w w:val="95"/>
              </w:rPr>
              <w:t>(in millions)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947"/>
        </w:trPr>
        <w:tc>
          <w:tcPr>
            <w:tcW w:w="3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397"/>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77"/>
              <w:spacing w:after="0"/>
              <w:rPr>
                <w:sz w:val="20"/>
                <w:szCs w:val="20"/>
                <w:color w:val="auto"/>
              </w:rPr>
            </w:pPr>
            <w:r>
              <w:rPr>
                <w:rFonts w:ascii="Arial" w:cs="Arial" w:eastAsia="Arial" w:hAnsi="Arial"/>
                <w:sz w:val="17"/>
                <w:szCs w:val="17"/>
                <w:b w:val="1"/>
                <w:bCs w:val="1"/>
                <w:color w:val="auto"/>
              </w:rPr>
              <w:t>2017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7"/>
              <w:spacing w:after="0"/>
              <w:rPr>
                <w:sz w:val="20"/>
                <w:szCs w:val="20"/>
                <w:color w:val="auto"/>
              </w:rPr>
            </w:pPr>
            <w:r>
              <w:rPr>
                <w:rFonts w:ascii="Arial" w:cs="Arial" w:eastAsia="Arial" w:hAnsi="Arial"/>
                <w:sz w:val="17"/>
                <w:szCs w:val="17"/>
                <w:b w:val="1"/>
                <w:bCs w:val="1"/>
                <w:color w:val="auto"/>
              </w:rPr>
              <w:t>2016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357"/>
              <w:spacing w:after="0"/>
              <w:rPr>
                <w:sz w:val="20"/>
                <w:szCs w:val="20"/>
                <w:color w:val="auto"/>
              </w:rPr>
            </w:pPr>
            <w:r>
              <w:rPr>
                <w:rFonts w:ascii="Arial" w:cs="Arial" w:eastAsia="Arial" w:hAnsi="Arial"/>
                <w:sz w:val="17"/>
                <w:szCs w:val="17"/>
                <w:b w:val="1"/>
                <w:bCs w:val="1"/>
                <w:color w:val="auto"/>
              </w:rPr>
              <w:t>2015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57"/>
              <w:spacing w:after="0"/>
              <w:rPr>
                <w:sz w:val="20"/>
                <w:szCs w:val="20"/>
                <w:color w:val="auto"/>
              </w:rPr>
            </w:pPr>
            <w:r>
              <w:rPr>
                <w:rFonts w:ascii="Arial" w:cs="Arial" w:eastAsia="Arial" w:hAnsi="Arial"/>
                <w:sz w:val="17"/>
                <w:szCs w:val="17"/>
                <w:b w:val="1"/>
                <w:bCs w:val="1"/>
                <w:color w:val="auto"/>
              </w:rPr>
              <w:t>2014</w:t>
            </w:r>
          </w:p>
        </w:tc>
      </w:tr>
      <w:tr>
        <w:trPr>
          <w:trHeight w:val="25"/>
        </w:trPr>
        <w:tc>
          <w:tcPr>
            <w:tcW w:w="34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Earnings:</w:t>
            </w:r>
          </w:p>
        </w:tc>
        <w:tc>
          <w:tcPr>
            <w:tcW w:w="1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24"/>
        </w:trPr>
        <w:tc>
          <w:tcPr>
            <w:tcW w:w="3440" w:type="dxa"/>
            <w:vAlign w:val="bottom"/>
          </w:tcPr>
          <w:p>
            <w:pPr>
              <w:ind w:left="240"/>
              <w:spacing w:after="0"/>
              <w:rPr>
                <w:sz w:val="20"/>
                <w:szCs w:val="20"/>
                <w:color w:val="auto"/>
              </w:rPr>
            </w:pPr>
            <w:r>
              <w:rPr>
                <w:rFonts w:ascii="Arial" w:cs="Arial" w:eastAsia="Arial" w:hAnsi="Arial"/>
                <w:sz w:val="17"/>
                <w:szCs w:val="17"/>
                <w:color w:val="auto"/>
              </w:rPr>
              <w:t>Earnings before income taxes</w:t>
            </w:r>
          </w:p>
        </w:tc>
        <w:tc>
          <w:tcPr>
            <w:tcW w:w="1560" w:type="dxa"/>
            <w:vAlign w:val="bottom"/>
            <w:gridSpan w:val="2"/>
          </w:tcPr>
          <w:p>
            <w:pPr>
              <w:jc w:val="right"/>
              <w:ind w:right="11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754.7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737.3</w:t>
            </w:r>
          </w:p>
        </w:tc>
        <w:tc>
          <w:tcPr>
            <w:tcW w:w="10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701.3</w:t>
            </w:r>
          </w:p>
        </w:tc>
        <w:tc>
          <w:tcPr>
            <w:tcW w:w="10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660.7</w:t>
            </w:r>
          </w:p>
        </w:tc>
        <w:tc>
          <w:tcPr>
            <w:tcW w:w="12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681.6</w:t>
            </w:r>
          </w:p>
        </w:tc>
      </w:tr>
      <w:tr>
        <w:trPr>
          <w:trHeight w:val="25"/>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4"/>
        </w:trPr>
        <w:tc>
          <w:tcPr>
            <w:tcW w:w="3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Fixed charges</w:t>
            </w:r>
          </w:p>
        </w:tc>
        <w:tc>
          <w:tcPr>
            <w:tcW w:w="1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105.0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106.8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104.6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131.8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150.2</w:t>
            </w:r>
          </w:p>
        </w:tc>
      </w:tr>
      <w:tr>
        <w:trPr>
          <w:trHeight w:val="224"/>
        </w:trPr>
        <w:tc>
          <w:tcPr>
            <w:tcW w:w="3440" w:type="dxa"/>
            <w:vAlign w:val="bottom"/>
          </w:tcPr>
          <w:p>
            <w:pPr>
              <w:spacing w:after="0"/>
              <w:rPr>
                <w:sz w:val="19"/>
                <w:szCs w:val="19"/>
                <w:color w:val="auto"/>
              </w:rPr>
            </w:pPr>
          </w:p>
        </w:tc>
        <w:tc>
          <w:tcPr>
            <w:tcW w:w="1560" w:type="dxa"/>
            <w:vAlign w:val="bottom"/>
            <w:gridSpan w:val="2"/>
          </w:tcPr>
          <w:p>
            <w:pPr>
              <w:jc w:val="right"/>
              <w:ind w:right="11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859.7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844.1</w:t>
            </w:r>
          </w:p>
        </w:tc>
        <w:tc>
          <w:tcPr>
            <w:tcW w:w="10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805.9</w:t>
            </w:r>
          </w:p>
        </w:tc>
        <w:tc>
          <w:tcPr>
            <w:tcW w:w="10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792.5</w:t>
            </w:r>
          </w:p>
        </w:tc>
        <w:tc>
          <w:tcPr>
            <w:tcW w:w="12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831.8</w:t>
            </w:r>
          </w:p>
        </w:tc>
      </w:tr>
      <w:tr>
        <w:trPr>
          <w:trHeight w:val="65"/>
        </w:trPr>
        <w:tc>
          <w:tcPr>
            <w:tcW w:w="344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07"/>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Fixed charges:</w:t>
            </w:r>
          </w:p>
        </w:tc>
        <w:tc>
          <w:tcPr>
            <w:tcW w:w="12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224"/>
        </w:trPr>
        <w:tc>
          <w:tcPr>
            <w:tcW w:w="3440" w:type="dxa"/>
            <w:vAlign w:val="bottom"/>
          </w:tcPr>
          <w:p>
            <w:pPr>
              <w:ind w:left="240"/>
              <w:spacing w:after="0"/>
              <w:rPr>
                <w:sz w:val="20"/>
                <w:szCs w:val="20"/>
                <w:color w:val="auto"/>
              </w:rPr>
            </w:pPr>
            <w:r>
              <w:rPr>
                <w:rFonts w:ascii="Arial" w:cs="Arial" w:eastAsia="Arial" w:hAnsi="Arial"/>
                <w:sz w:val="17"/>
                <w:szCs w:val="17"/>
                <w:color w:val="auto"/>
              </w:rPr>
              <w:t>Interest (expensed or capitalized)*</w:t>
            </w:r>
          </w:p>
        </w:tc>
        <w:tc>
          <w:tcPr>
            <w:tcW w:w="1560" w:type="dxa"/>
            <w:vAlign w:val="bottom"/>
            <w:gridSpan w:val="2"/>
          </w:tcPr>
          <w:p>
            <w:pPr>
              <w:jc w:val="right"/>
              <w:ind w:right="11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47.0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52.0</w:t>
            </w:r>
          </w:p>
        </w:tc>
        <w:tc>
          <w:tcPr>
            <w:tcW w:w="12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51.7</w:t>
            </w:r>
          </w:p>
        </w:tc>
      </w:tr>
      <w:tr>
        <w:trPr>
          <w:trHeight w:val="25"/>
        </w:trPr>
        <w:tc>
          <w:tcPr>
            <w:tcW w:w="3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4"/>
        </w:trPr>
        <w:tc>
          <w:tcPr>
            <w:tcW w:w="3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Estimated interest portion of rent expense</w:t>
            </w:r>
          </w:p>
        </w:tc>
        <w:tc>
          <w:tcPr>
            <w:tcW w:w="1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58.0</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98.5</w:t>
            </w:r>
          </w:p>
        </w:tc>
      </w:tr>
      <w:tr>
        <w:trPr>
          <w:trHeight w:val="224"/>
        </w:trPr>
        <w:tc>
          <w:tcPr>
            <w:tcW w:w="3440" w:type="dxa"/>
            <w:vAlign w:val="bottom"/>
          </w:tcPr>
          <w:p>
            <w:pPr>
              <w:spacing w:after="0"/>
              <w:rPr>
                <w:sz w:val="19"/>
                <w:szCs w:val="19"/>
                <w:color w:val="auto"/>
              </w:rPr>
            </w:pPr>
          </w:p>
        </w:tc>
        <w:tc>
          <w:tcPr>
            <w:tcW w:w="1560" w:type="dxa"/>
            <w:vAlign w:val="bottom"/>
            <w:gridSpan w:val="2"/>
          </w:tcPr>
          <w:p>
            <w:pPr>
              <w:jc w:val="right"/>
              <w:ind w:right="11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105.0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106.8</w:t>
            </w:r>
          </w:p>
        </w:tc>
        <w:tc>
          <w:tcPr>
            <w:tcW w:w="10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104.6</w:t>
            </w:r>
          </w:p>
        </w:tc>
        <w:tc>
          <w:tcPr>
            <w:tcW w:w="100" w:type="dxa"/>
            <w:vAlign w:val="bottom"/>
          </w:tcPr>
          <w:p>
            <w:pPr>
              <w:spacing w:after="0"/>
              <w:rPr>
                <w:sz w:val="19"/>
                <w:szCs w:val="19"/>
                <w:color w:val="auto"/>
              </w:rPr>
            </w:pPr>
          </w:p>
        </w:tc>
        <w:tc>
          <w:tcPr>
            <w:tcW w:w="28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131.8</w:t>
            </w:r>
          </w:p>
        </w:tc>
        <w:tc>
          <w:tcPr>
            <w:tcW w:w="120" w:type="dxa"/>
            <w:vAlign w:val="bottom"/>
          </w:tcPr>
          <w:p>
            <w:pPr>
              <w:spacing w:after="0"/>
              <w:rPr>
                <w:sz w:val="19"/>
                <w:szCs w:val="19"/>
                <w:color w:val="auto"/>
              </w:rPr>
            </w:pPr>
          </w:p>
        </w:tc>
        <w:tc>
          <w:tcPr>
            <w:tcW w:w="260" w:type="dxa"/>
            <w:vAlign w:val="bottom"/>
          </w:tcPr>
          <w:p>
            <w:pPr>
              <w:jc w:val="right"/>
              <w:ind w:right="57"/>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150.2</w:t>
            </w:r>
          </w:p>
        </w:tc>
      </w:tr>
      <w:tr>
        <w:trPr>
          <w:trHeight w:val="65"/>
        </w:trPr>
        <w:tc>
          <w:tcPr>
            <w:tcW w:w="344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02"/>
        </w:trPr>
        <w:tc>
          <w:tcPr>
            <w:tcW w:w="3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Ratio of earnings to fixed charges</w:t>
            </w: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5.5</w:t>
            </w:r>
          </w:p>
        </w:tc>
      </w:tr>
      <w:tr>
        <w:trPr>
          <w:trHeight w:val="25"/>
        </w:trPr>
        <w:tc>
          <w:tcPr>
            <w:tcW w:w="34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82" w:lineRule="exact"/>
        <w:rPr>
          <w:sz w:val="20"/>
          <w:szCs w:val="20"/>
          <w:color w:val="auto"/>
        </w:rPr>
      </w:pPr>
    </w:p>
    <w:p>
      <w:pPr>
        <w:ind w:left="600" w:right="200" w:hanging="599"/>
        <w:spacing w:after="0" w:line="265" w:lineRule="auto"/>
        <w:tabs>
          <w:tab w:leader="none" w:pos="580" w:val="left"/>
        </w:tabs>
        <w:rPr>
          <w:sz w:val="20"/>
          <w:szCs w:val="20"/>
          <w:color w:val="auto"/>
        </w:rPr>
      </w:pPr>
      <w:r>
        <w:rPr>
          <w:rFonts w:ascii="Arial" w:cs="Arial" w:eastAsia="Arial" w:hAnsi="Arial"/>
          <w:sz w:val="17"/>
          <w:szCs w:val="17"/>
          <w:b w:val="1"/>
          <w:bCs w:val="1"/>
          <w:color w:val="auto"/>
        </w:rPr>
        <w:t>Note:</w:t>
      </w:r>
      <w:r>
        <w:rPr>
          <w:sz w:val="20"/>
          <w:szCs w:val="20"/>
          <w:color w:val="auto"/>
        </w:rPr>
        <w:tab/>
      </w:r>
      <w:r>
        <w:rPr>
          <w:rFonts w:ascii="Arial" w:cs="Arial" w:eastAsia="Arial" w:hAnsi="Arial"/>
          <w:sz w:val="17"/>
          <w:szCs w:val="17"/>
          <w:color w:val="auto"/>
        </w:rPr>
        <w:t>The calculation of ratio of earnings to fixed charges set forth above is in accordance with Regulation S-K, Item 601(b)(12). This calculation is different than the fixed charge ratio that is required by our various borrowing facilities.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*As of January 1, 2018, we adopted new accounting guidance on presentation of net periodic pension and postretirement benefit cost ("net benefit cost"). Under the new guidance, we are required to present non-service cost components of net benefit cost in interest and other expenses, as opposed to selling and administrative expenses. All previously reported results have been restated to conform to the current year presentation. The increase in interest expense due to the adoption was $11.2 million, $11.6 million, $13.4 million and $16.6 million for the year ended December 31, 2017, 2016, 2015 and 2014, respectively.</w:t>
      </w:r>
    </w:p>
    <w:p>
      <w:pPr>
        <w:sectPr>
          <w:pgSz w:w="11900" w:h="16838" w:orient="portrait"/>
          <w:cols w:equalWidth="0" w:num="1">
            <w:col w:w="11420"/>
          </w:cols>
          <w:pgMar w:left="240" w:top="547" w:right="2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2"/>
          </w:tcPr>
          <w:p>
            <w:pPr>
              <w:ind w:left="1740"/>
              <w:spacing w:after="0"/>
              <w:rPr>
                <w:sz w:val="20"/>
                <w:szCs w:val="20"/>
                <w:color w:val="auto"/>
              </w:rPr>
            </w:pPr>
            <w:r>
              <w:rPr>
                <w:rFonts w:ascii="Arial" w:cs="Arial" w:eastAsia="Arial" w:hAnsi="Arial"/>
                <w:sz w:val="17"/>
                <w:szCs w:val="17"/>
                <w:b w:val="1"/>
                <w:bCs w:val="1"/>
                <w:color w:val="auto"/>
                <w:w w:val="87"/>
              </w:rPr>
              <w:t>Exhibit 21</w:t>
            </w:r>
          </w:p>
        </w:tc>
      </w:tr>
      <w:tr>
        <w:trPr>
          <w:trHeight w:val="382"/>
        </w:trPr>
        <w:tc>
          <w:tcPr>
            <w:tcW w:w="1240" w:type="dxa"/>
            <w:vAlign w:val="bottom"/>
          </w:tcPr>
          <w:p>
            <w:pPr>
              <w:spacing w:after="0"/>
              <w:rPr>
                <w:sz w:val="24"/>
                <w:szCs w:val="24"/>
                <w:color w:val="auto"/>
              </w:rPr>
            </w:pPr>
          </w:p>
        </w:tc>
        <w:tc>
          <w:tcPr>
            <w:tcW w:w="7400" w:type="dxa"/>
            <w:vAlign w:val="bottom"/>
          </w:tcPr>
          <w:p>
            <w:pPr>
              <w:jc w:val="center"/>
              <w:ind w:left="1097"/>
              <w:spacing w:after="0"/>
              <w:rPr>
                <w:sz w:val="20"/>
                <w:szCs w:val="20"/>
                <w:color w:val="auto"/>
              </w:rPr>
            </w:pPr>
            <w:r>
              <w:rPr>
                <w:rFonts w:ascii="Arial" w:cs="Arial" w:eastAsia="Arial" w:hAnsi="Arial"/>
                <w:sz w:val="17"/>
                <w:szCs w:val="17"/>
                <w:b w:val="1"/>
                <w:bCs w:val="1"/>
                <w:color w:val="auto"/>
                <w:w w:val="97"/>
              </w:rPr>
              <w:t>SUBSIDIARIES OF MANPOWERGROUP INC.</w:t>
            </w: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16"/>
        </w:trPr>
        <w:tc>
          <w:tcPr>
            <w:tcW w:w="1240" w:type="dxa"/>
            <w:vAlign w:val="bottom"/>
          </w:tcPr>
          <w:p>
            <w:pPr>
              <w:spacing w:after="0"/>
              <w:rPr>
                <w:sz w:val="18"/>
                <w:szCs w:val="18"/>
                <w:color w:val="auto"/>
              </w:rPr>
            </w:pPr>
          </w:p>
        </w:tc>
        <w:tc>
          <w:tcPr>
            <w:tcW w:w="7400" w:type="dxa"/>
            <w:vAlign w:val="bottom"/>
          </w:tcPr>
          <w:p>
            <w:pPr>
              <w:jc w:val="center"/>
              <w:ind w:left="1097"/>
              <w:spacing w:after="0"/>
              <w:rPr>
                <w:sz w:val="20"/>
                <w:szCs w:val="20"/>
                <w:color w:val="auto"/>
              </w:rPr>
            </w:pPr>
            <w:r>
              <w:rPr>
                <w:rFonts w:ascii="Arial" w:cs="Arial" w:eastAsia="Arial" w:hAnsi="Arial"/>
                <w:sz w:val="17"/>
                <w:szCs w:val="17"/>
                <w:b w:val="1"/>
                <w:bCs w:val="1"/>
                <w:color w:val="auto"/>
                <w:w w:val="86"/>
              </w:rPr>
              <w:t>As of December 31, 2018</w:t>
            </w: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311"/>
        </w:trPr>
        <w:tc>
          <w:tcPr>
            <w:tcW w:w="124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8"/>
              </w:rPr>
              <w:t>Incorporated in State / Country</w:t>
            </w:r>
          </w:p>
        </w:tc>
        <w:tc>
          <w:tcPr>
            <w:tcW w:w="520" w:type="dxa"/>
            <w:vAlign w:val="bottom"/>
          </w:tcPr>
          <w:p>
            <w:pPr>
              <w:spacing w:after="0"/>
              <w:rPr>
                <w:sz w:val="24"/>
                <w:szCs w:val="24"/>
                <w:color w:val="auto"/>
              </w:rPr>
            </w:pPr>
          </w:p>
        </w:tc>
      </w:tr>
      <w:tr>
        <w:trPr>
          <w:trHeight w:val="179"/>
        </w:trPr>
        <w:tc>
          <w:tcPr>
            <w:tcW w:w="1240" w:type="dxa"/>
            <w:vAlign w:val="bottom"/>
          </w:tcPr>
          <w:p>
            <w:pPr>
              <w:spacing w:after="0" w:line="180" w:lineRule="exact"/>
              <w:rPr>
                <w:sz w:val="20"/>
                <w:szCs w:val="20"/>
                <w:color w:val="auto"/>
              </w:rPr>
            </w:pPr>
            <w:r>
              <w:rPr>
                <w:rFonts w:ascii="Arial" w:cs="Arial" w:eastAsia="Arial" w:hAnsi="Arial"/>
                <w:sz w:val="17"/>
                <w:szCs w:val="17"/>
                <w:color w:val="auto"/>
                <w:w w:val="87"/>
              </w:rPr>
              <w:t>Corporation Name</w:t>
            </w:r>
          </w:p>
        </w:tc>
        <w:tc>
          <w:tcPr>
            <w:tcW w:w="7400" w:type="dxa"/>
            <w:vAlign w:val="bottom"/>
          </w:tcPr>
          <w:p>
            <w:pPr>
              <w:spacing w:after="0"/>
              <w:rPr>
                <w:sz w:val="15"/>
                <w:szCs w:val="15"/>
                <w:color w:val="auto"/>
              </w:rPr>
            </w:pPr>
          </w:p>
        </w:tc>
        <w:tc>
          <w:tcPr>
            <w:tcW w:w="2600" w:type="dxa"/>
            <w:vAlign w:val="bottom"/>
            <w:gridSpan w:val="3"/>
          </w:tcPr>
          <w:p>
            <w:pPr>
              <w:spacing w:after="0" w:line="180" w:lineRule="exact"/>
              <w:rPr>
                <w:sz w:val="20"/>
                <w:szCs w:val="20"/>
                <w:color w:val="auto"/>
              </w:rPr>
            </w:pPr>
            <w:r>
              <w:rPr>
                <w:rFonts w:ascii="Arial" w:cs="Arial" w:eastAsia="Arial" w:hAnsi="Arial"/>
                <w:sz w:val="17"/>
                <w:szCs w:val="17"/>
                <w:color w:val="auto"/>
              </w:rPr>
              <w:t>of</w:t>
            </w:r>
          </w:p>
        </w:tc>
      </w:tr>
      <w:tr>
        <w:trPr>
          <w:trHeight w:val="20"/>
        </w:trPr>
        <w:tc>
          <w:tcPr>
            <w:tcW w:w="124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67"/>
        </w:trPr>
        <w:tc>
          <w:tcPr>
            <w:tcW w:w="1240" w:type="dxa"/>
            <w:vAlign w:val="bottom"/>
          </w:tcPr>
          <w:p>
            <w:pPr>
              <w:spacing w:after="0"/>
              <w:rPr>
                <w:sz w:val="20"/>
                <w:szCs w:val="20"/>
                <w:color w:val="auto"/>
              </w:rPr>
            </w:pPr>
            <w:r>
              <w:rPr>
                <w:rFonts w:ascii="Arial" w:cs="Arial" w:eastAsia="Arial" w:hAnsi="Arial"/>
                <w:sz w:val="17"/>
                <w:szCs w:val="17"/>
                <w:color w:val="auto"/>
              </w:rPr>
              <w:t>Benefits S.A.</w:t>
            </w:r>
          </w:p>
        </w:tc>
        <w:tc>
          <w:tcPr>
            <w:tcW w:w="7400" w:type="dxa"/>
            <w:vAlign w:val="bottom"/>
          </w:tcPr>
          <w:p>
            <w:pPr>
              <w:spacing w:after="0"/>
              <w:rPr>
                <w:sz w:val="23"/>
                <w:szCs w:val="23"/>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auto"/>
              </w:rPr>
              <w:t>Argentina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Cotecsud Compania Technica Sudamericana S.A.S.E.</w:t>
            </w:r>
          </w:p>
        </w:tc>
        <w:tc>
          <w:tcPr>
            <w:tcW w:w="2600" w:type="dxa"/>
            <w:vAlign w:val="bottom"/>
            <w:gridSpan w:val="3"/>
          </w:tcPr>
          <w:p>
            <w:pPr>
              <w:spacing w:after="0"/>
              <w:rPr>
                <w:sz w:val="20"/>
                <w:szCs w:val="20"/>
                <w:color w:val="auto"/>
              </w:rPr>
            </w:pPr>
            <w:r>
              <w:rPr>
                <w:rFonts w:ascii="Arial" w:cs="Arial" w:eastAsia="Arial" w:hAnsi="Arial"/>
                <w:sz w:val="17"/>
                <w:szCs w:val="17"/>
                <w:color w:val="auto"/>
              </w:rPr>
              <w:t>Argentina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Right Management Argentina S.A.</w:t>
            </w:r>
          </w:p>
        </w:tc>
        <w:tc>
          <w:tcPr>
            <w:tcW w:w="2600" w:type="dxa"/>
            <w:vAlign w:val="bottom"/>
            <w:gridSpan w:val="3"/>
          </w:tcPr>
          <w:p>
            <w:pPr>
              <w:spacing w:after="0"/>
              <w:rPr>
                <w:sz w:val="20"/>
                <w:szCs w:val="20"/>
                <w:color w:val="auto"/>
              </w:rPr>
            </w:pPr>
            <w:r>
              <w:rPr>
                <w:rFonts w:ascii="Arial" w:cs="Arial" w:eastAsia="Arial" w:hAnsi="Arial"/>
                <w:sz w:val="17"/>
                <w:szCs w:val="17"/>
                <w:color w:val="auto"/>
              </w:rPr>
              <w:t>Argentina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Salespower S.A.</w:t>
            </w:r>
          </w:p>
        </w:tc>
        <w:tc>
          <w:tcPr>
            <w:tcW w:w="2600" w:type="dxa"/>
            <w:vAlign w:val="bottom"/>
            <w:gridSpan w:val="3"/>
          </w:tcPr>
          <w:p>
            <w:pPr>
              <w:spacing w:after="0"/>
              <w:rPr>
                <w:sz w:val="20"/>
                <w:szCs w:val="20"/>
                <w:color w:val="auto"/>
              </w:rPr>
            </w:pPr>
            <w:r>
              <w:rPr>
                <w:rFonts w:ascii="Arial" w:cs="Arial" w:eastAsia="Arial" w:hAnsi="Arial"/>
                <w:sz w:val="17"/>
                <w:szCs w:val="17"/>
                <w:color w:val="auto"/>
              </w:rPr>
              <w:t>Argentina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Greythorn Pty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Services (Australia) Pty.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Marks Sattin (Australia) Pty Limited</w:t>
            </w:r>
          </w:p>
        </w:tc>
        <w:tc>
          <w:tcPr>
            <w:tcW w:w="260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Marks Sattin Holdings (AsiaPac) Pty Limited</w:t>
            </w:r>
          </w:p>
        </w:tc>
        <w:tc>
          <w:tcPr>
            <w:tcW w:w="260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Right Management Consultants (OC) Pty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Right Management Consultants Holdings Pty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Right Management Consultants International Pty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Right Management Consultants Pty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Experis Services GmbH</w:t>
            </w:r>
          </w:p>
        </w:tc>
        <w:tc>
          <w:tcPr>
            <w:tcW w:w="2600" w:type="dxa"/>
            <w:vAlign w:val="bottom"/>
            <w:gridSpan w:val="3"/>
          </w:tcPr>
          <w:p>
            <w:pPr>
              <w:spacing w:after="0"/>
              <w:rPr>
                <w:sz w:val="20"/>
                <w:szCs w:val="20"/>
                <w:color w:val="auto"/>
              </w:rPr>
            </w:pPr>
            <w:r>
              <w:rPr>
                <w:rFonts w:ascii="Arial" w:cs="Arial" w:eastAsia="Arial" w:hAnsi="Arial"/>
                <w:sz w:val="17"/>
                <w:szCs w:val="17"/>
                <w:color w:val="auto"/>
              </w:rPr>
              <w:t>Austria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ManpowerGroup GmbH</w:t>
            </w:r>
          </w:p>
        </w:tc>
        <w:tc>
          <w:tcPr>
            <w:tcW w:w="2600" w:type="dxa"/>
            <w:vAlign w:val="bottom"/>
            <w:gridSpan w:val="3"/>
          </w:tcPr>
          <w:p>
            <w:pPr>
              <w:spacing w:after="0"/>
              <w:rPr>
                <w:sz w:val="20"/>
                <w:szCs w:val="20"/>
                <w:color w:val="auto"/>
              </w:rPr>
            </w:pPr>
            <w:r>
              <w:rPr>
                <w:rFonts w:ascii="Arial" w:cs="Arial" w:eastAsia="Arial" w:hAnsi="Arial"/>
                <w:sz w:val="17"/>
                <w:szCs w:val="17"/>
                <w:color w:val="auto"/>
              </w:rPr>
              <w:t>Austria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ManpowerGroup Holding GmbH</w:t>
            </w:r>
          </w:p>
        </w:tc>
        <w:tc>
          <w:tcPr>
            <w:tcW w:w="2600" w:type="dxa"/>
            <w:vAlign w:val="bottom"/>
            <w:gridSpan w:val="3"/>
          </w:tcPr>
          <w:p>
            <w:pPr>
              <w:spacing w:after="0"/>
              <w:rPr>
                <w:sz w:val="20"/>
                <w:szCs w:val="20"/>
                <w:color w:val="auto"/>
              </w:rPr>
            </w:pPr>
            <w:r>
              <w:rPr>
                <w:rFonts w:ascii="Arial" w:cs="Arial" w:eastAsia="Arial" w:hAnsi="Arial"/>
                <w:sz w:val="17"/>
                <w:szCs w:val="17"/>
                <w:color w:val="auto"/>
              </w:rPr>
              <w:t>Austria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ManpowerGroup (Barbados) SRL</w:t>
            </w:r>
          </w:p>
        </w:tc>
        <w:tc>
          <w:tcPr>
            <w:tcW w:w="2600" w:type="dxa"/>
            <w:vAlign w:val="bottom"/>
            <w:gridSpan w:val="3"/>
          </w:tcPr>
          <w:p>
            <w:pPr>
              <w:spacing w:after="0"/>
              <w:rPr>
                <w:sz w:val="20"/>
                <w:szCs w:val="20"/>
                <w:color w:val="auto"/>
              </w:rPr>
            </w:pPr>
            <w:r>
              <w:rPr>
                <w:rFonts w:ascii="Arial" w:cs="Arial" w:eastAsia="Arial" w:hAnsi="Arial"/>
                <w:sz w:val="17"/>
                <w:szCs w:val="17"/>
                <w:color w:val="auto"/>
              </w:rPr>
              <w:t>Barbados</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Bel LLC</w:t>
            </w:r>
          </w:p>
        </w:tc>
        <w:tc>
          <w:tcPr>
            <w:tcW w:w="2600" w:type="dxa"/>
            <w:vAlign w:val="bottom"/>
            <w:gridSpan w:val="3"/>
          </w:tcPr>
          <w:p>
            <w:pPr>
              <w:spacing w:after="0"/>
              <w:rPr>
                <w:sz w:val="20"/>
                <w:szCs w:val="20"/>
                <w:color w:val="auto"/>
              </w:rPr>
            </w:pPr>
            <w:r>
              <w:rPr>
                <w:rFonts w:ascii="Arial" w:cs="Arial" w:eastAsia="Arial" w:hAnsi="Arial"/>
                <w:sz w:val="17"/>
                <w:szCs w:val="17"/>
                <w:color w:val="auto"/>
              </w:rPr>
              <w:t>Belarus</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Experis Belgium SA</w:t>
            </w:r>
          </w:p>
        </w:tc>
        <w:tc>
          <w:tcPr>
            <w:tcW w:w="2600" w:type="dxa"/>
            <w:vAlign w:val="bottom"/>
            <w:gridSpan w:val="3"/>
          </w:tcPr>
          <w:p>
            <w:pPr>
              <w:spacing w:after="0"/>
              <w:rPr>
                <w:sz w:val="20"/>
                <w:szCs w:val="20"/>
                <w:color w:val="auto"/>
              </w:rPr>
            </w:pPr>
            <w:r>
              <w:rPr>
                <w:rFonts w:ascii="Arial" w:cs="Arial" w:eastAsia="Arial" w:hAnsi="Arial"/>
                <w:sz w:val="17"/>
                <w:szCs w:val="17"/>
                <w:color w:val="auto"/>
              </w:rPr>
              <w:t>Belgium</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Personal Services NV</w:t>
            </w:r>
          </w:p>
        </w:tc>
        <w:tc>
          <w:tcPr>
            <w:tcW w:w="2600" w:type="dxa"/>
            <w:vAlign w:val="bottom"/>
            <w:gridSpan w:val="3"/>
          </w:tcPr>
          <w:p>
            <w:pPr>
              <w:spacing w:after="0"/>
              <w:rPr>
                <w:sz w:val="20"/>
                <w:szCs w:val="20"/>
                <w:color w:val="auto"/>
              </w:rPr>
            </w:pPr>
            <w:r>
              <w:rPr>
                <w:rFonts w:ascii="Arial" w:cs="Arial" w:eastAsia="Arial" w:hAnsi="Arial"/>
                <w:sz w:val="17"/>
                <w:szCs w:val="17"/>
                <w:color w:val="auto"/>
              </w:rPr>
              <w:t>Belgium</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ManpowerGroup Solutions Belgium SA</w:t>
            </w:r>
          </w:p>
        </w:tc>
        <w:tc>
          <w:tcPr>
            <w:tcW w:w="2600" w:type="dxa"/>
            <w:vAlign w:val="bottom"/>
            <w:gridSpan w:val="3"/>
          </w:tcPr>
          <w:p>
            <w:pPr>
              <w:spacing w:after="0"/>
              <w:rPr>
                <w:sz w:val="20"/>
                <w:szCs w:val="20"/>
                <w:color w:val="auto"/>
              </w:rPr>
            </w:pPr>
            <w:r>
              <w:rPr>
                <w:rFonts w:ascii="Arial" w:cs="Arial" w:eastAsia="Arial" w:hAnsi="Arial"/>
                <w:sz w:val="17"/>
                <w:szCs w:val="17"/>
                <w:color w:val="auto"/>
              </w:rPr>
              <w:t>Belgium</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Right Management Belgium NV</w:t>
            </w:r>
          </w:p>
        </w:tc>
        <w:tc>
          <w:tcPr>
            <w:tcW w:w="2600" w:type="dxa"/>
            <w:vAlign w:val="bottom"/>
            <w:gridSpan w:val="3"/>
          </w:tcPr>
          <w:p>
            <w:pPr>
              <w:spacing w:after="0"/>
              <w:rPr>
                <w:sz w:val="20"/>
                <w:szCs w:val="20"/>
                <w:color w:val="auto"/>
              </w:rPr>
            </w:pPr>
            <w:r>
              <w:rPr>
                <w:rFonts w:ascii="Arial" w:cs="Arial" w:eastAsia="Arial" w:hAnsi="Arial"/>
                <w:sz w:val="17"/>
                <w:szCs w:val="17"/>
                <w:color w:val="auto"/>
              </w:rPr>
              <w:t>Belgium</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S.A. Manpower (Belgium) N.V.</w:t>
            </w:r>
          </w:p>
        </w:tc>
        <w:tc>
          <w:tcPr>
            <w:tcW w:w="2600" w:type="dxa"/>
            <w:vAlign w:val="bottom"/>
            <w:gridSpan w:val="3"/>
          </w:tcPr>
          <w:p>
            <w:pPr>
              <w:spacing w:after="0"/>
              <w:rPr>
                <w:sz w:val="20"/>
                <w:szCs w:val="20"/>
                <w:color w:val="auto"/>
              </w:rPr>
            </w:pPr>
            <w:r>
              <w:rPr>
                <w:rFonts w:ascii="Arial" w:cs="Arial" w:eastAsia="Arial" w:hAnsi="Arial"/>
                <w:sz w:val="17"/>
                <w:szCs w:val="17"/>
                <w:color w:val="auto"/>
              </w:rPr>
              <w:t>Belgium</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Stegmann Belgium SA</w:t>
            </w:r>
          </w:p>
        </w:tc>
        <w:tc>
          <w:tcPr>
            <w:tcW w:w="2600" w:type="dxa"/>
            <w:vAlign w:val="bottom"/>
            <w:gridSpan w:val="3"/>
          </w:tcPr>
          <w:p>
            <w:pPr>
              <w:spacing w:after="0"/>
              <w:rPr>
                <w:sz w:val="20"/>
                <w:szCs w:val="20"/>
                <w:color w:val="auto"/>
              </w:rPr>
            </w:pPr>
            <w:r>
              <w:rPr>
                <w:rFonts w:ascii="Arial" w:cs="Arial" w:eastAsia="Arial" w:hAnsi="Arial"/>
                <w:sz w:val="17"/>
                <w:szCs w:val="17"/>
                <w:color w:val="auto"/>
              </w:rPr>
              <w:t>Belgium</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Anyhelp Brasil Assessoria E Servicos em Sistemas de Informacao Ltda.</w:t>
            </w:r>
          </w:p>
        </w:tc>
        <w:tc>
          <w:tcPr>
            <w:tcW w:w="2600" w:type="dxa"/>
            <w:vAlign w:val="bottom"/>
            <w:gridSpan w:val="3"/>
          </w:tcPr>
          <w:p>
            <w:pPr>
              <w:spacing w:after="0"/>
              <w:rPr>
                <w:sz w:val="20"/>
                <w:szCs w:val="20"/>
                <w:color w:val="auto"/>
              </w:rPr>
            </w:pPr>
            <w:r>
              <w:rPr>
                <w:rFonts w:ascii="Arial" w:cs="Arial" w:eastAsia="Arial" w:hAnsi="Arial"/>
                <w:sz w:val="17"/>
                <w:szCs w:val="17"/>
                <w:color w:val="auto"/>
              </w:rPr>
              <w:t>Brazil</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Brasil Ltda.</w:t>
            </w:r>
          </w:p>
        </w:tc>
        <w:tc>
          <w:tcPr>
            <w:tcW w:w="2600" w:type="dxa"/>
            <w:vAlign w:val="bottom"/>
            <w:gridSpan w:val="3"/>
          </w:tcPr>
          <w:p>
            <w:pPr>
              <w:spacing w:after="0"/>
              <w:rPr>
                <w:sz w:val="20"/>
                <w:szCs w:val="20"/>
                <w:color w:val="auto"/>
              </w:rPr>
            </w:pPr>
            <w:r>
              <w:rPr>
                <w:rFonts w:ascii="Arial" w:cs="Arial" w:eastAsia="Arial" w:hAnsi="Arial"/>
                <w:sz w:val="17"/>
                <w:szCs w:val="17"/>
                <w:color w:val="auto"/>
              </w:rPr>
              <w:t>Brazil</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Staffing Ltda.</w:t>
            </w:r>
          </w:p>
        </w:tc>
        <w:tc>
          <w:tcPr>
            <w:tcW w:w="2600" w:type="dxa"/>
            <w:vAlign w:val="bottom"/>
            <w:gridSpan w:val="3"/>
          </w:tcPr>
          <w:p>
            <w:pPr>
              <w:spacing w:after="0"/>
              <w:rPr>
                <w:sz w:val="20"/>
                <w:szCs w:val="20"/>
                <w:color w:val="auto"/>
              </w:rPr>
            </w:pPr>
            <w:r>
              <w:rPr>
                <w:rFonts w:ascii="Arial" w:cs="Arial" w:eastAsia="Arial" w:hAnsi="Arial"/>
                <w:sz w:val="17"/>
                <w:szCs w:val="17"/>
                <w:color w:val="auto"/>
              </w:rPr>
              <w:t>Brazil</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Right do Brasil Ltda.</w:t>
            </w:r>
          </w:p>
        </w:tc>
        <w:tc>
          <w:tcPr>
            <w:tcW w:w="2600" w:type="dxa"/>
            <w:vAlign w:val="bottom"/>
            <w:gridSpan w:val="3"/>
          </w:tcPr>
          <w:p>
            <w:pPr>
              <w:spacing w:after="0"/>
              <w:rPr>
                <w:sz w:val="20"/>
                <w:szCs w:val="20"/>
                <w:color w:val="auto"/>
              </w:rPr>
            </w:pPr>
            <w:r>
              <w:rPr>
                <w:rFonts w:ascii="Arial" w:cs="Arial" w:eastAsia="Arial" w:hAnsi="Arial"/>
                <w:sz w:val="17"/>
                <w:szCs w:val="17"/>
                <w:color w:val="auto"/>
              </w:rPr>
              <w:t>Brazil</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ManpowerGroup Greater China (BVI) Limited</w:t>
            </w:r>
          </w:p>
        </w:tc>
        <w:tc>
          <w:tcPr>
            <w:tcW w:w="2600" w:type="dxa"/>
            <w:vAlign w:val="bottom"/>
            <w:gridSpan w:val="3"/>
          </w:tcPr>
          <w:p>
            <w:pPr>
              <w:spacing w:after="0"/>
              <w:rPr>
                <w:sz w:val="20"/>
                <w:szCs w:val="20"/>
                <w:color w:val="auto"/>
              </w:rPr>
            </w:pPr>
            <w:r>
              <w:rPr>
                <w:rFonts w:ascii="Arial" w:cs="Arial" w:eastAsia="Arial" w:hAnsi="Arial"/>
                <w:sz w:val="17"/>
                <w:szCs w:val="17"/>
                <w:color w:val="auto"/>
              </w:rPr>
              <w:t>British Virgin Islands</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Bulgaria Team EOOD</w:t>
            </w:r>
          </w:p>
        </w:tc>
        <w:tc>
          <w:tcPr>
            <w:tcW w:w="2600" w:type="dxa"/>
            <w:vAlign w:val="bottom"/>
            <w:gridSpan w:val="3"/>
          </w:tcPr>
          <w:p>
            <w:pPr>
              <w:spacing w:after="0"/>
              <w:rPr>
                <w:sz w:val="20"/>
                <w:szCs w:val="20"/>
                <w:color w:val="auto"/>
              </w:rPr>
            </w:pPr>
            <w:r>
              <w:rPr>
                <w:rFonts w:ascii="Arial" w:cs="Arial" w:eastAsia="Arial" w:hAnsi="Arial"/>
                <w:sz w:val="17"/>
                <w:szCs w:val="17"/>
                <w:color w:val="auto"/>
              </w:rPr>
              <w:t>Bulgaria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Manpowergroup EOOD</w:t>
            </w:r>
          </w:p>
        </w:tc>
        <w:tc>
          <w:tcPr>
            <w:tcW w:w="2600" w:type="dxa"/>
            <w:vAlign w:val="bottom"/>
            <w:gridSpan w:val="3"/>
          </w:tcPr>
          <w:p>
            <w:pPr>
              <w:spacing w:after="0"/>
              <w:rPr>
                <w:sz w:val="20"/>
                <w:szCs w:val="20"/>
                <w:color w:val="auto"/>
              </w:rPr>
            </w:pPr>
            <w:r>
              <w:rPr>
                <w:rFonts w:ascii="Arial" w:cs="Arial" w:eastAsia="Arial" w:hAnsi="Arial"/>
                <w:sz w:val="17"/>
                <w:szCs w:val="17"/>
                <w:color w:val="auto"/>
              </w:rPr>
              <w:t>Bulgaria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Inc. / California Peninsula</w:t>
            </w:r>
          </w:p>
        </w:tc>
        <w:tc>
          <w:tcPr>
            <w:tcW w:w="2600" w:type="dxa"/>
            <w:vAlign w:val="bottom"/>
            <w:gridSpan w:val="3"/>
          </w:tcPr>
          <w:p>
            <w:pPr>
              <w:spacing w:after="0"/>
              <w:rPr>
                <w:sz w:val="20"/>
                <w:szCs w:val="20"/>
                <w:color w:val="auto"/>
              </w:rPr>
            </w:pPr>
            <w:r>
              <w:rPr>
                <w:rFonts w:ascii="Arial" w:cs="Arial" w:eastAsia="Arial" w:hAnsi="Arial"/>
                <w:sz w:val="17"/>
                <w:szCs w:val="17"/>
                <w:color w:val="auto"/>
              </w:rPr>
              <w:t>CA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Services Canada Limited</w:t>
            </w:r>
          </w:p>
        </w:tc>
        <w:tc>
          <w:tcPr>
            <w:tcW w:w="2600" w:type="dxa"/>
            <w:vAlign w:val="bottom"/>
            <w:gridSpan w:val="3"/>
          </w:tcPr>
          <w:p>
            <w:pPr>
              <w:spacing w:after="0"/>
              <w:rPr>
                <w:sz w:val="20"/>
                <w:szCs w:val="20"/>
                <w:color w:val="auto"/>
              </w:rPr>
            </w:pPr>
            <w:r>
              <w:rPr>
                <w:rFonts w:ascii="Arial" w:cs="Arial" w:eastAsia="Arial" w:hAnsi="Arial"/>
                <w:sz w:val="17"/>
                <w:szCs w:val="17"/>
                <w:color w:val="auto"/>
              </w:rPr>
              <w:t>Canada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Right Management Canada</w:t>
            </w:r>
          </w:p>
        </w:tc>
        <w:tc>
          <w:tcPr>
            <w:tcW w:w="2600" w:type="dxa"/>
            <w:vAlign w:val="bottom"/>
            <w:gridSpan w:val="3"/>
          </w:tcPr>
          <w:p>
            <w:pPr>
              <w:spacing w:after="0"/>
              <w:rPr>
                <w:sz w:val="20"/>
                <w:szCs w:val="20"/>
                <w:color w:val="auto"/>
              </w:rPr>
            </w:pPr>
            <w:r>
              <w:rPr>
                <w:rFonts w:ascii="Arial" w:cs="Arial" w:eastAsia="Arial" w:hAnsi="Arial"/>
                <w:sz w:val="17"/>
                <w:szCs w:val="17"/>
                <w:color w:val="auto"/>
              </w:rPr>
              <w:t>Canada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Techno5, Inc.</w:t>
            </w:r>
          </w:p>
        </w:tc>
        <w:tc>
          <w:tcPr>
            <w:tcW w:w="2600" w:type="dxa"/>
            <w:vAlign w:val="bottom"/>
            <w:gridSpan w:val="3"/>
          </w:tcPr>
          <w:p>
            <w:pPr>
              <w:spacing w:after="0"/>
              <w:rPr>
                <w:sz w:val="20"/>
                <w:szCs w:val="20"/>
                <w:color w:val="auto"/>
              </w:rPr>
            </w:pPr>
            <w:r>
              <w:rPr>
                <w:rFonts w:ascii="Arial" w:cs="Arial" w:eastAsia="Arial" w:hAnsi="Arial"/>
                <w:sz w:val="17"/>
                <w:szCs w:val="17"/>
                <w:color w:val="auto"/>
              </w:rPr>
              <w:t>Canada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Veritaaq Technology House Inc.</w:t>
            </w:r>
          </w:p>
        </w:tc>
        <w:tc>
          <w:tcPr>
            <w:tcW w:w="2600" w:type="dxa"/>
            <w:vAlign w:val="bottom"/>
            <w:gridSpan w:val="3"/>
          </w:tcPr>
          <w:p>
            <w:pPr>
              <w:spacing w:after="0"/>
              <w:rPr>
                <w:sz w:val="20"/>
                <w:szCs w:val="20"/>
                <w:color w:val="auto"/>
              </w:rPr>
            </w:pPr>
            <w:r>
              <w:rPr>
                <w:rFonts w:ascii="Arial" w:cs="Arial" w:eastAsia="Arial" w:hAnsi="Arial"/>
                <w:sz w:val="17"/>
                <w:szCs w:val="17"/>
                <w:color w:val="auto"/>
              </w:rPr>
              <w:t>Canada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ManpowerGroup Greater China (Cayman) Limited</w:t>
            </w:r>
          </w:p>
        </w:tc>
        <w:tc>
          <w:tcPr>
            <w:tcW w:w="2600" w:type="dxa"/>
            <w:vAlign w:val="bottom"/>
            <w:gridSpan w:val="3"/>
          </w:tcPr>
          <w:p>
            <w:pPr>
              <w:spacing w:after="0"/>
              <w:rPr>
                <w:sz w:val="20"/>
                <w:szCs w:val="20"/>
                <w:color w:val="auto"/>
              </w:rPr>
            </w:pPr>
            <w:r>
              <w:rPr>
                <w:rFonts w:ascii="Arial" w:cs="Arial" w:eastAsia="Arial" w:hAnsi="Arial"/>
                <w:sz w:val="17"/>
                <w:szCs w:val="17"/>
                <w:color w:val="auto"/>
              </w:rPr>
              <w:t>Cayman Islands</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Servicios Integrales SpA</w:t>
            </w:r>
          </w:p>
        </w:tc>
        <w:tc>
          <w:tcPr>
            <w:tcW w:w="2600" w:type="dxa"/>
            <w:vAlign w:val="bottom"/>
            <w:gridSpan w:val="3"/>
          </w:tcPr>
          <w:p>
            <w:pPr>
              <w:spacing w:after="0"/>
              <w:rPr>
                <w:sz w:val="20"/>
                <w:szCs w:val="20"/>
                <w:color w:val="auto"/>
              </w:rPr>
            </w:pPr>
            <w:r>
              <w:rPr>
                <w:rFonts w:ascii="Arial" w:cs="Arial" w:eastAsia="Arial" w:hAnsi="Arial"/>
                <w:sz w:val="17"/>
                <w:szCs w:val="17"/>
                <w:color w:val="auto"/>
              </w:rPr>
              <w:t>Chile</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Servicios Especializados Ltda</w:t>
            </w:r>
          </w:p>
        </w:tc>
        <w:tc>
          <w:tcPr>
            <w:tcW w:w="2600" w:type="dxa"/>
            <w:vAlign w:val="bottom"/>
            <w:gridSpan w:val="3"/>
          </w:tcPr>
          <w:p>
            <w:pPr>
              <w:spacing w:after="0"/>
              <w:rPr>
                <w:sz w:val="20"/>
                <w:szCs w:val="20"/>
                <w:color w:val="auto"/>
              </w:rPr>
            </w:pPr>
            <w:r>
              <w:rPr>
                <w:rFonts w:ascii="Arial" w:cs="Arial" w:eastAsia="Arial" w:hAnsi="Arial"/>
                <w:sz w:val="17"/>
                <w:szCs w:val="17"/>
                <w:color w:val="auto"/>
              </w:rPr>
              <w:t>Chile</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Empresa de Servicios Transitorios Ltda</w:t>
            </w:r>
          </w:p>
        </w:tc>
        <w:tc>
          <w:tcPr>
            <w:tcW w:w="2600" w:type="dxa"/>
            <w:vAlign w:val="bottom"/>
            <w:gridSpan w:val="3"/>
          </w:tcPr>
          <w:p>
            <w:pPr>
              <w:spacing w:after="0"/>
              <w:rPr>
                <w:sz w:val="20"/>
                <w:szCs w:val="20"/>
                <w:color w:val="auto"/>
              </w:rPr>
            </w:pPr>
            <w:r>
              <w:rPr>
                <w:rFonts w:ascii="Arial" w:cs="Arial" w:eastAsia="Arial" w:hAnsi="Arial"/>
                <w:sz w:val="17"/>
                <w:szCs w:val="17"/>
                <w:color w:val="auto"/>
              </w:rPr>
              <w:t>Chile</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Experis Management Consulting (Beijing)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Experis Management Consulting (Shanghai) Co.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Business Consulting (Shanghai) Co.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Caden (China) Co.,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Enterprise Management Consulting (Shanghai) Co.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Information Technology Shanghai Co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 Ruxin Co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ManpowerGroup (China) Human Resources Co.,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Right Management China</w:t>
            </w:r>
          </w:p>
        </w:tc>
        <w:tc>
          <w:tcPr>
            <w:tcW w:w="260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49"/>
        </w:trPr>
        <w:tc>
          <w:tcPr>
            <w:tcW w:w="8640" w:type="dxa"/>
            <w:vAlign w:val="bottom"/>
            <w:gridSpan w:val="2"/>
          </w:tcPr>
          <w:p>
            <w:pPr>
              <w:spacing w:after="0"/>
              <w:rPr>
                <w:sz w:val="20"/>
                <w:szCs w:val="20"/>
                <w:color w:val="auto"/>
              </w:rPr>
            </w:pPr>
            <w:r>
              <w:rPr>
                <w:rFonts w:ascii="Arial" w:cs="Arial" w:eastAsia="Arial" w:hAnsi="Arial"/>
                <w:sz w:val="17"/>
                <w:szCs w:val="17"/>
                <w:color w:val="auto"/>
              </w:rPr>
              <w:t>Right Management Consulting (Shanghai) Co., Ltd</w:t>
            </w:r>
          </w:p>
        </w:tc>
        <w:tc>
          <w:tcPr>
            <w:tcW w:w="2600" w:type="dxa"/>
            <w:vAlign w:val="bottom"/>
            <w:gridSpan w:val="3"/>
          </w:tcPr>
          <w:p>
            <w:pPr>
              <w:spacing w:after="0"/>
              <w:rPr>
                <w:sz w:val="20"/>
                <w:szCs w:val="20"/>
                <w:color w:val="auto"/>
              </w:rPr>
            </w:pPr>
            <w:r>
              <w:rPr>
                <w:rFonts w:ascii="Arial" w:cs="Arial" w:eastAsia="Arial" w:hAnsi="Arial"/>
                <w:sz w:val="17"/>
                <w:szCs w:val="17"/>
                <w:color w:val="auto"/>
              </w:rPr>
              <w:t>China</w:t>
            </w:r>
          </w:p>
        </w:tc>
      </w:tr>
    </w:tbl>
    <w:p>
      <w:pPr>
        <w:spacing w:after="0" w:line="200" w:lineRule="exact"/>
        <w:rPr>
          <w:sz w:val="20"/>
          <w:szCs w:val="20"/>
          <w:color w:val="auto"/>
        </w:rPr>
      </w:pPr>
    </w:p>
    <w:p>
      <w:pPr>
        <w:sectPr>
          <w:pgSz w:w="11900" w:h="16838" w:orient="portrait"/>
          <w:cols w:equalWidth="0" w:num="1">
            <w:col w:w="11240"/>
          </w:cols>
          <w:pgMar w:left="420" w:top="584" w:right="239" w:bottom="1440" w:gutter="0" w:footer="0" w:header="0"/>
        </w:sectPr>
      </w:pPr>
    </w:p>
    <w:p>
      <w:pPr>
        <w:spacing w:after="0" w:line="37"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420" w:top="584" w:right="239" w:bottom="1440" w:gutter="0" w:footer="0" w:header="0"/>
          <w:type w:val="continuous"/>
        </w:sectPr>
      </w:pPr>
    </w:p>
    <w:bookmarkStart w:id="114" w:name="page115"/>
    <w:bookmarkEnd w:id="114"/>
    <w:p>
      <w:pPr>
        <w:spacing w:after="0"/>
        <w:tabs>
          <w:tab w:leader="none" w:pos="8620" w:val="left"/>
        </w:tabs>
        <w:rPr>
          <w:sz w:val="20"/>
          <w:szCs w:val="20"/>
          <w:color w:val="auto"/>
        </w:rPr>
      </w:pPr>
      <w:r>
        <w:rPr>
          <w:rFonts w:ascii="Arial" w:cs="Arial" w:eastAsia="Arial" w:hAnsi="Arial"/>
          <w:sz w:val="17"/>
          <w:szCs w:val="17"/>
          <w:color w:val="auto"/>
        </w:rPr>
        <w:t>Xi'an Foreign Enterprise Service Co., Ltd.</w:t>
      </w:r>
      <w:r>
        <w:rPr>
          <w:sz w:val="20"/>
          <w:szCs w:val="20"/>
          <w:color w:val="auto"/>
        </w:rPr>
        <w:tab/>
      </w:r>
      <w:r>
        <w:rPr>
          <w:rFonts w:ascii="Arial" w:cs="Arial" w:eastAsia="Arial" w:hAnsi="Arial"/>
          <w:sz w:val="15"/>
          <w:szCs w:val="15"/>
          <w:color w:val="auto"/>
        </w:rPr>
        <w:t>China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de Colombia Ltda.</w:t>
      </w:r>
      <w:r>
        <w:rPr>
          <w:sz w:val="20"/>
          <w:szCs w:val="20"/>
          <w:color w:val="auto"/>
        </w:rPr>
        <w:tab/>
      </w:r>
      <w:r>
        <w:rPr>
          <w:rFonts w:ascii="Arial" w:cs="Arial" w:eastAsia="Arial" w:hAnsi="Arial"/>
          <w:sz w:val="15"/>
          <w:szCs w:val="15"/>
          <w:color w:val="auto"/>
        </w:rPr>
        <w:t>Colombia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Professional Ltd.</w:t>
      </w:r>
      <w:r>
        <w:rPr>
          <w:sz w:val="20"/>
          <w:szCs w:val="20"/>
          <w:color w:val="auto"/>
        </w:rPr>
        <w:tab/>
      </w:r>
      <w:r>
        <w:rPr>
          <w:rFonts w:ascii="Arial" w:cs="Arial" w:eastAsia="Arial" w:hAnsi="Arial"/>
          <w:sz w:val="15"/>
          <w:szCs w:val="15"/>
          <w:color w:val="auto"/>
        </w:rPr>
        <w:t>Colombia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Tahuma SAS</w:t>
      </w:r>
      <w:r>
        <w:rPr>
          <w:sz w:val="20"/>
          <w:szCs w:val="20"/>
          <w:color w:val="auto"/>
        </w:rPr>
        <w:tab/>
      </w:r>
      <w:r>
        <w:rPr>
          <w:rFonts w:ascii="Arial" w:cs="Arial" w:eastAsia="Arial" w:hAnsi="Arial"/>
          <w:sz w:val="15"/>
          <w:szCs w:val="15"/>
          <w:color w:val="auto"/>
        </w:rPr>
        <w:t>Colombia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Costa Rica, S.A.</w:t>
      </w:r>
      <w:r>
        <w:rPr>
          <w:sz w:val="20"/>
          <w:szCs w:val="20"/>
          <w:color w:val="auto"/>
        </w:rPr>
        <w:tab/>
      </w:r>
      <w:r>
        <w:rPr>
          <w:rFonts w:ascii="Arial" w:cs="Arial" w:eastAsia="Arial" w:hAnsi="Arial"/>
          <w:sz w:val="13"/>
          <w:szCs w:val="13"/>
          <w:color w:val="auto"/>
        </w:rPr>
        <w:t>Costa Rica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Professional Costa Rica, S.A.</w:t>
      </w:r>
      <w:r>
        <w:rPr>
          <w:sz w:val="20"/>
          <w:szCs w:val="20"/>
          <w:color w:val="auto"/>
        </w:rPr>
        <w:tab/>
      </w:r>
      <w:r>
        <w:rPr>
          <w:rFonts w:ascii="Arial" w:cs="Arial" w:eastAsia="Arial" w:hAnsi="Arial"/>
          <w:sz w:val="13"/>
          <w:szCs w:val="13"/>
          <w:color w:val="auto"/>
        </w:rPr>
        <w:t>Costa Rica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DOO</w:t>
      </w:r>
      <w:r>
        <w:rPr>
          <w:sz w:val="20"/>
          <w:szCs w:val="20"/>
          <w:color w:val="auto"/>
        </w:rPr>
        <w:tab/>
      </w:r>
      <w:r>
        <w:rPr>
          <w:rFonts w:ascii="Arial" w:cs="Arial" w:eastAsia="Arial" w:hAnsi="Arial"/>
          <w:sz w:val="15"/>
          <w:szCs w:val="15"/>
          <w:color w:val="auto"/>
        </w:rPr>
        <w:t>Croatia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Savjetovanje DOO</w:t>
      </w:r>
      <w:r>
        <w:rPr>
          <w:sz w:val="20"/>
          <w:szCs w:val="20"/>
          <w:color w:val="auto"/>
        </w:rPr>
        <w:tab/>
      </w:r>
      <w:r>
        <w:rPr>
          <w:rFonts w:ascii="Arial" w:cs="Arial" w:eastAsia="Arial" w:hAnsi="Arial"/>
          <w:sz w:val="15"/>
          <w:szCs w:val="15"/>
          <w:color w:val="auto"/>
        </w:rPr>
        <w:t>Croatia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Business Solutions Ltd.</w:t>
      </w:r>
      <w:r>
        <w:rPr>
          <w:sz w:val="20"/>
          <w:szCs w:val="20"/>
          <w:color w:val="auto"/>
        </w:rPr>
        <w:tab/>
      </w:r>
      <w:r>
        <w:rPr>
          <w:rFonts w:ascii="Arial" w:cs="Arial" w:eastAsia="Arial" w:hAnsi="Arial"/>
          <w:sz w:val="15"/>
          <w:szCs w:val="15"/>
          <w:color w:val="auto"/>
        </w:rPr>
        <w:t>Cyprus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s.r.o.</w:t>
      </w:r>
      <w:r>
        <w:rPr>
          <w:sz w:val="20"/>
          <w:szCs w:val="20"/>
          <w:color w:val="auto"/>
        </w:rPr>
        <w:tab/>
      </w:r>
      <w:r>
        <w:rPr>
          <w:rFonts w:ascii="Arial" w:cs="Arial" w:eastAsia="Arial" w:hAnsi="Arial"/>
          <w:sz w:val="15"/>
          <w:szCs w:val="15"/>
          <w:color w:val="auto"/>
        </w:rPr>
        <w:t>Czech Republic</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CareerHarmony, Inc.</w:t>
      </w:r>
      <w:r>
        <w:rPr>
          <w:sz w:val="20"/>
          <w:szCs w:val="20"/>
          <w:color w:val="auto"/>
        </w:rPr>
        <w:tab/>
      </w:r>
      <w:r>
        <w:rPr>
          <w:rFonts w:ascii="Arial" w:cs="Arial" w:eastAsia="Arial" w:hAnsi="Arial"/>
          <w:sz w:val="15"/>
          <w:szCs w:val="15"/>
          <w:color w:val="auto"/>
        </w:rPr>
        <w:t>DE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COMSYS Information Technology Services, LLC</w:t>
      </w:r>
      <w:r>
        <w:rPr>
          <w:sz w:val="20"/>
          <w:szCs w:val="20"/>
          <w:color w:val="auto"/>
        </w:rPr>
        <w:tab/>
      </w:r>
      <w:r>
        <w:rPr>
          <w:rFonts w:ascii="Arial" w:cs="Arial" w:eastAsia="Arial" w:hAnsi="Arial"/>
          <w:sz w:val="15"/>
          <w:szCs w:val="15"/>
          <w:color w:val="auto"/>
        </w:rPr>
        <w:t>DE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IT Services US, LLC</w:t>
      </w:r>
      <w:r>
        <w:rPr>
          <w:sz w:val="20"/>
          <w:szCs w:val="20"/>
          <w:color w:val="auto"/>
        </w:rPr>
        <w:tab/>
      </w:r>
      <w:r>
        <w:rPr>
          <w:rFonts w:ascii="Arial" w:cs="Arial" w:eastAsia="Arial" w:hAnsi="Arial"/>
          <w:sz w:val="15"/>
          <w:szCs w:val="15"/>
          <w:color w:val="auto"/>
        </w:rPr>
        <w:t>DE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Econometrix, LLC</w:t>
      </w:r>
      <w:r>
        <w:rPr>
          <w:sz w:val="20"/>
          <w:szCs w:val="20"/>
          <w:color w:val="auto"/>
        </w:rPr>
        <w:tab/>
      </w:r>
      <w:r>
        <w:rPr>
          <w:rFonts w:ascii="Arial" w:cs="Arial" w:eastAsia="Arial" w:hAnsi="Arial"/>
          <w:sz w:val="15"/>
          <w:szCs w:val="15"/>
          <w:color w:val="auto"/>
        </w:rPr>
        <w:t>DE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Finance US, LLC</w:t>
      </w:r>
      <w:r>
        <w:rPr>
          <w:sz w:val="20"/>
          <w:szCs w:val="20"/>
          <w:color w:val="auto"/>
        </w:rPr>
        <w:tab/>
      </w:r>
      <w:r>
        <w:rPr>
          <w:rFonts w:ascii="Arial" w:cs="Arial" w:eastAsia="Arial" w:hAnsi="Arial"/>
          <w:sz w:val="15"/>
          <w:szCs w:val="15"/>
          <w:color w:val="auto"/>
        </w:rPr>
        <w:t>DE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CIS Inc.</w:t>
      </w:r>
      <w:r>
        <w:rPr>
          <w:sz w:val="20"/>
          <w:szCs w:val="20"/>
          <w:color w:val="auto"/>
        </w:rPr>
        <w:tab/>
      </w:r>
      <w:r>
        <w:rPr>
          <w:rFonts w:ascii="Arial" w:cs="Arial" w:eastAsia="Arial" w:hAnsi="Arial"/>
          <w:sz w:val="15"/>
          <w:szCs w:val="15"/>
          <w:color w:val="auto"/>
        </w:rPr>
        <w:t>DE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Franchises, LLC</w:t>
      </w:r>
      <w:r>
        <w:rPr>
          <w:sz w:val="20"/>
          <w:szCs w:val="20"/>
          <w:color w:val="auto"/>
        </w:rPr>
        <w:tab/>
      </w:r>
      <w:r>
        <w:rPr>
          <w:rFonts w:ascii="Arial" w:cs="Arial" w:eastAsia="Arial" w:hAnsi="Arial"/>
          <w:sz w:val="15"/>
          <w:szCs w:val="15"/>
          <w:color w:val="auto"/>
        </w:rPr>
        <w:t>DE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Holdings, Inc.</w:t>
      </w:r>
      <w:r>
        <w:rPr>
          <w:sz w:val="20"/>
          <w:szCs w:val="20"/>
          <w:color w:val="auto"/>
        </w:rPr>
        <w:tab/>
      </w:r>
      <w:r>
        <w:rPr>
          <w:rFonts w:ascii="Arial" w:cs="Arial" w:eastAsia="Arial" w:hAnsi="Arial"/>
          <w:sz w:val="15"/>
          <w:szCs w:val="15"/>
          <w:color w:val="auto"/>
        </w:rPr>
        <w:t>DE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US Inc.</w:t>
      </w:r>
      <w:r>
        <w:rPr>
          <w:sz w:val="20"/>
          <w:szCs w:val="20"/>
          <w:color w:val="auto"/>
        </w:rPr>
        <w:tab/>
      </w:r>
      <w:r>
        <w:rPr>
          <w:rFonts w:ascii="Arial" w:cs="Arial" w:eastAsia="Arial" w:hAnsi="Arial"/>
          <w:sz w:val="15"/>
          <w:szCs w:val="15"/>
          <w:color w:val="auto"/>
        </w:rPr>
        <w:t>DE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License Holding, Inc.</w:t>
      </w:r>
      <w:r>
        <w:rPr>
          <w:sz w:val="20"/>
          <w:szCs w:val="20"/>
          <w:color w:val="auto"/>
        </w:rPr>
        <w:tab/>
      </w:r>
      <w:r>
        <w:rPr>
          <w:rFonts w:ascii="Arial" w:cs="Arial" w:eastAsia="Arial" w:hAnsi="Arial"/>
          <w:sz w:val="15"/>
          <w:szCs w:val="15"/>
          <w:color w:val="auto"/>
        </w:rPr>
        <w:t>DE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TAPFIN LLC</w:t>
      </w:r>
      <w:r>
        <w:rPr>
          <w:sz w:val="20"/>
          <w:szCs w:val="20"/>
          <w:color w:val="auto"/>
        </w:rPr>
        <w:tab/>
      </w:r>
      <w:r>
        <w:rPr>
          <w:rFonts w:ascii="Arial" w:cs="Arial" w:eastAsia="Arial" w:hAnsi="Arial"/>
          <w:sz w:val="15"/>
          <w:szCs w:val="15"/>
          <w:color w:val="auto"/>
        </w:rPr>
        <w:t>DE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A/S</w:t>
      </w:r>
      <w:r>
        <w:rPr>
          <w:sz w:val="20"/>
          <w:szCs w:val="20"/>
          <w:color w:val="auto"/>
        </w:rPr>
        <w:tab/>
      </w:r>
      <w:r>
        <w:rPr>
          <w:rFonts w:ascii="Arial" w:cs="Arial" w:eastAsia="Arial" w:hAnsi="Arial"/>
          <w:sz w:val="15"/>
          <w:szCs w:val="15"/>
          <w:color w:val="auto"/>
        </w:rPr>
        <w:t>Denmark</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Europe Holdings, Aps</w:t>
      </w:r>
      <w:r>
        <w:rPr>
          <w:sz w:val="20"/>
          <w:szCs w:val="20"/>
          <w:color w:val="auto"/>
        </w:rPr>
        <w:tab/>
      </w:r>
      <w:r>
        <w:rPr>
          <w:rFonts w:ascii="Arial" w:cs="Arial" w:eastAsia="Arial" w:hAnsi="Arial"/>
          <w:sz w:val="15"/>
          <w:szCs w:val="15"/>
          <w:color w:val="auto"/>
        </w:rPr>
        <w:t>Denmark</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Denmark A/S</w:t>
      </w:r>
      <w:r>
        <w:rPr>
          <w:sz w:val="20"/>
          <w:szCs w:val="20"/>
          <w:color w:val="auto"/>
        </w:rPr>
        <w:tab/>
      </w:r>
      <w:r>
        <w:rPr>
          <w:rFonts w:ascii="Arial" w:cs="Arial" w:eastAsia="Arial" w:hAnsi="Arial"/>
          <w:sz w:val="15"/>
          <w:szCs w:val="15"/>
          <w:color w:val="auto"/>
        </w:rPr>
        <w:t>Denmark</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Nordic Holding A/S</w:t>
      </w:r>
      <w:r>
        <w:rPr>
          <w:sz w:val="20"/>
          <w:szCs w:val="20"/>
          <w:color w:val="auto"/>
        </w:rPr>
        <w:tab/>
      </w:r>
      <w:r>
        <w:rPr>
          <w:rFonts w:ascii="Arial" w:cs="Arial" w:eastAsia="Arial" w:hAnsi="Arial"/>
          <w:sz w:val="15"/>
          <w:szCs w:val="15"/>
          <w:color w:val="auto"/>
        </w:rPr>
        <w:t>Denmark</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Republica Dominicana, S.A.</w:t>
      </w:r>
      <w:r>
        <w:rPr>
          <w:sz w:val="20"/>
          <w:szCs w:val="20"/>
          <w:color w:val="auto"/>
        </w:rPr>
        <w:tab/>
      </w:r>
      <w:r>
        <w:rPr>
          <w:rFonts w:ascii="Arial" w:cs="Arial" w:eastAsia="Arial" w:hAnsi="Arial"/>
          <w:sz w:val="15"/>
          <w:szCs w:val="15"/>
          <w:color w:val="auto"/>
        </w:rPr>
        <w:t>Dominican Republic</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El Salvador, S.A. de C.V.</w:t>
      </w:r>
      <w:r>
        <w:rPr>
          <w:sz w:val="20"/>
          <w:szCs w:val="20"/>
          <w:color w:val="auto"/>
        </w:rPr>
        <w:tab/>
      </w:r>
      <w:r>
        <w:rPr>
          <w:rFonts w:ascii="Arial" w:cs="Arial" w:eastAsia="Arial" w:hAnsi="Arial"/>
          <w:sz w:val="15"/>
          <w:szCs w:val="15"/>
          <w:color w:val="auto"/>
        </w:rPr>
        <w:t>El Salvador</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OÜ</w:t>
      </w:r>
      <w:r>
        <w:rPr>
          <w:sz w:val="20"/>
          <w:szCs w:val="20"/>
          <w:color w:val="auto"/>
        </w:rPr>
        <w:tab/>
      </w:r>
      <w:r>
        <w:rPr>
          <w:rFonts w:ascii="Arial" w:cs="Arial" w:eastAsia="Arial" w:hAnsi="Arial"/>
          <w:sz w:val="13"/>
          <w:szCs w:val="13"/>
          <w:color w:val="auto"/>
        </w:rPr>
        <w:t>Estonia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Contact Center OY</w:t>
      </w:r>
      <w:r>
        <w:rPr>
          <w:sz w:val="20"/>
          <w:szCs w:val="20"/>
          <w:color w:val="auto"/>
        </w:rPr>
        <w:tab/>
      </w:r>
      <w:r>
        <w:rPr>
          <w:rFonts w:ascii="Arial" w:cs="Arial" w:eastAsia="Arial" w:hAnsi="Arial"/>
          <w:sz w:val="15"/>
          <w:szCs w:val="15"/>
          <w:color w:val="auto"/>
        </w:rPr>
        <w:t>Finland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Inclusive Oy</w:t>
      </w:r>
      <w:r>
        <w:rPr>
          <w:sz w:val="20"/>
          <w:szCs w:val="20"/>
          <w:color w:val="auto"/>
        </w:rPr>
        <w:tab/>
      </w:r>
      <w:r>
        <w:rPr>
          <w:rFonts w:ascii="Arial" w:cs="Arial" w:eastAsia="Arial" w:hAnsi="Arial"/>
          <w:sz w:val="15"/>
          <w:szCs w:val="15"/>
          <w:color w:val="auto"/>
        </w:rPr>
        <w:t>Finland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OY</w:t>
      </w:r>
      <w:r>
        <w:rPr>
          <w:sz w:val="20"/>
          <w:szCs w:val="20"/>
          <w:color w:val="auto"/>
        </w:rPr>
        <w:tab/>
      </w:r>
      <w:r>
        <w:rPr>
          <w:rFonts w:ascii="Arial" w:cs="Arial" w:eastAsia="Arial" w:hAnsi="Arial"/>
          <w:sz w:val="15"/>
          <w:szCs w:val="15"/>
          <w:color w:val="auto"/>
        </w:rPr>
        <w:t>Finland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OY</w:t>
      </w:r>
      <w:r>
        <w:rPr>
          <w:sz w:val="20"/>
          <w:szCs w:val="20"/>
          <w:color w:val="auto"/>
        </w:rPr>
        <w:tab/>
      </w:r>
      <w:r>
        <w:rPr>
          <w:rFonts w:ascii="Arial" w:cs="Arial" w:eastAsia="Arial" w:hAnsi="Arial"/>
          <w:sz w:val="15"/>
          <w:szCs w:val="15"/>
          <w:color w:val="auto"/>
        </w:rPr>
        <w:t>Finland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Damilo Consulting Sas</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Damilo Sas</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Executive France SAS</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Management de Transition SA</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FuturSkill IT</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France Holding SAS</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France SAS</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France SAS</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Enterprise</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Nouvelles Competences SAS</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SAS</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Proservia SAS</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SAS</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Supplay SAS</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Syfadis SAS</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Tapfin Sarl</w:t>
      </w:r>
      <w:r>
        <w:rPr>
          <w:sz w:val="20"/>
          <w:szCs w:val="20"/>
          <w:color w:val="auto"/>
        </w:rPr>
        <w:tab/>
      </w:r>
      <w:r>
        <w:rPr>
          <w:rFonts w:ascii="Arial" w:cs="Arial" w:eastAsia="Arial" w:hAnsi="Arial"/>
          <w:sz w:val="13"/>
          <w:szCs w:val="13"/>
          <w:color w:val="auto"/>
        </w:rPr>
        <w:t>France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7S Group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Arcqus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Arcqus Professionals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AviationPower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AviationStaffManagement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Bankpower GmbH Personaldienstleistungen</w:t>
      </w:r>
      <w:r>
        <w:rPr>
          <w:sz w:val="20"/>
          <w:szCs w:val="20"/>
          <w:color w:val="auto"/>
        </w:rPr>
        <w:tab/>
      </w:r>
      <w:r>
        <w:rPr>
          <w:rFonts w:ascii="Arial" w:cs="Arial" w:eastAsia="Arial" w:hAnsi="Arial"/>
          <w:sz w:val="15"/>
          <w:szCs w:val="15"/>
          <w:color w:val="auto"/>
        </w:rPr>
        <w:t>Germany</w:t>
      </w:r>
    </w:p>
    <w:p>
      <w:pPr>
        <w:sectPr>
          <w:pgSz w:w="11900" w:h="16838" w:orient="portrait"/>
          <w:cols w:equalWidth="0" w:num="1">
            <w:col w:w="10039"/>
          </w:cols>
          <w:pgMar w:left="420" w:top="738" w:right="1440" w:bottom="1440" w:gutter="0" w:footer="0" w:header="0"/>
        </w:sect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039"/>
          </w:cols>
          <w:pgMar w:left="420" w:top="738" w:right="1440" w:bottom="1440" w:gutter="0" w:footer="0" w:header="0"/>
          <w:type w:val="continuous"/>
        </w:sectPr>
      </w:pPr>
    </w:p>
    <w:bookmarkStart w:id="115" w:name="page116"/>
    <w:bookmarkEnd w:id="115"/>
    <w:p>
      <w:pPr>
        <w:spacing w:after="0"/>
        <w:tabs>
          <w:tab w:leader="none" w:pos="8620" w:val="left"/>
        </w:tabs>
        <w:rPr>
          <w:sz w:val="20"/>
          <w:szCs w:val="20"/>
          <w:color w:val="auto"/>
        </w:rPr>
      </w:pPr>
      <w:r>
        <w:rPr>
          <w:rFonts w:ascii="Arial" w:cs="Arial" w:eastAsia="Arial" w:hAnsi="Arial"/>
          <w:sz w:val="17"/>
          <w:szCs w:val="17"/>
          <w:color w:val="auto"/>
        </w:rPr>
        <w:t>Edwork GmbH &amp; Co. KG</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Jefferson Wells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jenovation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K&amp;K HR-Services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Beteiligungsgesellschaft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Deutschland Verwaltungs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Financial Services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Duetschland GmbH &amp; Co. KG</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Montaplan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GmbH &amp; Co. KG</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Proservia Field Services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Proservia GmbH &amp; Co. KG</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Proservia Verwaltungs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Shoga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Splu Experts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Stegdoc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Stegmann Aircraft Maintenance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Stegmann Personaldienstleistung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Stegmed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VIS GmbH</w:t>
      </w:r>
      <w:r>
        <w:rPr>
          <w:sz w:val="20"/>
          <w:szCs w:val="20"/>
          <w:color w:val="auto"/>
        </w:rPr>
        <w:tab/>
      </w:r>
      <w:r>
        <w:rPr>
          <w:rFonts w:ascii="Arial" w:cs="Arial" w:eastAsia="Arial" w:hAnsi="Arial"/>
          <w:sz w:val="15"/>
          <w:szCs w:val="15"/>
          <w:color w:val="auto"/>
        </w:rPr>
        <w:t>Germany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S.A.</w:t>
      </w:r>
      <w:r>
        <w:rPr>
          <w:sz w:val="20"/>
          <w:szCs w:val="20"/>
          <w:color w:val="auto"/>
        </w:rPr>
        <w:tab/>
      </w:r>
      <w:r>
        <w:rPr>
          <w:rFonts w:ascii="Arial" w:cs="Arial" w:eastAsia="Arial" w:hAnsi="Arial"/>
          <w:sz w:val="13"/>
          <w:szCs w:val="13"/>
          <w:color w:val="auto"/>
        </w:rPr>
        <w:t>Greece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Project Solutions S.A.</w:t>
      </w:r>
      <w:r>
        <w:rPr>
          <w:sz w:val="20"/>
          <w:szCs w:val="20"/>
          <w:color w:val="auto"/>
        </w:rPr>
        <w:tab/>
      </w:r>
      <w:r>
        <w:rPr>
          <w:rFonts w:ascii="Arial" w:cs="Arial" w:eastAsia="Arial" w:hAnsi="Arial"/>
          <w:sz w:val="13"/>
          <w:szCs w:val="13"/>
          <w:color w:val="auto"/>
        </w:rPr>
        <w:t>Greece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Guatemala S.A.</w:t>
      </w:r>
      <w:r>
        <w:rPr>
          <w:sz w:val="20"/>
          <w:szCs w:val="20"/>
          <w:color w:val="auto"/>
        </w:rPr>
        <w:tab/>
      </w:r>
      <w:r>
        <w:rPr>
          <w:rFonts w:ascii="Arial" w:cs="Arial" w:eastAsia="Arial" w:hAnsi="Arial"/>
          <w:sz w:val="13"/>
          <w:szCs w:val="13"/>
          <w:color w:val="auto"/>
        </w:rPr>
        <w:t>Guatemala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Professional Guatemala S.A.</w:t>
      </w:r>
      <w:r>
        <w:rPr>
          <w:sz w:val="20"/>
          <w:szCs w:val="20"/>
          <w:color w:val="auto"/>
        </w:rPr>
        <w:tab/>
      </w:r>
      <w:r>
        <w:rPr>
          <w:rFonts w:ascii="Arial" w:cs="Arial" w:eastAsia="Arial" w:hAnsi="Arial"/>
          <w:sz w:val="13"/>
          <w:szCs w:val="13"/>
          <w:color w:val="auto"/>
        </w:rPr>
        <w:t>Guatemala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Honduras, S.A.</w:t>
      </w:r>
      <w:r>
        <w:rPr>
          <w:sz w:val="20"/>
          <w:szCs w:val="20"/>
          <w:color w:val="auto"/>
        </w:rPr>
        <w:tab/>
      </w:r>
      <w:r>
        <w:rPr>
          <w:rFonts w:ascii="Arial" w:cs="Arial" w:eastAsia="Arial" w:hAnsi="Arial"/>
          <w:sz w:val="13"/>
          <w:szCs w:val="13"/>
          <w:color w:val="auto"/>
        </w:rPr>
        <w:t>Honduras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Event Elite Production and Promotion Limited</w:t>
      </w:r>
      <w:r>
        <w:rPr>
          <w:sz w:val="20"/>
          <w:szCs w:val="20"/>
          <w:color w:val="auto"/>
        </w:rPr>
        <w:tab/>
      </w:r>
      <w:r>
        <w:rPr>
          <w:rFonts w:ascii="Arial" w:cs="Arial" w:eastAsia="Arial" w:hAnsi="Arial"/>
          <w:sz w:val="15"/>
          <w:szCs w:val="15"/>
          <w:color w:val="auto"/>
        </w:rPr>
        <w:t>Hong Kong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Jefferson Wells HK Limited</w:t>
      </w:r>
      <w:r>
        <w:rPr>
          <w:sz w:val="20"/>
          <w:szCs w:val="20"/>
          <w:color w:val="auto"/>
        </w:rPr>
        <w:tab/>
      </w:r>
      <w:r>
        <w:rPr>
          <w:rFonts w:ascii="Arial" w:cs="Arial" w:eastAsia="Arial" w:hAnsi="Arial"/>
          <w:sz w:val="15"/>
          <w:szCs w:val="15"/>
          <w:color w:val="auto"/>
        </w:rPr>
        <w:t>Hong Kong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Legal Futures (HK) Limited</w:t>
      </w:r>
      <w:r>
        <w:rPr>
          <w:sz w:val="20"/>
          <w:szCs w:val="20"/>
          <w:color w:val="auto"/>
        </w:rPr>
        <w:tab/>
      </w:r>
      <w:r>
        <w:rPr>
          <w:rFonts w:ascii="Arial" w:cs="Arial" w:eastAsia="Arial" w:hAnsi="Arial"/>
          <w:sz w:val="15"/>
          <w:szCs w:val="15"/>
          <w:color w:val="auto"/>
        </w:rPr>
        <w:t>Hong Kong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Greater China (HK) Limited</w:t>
      </w:r>
      <w:r>
        <w:rPr>
          <w:sz w:val="20"/>
          <w:szCs w:val="20"/>
          <w:color w:val="auto"/>
        </w:rPr>
        <w:tab/>
      </w:r>
      <w:r>
        <w:rPr>
          <w:rFonts w:ascii="Arial" w:cs="Arial" w:eastAsia="Arial" w:hAnsi="Arial"/>
          <w:sz w:val="15"/>
          <w:szCs w:val="15"/>
          <w:color w:val="auto"/>
        </w:rPr>
        <w:t>Hong Kong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Services (Hong Kong) Limited</w:t>
      </w:r>
      <w:r>
        <w:rPr>
          <w:sz w:val="20"/>
          <w:szCs w:val="20"/>
          <w:color w:val="auto"/>
        </w:rPr>
        <w:tab/>
      </w:r>
      <w:r>
        <w:rPr>
          <w:rFonts w:ascii="Arial" w:cs="Arial" w:eastAsia="Arial" w:hAnsi="Arial"/>
          <w:sz w:val="15"/>
          <w:szCs w:val="15"/>
          <w:color w:val="auto"/>
        </w:rPr>
        <w:t>Hong Kong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Holdings Hong Kong Limited</w:t>
      </w:r>
      <w:r>
        <w:rPr>
          <w:sz w:val="20"/>
          <w:szCs w:val="20"/>
          <w:color w:val="auto"/>
        </w:rPr>
        <w:tab/>
      </w:r>
      <w:r>
        <w:rPr>
          <w:rFonts w:ascii="Arial" w:cs="Arial" w:eastAsia="Arial" w:hAnsi="Arial"/>
          <w:sz w:val="15"/>
          <w:szCs w:val="15"/>
          <w:color w:val="auto"/>
        </w:rPr>
        <w:t>Hong Kong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Consultants Ltd (Hong Kong)</w:t>
      </w:r>
      <w:r>
        <w:rPr>
          <w:sz w:val="20"/>
          <w:szCs w:val="20"/>
          <w:color w:val="auto"/>
        </w:rPr>
        <w:tab/>
      </w:r>
      <w:r>
        <w:rPr>
          <w:rFonts w:ascii="Arial" w:cs="Arial" w:eastAsia="Arial" w:hAnsi="Arial"/>
          <w:sz w:val="15"/>
          <w:szCs w:val="15"/>
          <w:color w:val="auto"/>
        </w:rPr>
        <w:t>Hong Kong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Hong Kong Holdings Limited</w:t>
      </w:r>
      <w:r>
        <w:rPr>
          <w:sz w:val="20"/>
          <w:szCs w:val="20"/>
          <w:color w:val="auto"/>
        </w:rPr>
        <w:tab/>
      </w:r>
      <w:r>
        <w:rPr>
          <w:rFonts w:ascii="Arial" w:cs="Arial" w:eastAsia="Arial" w:hAnsi="Arial"/>
          <w:sz w:val="15"/>
          <w:szCs w:val="15"/>
          <w:color w:val="auto"/>
        </w:rPr>
        <w:t>Hong Kong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Hong Kong Ltd.</w:t>
      </w:r>
      <w:r>
        <w:rPr>
          <w:sz w:val="20"/>
          <w:szCs w:val="20"/>
          <w:color w:val="auto"/>
        </w:rPr>
        <w:tab/>
      </w:r>
      <w:r>
        <w:rPr>
          <w:rFonts w:ascii="Arial" w:cs="Arial" w:eastAsia="Arial" w:hAnsi="Arial"/>
          <w:sz w:val="15"/>
          <w:szCs w:val="15"/>
          <w:color w:val="auto"/>
        </w:rPr>
        <w:t>Hong Kong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Standard Management Consulting Limited</w:t>
      </w:r>
      <w:r>
        <w:rPr>
          <w:sz w:val="20"/>
          <w:szCs w:val="20"/>
          <w:color w:val="auto"/>
        </w:rPr>
        <w:tab/>
      </w:r>
      <w:r>
        <w:rPr>
          <w:rFonts w:ascii="Arial" w:cs="Arial" w:eastAsia="Arial" w:hAnsi="Arial"/>
          <w:sz w:val="15"/>
          <w:szCs w:val="15"/>
          <w:color w:val="auto"/>
        </w:rPr>
        <w:t>Hong Kong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Business Solutions Kft</w:t>
      </w:r>
      <w:r>
        <w:rPr>
          <w:sz w:val="20"/>
          <w:szCs w:val="20"/>
          <w:color w:val="auto"/>
        </w:rPr>
        <w:tab/>
      </w:r>
      <w:r>
        <w:rPr>
          <w:rFonts w:ascii="Arial" w:cs="Arial" w:eastAsia="Arial" w:hAnsi="Arial"/>
          <w:sz w:val="15"/>
          <w:szCs w:val="15"/>
          <w:color w:val="auto"/>
        </w:rPr>
        <w:t>Hungary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Munkaero Szervezesi KFT</w:t>
      </w:r>
      <w:r>
        <w:rPr>
          <w:sz w:val="20"/>
          <w:szCs w:val="20"/>
          <w:color w:val="auto"/>
        </w:rPr>
        <w:tab/>
      </w:r>
      <w:r>
        <w:rPr>
          <w:rFonts w:ascii="Arial" w:cs="Arial" w:eastAsia="Arial" w:hAnsi="Arial"/>
          <w:sz w:val="15"/>
          <w:szCs w:val="15"/>
          <w:color w:val="auto"/>
        </w:rPr>
        <w:t>Hungary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RMC OF Illinois, Inc.</w:t>
      </w:r>
      <w:r>
        <w:rPr>
          <w:sz w:val="20"/>
          <w:szCs w:val="20"/>
          <w:color w:val="auto"/>
        </w:rPr>
        <w:tab/>
      </w:r>
      <w:r>
        <w:rPr>
          <w:rFonts w:ascii="Arial" w:cs="Arial" w:eastAsia="Arial" w:hAnsi="Arial"/>
          <w:sz w:val="17"/>
          <w:szCs w:val="17"/>
          <w:color w:val="auto"/>
        </w:rPr>
        <w:t>IL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COMSYS IT India, Inc.</w:t>
      </w:r>
      <w:r>
        <w:rPr>
          <w:sz w:val="20"/>
          <w:szCs w:val="20"/>
          <w:color w:val="auto"/>
        </w:rPr>
        <w:tab/>
      </w:r>
      <w:r>
        <w:rPr>
          <w:rFonts w:ascii="Arial" w:cs="Arial" w:eastAsia="Arial" w:hAnsi="Arial"/>
          <w:sz w:val="15"/>
          <w:szCs w:val="15"/>
          <w:color w:val="auto"/>
        </w:rPr>
        <w:t>India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IT Private Limited</w:t>
      </w:r>
      <w:r>
        <w:rPr>
          <w:sz w:val="20"/>
          <w:szCs w:val="20"/>
          <w:color w:val="auto"/>
        </w:rPr>
        <w:tab/>
      </w:r>
      <w:r>
        <w:rPr>
          <w:rFonts w:ascii="Arial" w:cs="Arial" w:eastAsia="Arial" w:hAnsi="Arial"/>
          <w:sz w:val="15"/>
          <w:szCs w:val="15"/>
          <w:color w:val="auto"/>
        </w:rPr>
        <w:t>India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Solutions Pvt. Ltd.</w:t>
      </w:r>
      <w:r>
        <w:rPr>
          <w:sz w:val="20"/>
          <w:szCs w:val="20"/>
          <w:color w:val="auto"/>
        </w:rPr>
        <w:tab/>
      </w:r>
      <w:r>
        <w:rPr>
          <w:rFonts w:ascii="Arial" w:cs="Arial" w:eastAsia="Arial" w:hAnsi="Arial"/>
          <w:sz w:val="15"/>
          <w:szCs w:val="15"/>
          <w:color w:val="auto"/>
        </w:rPr>
        <w:t>India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Services India Pvt. Ltd.</w:t>
      </w:r>
      <w:r>
        <w:rPr>
          <w:sz w:val="20"/>
          <w:szCs w:val="20"/>
          <w:color w:val="auto"/>
        </w:rPr>
        <w:tab/>
      </w:r>
      <w:r>
        <w:rPr>
          <w:rFonts w:ascii="Arial" w:cs="Arial" w:eastAsia="Arial" w:hAnsi="Arial"/>
          <w:sz w:val="15"/>
          <w:szCs w:val="15"/>
          <w:color w:val="auto"/>
        </w:rPr>
        <w:t>India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India Pvt. Limited</w:t>
      </w:r>
      <w:r>
        <w:rPr>
          <w:sz w:val="20"/>
          <w:szCs w:val="20"/>
          <w:color w:val="auto"/>
        </w:rPr>
        <w:tab/>
      </w:r>
      <w:r>
        <w:rPr>
          <w:rFonts w:ascii="Arial" w:cs="Arial" w:eastAsia="Arial" w:hAnsi="Arial"/>
          <w:sz w:val="15"/>
          <w:szCs w:val="15"/>
          <w:color w:val="auto"/>
        </w:rPr>
        <w:t>India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Rotostat Services Private Limited</w:t>
      </w:r>
      <w:r>
        <w:rPr>
          <w:sz w:val="20"/>
          <w:szCs w:val="20"/>
          <w:color w:val="auto"/>
        </w:rPr>
        <w:tab/>
      </w:r>
      <w:r>
        <w:rPr>
          <w:rFonts w:ascii="Arial" w:cs="Arial" w:eastAsia="Arial" w:hAnsi="Arial"/>
          <w:sz w:val="15"/>
          <w:szCs w:val="15"/>
          <w:color w:val="auto"/>
        </w:rPr>
        <w:t>India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P.T. Manpower Business Solutions Indonesia</w:t>
      </w:r>
      <w:r>
        <w:rPr>
          <w:sz w:val="20"/>
          <w:szCs w:val="20"/>
          <w:color w:val="auto"/>
        </w:rPr>
        <w:tab/>
      </w:r>
      <w:r>
        <w:rPr>
          <w:rFonts w:ascii="Arial" w:cs="Arial" w:eastAsia="Arial" w:hAnsi="Arial"/>
          <w:sz w:val="13"/>
          <w:szCs w:val="13"/>
          <w:color w:val="auto"/>
        </w:rPr>
        <w:t>Indonesia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Limited</w:t>
      </w:r>
      <w:r>
        <w:rPr>
          <w:sz w:val="20"/>
          <w:szCs w:val="20"/>
          <w:color w:val="auto"/>
        </w:rPr>
        <w:tab/>
      </w:r>
      <w:r>
        <w:rPr>
          <w:rFonts w:ascii="Arial" w:cs="Arial" w:eastAsia="Arial" w:hAnsi="Arial"/>
          <w:sz w:val="15"/>
          <w:szCs w:val="15"/>
          <w:color w:val="auto"/>
        </w:rPr>
        <w:t>Ireland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(Ireland) Limited</w:t>
      </w:r>
      <w:r>
        <w:rPr>
          <w:sz w:val="20"/>
          <w:szCs w:val="20"/>
          <w:color w:val="auto"/>
        </w:rPr>
        <w:tab/>
      </w:r>
      <w:r>
        <w:rPr>
          <w:rFonts w:ascii="Arial" w:cs="Arial" w:eastAsia="Arial" w:hAnsi="Arial"/>
          <w:sz w:val="15"/>
          <w:szCs w:val="15"/>
          <w:color w:val="auto"/>
        </w:rPr>
        <w:t>Ireland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Holdings (Ireland) Limited</w:t>
      </w:r>
      <w:r>
        <w:rPr>
          <w:sz w:val="20"/>
          <w:szCs w:val="20"/>
          <w:color w:val="auto"/>
        </w:rPr>
        <w:tab/>
      </w:r>
      <w:r>
        <w:rPr>
          <w:rFonts w:ascii="Arial" w:cs="Arial" w:eastAsia="Arial" w:hAnsi="Arial"/>
          <w:sz w:val="15"/>
          <w:szCs w:val="15"/>
          <w:color w:val="auto"/>
        </w:rPr>
        <w:t>Ireland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Transition Ltd</w:t>
      </w:r>
      <w:r>
        <w:rPr>
          <w:sz w:val="20"/>
          <w:szCs w:val="20"/>
          <w:color w:val="auto"/>
        </w:rPr>
        <w:tab/>
      </w:r>
      <w:r>
        <w:rPr>
          <w:rFonts w:ascii="Arial" w:cs="Arial" w:eastAsia="Arial" w:hAnsi="Arial"/>
          <w:sz w:val="15"/>
          <w:szCs w:val="15"/>
          <w:color w:val="auto"/>
        </w:rPr>
        <w:t>Ireland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Adam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Adi Ltd.</w:t>
      </w:r>
      <w:r>
        <w:rPr>
          <w:sz w:val="20"/>
          <w:szCs w:val="20"/>
          <w:color w:val="auto"/>
        </w:rPr>
        <w:tab/>
      </w:r>
      <w:r>
        <w:rPr>
          <w:rFonts w:ascii="Arial" w:cs="Arial" w:eastAsia="Arial" w:hAnsi="Arial"/>
          <w:sz w:val="15"/>
          <w:szCs w:val="15"/>
          <w:color w:val="auto"/>
        </w:rPr>
        <w:t>Israel</w:t>
      </w:r>
    </w:p>
    <w:p>
      <w:pPr>
        <w:sectPr>
          <w:pgSz w:w="11900" w:h="16838" w:orient="portrait"/>
          <w:cols w:equalWidth="0" w:num="1">
            <w:col w:w="10039"/>
          </w:cols>
          <w:pgMar w:left="420" w:top="738" w:right="1440" w:bottom="1440" w:gutter="0" w:footer="0" w:header="0"/>
        </w:sect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0039"/>
          </w:cols>
          <w:pgMar w:left="420" w:top="738" w:right="1440" w:bottom="1440" w:gutter="0" w:footer="0" w:header="0"/>
          <w:type w:val="continuous"/>
        </w:sectPr>
      </w:pPr>
    </w:p>
    <w:bookmarkStart w:id="116" w:name="page117"/>
    <w:bookmarkEnd w:id="116"/>
    <w:p>
      <w:pPr>
        <w:spacing w:after="0"/>
        <w:tabs>
          <w:tab w:leader="none" w:pos="8620" w:val="left"/>
        </w:tabs>
        <w:rPr>
          <w:sz w:val="20"/>
          <w:szCs w:val="20"/>
          <w:color w:val="auto"/>
        </w:rPr>
      </w:pPr>
      <w:r>
        <w:rPr>
          <w:rFonts w:ascii="Arial" w:cs="Arial" w:eastAsia="Arial" w:hAnsi="Arial"/>
          <w:sz w:val="17"/>
          <w:szCs w:val="17"/>
          <w:color w:val="auto"/>
        </w:rPr>
        <w:t>Career Harmony,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BI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Cyber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I.T.S.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Software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M.F.S. Manpower Facility Services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M.G.S.M. Advanced Medical Services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Care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Israel Holdings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Israel Limited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Language Services</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MNPM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Nativ 2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Telepower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Unison Engineering Projects Ltd.</w:t>
      </w:r>
      <w:r>
        <w:rPr>
          <w:sz w:val="20"/>
          <w:szCs w:val="20"/>
          <w:color w:val="auto"/>
        </w:rPr>
        <w:tab/>
      </w:r>
      <w:r>
        <w:rPr>
          <w:rFonts w:ascii="Arial" w:cs="Arial" w:eastAsia="Arial" w:hAnsi="Arial"/>
          <w:sz w:val="15"/>
          <w:szCs w:val="15"/>
          <w:color w:val="auto"/>
        </w:rPr>
        <w:t>Israel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Srl</w:t>
      </w:r>
      <w:r>
        <w:rPr>
          <w:sz w:val="20"/>
          <w:szCs w:val="20"/>
          <w:color w:val="auto"/>
        </w:rPr>
        <w:tab/>
      </w:r>
      <w:r>
        <w:rPr>
          <w:rFonts w:ascii="Arial" w:cs="Arial" w:eastAsia="Arial" w:hAnsi="Arial"/>
          <w:sz w:val="16"/>
          <w:szCs w:val="16"/>
          <w:color w:val="auto"/>
        </w:rPr>
        <w:t>Italy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Jefferson Wells Srl</w:t>
      </w:r>
      <w:r>
        <w:rPr>
          <w:sz w:val="20"/>
          <w:szCs w:val="20"/>
          <w:color w:val="auto"/>
        </w:rPr>
        <w:tab/>
      </w:r>
      <w:r>
        <w:rPr>
          <w:rFonts w:ascii="Arial" w:cs="Arial" w:eastAsia="Arial" w:hAnsi="Arial"/>
          <w:sz w:val="16"/>
          <w:szCs w:val="16"/>
          <w:color w:val="auto"/>
        </w:rPr>
        <w:t>Italy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Italia S.r.l.</w:t>
      </w:r>
      <w:r>
        <w:rPr>
          <w:sz w:val="20"/>
          <w:szCs w:val="20"/>
          <w:color w:val="auto"/>
        </w:rPr>
        <w:tab/>
      </w:r>
      <w:r>
        <w:rPr>
          <w:rFonts w:ascii="Arial" w:cs="Arial" w:eastAsia="Arial" w:hAnsi="Arial"/>
          <w:sz w:val="16"/>
          <w:szCs w:val="16"/>
          <w:color w:val="auto"/>
        </w:rPr>
        <w:t>Italy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Sales and Marketing S.r.l.</w:t>
      </w:r>
      <w:r>
        <w:rPr>
          <w:sz w:val="20"/>
          <w:szCs w:val="20"/>
          <w:color w:val="auto"/>
        </w:rPr>
        <w:tab/>
      </w:r>
      <w:r>
        <w:rPr>
          <w:rFonts w:ascii="Arial" w:cs="Arial" w:eastAsia="Arial" w:hAnsi="Arial"/>
          <w:sz w:val="16"/>
          <w:szCs w:val="16"/>
          <w:color w:val="auto"/>
        </w:rPr>
        <w:t>Italy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Sport and Events S.r.l.</w:t>
      </w:r>
      <w:r>
        <w:rPr>
          <w:sz w:val="20"/>
          <w:szCs w:val="20"/>
          <w:color w:val="auto"/>
        </w:rPr>
        <w:tab/>
      </w:r>
      <w:r>
        <w:rPr>
          <w:rFonts w:ascii="Arial" w:cs="Arial" w:eastAsia="Arial" w:hAnsi="Arial"/>
          <w:sz w:val="16"/>
          <w:szCs w:val="16"/>
          <w:color w:val="auto"/>
        </w:rPr>
        <w:t>Italy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SRL</w:t>
      </w:r>
      <w:r>
        <w:rPr>
          <w:sz w:val="20"/>
          <w:szCs w:val="20"/>
          <w:color w:val="auto"/>
        </w:rPr>
        <w:tab/>
      </w:r>
      <w:r>
        <w:rPr>
          <w:rFonts w:ascii="Arial" w:cs="Arial" w:eastAsia="Arial" w:hAnsi="Arial"/>
          <w:sz w:val="16"/>
          <w:szCs w:val="16"/>
          <w:color w:val="auto"/>
        </w:rPr>
        <w:t>Italy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Srl</w:t>
      </w:r>
      <w:r>
        <w:rPr>
          <w:sz w:val="20"/>
          <w:szCs w:val="20"/>
          <w:color w:val="auto"/>
        </w:rPr>
        <w:tab/>
      </w:r>
      <w:r>
        <w:rPr>
          <w:rFonts w:ascii="Arial" w:cs="Arial" w:eastAsia="Arial" w:hAnsi="Arial"/>
          <w:sz w:val="16"/>
          <w:szCs w:val="16"/>
          <w:color w:val="auto"/>
        </w:rPr>
        <w:t>Italy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Talent Solution Company s.r.l.</w:t>
      </w:r>
      <w:r>
        <w:rPr>
          <w:sz w:val="20"/>
          <w:szCs w:val="20"/>
          <w:color w:val="auto"/>
        </w:rPr>
        <w:tab/>
      </w:r>
      <w:r>
        <w:rPr>
          <w:rFonts w:ascii="Arial" w:cs="Arial" w:eastAsia="Arial" w:hAnsi="Arial"/>
          <w:sz w:val="16"/>
          <w:szCs w:val="16"/>
          <w:color w:val="auto"/>
        </w:rPr>
        <w:t>Italy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Executive Co. Ltd.</w:t>
      </w:r>
      <w:r>
        <w:rPr>
          <w:sz w:val="20"/>
          <w:szCs w:val="20"/>
          <w:color w:val="auto"/>
        </w:rPr>
        <w:tab/>
      </w:r>
      <w:r>
        <w:rPr>
          <w:rFonts w:ascii="Arial" w:cs="Arial" w:eastAsia="Arial" w:hAnsi="Arial"/>
          <w:sz w:val="13"/>
          <w:szCs w:val="13"/>
          <w:color w:val="auto"/>
        </w:rPr>
        <w:t>Japan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Motus Co., Ltd.</w:t>
      </w:r>
      <w:r>
        <w:rPr>
          <w:sz w:val="20"/>
          <w:szCs w:val="20"/>
          <w:color w:val="auto"/>
        </w:rPr>
        <w:tab/>
      </w:r>
      <w:r>
        <w:rPr>
          <w:rFonts w:ascii="Arial" w:cs="Arial" w:eastAsia="Arial" w:hAnsi="Arial"/>
          <w:sz w:val="13"/>
          <w:szCs w:val="13"/>
          <w:color w:val="auto"/>
        </w:rPr>
        <w:t>Japan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Human Business Associates Co. Ltd.</w:t>
      </w:r>
      <w:r>
        <w:rPr>
          <w:sz w:val="20"/>
          <w:szCs w:val="20"/>
          <w:color w:val="auto"/>
        </w:rPr>
        <w:tab/>
      </w:r>
      <w:r>
        <w:rPr>
          <w:rFonts w:ascii="Arial" w:cs="Arial" w:eastAsia="Arial" w:hAnsi="Arial"/>
          <w:sz w:val="13"/>
          <w:szCs w:val="13"/>
          <w:color w:val="auto"/>
        </w:rPr>
        <w:t>Japan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JobSupportpower Co. Ltd.</w:t>
      </w:r>
      <w:r>
        <w:rPr>
          <w:sz w:val="20"/>
          <w:szCs w:val="20"/>
          <w:color w:val="auto"/>
        </w:rPr>
        <w:tab/>
      </w:r>
      <w:r>
        <w:rPr>
          <w:rFonts w:ascii="Arial" w:cs="Arial" w:eastAsia="Arial" w:hAnsi="Arial"/>
          <w:sz w:val="13"/>
          <w:szCs w:val="13"/>
          <w:color w:val="auto"/>
        </w:rPr>
        <w:t>Japan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Co. Ltd.</w:t>
      </w:r>
      <w:r>
        <w:rPr>
          <w:sz w:val="20"/>
          <w:szCs w:val="20"/>
          <w:color w:val="auto"/>
        </w:rPr>
        <w:tab/>
      </w:r>
      <w:r>
        <w:rPr>
          <w:rFonts w:ascii="Arial" w:cs="Arial" w:eastAsia="Arial" w:hAnsi="Arial"/>
          <w:sz w:val="13"/>
          <w:szCs w:val="13"/>
          <w:color w:val="auto"/>
        </w:rPr>
        <w:t>Japan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Pro-Hunt Co., Ltd.</w:t>
      </w:r>
      <w:r>
        <w:rPr>
          <w:sz w:val="20"/>
          <w:szCs w:val="20"/>
          <w:color w:val="auto"/>
        </w:rPr>
        <w:tab/>
      </w:r>
      <w:r>
        <w:rPr>
          <w:rFonts w:ascii="Arial" w:cs="Arial" w:eastAsia="Arial" w:hAnsi="Arial"/>
          <w:sz w:val="13"/>
          <w:szCs w:val="13"/>
          <w:color w:val="auto"/>
        </w:rPr>
        <w:t>Japan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Kaz LLC</w:t>
      </w:r>
      <w:r>
        <w:rPr>
          <w:sz w:val="20"/>
          <w:szCs w:val="20"/>
          <w:color w:val="auto"/>
        </w:rPr>
        <w:tab/>
      </w:r>
      <w:r>
        <w:rPr>
          <w:rFonts w:ascii="Arial" w:cs="Arial" w:eastAsia="Arial" w:hAnsi="Arial"/>
          <w:sz w:val="13"/>
          <w:szCs w:val="13"/>
          <w:color w:val="auto"/>
        </w:rPr>
        <w:t>Kazakhstan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Korea, Inc.</w:t>
      </w:r>
      <w:r>
        <w:rPr>
          <w:sz w:val="20"/>
          <w:szCs w:val="20"/>
          <w:color w:val="auto"/>
        </w:rPr>
        <w:tab/>
      </w:r>
      <w:r>
        <w:rPr>
          <w:rFonts w:ascii="Arial" w:cs="Arial" w:eastAsia="Arial" w:hAnsi="Arial"/>
          <w:sz w:val="13"/>
          <w:szCs w:val="13"/>
          <w:color w:val="auto"/>
        </w:rPr>
        <w:t>Korea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Logis Inc.</w:t>
      </w:r>
      <w:r>
        <w:rPr>
          <w:sz w:val="20"/>
          <w:szCs w:val="20"/>
          <w:color w:val="auto"/>
        </w:rPr>
        <w:tab/>
      </w:r>
      <w:r>
        <w:rPr>
          <w:rFonts w:ascii="Arial" w:cs="Arial" w:eastAsia="Arial" w:hAnsi="Arial"/>
          <w:sz w:val="13"/>
          <w:szCs w:val="13"/>
          <w:color w:val="auto"/>
        </w:rPr>
        <w:t>Korea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Korea, Inc.</w:t>
      </w:r>
      <w:r>
        <w:rPr>
          <w:sz w:val="20"/>
          <w:szCs w:val="20"/>
          <w:color w:val="auto"/>
        </w:rPr>
        <w:tab/>
      </w:r>
      <w:r>
        <w:rPr>
          <w:rFonts w:ascii="Arial" w:cs="Arial" w:eastAsia="Arial" w:hAnsi="Arial"/>
          <w:sz w:val="13"/>
          <w:szCs w:val="13"/>
          <w:color w:val="auto"/>
        </w:rPr>
        <w:t>Korea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Service Inc.</w:t>
      </w:r>
      <w:r>
        <w:rPr>
          <w:sz w:val="20"/>
          <w:szCs w:val="20"/>
          <w:color w:val="auto"/>
        </w:rPr>
        <w:tab/>
      </w:r>
      <w:r>
        <w:rPr>
          <w:rFonts w:ascii="Arial" w:cs="Arial" w:eastAsia="Arial" w:hAnsi="Arial"/>
          <w:sz w:val="13"/>
          <w:szCs w:val="13"/>
          <w:color w:val="auto"/>
        </w:rPr>
        <w:t>Korea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Korea Co. Ltd.</w:t>
      </w:r>
      <w:r>
        <w:rPr>
          <w:sz w:val="20"/>
          <w:szCs w:val="20"/>
          <w:color w:val="auto"/>
        </w:rPr>
        <w:tab/>
      </w:r>
      <w:r>
        <w:rPr>
          <w:rFonts w:ascii="Arial" w:cs="Arial" w:eastAsia="Arial" w:hAnsi="Arial"/>
          <w:sz w:val="13"/>
          <w:szCs w:val="13"/>
          <w:color w:val="auto"/>
        </w:rPr>
        <w:t>Korea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Representative Office of UAB "Manpower Lit" in Latvia</w:t>
      </w:r>
      <w:r>
        <w:rPr>
          <w:sz w:val="20"/>
          <w:szCs w:val="20"/>
          <w:color w:val="auto"/>
        </w:rPr>
        <w:tab/>
      </w:r>
      <w:r>
        <w:rPr>
          <w:rFonts w:ascii="Arial" w:cs="Arial" w:eastAsia="Arial" w:hAnsi="Arial"/>
          <w:sz w:val="15"/>
          <w:szCs w:val="15"/>
          <w:color w:val="auto"/>
        </w:rPr>
        <w:t>Latvia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Lit UAB</w:t>
      </w:r>
      <w:r>
        <w:rPr>
          <w:sz w:val="20"/>
          <w:szCs w:val="20"/>
          <w:color w:val="auto"/>
        </w:rPr>
        <w:tab/>
      </w:r>
      <w:r>
        <w:rPr>
          <w:rFonts w:ascii="Arial" w:cs="Arial" w:eastAsia="Arial" w:hAnsi="Arial"/>
          <w:sz w:val="15"/>
          <w:szCs w:val="15"/>
          <w:color w:val="auto"/>
        </w:rPr>
        <w:t>Lithuania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Elan IT Resource S.a.r.l.</w:t>
      </w:r>
      <w:r>
        <w:rPr>
          <w:sz w:val="20"/>
          <w:szCs w:val="20"/>
          <w:color w:val="auto"/>
        </w:rPr>
        <w:tab/>
      </w:r>
      <w:r>
        <w:rPr>
          <w:rFonts w:ascii="Arial" w:cs="Arial" w:eastAsia="Arial" w:hAnsi="Arial"/>
          <w:sz w:val="15"/>
          <w:szCs w:val="15"/>
          <w:color w:val="auto"/>
        </w:rPr>
        <w:t>Luxembourg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Business Solutions Luxembourg S.A.</w:t>
      </w:r>
      <w:r>
        <w:rPr>
          <w:sz w:val="20"/>
          <w:szCs w:val="20"/>
          <w:color w:val="auto"/>
        </w:rPr>
        <w:tab/>
      </w:r>
      <w:r>
        <w:rPr>
          <w:rFonts w:ascii="Arial" w:cs="Arial" w:eastAsia="Arial" w:hAnsi="Arial"/>
          <w:sz w:val="15"/>
          <w:szCs w:val="15"/>
          <w:color w:val="auto"/>
        </w:rPr>
        <w:t>Luxembourg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Luxembourg S.A.</w:t>
      </w:r>
      <w:r>
        <w:rPr>
          <w:sz w:val="20"/>
          <w:szCs w:val="20"/>
          <w:color w:val="auto"/>
        </w:rPr>
        <w:tab/>
      </w:r>
      <w:r>
        <w:rPr>
          <w:rFonts w:ascii="Arial" w:cs="Arial" w:eastAsia="Arial" w:hAnsi="Arial"/>
          <w:sz w:val="15"/>
          <w:szCs w:val="15"/>
          <w:color w:val="auto"/>
        </w:rPr>
        <w:t>Luxembourg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Luxembourg SA</w:t>
      </w:r>
      <w:r>
        <w:rPr>
          <w:sz w:val="20"/>
          <w:szCs w:val="20"/>
          <w:color w:val="auto"/>
        </w:rPr>
        <w:tab/>
      </w:r>
      <w:r>
        <w:rPr>
          <w:rFonts w:ascii="Arial" w:cs="Arial" w:eastAsia="Arial" w:hAnsi="Arial"/>
          <w:sz w:val="15"/>
          <w:szCs w:val="15"/>
          <w:color w:val="auto"/>
        </w:rPr>
        <w:t>Luxembourg</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Services (Macau) Limited</w:t>
      </w:r>
      <w:r>
        <w:rPr>
          <w:sz w:val="20"/>
          <w:szCs w:val="20"/>
          <w:color w:val="auto"/>
        </w:rPr>
        <w:tab/>
      </w:r>
      <w:r>
        <w:rPr>
          <w:rFonts w:ascii="Arial" w:cs="Arial" w:eastAsia="Arial" w:hAnsi="Arial"/>
          <w:sz w:val="15"/>
          <w:szCs w:val="15"/>
          <w:color w:val="auto"/>
        </w:rPr>
        <w:t>Macau</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Agensi Pekerjaan Manpower Recruitment Sdn Bhd</w:t>
      </w:r>
      <w:r>
        <w:rPr>
          <w:sz w:val="20"/>
          <w:szCs w:val="20"/>
          <w:color w:val="auto"/>
        </w:rPr>
        <w:tab/>
      </w:r>
      <w:r>
        <w:rPr>
          <w:rFonts w:ascii="Arial" w:cs="Arial" w:eastAsia="Arial" w:hAnsi="Arial"/>
          <w:sz w:val="15"/>
          <w:szCs w:val="15"/>
          <w:color w:val="auto"/>
        </w:rPr>
        <w:t>Malaysia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(M) Sdn Bhd</w:t>
      </w:r>
      <w:r>
        <w:rPr>
          <w:sz w:val="20"/>
          <w:szCs w:val="20"/>
          <w:color w:val="auto"/>
        </w:rPr>
        <w:tab/>
      </w:r>
      <w:r>
        <w:rPr>
          <w:rFonts w:ascii="Arial" w:cs="Arial" w:eastAsia="Arial" w:hAnsi="Arial"/>
          <w:sz w:val="15"/>
          <w:szCs w:val="15"/>
          <w:color w:val="auto"/>
        </w:rPr>
        <w:t>Malaysia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Business Solutions (M) Sdn Bhd</w:t>
      </w:r>
      <w:r>
        <w:rPr>
          <w:sz w:val="20"/>
          <w:szCs w:val="20"/>
          <w:color w:val="auto"/>
        </w:rPr>
        <w:tab/>
      </w:r>
      <w:r>
        <w:rPr>
          <w:rFonts w:ascii="Arial" w:cs="Arial" w:eastAsia="Arial" w:hAnsi="Arial"/>
          <w:sz w:val="15"/>
          <w:szCs w:val="15"/>
          <w:color w:val="auto"/>
        </w:rPr>
        <w:t>Malaysia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Staffing Services (Malaysia) Sdn Bhd</w:t>
      </w:r>
      <w:r>
        <w:rPr>
          <w:sz w:val="20"/>
          <w:szCs w:val="20"/>
          <w:color w:val="auto"/>
        </w:rPr>
        <w:tab/>
      </w:r>
      <w:r>
        <w:rPr>
          <w:rFonts w:ascii="Arial" w:cs="Arial" w:eastAsia="Arial" w:hAnsi="Arial"/>
          <w:sz w:val="15"/>
          <w:szCs w:val="15"/>
          <w:color w:val="auto"/>
        </w:rPr>
        <w:t>Malaysia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(Malaysia) Sdn Bhd</w:t>
      </w:r>
      <w:r>
        <w:rPr>
          <w:sz w:val="20"/>
          <w:szCs w:val="20"/>
          <w:color w:val="auto"/>
        </w:rPr>
        <w:tab/>
      </w:r>
      <w:r>
        <w:rPr>
          <w:rFonts w:ascii="Arial" w:cs="Arial" w:eastAsia="Arial" w:hAnsi="Arial"/>
          <w:sz w:val="15"/>
          <w:szCs w:val="15"/>
          <w:color w:val="auto"/>
        </w:rPr>
        <w:t>Malaysia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Consultants International Pty Ltd</w:t>
      </w:r>
      <w:r>
        <w:rPr>
          <w:sz w:val="20"/>
          <w:szCs w:val="20"/>
          <w:color w:val="auto"/>
        </w:rPr>
        <w:tab/>
      </w:r>
      <w:r>
        <w:rPr>
          <w:rFonts w:ascii="Arial" w:cs="Arial" w:eastAsia="Arial" w:hAnsi="Arial"/>
          <w:sz w:val="15"/>
          <w:szCs w:val="15"/>
          <w:color w:val="auto"/>
        </w:rPr>
        <w:t>Malaysia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Agropower, S.A. de C.V.</w:t>
      </w:r>
      <w:r>
        <w:rPr>
          <w:sz w:val="20"/>
          <w:szCs w:val="20"/>
          <w:color w:val="auto"/>
        </w:rPr>
        <w:tab/>
      </w:r>
      <w:r>
        <w:rPr>
          <w:rFonts w:ascii="Arial" w:cs="Arial" w:eastAsia="Arial" w:hAnsi="Arial"/>
          <w:sz w:val="16"/>
          <w:szCs w:val="16"/>
          <w:color w:val="auto"/>
        </w:rPr>
        <w:t>Mexico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Mexico S.A. de C.V.</w:t>
      </w:r>
      <w:r>
        <w:rPr>
          <w:sz w:val="20"/>
          <w:szCs w:val="20"/>
          <w:color w:val="auto"/>
        </w:rPr>
        <w:tab/>
      </w:r>
      <w:r>
        <w:rPr>
          <w:rFonts w:ascii="Arial" w:cs="Arial" w:eastAsia="Arial" w:hAnsi="Arial"/>
          <w:sz w:val="16"/>
          <w:szCs w:val="16"/>
          <w:color w:val="auto"/>
        </w:rPr>
        <w:t>Mexico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Factoria Y Manufactura S.A. de C.V.</w:t>
      </w:r>
      <w:r>
        <w:rPr>
          <w:sz w:val="20"/>
          <w:szCs w:val="20"/>
          <w:color w:val="auto"/>
        </w:rPr>
        <w:tab/>
      </w:r>
      <w:r>
        <w:rPr>
          <w:rFonts w:ascii="Arial" w:cs="Arial" w:eastAsia="Arial" w:hAnsi="Arial"/>
          <w:sz w:val="16"/>
          <w:szCs w:val="16"/>
          <w:color w:val="auto"/>
        </w:rPr>
        <w:t>Mexico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Intelecto Tecnologico, S.A. De C.V.</w:t>
      </w:r>
      <w:r>
        <w:rPr>
          <w:sz w:val="20"/>
          <w:szCs w:val="20"/>
          <w:color w:val="auto"/>
        </w:rPr>
        <w:tab/>
      </w:r>
      <w:r>
        <w:rPr>
          <w:rFonts w:ascii="Arial" w:cs="Arial" w:eastAsia="Arial" w:hAnsi="Arial"/>
          <w:sz w:val="16"/>
          <w:szCs w:val="16"/>
          <w:color w:val="auto"/>
        </w:rPr>
        <w:t>Mexico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Corporativo, S.A. de C.V.</w:t>
      </w:r>
      <w:r>
        <w:rPr>
          <w:sz w:val="20"/>
          <w:szCs w:val="20"/>
          <w:color w:val="auto"/>
        </w:rPr>
        <w:tab/>
      </w:r>
      <w:r>
        <w:rPr>
          <w:rFonts w:ascii="Arial" w:cs="Arial" w:eastAsia="Arial" w:hAnsi="Arial"/>
          <w:sz w:val="16"/>
          <w:szCs w:val="16"/>
          <w:color w:val="auto"/>
        </w:rPr>
        <w:t>Mexico</w:t>
      </w:r>
    </w:p>
    <w:p>
      <w:pPr>
        <w:sectPr>
          <w:pgSz w:w="11900" w:h="16838" w:orient="portrait"/>
          <w:cols w:equalWidth="0" w:num="1">
            <w:col w:w="10039"/>
          </w:cols>
          <w:pgMar w:left="420" w:top="738" w:right="1440" w:bottom="1440" w:gutter="0" w:footer="0" w:header="0"/>
        </w:sect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039"/>
          </w:cols>
          <w:pgMar w:left="420" w:top="738" w:right="1440" w:bottom="1440" w:gutter="0" w:footer="0" w:header="0"/>
          <w:type w:val="continuous"/>
        </w:sectPr>
      </w:pPr>
    </w:p>
    <w:bookmarkStart w:id="117" w:name="page118"/>
    <w:bookmarkEnd w:id="117"/>
    <w:p>
      <w:pPr>
        <w:spacing w:after="0"/>
        <w:tabs>
          <w:tab w:leader="none" w:pos="8620" w:val="left"/>
        </w:tabs>
        <w:rPr>
          <w:sz w:val="20"/>
          <w:szCs w:val="20"/>
          <w:color w:val="auto"/>
        </w:rPr>
      </w:pPr>
      <w:r>
        <w:rPr>
          <w:rFonts w:ascii="Arial" w:cs="Arial" w:eastAsia="Arial" w:hAnsi="Arial"/>
          <w:sz w:val="17"/>
          <w:szCs w:val="17"/>
          <w:color w:val="auto"/>
        </w:rPr>
        <w:t>Manpower Industrial, S. de R.L. de C.V.</w:t>
      </w:r>
      <w:r>
        <w:rPr>
          <w:sz w:val="20"/>
          <w:szCs w:val="20"/>
          <w:color w:val="auto"/>
        </w:rPr>
        <w:tab/>
      </w:r>
      <w:r>
        <w:rPr>
          <w:rFonts w:ascii="Arial" w:cs="Arial" w:eastAsia="Arial" w:hAnsi="Arial"/>
          <w:sz w:val="16"/>
          <w:szCs w:val="16"/>
          <w:color w:val="auto"/>
        </w:rPr>
        <w:t>Mexico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Profesionales Tecnicos Manpower, S.A. de C.V.</w:t>
      </w:r>
      <w:r>
        <w:rPr>
          <w:sz w:val="20"/>
          <w:szCs w:val="20"/>
          <w:color w:val="auto"/>
        </w:rPr>
        <w:tab/>
      </w:r>
      <w:r>
        <w:rPr>
          <w:rFonts w:ascii="Arial" w:cs="Arial" w:eastAsia="Arial" w:hAnsi="Arial"/>
          <w:sz w:val="16"/>
          <w:szCs w:val="16"/>
          <w:color w:val="auto"/>
        </w:rPr>
        <w:t>Mexico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Professional, S.A. de C.V.</w:t>
      </w:r>
      <w:r>
        <w:rPr>
          <w:sz w:val="20"/>
          <w:szCs w:val="20"/>
          <w:color w:val="auto"/>
        </w:rPr>
        <w:tab/>
      </w:r>
      <w:r>
        <w:rPr>
          <w:rFonts w:ascii="Arial" w:cs="Arial" w:eastAsia="Arial" w:hAnsi="Arial"/>
          <w:sz w:val="16"/>
          <w:szCs w:val="16"/>
          <w:color w:val="auto"/>
        </w:rPr>
        <w:t>Mexico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S.A. de C.V.</w:t>
      </w:r>
      <w:r>
        <w:rPr>
          <w:sz w:val="20"/>
          <w:szCs w:val="20"/>
          <w:color w:val="auto"/>
        </w:rPr>
        <w:tab/>
      </w:r>
      <w:r>
        <w:rPr>
          <w:rFonts w:ascii="Arial" w:cs="Arial" w:eastAsia="Arial" w:hAnsi="Arial"/>
          <w:sz w:val="16"/>
          <w:szCs w:val="16"/>
          <w:color w:val="auto"/>
        </w:rPr>
        <w:t>Mexico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Nurse.Co de Mexico, S.A. de C.V.</w:t>
      </w:r>
      <w:r>
        <w:rPr>
          <w:sz w:val="20"/>
          <w:szCs w:val="20"/>
          <w:color w:val="auto"/>
        </w:rPr>
        <w:tab/>
      </w:r>
      <w:r>
        <w:rPr>
          <w:rFonts w:ascii="Arial" w:cs="Arial" w:eastAsia="Arial" w:hAnsi="Arial"/>
          <w:sz w:val="16"/>
          <w:szCs w:val="16"/>
          <w:color w:val="auto"/>
        </w:rPr>
        <w:t>Mexico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Payment Services S.A. de C.V.</w:t>
      </w:r>
      <w:r>
        <w:rPr>
          <w:sz w:val="20"/>
          <w:szCs w:val="20"/>
          <w:color w:val="auto"/>
        </w:rPr>
        <w:tab/>
      </w:r>
      <w:r>
        <w:rPr>
          <w:rFonts w:ascii="Arial" w:cs="Arial" w:eastAsia="Arial" w:hAnsi="Arial"/>
          <w:sz w:val="16"/>
          <w:szCs w:val="16"/>
          <w:color w:val="auto"/>
        </w:rPr>
        <w:t>Mexico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S.A. de C.V.</w:t>
      </w:r>
      <w:r>
        <w:rPr>
          <w:sz w:val="20"/>
          <w:szCs w:val="20"/>
          <w:color w:val="auto"/>
        </w:rPr>
        <w:tab/>
      </w:r>
      <w:r>
        <w:rPr>
          <w:rFonts w:ascii="Arial" w:cs="Arial" w:eastAsia="Arial" w:hAnsi="Arial"/>
          <w:sz w:val="16"/>
          <w:szCs w:val="16"/>
          <w:color w:val="auto"/>
        </w:rPr>
        <w:t>Mexico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Tecnologia Y Manufactura, S.A. de C.V.</w:t>
      </w:r>
      <w:r>
        <w:rPr>
          <w:sz w:val="20"/>
          <w:szCs w:val="20"/>
          <w:color w:val="auto"/>
        </w:rPr>
        <w:tab/>
      </w:r>
      <w:r>
        <w:rPr>
          <w:rFonts w:ascii="Arial" w:cs="Arial" w:eastAsia="Arial" w:hAnsi="Arial"/>
          <w:sz w:val="16"/>
          <w:szCs w:val="16"/>
          <w:color w:val="auto"/>
        </w:rPr>
        <w:t>Mexico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Monaco SAM</w:t>
      </w:r>
      <w:r>
        <w:rPr>
          <w:sz w:val="20"/>
          <w:szCs w:val="20"/>
          <w:color w:val="auto"/>
        </w:rPr>
        <w:tab/>
      </w:r>
      <w:r>
        <w:rPr>
          <w:rFonts w:ascii="Arial" w:cs="Arial" w:eastAsia="Arial" w:hAnsi="Arial"/>
          <w:sz w:val="15"/>
          <w:szCs w:val="15"/>
          <w:color w:val="auto"/>
        </w:rPr>
        <w:t>Monaco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Management Business Services Maroc Sarl</w:t>
      </w:r>
      <w:r>
        <w:rPr>
          <w:sz w:val="20"/>
          <w:szCs w:val="20"/>
          <w:color w:val="auto"/>
        </w:rPr>
        <w:tab/>
      </w:r>
      <w:r>
        <w:rPr>
          <w:rFonts w:ascii="Arial" w:cs="Arial" w:eastAsia="Arial" w:hAnsi="Arial"/>
          <w:sz w:val="15"/>
          <w:szCs w:val="15"/>
          <w:color w:val="auto"/>
        </w:rPr>
        <w:t>Morocco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Societe Marocaine De Travail Temporaire</w:t>
      </w:r>
      <w:r>
        <w:rPr>
          <w:sz w:val="20"/>
          <w:szCs w:val="20"/>
          <w:color w:val="auto"/>
        </w:rPr>
        <w:tab/>
      </w:r>
      <w:r>
        <w:rPr>
          <w:rFonts w:ascii="Arial" w:cs="Arial" w:eastAsia="Arial" w:hAnsi="Arial"/>
          <w:sz w:val="15"/>
          <w:szCs w:val="15"/>
          <w:color w:val="auto"/>
        </w:rPr>
        <w:t>Morocco</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Ciber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Nederland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iJobs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iSense &amp; …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iSense Amsterdam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iSense Beheer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iSense Consulting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iSense Contract Beheer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iSense Corporate Staffing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iSense Eindhoven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iSense General Staffing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iSense Rotterdam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iSense Utrecht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Business Services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Direkt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Engineering Industry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Food Industry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Heavy Industry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Logistics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Management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Netherlands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Pharmaceuticals &amp; Basic Industry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Solutions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Special Staffing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Peak Holding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Peak IT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Peak-IT Managed Services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Nederland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Salarisprofs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Stegmann Netherlands</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Ultrasearch B.V.</w:t>
      </w:r>
      <w:r>
        <w:rPr>
          <w:sz w:val="20"/>
          <w:szCs w:val="20"/>
          <w:color w:val="auto"/>
        </w:rPr>
        <w:tab/>
      </w:r>
      <w:r>
        <w:rPr>
          <w:rFonts w:ascii="Arial" w:cs="Arial" w:eastAsia="Arial" w:hAnsi="Arial"/>
          <w:sz w:val="13"/>
          <w:szCs w:val="13"/>
          <w:color w:val="auto"/>
        </w:rPr>
        <w:t>Netherlands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Nouvelle Caledonie Sarl</w:t>
      </w:r>
      <w:r>
        <w:rPr>
          <w:sz w:val="20"/>
          <w:szCs w:val="20"/>
          <w:color w:val="auto"/>
        </w:rPr>
        <w:tab/>
      </w:r>
      <w:r>
        <w:rPr>
          <w:rFonts w:ascii="Arial" w:cs="Arial" w:eastAsia="Arial" w:hAnsi="Arial"/>
          <w:sz w:val="15"/>
          <w:szCs w:val="15"/>
          <w:color w:val="auto"/>
        </w:rPr>
        <w:t>New Caledonia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Recrutement Sarl</w:t>
      </w:r>
      <w:r>
        <w:rPr>
          <w:sz w:val="20"/>
          <w:szCs w:val="20"/>
          <w:color w:val="auto"/>
        </w:rPr>
        <w:tab/>
      </w:r>
      <w:r>
        <w:rPr>
          <w:rFonts w:ascii="Arial" w:cs="Arial" w:eastAsia="Arial" w:hAnsi="Arial"/>
          <w:sz w:val="15"/>
          <w:szCs w:val="15"/>
          <w:color w:val="auto"/>
        </w:rPr>
        <w:t>New Caledonia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Services (New Zealand) Ltd.</w:t>
      </w:r>
      <w:r>
        <w:rPr>
          <w:sz w:val="20"/>
          <w:szCs w:val="20"/>
          <w:color w:val="auto"/>
        </w:rPr>
        <w:tab/>
      </w:r>
      <w:r>
        <w:rPr>
          <w:rFonts w:ascii="Arial" w:cs="Arial" w:eastAsia="Arial" w:hAnsi="Arial"/>
          <w:sz w:val="15"/>
          <w:szCs w:val="15"/>
          <w:color w:val="auto"/>
        </w:rPr>
        <w:t>New Zealand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Nicaruagua S.A.</w:t>
      </w:r>
      <w:r>
        <w:rPr>
          <w:sz w:val="20"/>
          <w:szCs w:val="20"/>
          <w:color w:val="auto"/>
        </w:rPr>
        <w:tab/>
      </w:r>
      <w:r>
        <w:rPr>
          <w:rFonts w:ascii="Arial" w:cs="Arial" w:eastAsia="Arial" w:hAnsi="Arial"/>
          <w:sz w:val="13"/>
          <w:szCs w:val="13"/>
          <w:color w:val="auto"/>
        </w:rPr>
        <w:t>Nicaragua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Avan AS</w:t>
      </w:r>
      <w:r>
        <w:rPr>
          <w:sz w:val="20"/>
          <w:szCs w:val="20"/>
          <w:color w:val="auto"/>
        </w:rPr>
        <w:tab/>
      </w:r>
      <w:r>
        <w:rPr>
          <w:rFonts w:ascii="Arial" w:cs="Arial" w:eastAsia="Arial" w:hAnsi="Arial"/>
          <w:sz w:val="15"/>
          <w:szCs w:val="15"/>
          <w:color w:val="auto"/>
        </w:rPr>
        <w:t>Norway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Ciber Norge AS</w:t>
      </w:r>
      <w:r>
        <w:rPr>
          <w:sz w:val="20"/>
          <w:szCs w:val="20"/>
          <w:color w:val="auto"/>
        </w:rPr>
        <w:tab/>
      </w:r>
      <w:r>
        <w:rPr>
          <w:rFonts w:ascii="Arial" w:cs="Arial" w:eastAsia="Arial" w:hAnsi="Arial"/>
          <w:sz w:val="15"/>
          <w:szCs w:val="15"/>
          <w:color w:val="auto"/>
        </w:rPr>
        <w:t>Norway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AS</w:t>
      </w:r>
      <w:r>
        <w:rPr>
          <w:sz w:val="20"/>
          <w:szCs w:val="20"/>
          <w:color w:val="auto"/>
        </w:rPr>
        <w:tab/>
      </w:r>
      <w:r>
        <w:rPr>
          <w:rFonts w:ascii="Arial" w:cs="Arial" w:eastAsia="Arial" w:hAnsi="Arial"/>
          <w:sz w:val="15"/>
          <w:szCs w:val="15"/>
          <w:color w:val="auto"/>
        </w:rPr>
        <w:t>Norway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Staffing Service AS</w:t>
      </w:r>
      <w:r>
        <w:rPr>
          <w:sz w:val="20"/>
          <w:szCs w:val="20"/>
          <w:color w:val="auto"/>
        </w:rPr>
        <w:tab/>
      </w:r>
      <w:r>
        <w:rPr>
          <w:rFonts w:ascii="Arial" w:cs="Arial" w:eastAsia="Arial" w:hAnsi="Arial"/>
          <w:sz w:val="15"/>
          <w:szCs w:val="15"/>
          <w:color w:val="auto"/>
        </w:rPr>
        <w:t>Norway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Framnaes Installajon A/S</w:t>
      </w:r>
      <w:r>
        <w:rPr>
          <w:sz w:val="20"/>
          <w:szCs w:val="20"/>
          <w:color w:val="auto"/>
        </w:rPr>
        <w:tab/>
      </w:r>
      <w:r>
        <w:rPr>
          <w:rFonts w:ascii="Arial" w:cs="Arial" w:eastAsia="Arial" w:hAnsi="Arial"/>
          <w:sz w:val="15"/>
          <w:szCs w:val="15"/>
          <w:color w:val="auto"/>
        </w:rPr>
        <w:t>Norway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AS</w:t>
      </w:r>
      <w:r>
        <w:rPr>
          <w:sz w:val="20"/>
          <w:szCs w:val="20"/>
          <w:color w:val="auto"/>
        </w:rPr>
        <w:tab/>
      </w:r>
      <w:r>
        <w:rPr>
          <w:rFonts w:ascii="Arial" w:cs="Arial" w:eastAsia="Arial" w:hAnsi="Arial"/>
          <w:sz w:val="15"/>
          <w:szCs w:val="15"/>
          <w:color w:val="auto"/>
        </w:rPr>
        <w:t>Norway</w:t>
      </w:r>
    </w:p>
    <w:p>
      <w:pPr>
        <w:sectPr>
          <w:pgSz w:w="11900" w:h="16838" w:orient="portrait"/>
          <w:cols w:equalWidth="0" w:num="1">
            <w:col w:w="10039"/>
          </w:cols>
          <w:pgMar w:left="420" w:top="738" w:right="1440" w:bottom="1440" w:gutter="0" w:footer="0" w:header="0"/>
        </w:sect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039"/>
          </w:cols>
          <w:pgMar w:left="420" w:top="738" w:right="1440" w:bottom="1440" w:gutter="0" w:footer="0" w:header="0"/>
          <w:type w:val="continuous"/>
        </w:sectPr>
      </w:pPr>
    </w:p>
    <w:bookmarkStart w:id="118" w:name="page119"/>
    <w:bookmarkEnd w:id="118"/>
    <w:p>
      <w:pPr>
        <w:spacing w:after="0"/>
        <w:tabs>
          <w:tab w:leader="none" w:pos="8620" w:val="left"/>
        </w:tabs>
        <w:rPr>
          <w:sz w:val="20"/>
          <w:szCs w:val="20"/>
          <w:color w:val="auto"/>
        </w:rPr>
      </w:pPr>
      <w:r>
        <w:rPr>
          <w:rFonts w:ascii="Arial" w:cs="Arial" w:eastAsia="Arial" w:hAnsi="Arial"/>
          <w:sz w:val="17"/>
          <w:szCs w:val="17"/>
          <w:color w:val="auto"/>
        </w:rPr>
        <w:t>ManpowerGroup Solutions AS</w:t>
      </w:r>
      <w:r>
        <w:rPr>
          <w:sz w:val="20"/>
          <w:szCs w:val="20"/>
          <w:color w:val="auto"/>
        </w:rPr>
        <w:tab/>
      </w:r>
      <w:r>
        <w:rPr>
          <w:rFonts w:ascii="Arial" w:cs="Arial" w:eastAsia="Arial" w:hAnsi="Arial"/>
          <w:sz w:val="15"/>
          <w:szCs w:val="15"/>
          <w:color w:val="auto"/>
        </w:rPr>
        <w:t>Norway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AS</w:t>
      </w:r>
      <w:r>
        <w:rPr>
          <w:sz w:val="20"/>
          <w:szCs w:val="20"/>
          <w:color w:val="auto"/>
        </w:rPr>
        <w:tab/>
      </w:r>
      <w:r>
        <w:rPr>
          <w:rFonts w:ascii="Arial" w:cs="Arial" w:eastAsia="Arial" w:hAnsi="Arial"/>
          <w:sz w:val="15"/>
          <w:szCs w:val="15"/>
          <w:color w:val="auto"/>
        </w:rPr>
        <w:t>Norway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Staffing Services AS</w:t>
      </w:r>
      <w:r>
        <w:rPr>
          <w:sz w:val="20"/>
          <w:szCs w:val="20"/>
          <w:color w:val="auto"/>
        </w:rPr>
        <w:tab/>
      </w:r>
      <w:r>
        <w:rPr>
          <w:rFonts w:ascii="Arial" w:cs="Arial" w:eastAsia="Arial" w:hAnsi="Arial"/>
          <w:sz w:val="15"/>
          <w:szCs w:val="15"/>
          <w:color w:val="auto"/>
        </w:rPr>
        <w:t>Norway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Norway A/S</w:t>
      </w:r>
      <w:r>
        <w:rPr>
          <w:sz w:val="20"/>
          <w:szCs w:val="20"/>
          <w:color w:val="auto"/>
        </w:rPr>
        <w:tab/>
      </w:r>
      <w:r>
        <w:rPr>
          <w:rFonts w:ascii="Arial" w:cs="Arial" w:eastAsia="Arial" w:hAnsi="Arial"/>
          <w:sz w:val="15"/>
          <w:szCs w:val="15"/>
          <w:color w:val="auto"/>
        </w:rPr>
        <w:t>Norway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Workshop Bemanning og Kompetanse AS</w:t>
      </w:r>
      <w:r>
        <w:rPr>
          <w:sz w:val="20"/>
          <w:szCs w:val="20"/>
          <w:color w:val="auto"/>
        </w:rPr>
        <w:tab/>
      </w:r>
      <w:r>
        <w:rPr>
          <w:rFonts w:ascii="Arial" w:cs="Arial" w:eastAsia="Arial" w:hAnsi="Arial"/>
          <w:sz w:val="15"/>
          <w:szCs w:val="15"/>
          <w:color w:val="auto"/>
        </w:rPr>
        <w:t>Norway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Workshop Holding AS</w:t>
      </w:r>
      <w:r>
        <w:rPr>
          <w:sz w:val="20"/>
          <w:szCs w:val="20"/>
          <w:color w:val="auto"/>
        </w:rPr>
        <w:tab/>
      </w:r>
      <w:r>
        <w:rPr>
          <w:rFonts w:ascii="Arial" w:cs="Arial" w:eastAsia="Arial" w:hAnsi="Arial"/>
          <w:sz w:val="15"/>
          <w:szCs w:val="15"/>
          <w:color w:val="auto"/>
        </w:rPr>
        <w:t>Norway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Inc.</w:t>
      </w:r>
      <w:r>
        <w:rPr>
          <w:sz w:val="20"/>
          <w:szCs w:val="20"/>
          <w:color w:val="auto"/>
        </w:rPr>
        <w:tab/>
      </w:r>
      <w:r>
        <w:rPr>
          <w:rFonts w:ascii="Arial" w:cs="Arial" w:eastAsia="Arial" w:hAnsi="Arial"/>
          <w:sz w:val="13"/>
          <w:szCs w:val="13"/>
          <w:color w:val="auto"/>
        </w:rPr>
        <w:t>PA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Panama S.A.</w:t>
      </w:r>
      <w:r>
        <w:rPr>
          <w:sz w:val="20"/>
          <w:szCs w:val="20"/>
          <w:color w:val="auto"/>
        </w:rPr>
        <w:tab/>
      </w:r>
      <w:r>
        <w:rPr>
          <w:rFonts w:ascii="Arial" w:cs="Arial" w:eastAsia="Arial" w:hAnsi="Arial"/>
          <w:sz w:val="13"/>
          <w:szCs w:val="13"/>
          <w:color w:val="auto"/>
        </w:rPr>
        <w:t>Panama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Panama Pacifico, S.A.</w:t>
      </w:r>
      <w:r>
        <w:rPr>
          <w:sz w:val="20"/>
          <w:szCs w:val="20"/>
          <w:color w:val="auto"/>
        </w:rPr>
        <w:tab/>
      </w:r>
      <w:r>
        <w:rPr>
          <w:rFonts w:ascii="Arial" w:cs="Arial" w:eastAsia="Arial" w:hAnsi="Arial"/>
          <w:sz w:val="13"/>
          <w:szCs w:val="13"/>
          <w:color w:val="auto"/>
        </w:rPr>
        <w:t>Panama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Staffing Services Panama, S.A.</w:t>
      </w:r>
      <w:r>
        <w:rPr>
          <w:sz w:val="20"/>
          <w:szCs w:val="20"/>
          <w:color w:val="auto"/>
        </w:rPr>
        <w:tab/>
      </w:r>
      <w:r>
        <w:rPr>
          <w:rFonts w:ascii="Arial" w:cs="Arial" w:eastAsia="Arial" w:hAnsi="Arial"/>
          <w:sz w:val="13"/>
          <w:szCs w:val="13"/>
          <w:color w:val="auto"/>
        </w:rPr>
        <w:t>Panama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Paraguay S.R.L.</w:t>
      </w:r>
      <w:r>
        <w:rPr>
          <w:sz w:val="20"/>
          <w:szCs w:val="20"/>
          <w:color w:val="auto"/>
        </w:rPr>
        <w:tab/>
      </w:r>
      <w:r>
        <w:rPr>
          <w:rFonts w:ascii="Arial" w:cs="Arial" w:eastAsia="Arial" w:hAnsi="Arial"/>
          <w:sz w:val="13"/>
          <w:szCs w:val="13"/>
          <w:color w:val="auto"/>
        </w:rPr>
        <w:t>Paraguay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Peru S.A.</w:t>
      </w:r>
      <w:r>
        <w:rPr>
          <w:sz w:val="20"/>
          <w:szCs w:val="20"/>
          <w:color w:val="auto"/>
        </w:rPr>
        <w:tab/>
      </w:r>
      <w:r>
        <w:rPr>
          <w:rFonts w:ascii="Arial" w:cs="Arial" w:eastAsia="Arial" w:hAnsi="Arial"/>
          <w:sz w:val="13"/>
          <w:szCs w:val="13"/>
          <w:color w:val="auto"/>
        </w:rPr>
        <w:t>Peru</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Professional Services S.A.</w:t>
      </w:r>
      <w:r>
        <w:rPr>
          <w:sz w:val="20"/>
          <w:szCs w:val="20"/>
          <w:color w:val="auto"/>
        </w:rPr>
        <w:tab/>
      </w:r>
      <w:r>
        <w:rPr>
          <w:rFonts w:ascii="Arial" w:cs="Arial" w:eastAsia="Arial" w:hAnsi="Arial"/>
          <w:sz w:val="13"/>
          <w:szCs w:val="13"/>
          <w:color w:val="auto"/>
        </w:rPr>
        <w:t>Peru</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Peru S.A.C.</w:t>
      </w:r>
      <w:r>
        <w:rPr>
          <w:sz w:val="20"/>
          <w:szCs w:val="20"/>
          <w:color w:val="auto"/>
        </w:rPr>
        <w:tab/>
      </w:r>
      <w:r>
        <w:rPr>
          <w:rFonts w:ascii="Arial" w:cs="Arial" w:eastAsia="Arial" w:hAnsi="Arial"/>
          <w:sz w:val="13"/>
          <w:szCs w:val="13"/>
          <w:color w:val="auto"/>
        </w:rPr>
        <w:t>Peru</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Outsourcing Services Inc.</w:t>
      </w:r>
      <w:r>
        <w:rPr>
          <w:sz w:val="20"/>
          <w:szCs w:val="20"/>
          <w:color w:val="auto"/>
        </w:rPr>
        <w:tab/>
      </w:r>
      <w:r>
        <w:rPr>
          <w:rFonts w:ascii="Arial" w:cs="Arial" w:eastAsia="Arial" w:hAnsi="Arial"/>
          <w:sz w:val="15"/>
          <w:szCs w:val="15"/>
          <w:color w:val="auto"/>
        </w:rPr>
        <w:t>Philippines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Prime Manpower Resources Development Inc.</w:t>
      </w:r>
      <w:r>
        <w:rPr>
          <w:sz w:val="20"/>
          <w:szCs w:val="20"/>
          <w:color w:val="auto"/>
        </w:rPr>
        <w:tab/>
      </w:r>
      <w:r>
        <w:rPr>
          <w:rFonts w:ascii="Arial" w:cs="Arial" w:eastAsia="Arial" w:hAnsi="Arial"/>
          <w:sz w:val="15"/>
          <w:szCs w:val="15"/>
          <w:color w:val="auto"/>
        </w:rPr>
        <w:t>Philippines</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HR Hunters Sp.z.o.o.</w:t>
      </w:r>
      <w:r>
        <w:rPr>
          <w:sz w:val="20"/>
          <w:szCs w:val="20"/>
          <w:color w:val="auto"/>
        </w:rPr>
        <w:tab/>
      </w:r>
      <w:r>
        <w:rPr>
          <w:rFonts w:ascii="Arial" w:cs="Arial" w:eastAsia="Arial" w:hAnsi="Arial"/>
          <w:sz w:val="13"/>
          <w:szCs w:val="13"/>
          <w:color w:val="auto"/>
        </w:rPr>
        <w:t>Poland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Polska Sp. z o.o.</w:t>
      </w:r>
      <w:r>
        <w:rPr>
          <w:sz w:val="20"/>
          <w:szCs w:val="20"/>
          <w:color w:val="auto"/>
        </w:rPr>
        <w:tab/>
      </w:r>
      <w:r>
        <w:rPr>
          <w:rFonts w:ascii="Arial" w:cs="Arial" w:eastAsia="Arial" w:hAnsi="Arial"/>
          <w:sz w:val="13"/>
          <w:szCs w:val="13"/>
          <w:color w:val="auto"/>
        </w:rPr>
        <w:t>Poland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SP. Zo.o.</w:t>
      </w:r>
      <w:r>
        <w:rPr>
          <w:sz w:val="20"/>
          <w:szCs w:val="20"/>
          <w:color w:val="auto"/>
        </w:rPr>
        <w:tab/>
      </w:r>
      <w:r>
        <w:rPr>
          <w:rFonts w:ascii="Arial" w:cs="Arial" w:eastAsia="Arial" w:hAnsi="Arial"/>
          <w:sz w:val="13"/>
          <w:szCs w:val="13"/>
          <w:color w:val="auto"/>
        </w:rPr>
        <w:t>Poland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Transactions Sp. z o.o.</w:t>
      </w:r>
      <w:r>
        <w:rPr>
          <w:sz w:val="20"/>
          <w:szCs w:val="20"/>
          <w:color w:val="auto"/>
        </w:rPr>
        <w:tab/>
      </w:r>
      <w:r>
        <w:rPr>
          <w:rFonts w:ascii="Arial" w:cs="Arial" w:eastAsia="Arial" w:hAnsi="Arial"/>
          <w:sz w:val="13"/>
          <w:szCs w:val="13"/>
          <w:color w:val="auto"/>
        </w:rPr>
        <w:t>Poland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MP Management Sp.z.o.o.</w:t>
      </w:r>
      <w:r>
        <w:rPr>
          <w:sz w:val="20"/>
          <w:szCs w:val="20"/>
          <w:color w:val="auto"/>
        </w:rPr>
        <w:tab/>
      </w:r>
      <w:r>
        <w:rPr>
          <w:rFonts w:ascii="Arial" w:cs="Arial" w:eastAsia="Arial" w:hAnsi="Arial"/>
          <w:sz w:val="13"/>
          <w:szCs w:val="13"/>
          <w:color w:val="auto"/>
        </w:rPr>
        <w:t>Poland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MP Services Sp. z o.o.</w:t>
      </w:r>
      <w:r>
        <w:rPr>
          <w:sz w:val="20"/>
          <w:szCs w:val="20"/>
          <w:color w:val="auto"/>
        </w:rPr>
        <w:tab/>
      </w:r>
      <w:r>
        <w:rPr>
          <w:rFonts w:ascii="Arial" w:cs="Arial" w:eastAsia="Arial" w:hAnsi="Arial"/>
          <w:sz w:val="13"/>
          <w:szCs w:val="13"/>
          <w:color w:val="auto"/>
        </w:rPr>
        <w:t>Poland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Proservia Polska z.o.o.</w:t>
      </w:r>
      <w:r>
        <w:rPr>
          <w:sz w:val="20"/>
          <w:szCs w:val="20"/>
          <w:color w:val="auto"/>
        </w:rPr>
        <w:tab/>
      </w:r>
      <w:r>
        <w:rPr>
          <w:rFonts w:ascii="Arial" w:cs="Arial" w:eastAsia="Arial" w:hAnsi="Arial"/>
          <w:sz w:val="13"/>
          <w:szCs w:val="13"/>
          <w:color w:val="auto"/>
        </w:rPr>
        <w:t>Poland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Stegmann Pers. Sp.Zo.o.</w:t>
      </w:r>
      <w:r>
        <w:rPr>
          <w:sz w:val="20"/>
          <w:szCs w:val="20"/>
          <w:color w:val="auto"/>
        </w:rPr>
        <w:tab/>
      </w:r>
      <w:r>
        <w:rPr>
          <w:rFonts w:ascii="Arial" w:cs="Arial" w:eastAsia="Arial" w:hAnsi="Arial"/>
          <w:sz w:val="13"/>
          <w:szCs w:val="13"/>
          <w:color w:val="auto"/>
        </w:rPr>
        <w:t>Poland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Stegmann Polska Sp.Zo.o.</w:t>
      </w:r>
      <w:r>
        <w:rPr>
          <w:sz w:val="20"/>
          <w:szCs w:val="20"/>
          <w:color w:val="auto"/>
        </w:rPr>
        <w:tab/>
      </w:r>
      <w:r>
        <w:rPr>
          <w:rFonts w:ascii="Arial" w:cs="Arial" w:eastAsia="Arial" w:hAnsi="Arial"/>
          <w:sz w:val="13"/>
          <w:szCs w:val="13"/>
          <w:color w:val="auto"/>
        </w:rPr>
        <w:t>Poland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Lda.</w:t>
      </w:r>
      <w:r>
        <w:rPr>
          <w:sz w:val="20"/>
          <w:szCs w:val="20"/>
          <w:color w:val="auto"/>
        </w:rPr>
        <w:tab/>
      </w:r>
      <w:r>
        <w:rPr>
          <w:rFonts w:ascii="Arial" w:cs="Arial" w:eastAsia="Arial" w:hAnsi="Arial"/>
          <w:sz w:val="15"/>
          <w:szCs w:val="15"/>
          <w:color w:val="auto"/>
        </w:rPr>
        <w:t>Portugal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Portugal Empresa de Trabalho Temporario S.A.</w:t>
      </w:r>
      <w:r>
        <w:rPr>
          <w:sz w:val="20"/>
          <w:szCs w:val="20"/>
          <w:color w:val="auto"/>
        </w:rPr>
        <w:tab/>
      </w:r>
      <w:r>
        <w:rPr>
          <w:rFonts w:ascii="Arial" w:cs="Arial" w:eastAsia="Arial" w:hAnsi="Arial"/>
          <w:sz w:val="15"/>
          <w:szCs w:val="15"/>
          <w:color w:val="auto"/>
        </w:rPr>
        <w:t>Portugal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Portugal - SGPS, S.A.</w:t>
      </w:r>
      <w:r>
        <w:rPr>
          <w:sz w:val="20"/>
          <w:szCs w:val="20"/>
          <w:color w:val="auto"/>
        </w:rPr>
        <w:tab/>
      </w:r>
      <w:r>
        <w:rPr>
          <w:rFonts w:ascii="Arial" w:cs="Arial" w:eastAsia="Arial" w:hAnsi="Arial"/>
          <w:sz w:val="15"/>
          <w:szCs w:val="15"/>
          <w:color w:val="auto"/>
        </w:rPr>
        <w:t>Portugal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Lda.</w:t>
      </w:r>
      <w:r>
        <w:rPr>
          <w:sz w:val="20"/>
          <w:szCs w:val="20"/>
          <w:color w:val="auto"/>
        </w:rPr>
        <w:tab/>
      </w:r>
      <w:r>
        <w:rPr>
          <w:rFonts w:ascii="Arial" w:cs="Arial" w:eastAsia="Arial" w:hAnsi="Arial"/>
          <w:sz w:val="15"/>
          <w:szCs w:val="15"/>
          <w:color w:val="auto"/>
        </w:rPr>
        <w:t>Portugal</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HR SRL</w:t>
      </w:r>
      <w:r>
        <w:rPr>
          <w:sz w:val="20"/>
          <w:szCs w:val="20"/>
          <w:color w:val="auto"/>
        </w:rPr>
        <w:tab/>
      </w:r>
      <w:r>
        <w:rPr>
          <w:rFonts w:ascii="Arial" w:cs="Arial" w:eastAsia="Arial" w:hAnsi="Arial"/>
          <w:sz w:val="13"/>
          <w:szCs w:val="13"/>
          <w:color w:val="auto"/>
        </w:rPr>
        <w:t>Romania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SC Manpower Romania SRL</w:t>
      </w:r>
      <w:r>
        <w:rPr>
          <w:sz w:val="20"/>
          <w:szCs w:val="20"/>
          <w:color w:val="auto"/>
        </w:rPr>
        <w:tab/>
      </w:r>
      <w:r>
        <w:rPr>
          <w:rFonts w:ascii="Arial" w:cs="Arial" w:eastAsia="Arial" w:hAnsi="Arial"/>
          <w:sz w:val="13"/>
          <w:szCs w:val="13"/>
          <w:color w:val="auto"/>
        </w:rPr>
        <w:t>Romania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LLC</w:t>
      </w:r>
      <w:r>
        <w:rPr>
          <w:sz w:val="20"/>
          <w:szCs w:val="20"/>
          <w:color w:val="auto"/>
        </w:rPr>
        <w:tab/>
      </w:r>
      <w:r>
        <w:rPr>
          <w:rFonts w:ascii="Arial" w:cs="Arial" w:eastAsia="Arial" w:hAnsi="Arial"/>
          <w:sz w:val="13"/>
          <w:szCs w:val="13"/>
          <w:color w:val="auto"/>
        </w:rPr>
        <w:t>Russia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Private Employment Agency Manpower, LLC</w:t>
      </w:r>
      <w:r>
        <w:rPr>
          <w:sz w:val="20"/>
          <w:szCs w:val="20"/>
          <w:color w:val="auto"/>
        </w:rPr>
        <w:tab/>
      </w:r>
      <w:r>
        <w:rPr>
          <w:rFonts w:ascii="Arial" w:cs="Arial" w:eastAsia="Arial" w:hAnsi="Arial"/>
          <w:sz w:val="13"/>
          <w:szCs w:val="13"/>
          <w:color w:val="auto"/>
        </w:rPr>
        <w:t>Russia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Clarendon Parker Arabia</w:t>
      </w:r>
      <w:r>
        <w:rPr>
          <w:sz w:val="20"/>
          <w:szCs w:val="20"/>
          <w:color w:val="auto"/>
        </w:rPr>
        <w:tab/>
      </w:r>
      <w:r>
        <w:rPr>
          <w:rFonts w:ascii="Arial" w:cs="Arial" w:eastAsia="Arial" w:hAnsi="Arial"/>
          <w:sz w:val="15"/>
          <w:szCs w:val="15"/>
          <w:color w:val="auto"/>
        </w:rPr>
        <w:t>Saudi Arabia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Business Solutions d.o.o.</w:t>
      </w:r>
      <w:r>
        <w:rPr>
          <w:sz w:val="20"/>
          <w:szCs w:val="20"/>
          <w:color w:val="auto"/>
        </w:rPr>
        <w:tab/>
      </w:r>
      <w:r>
        <w:rPr>
          <w:rFonts w:ascii="Arial" w:cs="Arial" w:eastAsia="Arial" w:hAnsi="Arial"/>
          <w:sz w:val="13"/>
          <w:szCs w:val="13"/>
          <w:color w:val="auto"/>
        </w:rPr>
        <w:t>Serbia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LLC Belgrade</w:t>
      </w:r>
      <w:r>
        <w:rPr>
          <w:sz w:val="20"/>
          <w:szCs w:val="20"/>
          <w:color w:val="auto"/>
        </w:rPr>
        <w:tab/>
      </w:r>
      <w:r>
        <w:rPr>
          <w:rFonts w:ascii="Arial" w:cs="Arial" w:eastAsia="Arial" w:hAnsi="Arial"/>
          <w:sz w:val="13"/>
          <w:szCs w:val="13"/>
          <w:color w:val="auto"/>
        </w:rPr>
        <w:t>Serbia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Technology Solutions Pte. Ltd.</w:t>
      </w:r>
      <w:r>
        <w:rPr>
          <w:sz w:val="20"/>
          <w:szCs w:val="20"/>
          <w:color w:val="auto"/>
        </w:rPr>
        <w:tab/>
      </w:r>
      <w:r>
        <w:rPr>
          <w:rFonts w:ascii="Arial" w:cs="Arial" w:eastAsia="Arial" w:hAnsi="Arial"/>
          <w:sz w:val="13"/>
          <w:szCs w:val="13"/>
          <w:color w:val="auto"/>
        </w:rPr>
        <w:t>Singapore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Professional Singapore Pte Ltd</w:t>
      </w:r>
      <w:r>
        <w:rPr>
          <w:sz w:val="20"/>
          <w:szCs w:val="20"/>
          <w:color w:val="auto"/>
        </w:rPr>
        <w:tab/>
      </w:r>
      <w:r>
        <w:rPr>
          <w:rFonts w:ascii="Arial" w:cs="Arial" w:eastAsia="Arial" w:hAnsi="Arial"/>
          <w:sz w:val="13"/>
          <w:szCs w:val="13"/>
          <w:color w:val="auto"/>
        </w:rPr>
        <w:t>Singapore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Staffing Services (Singapore) Pte. Ltd.</w:t>
      </w:r>
      <w:r>
        <w:rPr>
          <w:sz w:val="20"/>
          <w:szCs w:val="20"/>
          <w:color w:val="auto"/>
        </w:rPr>
        <w:tab/>
      </w:r>
      <w:r>
        <w:rPr>
          <w:rFonts w:ascii="Arial" w:cs="Arial" w:eastAsia="Arial" w:hAnsi="Arial"/>
          <w:sz w:val="13"/>
          <w:szCs w:val="13"/>
          <w:color w:val="auto"/>
        </w:rPr>
        <w:t>Singapore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Marks Sattin (Singapore) Pte. Limited</w:t>
      </w:r>
      <w:r>
        <w:rPr>
          <w:sz w:val="20"/>
          <w:szCs w:val="20"/>
          <w:color w:val="auto"/>
        </w:rPr>
        <w:tab/>
      </w:r>
      <w:r>
        <w:rPr>
          <w:rFonts w:ascii="Arial" w:cs="Arial" w:eastAsia="Arial" w:hAnsi="Arial"/>
          <w:sz w:val="13"/>
          <w:szCs w:val="13"/>
          <w:color w:val="auto"/>
        </w:rPr>
        <w:t>Singapore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Singapore Pte. Ltd.</w:t>
      </w:r>
      <w:r>
        <w:rPr>
          <w:sz w:val="20"/>
          <w:szCs w:val="20"/>
          <w:color w:val="auto"/>
        </w:rPr>
        <w:tab/>
      </w:r>
      <w:r>
        <w:rPr>
          <w:rFonts w:ascii="Arial" w:cs="Arial" w:eastAsia="Arial" w:hAnsi="Arial"/>
          <w:sz w:val="13"/>
          <w:szCs w:val="13"/>
          <w:color w:val="auto"/>
        </w:rPr>
        <w:t>Singapore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WDC Consulting Singapore Pte. Ltd.</w:t>
      </w:r>
      <w:r>
        <w:rPr>
          <w:sz w:val="20"/>
          <w:szCs w:val="20"/>
          <w:color w:val="auto"/>
        </w:rPr>
        <w:tab/>
      </w:r>
      <w:r>
        <w:rPr>
          <w:rFonts w:ascii="Arial" w:cs="Arial" w:eastAsia="Arial" w:hAnsi="Arial"/>
          <w:sz w:val="13"/>
          <w:szCs w:val="13"/>
          <w:color w:val="auto"/>
        </w:rPr>
        <w:t>Singapore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Slovensko s.r.o.</w:t>
      </w:r>
      <w:r>
        <w:rPr>
          <w:sz w:val="20"/>
          <w:szCs w:val="20"/>
          <w:color w:val="auto"/>
        </w:rPr>
        <w:tab/>
      </w:r>
      <w:r>
        <w:rPr>
          <w:rFonts w:ascii="Arial" w:cs="Arial" w:eastAsia="Arial" w:hAnsi="Arial"/>
          <w:sz w:val="15"/>
          <w:szCs w:val="15"/>
          <w:color w:val="auto"/>
        </w:rPr>
        <w:t>Slovakia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Stegman Serv. Slovakis SRO</w:t>
      </w:r>
      <w:r>
        <w:rPr>
          <w:sz w:val="20"/>
          <w:szCs w:val="20"/>
          <w:color w:val="auto"/>
        </w:rPr>
        <w:tab/>
      </w:r>
      <w:r>
        <w:rPr>
          <w:rFonts w:ascii="Arial" w:cs="Arial" w:eastAsia="Arial" w:hAnsi="Arial"/>
          <w:sz w:val="15"/>
          <w:szCs w:val="15"/>
          <w:color w:val="auto"/>
        </w:rPr>
        <w:t>Slovakia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d.o.o.</w:t>
      </w:r>
      <w:r>
        <w:rPr>
          <w:sz w:val="20"/>
          <w:szCs w:val="20"/>
          <w:color w:val="auto"/>
        </w:rPr>
        <w:tab/>
      </w:r>
      <w:r>
        <w:rPr>
          <w:rFonts w:ascii="Arial" w:cs="Arial" w:eastAsia="Arial" w:hAnsi="Arial"/>
          <w:sz w:val="15"/>
          <w:szCs w:val="15"/>
          <w:color w:val="auto"/>
        </w:rPr>
        <w:t>Slovenia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SA (Pty) Ltd.</w:t>
      </w:r>
      <w:r>
        <w:rPr>
          <w:sz w:val="20"/>
          <w:szCs w:val="20"/>
          <w:color w:val="auto"/>
        </w:rPr>
        <w:tab/>
      </w:r>
      <w:r>
        <w:rPr>
          <w:rFonts w:ascii="Arial" w:cs="Arial" w:eastAsia="Arial" w:hAnsi="Arial"/>
          <w:sz w:val="15"/>
          <w:szCs w:val="15"/>
          <w:color w:val="auto"/>
        </w:rPr>
        <w:t>South Africa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ManpowerGroup S.L.U.</w:t>
      </w:r>
      <w:r>
        <w:rPr>
          <w:sz w:val="20"/>
          <w:szCs w:val="20"/>
          <w:color w:val="auto"/>
        </w:rPr>
        <w:tab/>
      </w:r>
      <w:r>
        <w:rPr>
          <w:rFonts w:ascii="Arial" w:cs="Arial" w:eastAsia="Arial" w:hAnsi="Arial"/>
          <w:sz w:val="13"/>
          <w:szCs w:val="13"/>
          <w:color w:val="auto"/>
        </w:rPr>
        <w:t>Spain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Innovative Talent Solutions S.L.</w:t>
      </w:r>
      <w:r>
        <w:rPr>
          <w:sz w:val="20"/>
          <w:szCs w:val="20"/>
          <w:color w:val="auto"/>
        </w:rPr>
        <w:tab/>
      </w:r>
      <w:r>
        <w:rPr>
          <w:rFonts w:ascii="Arial" w:cs="Arial" w:eastAsia="Arial" w:hAnsi="Arial"/>
          <w:sz w:val="13"/>
          <w:szCs w:val="13"/>
          <w:color w:val="auto"/>
        </w:rPr>
        <w:t>Spain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S.L.U</w:t>
      </w:r>
      <w:r>
        <w:rPr>
          <w:sz w:val="20"/>
          <w:szCs w:val="20"/>
          <w:color w:val="auto"/>
        </w:rPr>
        <w:tab/>
      </w:r>
      <w:r>
        <w:rPr>
          <w:rFonts w:ascii="Arial" w:cs="Arial" w:eastAsia="Arial" w:hAnsi="Arial"/>
          <w:sz w:val="13"/>
          <w:szCs w:val="13"/>
          <w:color w:val="auto"/>
        </w:rPr>
        <w:t>Spain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Team E.T.T., S.A.U.</w:t>
      </w:r>
      <w:r>
        <w:rPr>
          <w:sz w:val="20"/>
          <w:szCs w:val="20"/>
          <w:color w:val="auto"/>
        </w:rPr>
        <w:tab/>
      </w:r>
      <w:r>
        <w:rPr>
          <w:rFonts w:ascii="Arial" w:cs="Arial" w:eastAsia="Arial" w:hAnsi="Arial"/>
          <w:sz w:val="13"/>
          <w:szCs w:val="13"/>
          <w:color w:val="auto"/>
        </w:rPr>
        <w:t>Spain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Spain, S.L.U.</w:t>
      </w:r>
      <w:r>
        <w:rPr>
          <w:sz w:val="20"/>
          <w:szCs w:val="20"/>
          <w:color w:val="auto"/>
        </w:rPr>
        <w:tab/>
      </w:r>
      <w:r>
        <w:rPr>
          <w:rFonts w:ascii="Arial" w:cs="Arial" w:eastAsia="Arial" w:hAnsi="Arial"/>
          <w:sz w:val="13"/>
          <w:szCs w:val="13"/>
          <w:color w:val="auto"/>
        </w:rPr>
        <w:t>Spain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Elan IT Resources AB</w:t>
      </w:r>
      <w:r>
        <w:rPr>
          <w:sz w:val="20"/>
          <w:szCs w:val="20"/>
          <w:color w:val="auto"/>
        </w:rPr>
        <w:tab/>
      </w:r>
      <w:r>
        <w:rPr>
          <w:rFonts w:ascii="Arial" w:cs="Arial" w:eastAsia="Arial" w:hAnsi="Arial"/>
          <w:sz w:val="13"/>
          <w:szCs w:val="13"/>
          <w:color w:val="auto"/>
        </w:rPr>
        <w:t>Sweden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AB</w:t>
      </w:r>
      <w:r>
        <w:rPr>
          <w:sz w:val="20"/>
          <w:szCs w:val="20"/>
          <w:color w:val="auto"/>
        </w:rPr>
        <w:tab/>
      </w:r>
      <w:r>
        <w:rPr>
          <w:rFonts w:ascii="Arial" w:cs="Arial" w:eastAsia="Arial" w:hAnsi="Arial"/>
          <w:sz w:val="13"/>
          <w:szCs w:val="13"/>
          <w:color w:val="auto"/>
        </w:rPr>
        <w:t>Sweden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AB</w:t>
      </w:r>
      <w:r>
        <w:rPr>
          <w:sz w:val="20"/>
          <w:szCs w:val="20"/>
          <w:color w:val="auto"/>
        </w:rPr>
        <w:tab/>
      </w:r>
      <w:r>
        <w:rPr>
          <w:rFonts w:ascii="Arial" w:cs="Arial" w:eastAsia="Arial" w:hAnsi="Arial"/>
          <w:sz w:val="13"/>
          <w:szCs w:val="13"/>
          <w:color w:val="auto"/>
        </w:rPr>
        <w:t>Sweden</w:t>
      </w:r>
    </w:p>
    <w:p>
      <w:pPr>
        <w:sectPr>
          <w:pgSz w:w="11900" w:h="16838" w:orient="portrait"/>
          <w:cols w:equalWidth="0" w:num="1">
            <w:col w:w="10039"/>
          </w:cols>
          <w:pgMar w:left="420" w:top="738" w:right="1440" w:bottom="1440" w:gutter="0" w:footer="0" w:header="0"/>
        </w:sect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0039"/>
          </w:cols>
          <w:pgMar w:left="420" w:top="738" w:right="1440" w:bottom="1440" w:gutter="0" w:footer="0" w:header="0"/>
          <w:type w:val="continuous"/>
        </w:sectPr>
      </w:pPr>
    </w:p>
    <w:bookmarkStart w:id="119" w:name="page120"/>
    <w:bookmarkEnd w:id="119"/>
    <w:p>
      <w:pPr>
        <w:spacing w:after="0"/>
        <w:tabs>
          <w:tab w:leader="none" w:pos="8620" w:val="left"/>
        </w:tabs>
        <w:rPr>
          <w:sz w:val="20"/>
          <w:szCs w:val="20"/>
          <w:color w:val="auto"/>
        </w:rPr>
      </w:pPr>
      <w:r>
        <w:rPr>
          <w:rFonts w:ascii="Arial" w:cs="Arial" w:eastAsia="Arial" w:hAnsi="Arial"/>
          <w:sz w:val="17"/>
          <w:szCs w:val="17"/>
          <w:color w:val="auto"/>
        </w:rPr>
        <w:t>ManpowerGroup AB</w:t>
      </w:r>
      <w:r>
        <w:rPr>
          <w:sz w:val="20"/>
          <w:szCs w:val="20"/>
          <w:color w:val="auto"/>
        </w:rPr>
        <w:tab/>
      </w:r>
      <w:r>
        <w:rPr>
          <w:rFonts w:ascii="Arial" w:cs="Arial" w:eastAsia="Arial" w:hAnsi="Arial"/>
          <w:sz w:val="13"/>
          <w:szCs w:val="13"/>
          <w:color w:val="auto"/>
        </w:rPr>
        <w:t>Sweden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EL &amp; Tele AB</w:t>
      </w:r>
      <w:r>
        <w:rPr>
          <w:sz w:val="20"/>
          <w:szCs w:val="20"/>
          <w:color w:val="auto"/>
        </w:rPr>
        <w:tab/>
      </w:r>
      <w:r>
        <w:rPr>
          <w:rFonts w:ascii="Arial" w:cs="Arial" w:eastAsia="Arial" w:hAnsi="Arial"/>
          <w:sz w:val="13"/>
          <w:szCs w:val="13"/>
          <w:color w:val="auto"/>
        </w:rPr>
        <w:t>Sweden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AB</w:t>
      </w:r>
      <w:r>
        <w:rPr>
          <w:sz w:val="20"/>
          <w:szCs w:val="20"/>
          <w:color w:val="auto"/>
        </w:rPr>
        <w:tab/>
      </w:r>
      <w:r>
        <w:rPr>
          <w:rFonts w:ascii="Arial" w:cs="Arial" w:eastAsia="Arial" w:hAnsi="Arial"/>
          <w:sz w:val="13"/>
          <w:szCs w:val="13"/>
          <w:color w:val="auto"/>
        </w:rPr>
        <w:t>Sweden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Solutions IT AB</w:t>
      </w:r>
      <w:r>
        <w:rPr>
          <w:sz w:val="20"/>
          <w:szCs w:val="20"/>
          <w:color w:val="auto"/>
        </w:rPr>
        <w:tab/>
      </w:r>
      <w:r>
        <w:rPr>
          <w:rFonts w:ascii="Arial" w:cs="Arial" w:eastAsia="Arial" w:hAnsi="Arial"/>
          <w:sz w:val="13"/>
          <w:szCs w:val="13"/>
          <w:color w:val="auto"/>
        </w:rPr>
        <w:t>Sweden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Matchning AB</w:t>
      </w:r>
      <w:r>
        <w:rPr>
          <w:sz w:val="20"/>
          <w:szCs w:val="20"/>
          <w:color w:val="auto"/>
        </w:rPr>
        <w:tab/>
      </w:r>
      <w:r>
        <w:rPr>
          <w:rFonts w:ascii="Arial" w:cs="Arial" w:eastAsia="Arial" w:hAnsi="Arial"/>
          <w:sz w:val="13"/>
          <w:szCs w:val="13"/>
          <w:color w:val="auto"/>
        </w:rPr>
        <w:t>Sweden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Student AB</w:t>
      </w:r>
      <w:r>
        <w:rPr>
          <w:sz w:val="20"/>
          <w:szCs w:val="20"/>
          <w:color w:val="auto"/>
        </w:rPr>
        <w:tab/>
      </w:r>
      <w:r>
        <w:rPr>
          <w:rFonts w:ascii="Arial" w:cs="Arial" w:eastAsia="Arial" w:hAnsi="Arial"/>
          <w:sz w:val="13"/>
          <w:szCs w:val="13"/>
          <w:color w:val="auto"/>
        </w:rPr>
        <w:t>Sweden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Sweden AB</w:t>
      </w:r>
      <w:r>
        <w:rPr>
          <w:sz w:val="20"/>
          <w:szCs w:val="20"/>
          <w:color w:val="auto"/>
        </w:rPr>
        <w:tab/>
      </w:r>
      <w:r>
        <w:rPr>
          <w:rFonts w:ascii="Arial" w:cs="Arial" w:eastAsia="Arial" w:hAnsi="Arial"/>
          <w:sz w:val="13"/>
          <w:szCs w:val="13"/>
          <w:color w:val="auto"/>
        </w:rPr>
        <w:t>Sweden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AG</w:t>
      </w:r>
      <w:r>
        <w:rPr>
          <w:sz w:val="20"/>
          <w:szCs w:val="20"/>
          <w:color w:val="auto"/>
        </w:rPr>
        <w:tab/>
      </w:r>
      <w:r>
        <w:rPr>
          <w:rFonts w:ascii="Arial" w:cs="Arial" w:eastAsia="Arial" w:hAnsi="Arial"/>
          <w:sz w:val="15"/>
          <w:szCs w:val="15"/>
          <w:color w:val="auto"/>
        </w:rPr>
        <w:t>Switzerland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M.S.A.</w:t>
      </w:r>
      <w:r>
        <w:rPr>
          <w:sz w:val="20"/>
          <w:szCs w:val="20"/>
          <w:color w:val="auto"/>
        </w:rPr>
        <w:tab/>
      </w:r>
      <w:r>
        <w:rPr>
          <w:rFonts w:ascii="Arial" w:cs="Arial" w:eastAsia="Arial" w:hAnsi="Arial"/>
          <w:sz w:val="17"/>
          <w:szCs w:val="17"/>
          <w:color w:val="auto"/>
        </w:rPr>
        <w:t>Switzerland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Schweiz AG</w:t>
      </w:r>
      <w:r>
        <w:rPr>
          <w:sz w:val="20"/>
          <w:szCs w:val="20"/>
          <w:color w:val="auto"/>
        </w:rPr>
        <w:tab/>
      </w:r>
      <w:r>
        <w:rPr>
          <w:rFonts w:ascii="Arial" w:cs="Arial" w:eastAsia="Arial" w:hAnsi="Arial"/>
          <w:sz w:val="15"/>
          <w:szCs w:val="15"/>
          <w:color w:val="auto"/>
        </w:rPr>
        <w:t>Switzerland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Switzerland AG</w:t>
      </w:r>
      <w:r>
        <w:rPr>
          <w:sz w:val="20"/>
          <w:szCs w:val="20"/>
          <w:color w:val="auto"/>
        </w:rPr>
        <w:tab/>
      </w:r>
      <w:r>
        <w:rPr>
          <w:rFonts w:ascii="Arial" w:cs="Arial" w:eastAsia="Arial" w:hAnsi="Arial"/>
          <w:sz w:val="15"/>
          <w:szCs w:val="15"/>
          <w:color w:val="auto"/>
        </w:rPr>
        <w:t>Switzerland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Services (Taiwan) Co., Ltd.</w:t>
      </w:r>
      <w:r>
        <w:rPr>
          <w:sz w:val="20"/>
          <w:szCs w:val="20"/>
          <w:color w:val="auto"/>
        </w:rPr>
        <w:tab/>
      </w:r>
      <w:r>
        <w:rPr>
          <w:rFonts w:ascii="Arial" w:cs="Arial" w:eastAsia="Arial" w:hAnsi="Arial"/>
          <w:sz w:val="15"/>
          <w:szCs w:val="15"/>
          <w:color w:val="auto"/>
        </w:rPr>
        <w:t>Taiwan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Consulting Taiwan</w:t>
      </w:r>
      <w:r>
        <w:rPr>
          <w:sz w:val="20"/>
          <w:szCs w:val="20"/>
          <w:color w:val="auto"/>
        </w:rPr>
        <w:tab/>
      </w:r>
      <w:r>
        <w:rPr>
          <w:rFonts w:ascii="Arial" w:cs="Arial" w:eastAsia="Arial" w:hAnsi="Arial"/>
          <w:sz w:val="15"/>
          <w:szCs w:val="15"/>
          <w:color w:val="auto"/>
        </w:rPr>
        <w:t>Taiwan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Taiwan Co., Ltd.</w:t>
      </w:r>
      <w:r>
        <w:rPr>
          <w:sz w:val="20"/>
          <w:szCs w:val="20"/>
          <w:color w:val="auto"/>
        </w:rPr>
        <w:tab/>
      </w:r>
      <w:r>
        <w:rPr>
          <w:rFonts w:ascii="Arial" w:cs="Arial" w:eastAsia="Arial" w:hAnsi="Arial"/>
          <w:sz w:val="15"/>
          <w:szCs w:val="15"/>
          <w:color w:val="auto"/>
        </w:rPr>
        <w:t>Taiwan</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HR Power Solution Co., Ltd.</w:t>
      </w:r>
      <w:r>
        <w:rPr>
          <w:sz w:val="20"/>
          <w:szCs w:val="20"/>
          <w:color w:val="auto"/>
        </w:rPr>
        <w:tab/>
      </w:r>
      <w:r>
        <w:rPr>
          <w:rFonts w:ascii="Arial" w:cs="Arial" w:eastAsia="Arial" w:hAnsi="Arial"/>
          <w:sz w:val="15"/>
          <w:szCs w:val="15"/>
          <w:color w:val="auto"/>
        </w:rPr>
        <w:t>Thailand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Borderless Talent Solution Limited</w:t>
      </w:r>
      <w:r>
        <w:rPr>
          <w:sz w:val="20"/>
          <w:szCs w:val="20"/>
          <w:color w:val="auto"/>
        </w:rPr>
        <w:tab/>
      </w:r>
      <w:r>
        <w:rPr>
          <w:rFonts w:ascii="Arial" w:cs="Arial" w:eastAsia="Arial" w:hAnsi="Arial"/>
          <w:sz w:val="15"/>
          <w:szCs w:val="15"/>
          <w:color w:val="auto"/>
        </w:rPr>
        <w:t>Thailand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Professional and Executive Recruitment Co., Ltd.</w:t>
      </w:r>
      <w:r>
        <w:rPr>
          <w:sz w:val="20"/>
          <w:szCs w:val="20"/>
          <w:color w:val="auto"/>
        </w:rPr>
        <w:tab/>
      </w:r>
      <w:r>
        <w:rPr>
          <w:rFonts w:ascii="Arial" w:cs="Arial" w:eastAsia="Arial" w:hAnsi="Arial"/>
          <w:sz w:val="15"/>
          <w:szCs w:val="15"/>
          <w:color w:val="auto"/>
        </w:rPr>
        <w:t>Thailand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Skillpower Services (Thailand) Co. Ltd.</w:t>
      </w:r>
      <w:r>
        <w:rPr>
          <w:sz w:val="20"/>
          <w:szCs w:val="20"/>
          <w:color w:val="auto"/>
        </w:rPr>
        <w:tab/>
      </w:r>
      <w:r>
        <w:rPr>
          <w:rFonts w:ascii="Arial" w:cs="Arial" w:eastAsia="Arial" w:hAnsi="Arial"/>
          <w:sz w:val="15"/>
          <w:szCs w:val="15"/>
          <w:color w:val="auto"/>
        </w:rPr>
        <w:t>Thailand</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Business Services Tunisie Sarl</w:t>
      </w:r>
      <w:r>
        <w:rPr>
          <w:sz w:val="20"/>
          <w:szCs w:val="20"/>
          <w:color w:val="auto"/>
        </w:rPr>
        <w:tab/>
      </w:r>
      <w:r>
        <w:rPr>
          <w:rFonts w:ascii="Arial" w:cs="Arial" w:eastAsia="Arial" w:hAnsi="Arial"/>
          <w:sz w:val="15"/>
          <w:szCs w:val="15"/>
          <w:color w:val="auto"/>
        </w:rPr>
        <w:t>Tunisia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Tunisie International Sarl</w:t>
      </w:r>
      <w:r>
        <w:rPr>
          <w:sz w:val="20"/>
          <w:szCs w:val="20"/>
          <w:color w:val="auto"/>
        </w:rPr>
        <w:tab/>
      </w:r>
      <w:r>
        <w:rPr>
          <w:rFonts w:ascii="Arial" w:cs="Arial" w:eastAsia="Arial" w:hAnsi="Arial"/>
          <w:sz w:val="15"/>
          <w:szCs w:val="15"/>
          <w:color w:val="auto"/>
        </w:rPr>
        <w:t>Tunisia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Tunisie Sarl</w:t>
      </w:r>
      <w:r>
        <w:rPr>
          <w:sz w:val="20"/>
          <w:szCs w:val="20"/>
          <w:color w:val="auto"/>
        </w:rPr>
        <w:tab/>
      </w:r>
      <w:r>
        <w:rPr>
          <w:rFonts w:ascii="Arial" w:cs="Arial" w:eastAsia="Arial" w:hAnsi="Arial"/>
          <w:sz w:val="15"/>
          <w:szCs w:val="15"/>
          <w:color w:val="auto"/>
        </w:rPr>
        <w:t>Tunisia</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Insan Kaynaklari Limited Sirketi</w:t>
      </w:r>
      <w:r>
        <w:rPr>
          <w:sz w:val="20"/>
          <w:szCs w:val="20"/>
          <w:color w:val="auto"/>
        </w:rPr>
        <w:tab/>
      </w:r>
      <w:r>
        <w:rPr>
          <w:rFonts w:ascii="Arial" w:cs="Arial" w:eastAsia="Arial" w:hAnsi="Arial"/>
          <w:sz w:val="15"/>
          <w:szCs w:val="15"/>
          <w:color w:val="auto"/>
        </w:rPr>
        <w:t>Turkey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Secme ve Yerlestirme Hizmetleri Limited Sirketi</w:t>
      </w:r>
      <w:r>
        <w:rPr>
          <w:sz w:val="20"/>
          <w:szCs w:val="20"/>
          <w:color w:val="auto"/>
        </w:rPr>
        <w:tab/>
      </w:r>
      <w:r>
        <w:rPr>
          <w:rFonts w:ascii="Arial" w:cs="Arial" w:eastAsia="Arial" w:hAnsi="Arial"/>
          <w:sz w:val="15"/>
          <w:szCs w:val="15"/>
          <w:color w:val="auto"/>
        </w:rPr>
        <w:t>Turkey</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Middle East FZ-LLC</w:t>
      </w:r>
      <w:r>
        <w:rPr>
          <w:sz w:val="20"/>
          <w:szCs w:val="20"/>
          <w:color w:val="auto"/>
        </w:rPr>
        <w:tab/>
      </w:r>
      <w:r>
        <w:rPr>
          <w:rFonts w:ascii="Arial" w:cs="Arial" w:eastAsia="Arial" w:hAnsi="Arial"/>
          <w:sz w:val="16"/>
          <w:szCs w:val="16"/>
          <w:color w:val="auto"/>
        </w:rPr>
        <w:t>UAE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Middle East Ltd</w:t>
      </w:r>
      <w:r>
        <w:rPr>
          <w:sz w:val="20"/>
          <w:szCs w:val="20"/>
          <w:color w:val="auto"/>
        </w:rPr>
        <w:tab/>
      </w:r>
      <w:r>
        <w:rPr>
          <w:rFonts w:ascii="Arial" w:cs="Arial" w:eastAsia="Arial" w:hAnsi="Arial"/>
          <w:sz w:val="16"/>
          <w:szCs w:val="16"/>
          <w:color w:val="auto"/>
        </w:rPr>
        <w:t>UAE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Ukraine LLC</w:t>
      </w:r>
      <w:r>
        <w:rPr>
          <w:sz w:val="20"/>
          <w:szCs w:val="20"/>
          <w:color w:val="auto"/>
        </w:rPr>
        <w:tab/>
      </w:r>
      <w:r>
        <w:rPr>
          <w:rFonts w:ascii="Arial" w:cs="Arial" w:eastAsia="Arial" w:hAnsi="Arial"/>
          <w:sz w:val="15"/>
          <w:szCs w:val="15"/>
          <w:color w:val="auto"/>
        </w:rPr>
        <w:t>Ukraine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Representative Office of Manpower CIS LLC in Ukraine</w:t>
      </w:r>
      <w:r>
        <w:rPr>
          <w:sz w:val="20"/>
          <w:szCs w:val="20"/>
          <w:color w:val="auto"/>
        </w:rPr>
        <w:tab/>
      </w:r>
      <w:r>
        <w:rPr>
          <w:rFonts w:ascii="Arial" w:cs="Arial" w:eastAsia="Arial" w:hAnsi="Arial"/>
          <w:sz w:val="15"/>
          <w:szCs w:val="15"/>
          <w:color w:val="auto"/>
        </w:rPr>
        <w:t>Ukraine</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AviationPower UK Ltd.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Bafin Holdings</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Brook Street (UK)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Brook Street Bureau PLC</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BS Project Services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Challoners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Comsys VMS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Finance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Group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Experis Resource Support Services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Integral Search &amp; Selection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Jefferson Wells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Juice Resource Solutions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Contract Services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ManpowerGroup Digital Holdings Ltd.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Holdings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IT Services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Nominees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Public Limited Company</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Services Ltd.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Manpower UK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Nicholas Andrews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People Source Consulting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People Source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Right Management Limited</w:t>
      </w:r>
      <w:r>
        <w:rPr>
          <w:sz w:val="20"/>
          <w:szCs w:val="20"/>
          <w:color w:val="auto"/>
        </w:rPr>
        <w:tab/>
      </w:r>
      <w:r>
        <w:rPr>
          <w:rFonts w:ascii="Arial" w:cs="Arial" w:eastAsia="Arial" w:hAnsi="Arial"/>
          <w:sz w:val="15"/>
          <w:szCs w:val="15"/>
          <w:color w:val="auto"/>
        </w:rPr>
        <w:t>United Kingdom</w:t>
      </w:r>
    </w:p>
    <w:p>
      <w:pPr>
        <w:spacing w:after="0" w:line="54" w:lineRule="exact"/>
        <w:rPr>
          <w:sz w:val="20"/>
          <w:szCs w:val="20"/>
          <w:color w:val="auto"/>
        </w:rPr>
      </w:pPr>
    </w:p>
    <w:p>
      <w:pPr>
        <w:spacing w:after="0"/>
        <w:tabs>
          <w:tab w:leader="none" w:pos="8620" w:val="left"/>
        </w:tabs>
        <w:rPr>
          <w:sz w:val="20"/>
          <w:szCs w:val="20"/>
          <w:color w:val="auto"/>
        </w:rPr>
      </w:pPr>
      <w:r>
        <w:rPr>
          <w:rFonts w:ascii="Arial" w:cs="Arial" w:eastAsia="Arial" w:hAnsi="Arial"/>
          <w:sz w:val="17"/>
          <w:szCs w:val="17"/>
          <w:color w:val="auto"/>
        </w:rPr>
        <w:t>RMC EMEA Ltd.</w:t>
      </w:r>
      <w:r>
        <w:rPr>
          <w:sz w:val="20"/>
          <w:szCs w:val="20"/>
          <w:color w:val="auto"/>
        </w:rPr>
        <w:tab/>
      </w:r>
      <w:r>
        <w:rPr>
          <w:rFonts w:ascii="Arial" w:cs="Arial" w:eastAsia="Arial" w:hAnsi="Arial"/>
          <w:sz w:val="15"/>
          <w:szCs w:val="15"/>
          <w:color w:val="auto"/>
        </w:rPr>
        <w:t>United Kingdom</w:t>
      </w:r>
    </w:p>
    <w:p>
      <w:pPr>
        <w:sectPr>
          <w:pgSz w:w="11900" w:h="16838" w:orient="portrait"/>
          <w:cols w:equalWidth="0" w:num="1">
            <w:col w:w="10039"/>
          </w:cols>
          <w:pgMar w:left="420" w:top="738" w:right="1440" w:bottom="1440" w:gutter="0" w:footer="0" w:header="0"/>
        </w:sectPr>
      </w:pPr>
    </w:p>
    <w:p>
      <w:pPr>
        <w:spacing w:after="0" w:line="253"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0039"/>
          </w:cols>
          <w:pgMar w:left="420" w:top="738" w:right="1440"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7"/>
          <w:szCs w:val="17"/>
          <w:color w:val="auto"/>
        </w:rPr>
        <w:t>SJB Corporate Limited</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SJB Services UK Limited</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Temp Finance &amp; Accounting Service Limited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The Empower Group Ltd.</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Volaris Exec Recruitment Limited</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777 Recruitment Limited</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Aris Sociedad Anonima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ManpowerGroup Public Sector Inc.</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Manpower de Venezuela C.A.</w:t>
      </w:r>
    </w:p>
    <w:p>
      <w:pPr>
        <w:spacing w:after="0" w:line="54" w:lineRule="exact"/>
        <w:rPr>
          <w:sz w:val="20"/>
          <w:szCs w:val="20"/>
          <w:color w:val="auto"/>
        </w:rPr>
      </w:pPr>
    </w:p>
    <w:p>
      <w:pPr>
        <w:spacing w:after="0"/>
        <w:rPr>
          <w:sz w:val="20"/>
          <w:szCs w:val="20"/>
          <w:color w:val="auto"/>
        </w:rPr>
      </w:pPr>
      <w:r>
        <w:rPr>
          <w:rFonts w:ascii="Arial" w:cs="Arial" w:eastAsia="Arial" w:hAnsi="Arial"/>
          <w:sz w:val="15"/>
          <w:szCs w:val="15"/>
          <w:color w:val="auto"/>
        </w:rPr>
        <w:t>Manpower Empresa de Trabajo Temporal, C.A.</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Servicios Alleray, C.A.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Manpower Vietnam Company Ltd.</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Manpower Nominees Inc.</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Experis US Inc</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Signature Graphics of Milwaukee, LLC</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ManpowerGroup US Inc.</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ManpowerGroup Global Inc.</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ManpowerGroup Mexico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United Kingdom</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United Kingdom</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Uruguay</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VA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Venezuela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Venezuela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Venezuela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Vietnam</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200" w:lineRule="exact"/>
        <w:rPr>
          <w:sz w:val="20"/>
          <w:szCs w:val="20"/>
          <w:color w:val="auto"/>
        </w:rPr>
      </w:pPr>
    </w:p>
    <w:p>
      <w:pPr>
        <w:sectPr>
          <w:pgSz w:w="11900" w:h="16838" w:orient="portrait"/>
          <w:cols w:equalWidth="0" w:num="2">
            <w:col w:w="7920" w:space="720"/>
            <w:col w:w="1399"/>
          </w:cols>
          <w:pgMar w:left="420" w:top="7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039"/>
          </w:cols>
          <w:pgMar w:left="420" w:top="738" w:right="1440" w:bottom="1440" w:gutter="0" w:footer="0" w:header="0"/>
          <w:type w:val="continuous"/>
        </w:sectPr>
      </w:pPr>
    </w:p>
    <w:bookmarkStart w:id="121" w:name="page122"/>
    <w:bookmarkEnd w:id="121"/>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07" w:lineRule="exact"/>
        <w:rPr>
          <w:sz w:val="20"/>
          <w:szCs w:val="20"/>
          <w:color w:val="auto"/>
        </w:rPr>
      </w:pPr>
    </w:p>
    <w:p>
      <w:pPr>
        <w:ind w:right="200"/>
        <w:spacing w:after="0" w:line="295" w:lineRule="auto"/>
        <w:rPr>
          <w:sz w:val="20"/>
          <w:szCs w:val="20"/>
          <w:color w:val="auto"/>
        </w:rPr>
      </w:pPr>
      <w:r>
        <w:rPr>
          <w:rFonts w:ascii="Arial" w:cs="Arial" w:eastAsia="Arial" w:hAnsi="Arial"/>
          <w:sz w:val="15"/>
          <w:szCs w:val="15"/>
          <w:color w:val="auto"/>
        </w:rPr>
        <w:t>We consent to the incorporation by reference in Registration Statement Nos. 33-40441, 333-1040, 333-105205, 333-126703, 333-135000, 333-161765, 333-174305, and 333-195833 on Form S-8 and Registration Nos. 333-650 and 33-95896 on Form S-4 of our reports dated February 22, 2019, relating to the consolidated financial statements and consolidated financial statement schedule of ManpowerGroup Inc. and subsidiaries (the "Company"), and the effectiveness of the Company’s internal control over financial reporting, appearing in this Annual Report on Form 10-K of ManpowerGroup Inc. for the year ended December 31, 2018.</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Milwaukee, Wisconsin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February 22, 2019</w:t>
      </w:r>
    </w:p>
    <w:p>
      <w:pPr>
        <w:sectPr>
          <w:pgSz w:w="11900" w:h="16838" w:orient="portrait"/>
          <w:cols w:equalWidth="0" w:num="1">
            <w:col w:w="11420"/>
          </w:cols>
          <w:pgMar w:left="240" w:top="547"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24</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 FOR ANNUAL REPORT ON FORM 10-K</w:t>
      </w:r>
    </w:p>
    <w:p>
      <w:pPr>
        <w:spacing w:after="0" w:line="200" w:lineRule="exact"/>
        <w:rPr>
          <w:sz w:val="20"/>
          <w:szCs w:val="20"/>
          <w:color w:val="auto"/>
        </w:rPr>
      </w:pPr>
    </w:p>
    <w:p>
      <w:pPr>
        <w:spacing w:after="0" w:line="20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Each of the undersigned directors of ManpowerGroup Inc. (the “Company”) hereby constitutes and appoints Jonas Prising, John T. McGinnis and Richard Buchband,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2018,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pacing w:after="0" w:line="369" w:lineRule="exact"/>
        <w:rPr>
          <w:sz w:val="20"/>
          <w:szCs w:val="20"/>
          <w:color w:val="auto"/>
        </w:rPr>
      </w:pPr>
    </w:p>
    <w:p>
      <w:pPr>
        <w:ind w:right="180" w:firstLine="598"/>
        <w:spacing w:after="0" w:line="265" w:lineRule="auto"/>
        <w:rPr>
          <w:sz w:val="20"/>
          <w:szCs w:val="20"/>
          <w:color w:val="auto"/>
        </w:rPr>
      </w:pPr>
      <w:r>
        <w:rPr>
          <w:rFonts w:ascii="Arial" w:cs="Arial" w:eastAsia="Arial" w:hAnsi="Arial"/>
          <w:sz w:val="17"/>
          <w:szCs w:val="17"/>
          <w:color w:val="auto"/>
        </w:rPr>
        <w:t>IN WITNESS WHEREOF, the undersigned have each executed this Power of Attorney for Annual Report on Form 10-K, on one or more counterparts, as of the 22nd day of January, 2019.</w:t>
      </w:r>
    </w:p>
    <w:p>
      <w:pPr>
        <w:sectPr>
          <w:pgSz w:w="11900" w:h="16838" w:orient="portrait"/>
          <w:cols w:equalWidth="0" w:num="1">
            <w:col w:w="11420"/>
          </w:cols>
          <w:pgMar w:left="240" w:top="547" w:right="239" w:bottom="1440" w:gutter="0" w:footer="0" w:header="0"/>
        </w:sectPr>
      </w:pPr>
    </w:p>
    <w:p>
      <w:pPr>
        <w:spacing w:after="0" w:line="316"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26035</wp:posOffset>
            </wp:positionV>
            <wp:extent cx="163004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1">
                      <a:extLst>
                        <a:ext uri="{28A0092B-C50C-407E-A947-70E740481C1C}"/>
                      </a:extLst>
                    </a:blip>
                    <a:srcRect/>
                    <a:stretch>
                      <a:fillRect/>
                    </a:stretch>
                  </pic:blipFill>
                  <pic:spPr bwMode="auto">
                    <a:xfrm>
                      <a:off x="0" y="0"/>
                      <a:ext cx="1630045" cy="15875"/>
                    </a:xfrm>
                    <a:prstGeom prst="rect">
                      <a:avLst/>
                    </a:prstGeom>
                    <a:noFill/>
                  </pic:spPr>
                </pic:pic>
              </a:graphicData>
            </a:graphic>
          </wp:anchor>
        </w:drawing>
      </w:r>
    </w:p>
    <w:p>
      <w:pPr>
        <w:spacing w:after="0" w:line="59"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Gina R. Boswell</w:t>
      </w:r>
    </w:p>
    <w:p>
      <w:pPr>
        <w:spacing w:after="0" w:line="200" w:lineRule="exact"/>
        <w:rPr>
          <w:sz w:val="20"/>
          <w:szCs w:val="20"/>
          <w:color w:val="auto"/>
        </w:rPr>
      </w:pPr>
    </w:p>
    <w:p>
      <w:pPr>
        <w:spacing w:after="0" w:line="352"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26035</wp:posOffset>
            </wp:positionV>
            <wp:extent cx="163004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a:extLst>
                        <a:ext uri="{28A0092B-C50C-407E-A947-70E740481C1C}"/>
                      </a:extLst>
                    </a:blip>
                    <a:srcRect/>
                    <a:stretch>
                      <a:fillRect/>
                    </a:stretch>
                  </pic:blipFill>
                  <pic:spPr bwMode="auto">
                    <a:xfrm>
                      <a:off x="0" y="0"/>
                      <a:ext cx="1630045" cy="15875"/>
                    </a:xfrm>
                    <a:prstGeom prst="rect">
                      <a:avLst/>
                    </a:prstGeom>
                    <a:noFill/>
                  </pic:spPr>
                </pic:pic>
              </a:graphicData>
            </a:graphic>
          </wp:anchor>
        </w:drawing>
      </w:r>
    </w:p>
    <w:p>
      <w:pPr>
        <w:spacing w:after="0" w:line="59"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Cari M. Dominguez</w:t>
      </w:r>
    </w:p>
    <w:p>
      <w:pPr>
        <w:spacing w:after="0" w:line="200" w:lineRule="exact"/>
        <w:rPr>
          <w:sz w:val="20"/>
          <w:szCs w:val="20"/>
          <w:color w:val="auto"/>
        </w:rPr>
      </w:pPr>
    </w:p>
    <w:p>
      <w:pPr>
        <w:spacing w:after="0" w:line="352" w:lineRule="exact"/>
        <w:rPr>
          <w:sz w:val="20"/>
          <w:szCs w:val="20"/>
          <w:color w:val="auto"/>
        </w:rPr>
      </w:pPr>
    </w:p>
    <w:p>
      <w:pPr>
        <w:ind w:left="2540"/>
        <w:spacing w:after="0"/>
        <w:rPr>
          <w:sz w:val="20"/>
          <w:szCs w:val="20"/>
          <w:color w:val="auto"/>
        </w:rPr>
      </w:pPr>
      <w:r>
        <w:rPr>
          <w:rFonts w:ascii="Arial" w:cs="Arial" w:eastAsia="Arial" w:hAnsi="Arial"/>
          <w:sz w:val="17"/>
          <w:szCs w:val="17"/>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26035</wp:posOffset>
            </wp:positionV>
            <wp:extent cx="163004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3">
                      <a:extLst>
                        <a:ext uri="{28A0092B-C50C-407E-A947-70E740481C1C}"/>
                      </a:extLst>
                    </a:blip>
                    <a:srcRect/>
                    <a:stretch>
                      <a:fillRect/>
                    </a:stretch>
                  </pic:blipFill>
                  <pic:spPr bwMode="auto">
                    <a:xfrm>
                      <a:off x="0" y="0"/>
                      <a:ext cx="1630045" cy="15875"/>
                    </a:xfrm>
                    <a:prstGeom prst="rect">
                      <a:avLst/>
                    </a:prstGeom>
                    <a:noFill/>
                  </pic:spPr>
                </pic:pic>
              </a:graphicData>
            </a:graphic>
          </wp:anchor>
        </w:drawing>
      </w:r>
    </w:p>
    <w:p>
      <w:pPr>
        <w:spacing w:after="0" w:line="59" w:lineRule="exact"/>
        <w:rPr>
          <w:sz w:val="20"/>
          <w:szCs w:val="20"/>
          <w:color w:val="auto"/>
        </w:rPr>
      </w:pPr>
    </w:p>
    <w:p>
      <w:pPr>
        <w:ind w:left="2540"/>
        <w:spacing w:after="0"/>
        <w:rPr>
          <w:sz w:val="20"/>
          <w:szCs w:val="20"/>
          <w:color w:val="auto"/>
        </w:rPr>
      </w:pPr>
      <w:r>
        <w:rPr>
          <w:rFonts w:ascii="Arial" w:cs="Arial" w:eastAsia="Arial" w:hAnsi="Arial"/>
          <w:sz w:val="17"/>
          <w:szCs w:val="17"/>
          <w:color w:val="auto"/>
        </w:rPr>
        <w:t>William Downe</w:t>
      </w:r>
    </w:p>
    <w:p>
      <w:pPr>
        <w:spacing w:after="0" w:line="200" w:lineRule="exact"/>
        <w:rPr>
          <w:sz w:val="20"/>
          <w:szCs w:val="20"/>
          <w:color w:val="auto"/>
        </w:rPr>
      </w:pPr>
    </w:p>
    <w:p>
      <w:pPr>
        <w:spacing w:after="0" w:line="352"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/s/ John F.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26035</wp:posOffset>
            </wp:positionV>
            <wp:extent cx="163004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4">
                      <a:extLst>
                        <a:ext uri="{28A0092B-C50C-407E-A947-70E740481C1C}"/>
                      </a:extLst>
                    </a:blip>
                    <a:srcRect/>
                    <a:stretch>
                      <a:fillRect/>
                    </a:stretch>
                  </pic:blipFill>
                  <pic:spPr bwMode="auto">
                    <a:xfrm>
                      <a:off x="0" y="0"/>
                      <a:ext cx="1630045" cy="15875"/>
                    </a:xfrm>
                    <a:prstGeom prst="rect">
                      <a:avLst/>
                    </a:prstGeom>
                    <a:noFill/>
                  </pic:spPr>
                </pic:pic>
              </a:graphicData>
            </a:graphic>
          </wp:anchor>
        </w:drawing>
      </w:r>
    </w:p>
    <w:p>
      <w:pPr>
        <w:spacing w:after="0" w:line="59"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John F. Ferraro</w:t>
      </w:r>
    </w:p>
    <w:p>
      <w:pPr>
        <w:spacing w:after="0" w:line="200" w:lineRule="exact"/>
        <w:rPr>
          <w:sz w:val="20"/>
          <w:szCs w:val="20"/>
          <w:color w:val="auto"/>
        </w:rPr>
      </w:pPr>
    </w:p>
    <w:p>
      <w:pPr>
        <w:spacing w:after="0" w:line="352" w:lineRule="exact"/>
        <w:rPr>
          <w:sz w:val="20"/>
          <w:szCs w:val="20"/>
          <w:color w:val="auto"/>
        </w:rPr>
      </w:pPr>
    </w:p>
    <w:p>
      <w:pPr>
        <w:ind w:left="2500"/>
        <w:spacing w:after="0"/>
        <w:rPr>
          <w:sz w:val="20"/>
          <w:szCs w:val="20"/>
          <w:color w:val="auto"/>
        </w:rPr>
      </w:pPr>
      <w:r>
        <w:rPr>
          <w:rFonts w:ascii="Arial" w:cs="Arial" w:eastAsia="Arial" w:hAnsi="Arial"/>
          <w:sz w:val="15"/>
          <w:szCs w:val="15"/>
          <w:color w:val="auto"/>
        </w:rPr>
        <w:t>/s/ Patricia A. Hemingway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40640</wp:posOffset>
            </wp:positionV>
            <wp:extent cx="163004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
                      <a:extLst>
                        <a:ext uri="{28A0092B-C50C-407E-A947-70E740481C1C}"/>
                      </a:extLst>
                    </a:blip>
                    <a:srcRect/>
                    <a:stretch>
                      <a:fillRect/>
                    </a:stretch>
                  </pic:blipFill>
                  <pic:spPr bwMode="auto">
                    <a:xfrm>
                      <a:off x="0" y="0"/>
                      <a:ext cx="1630045" cy="15875"/>
                    </a:xfrm>
                    <a:prstGeom prst="rect">
                      <a:avLst/>
                    </a:prstGeom>
                    <a:noFill/>
                  </pic:spPr>
                </pic:pic>
              </a:graphicData>
            </a:graphic>
          </wp:anchor>
        </w:drawing>
      </w:r>
    </w:p>
    <w:p>
      <w:pPr>
        <w:spacing w:after="0" w:line="82"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Patricia A. Hemingway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/s/ Julie M.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1574800</wp:posOffset>
            </wp:positionH>
            <wp:positionV relativeFrom="paragraph">
              <wp:posOffset>26035</wp:posOffset>
            </wp:positionV>
            <wp:extent cx="163004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6">
                      <a:extLst>
                        <a:ext uri="{28A0092B-C50C-407E-A947-70E740481C1C}"/>
                      </a:extLst>
                    </a:blip>
                    <a:srcRect/>
                    <a:stretch>
                      <a:fillRect/>
                    </a:stretch>
                  </pic:blipFill>
                  <pic:spPr bwMode="auto">
                    <a:xfrm>
                      <a:off x="0" y="0"/>
                      <a:ext cx="1630045" cy="15875"/>
                    </a:xfrm>
                    <a:prstGeom prst="rect">
                      <a:avLst/>
                    </a:prstGeom>
                    <a:noFill/>
                  </pic:spPr>
                </pic:pic>
              </a:graphicData>
            </a:graphic>
          </wp:anchor>
        </w:drawing>
      </w:r>
    </w:p>
    <w:p>
      <w:pPr>
        <w:spacing w:after="0" w:line="59" w:lineRule="exact"/>
        <w:rPr>
          <w:sz w:val="20"/>
          <w:szCs w:val="20"/>
          <w:color w:val="auto"/>
        </w:rPr>
      </w:pPr>
    </w:p>
    <w:p>
      <w:pPr>
        <w:ind w:left="2500"/>
        <w:spacing w:after="0"/>
        <w:rPr>
          <w:sz w:val="20"/>
          <w:szCs w:val="20"/>
          <w:color w:val="auto"/>
        </w:rPr>
      </w:pPr>
      <w:r>
        <w:rPr>
          <w:rFonts w:ascii="Arial" w:cs="Arial" w:eastAsia="Arial" w:hAnsi="Arial"/>
          <w:sz w:val="17"/>
          <w:szCs w:val="17"/>
          <w:color w:val="auto"/>
        </w:rPr>
        <w:t>Julie M. Howard</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26035</wp:posOffset>
            </wp:positionV>
            <wp:extent cx="155892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7">
                      <a:extLst>
                        <a:ext uri="{28A0092B-C50C-407E-A947-70E740481C1C}"/>
                      </a:extLst>
                    </a:blip>
                    <a:srcRect/>
                    <a:stretch>
                      <a:fillRect/>
                    </a:stretch>
                  </pic:blipFill>
                  <pic:spPr bwMode="auto">
                    <a:xfrm>
                      <a:off x="0" y="0"/>
                      <a:ext cx="1558925" cy="1587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Ulice Payne, Jr.</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26035</wp:posOffset>
            </wp:positionV>
            <wp:extent cx="155892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1558925" cy="1587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Jonas Prising</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/s/ 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26035</wp:posOffset>
            </wp:positionV>
            <wp:extent cx="155892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a:extLst>
                        <a:ext uri="{28A0092B-C50C-407E-A947-70E740481C1C}"/>
                      </a:extLst>
                    </a:blip>
                    <a:srcRect/>
                    <a:stretch>
                      <a:fillRect/>
                    </a:stretch>
                  </pic:blipFill>
                  <pic:spPr bwMode="auto">
                    <a:xfrm>
                      <a:off x="0" y="0"/>
                      <a:ext cx="1558925" cy="1587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Paul Read</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33655</wp:posOffset>
            </wp:positionV>
            <wp:extent cx="155892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extLst>
                    </a:blip>
                    <a:srcRect/>
                    <a:stretch>
                      <a:fillRect/>
                    </a:stretch>
                  </pic:blipFill>
                  <pic:spPr bwMode="auto">
                    <a:xfrm>
                      <a:off x="0" y="0"/>
                      <a:ext cx="1558925" cy="1587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Elizabeth P. Sartain</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55245</wp:posOffset>
            </wp:positionV>
            <wp:extent cx="155892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a:extLst>
                        <a:ext uri="{28A0092B-C50C-407E-A947-70E740481C1C}"/>
                      </a:extLst>
                    </a:blip>
                    <a:srcRect/>
                    <a:stretch>
                      <a:fillRect/>
                    </a:stretch>
                  </pic:blipFill>
                  <pic:spPr bwMode="auto">
                    <a:xfrm>
                      <a:off x="0" y="0"/>
                      <a:ext cx="1558925" cy="1587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Michael J. Van Handel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26035</wp:posOffset>
            </wp:positionV>
            <wp:extent cx="155892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1558925" cy="15875"/>
                    </a:xfrm>
                    <a:prstGeom prst="rect">
                      <a:avLst/>
                    </a:prstGeom>
                    <a:noFill/>
                  </pic:spPr>
                </pic:pic>
              </a:graphicData>
            </a:graphic>
          </wp:anchor>
        </w:drawing>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John R. Walter</w:t>
      </w:r>
    </w:p>
    <w:p>
      <w:pPr>
        <w:sectPr>
          <w:pgSz w:w="11900" w:h="16838" w:orient="portrait"/>
          <w:cols w:equalWidth="0" w:num="2">
            <w:col w:w="5480" w:space="720"/>
            <w:col w:w="5220"/>
          </w:cols>
          <w:pgMar w:left="240" w:top="547" w:right="23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auto"/>
        </w:rPr>
        <w:t>Exhibit 31.1</w:t>
      </w:r>
    </w:p>
    <w:p>
      <w:pPr>
        <w:spacing w:after="0" w:line="203"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 Jonas Prising, Chairman and Chief Executive Officer of ManpowerGroup Inc., certify that:</w:t>
      </w:r>
    </w:p>
    <w:p>
      <w:pPr>
        <w:spacing w:after="0" w:line="203" w:lineRule="exact"/>
        <w:rPr>
          <w:sz w:val="20"/>
          <w:szCs w:val="20"/>
          <w:color w:val="auto"/>
        </w:rPr>
      </w:pPr>
    </w:p>
    <w:p>
      <w:pPr>
        <w:ind w:left="600" w:hanging="301"/>
        <w:spacing w:after="0"/>
        <w:tabs>
          <w:tab w:leader="none" w:pos="6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ManpowerGroup Inc.;</w:t>
      </w:r>
    </w:p>
    <w:p>
      <w:pPr>
        <w:spacing w:after="0" w:line="203" w:lineRule="exact"/>
        <w:rPr>
          <w:rFonts w:ascii="Arial" w:cs="Arial" w:eastAsia="Arial" w:hAnsi="Arial"/>
          <w:sz w:val="17"/>
          <w:szCs w:val="17"/>
          <w:color w:val="auto"/>
        </w:rPr>
      </w:pPr>
    </w:p>
    <w:p>
      <w:pPr>
        <w:ind w:left="600" w:right="420" w:hanging="301"/>
        <w:spacing w:after="0" w:line="332" w:lineRule="auto"/>
        <w:tabs>
          <w:tab w:leader="none" w:pos="600" w:val="left"/>
        </w:tabs>
        <w:numPr>
          <w:ilvl w:val="0"/>
          <w:numId w:val="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00" w:right="500" w:hanging="301"/>
        <w:spacing w:after="0" w:line="265" w:lineRule="auto"/>
        <w:tabs>
          <w:tab w:leader="none" w:pos="6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ind w:left="600" w:right="180" w:hanging="301"/>
        <w:spacing w:after="0" w:line="254" w:lineRule="auto"/>
        <w:tabs>
          <w:tab w:leader="none" w:pos="6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7"/>
          <w:szCs w:val="17"/>
          <w:color w:val="auto"/>
        </w:rPr>
      </w:pPr>
    </w:p>
    <w:p>
      <w:pPr>
        <w:ind w:left="1480" w:right="40" w:hanging="296"/>
        <w:spacing w:after="0" w:line="254" w:lineRule="auto"/>
        <w:tabs>
          <w:tab w:leader="none" w:pos="148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7"/>
          <w:szCs w:val="17"/>
          <w:color w:val="auto"/>
        </w:rPr>
      </w:pPr>
    </w:p>
    <w:p>
      <w:pPr>
        <w:ind w:left="1480" w:right="20" w:hanging="296"/>
        <w:spacing w:after="0" w:line="254" w:lineRule="auto"/>
        <w:tabs>
          <w:tab w:leader="none" w:pos="148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7"/>
          <w:szCs w:val="17"/>
          <w:color w:val="auto"/>
        </w:rPr>
      </w:pPr>
    </w:p>
    <w:p>
      <w:pPr>
        <w:ind w:left="1480" w:right="80" w:hanging="296"/>
        <w:spacing w:after="0" w:line="296" w:lineRule="auto"/>
        <w:tabs>
          <w:tab w:leader="none" w:pos="14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6"/>
          <w:szCs w:val="16"/>
          <w:color w:val="auto"/>
        </w:rPr>
      </w:pPr>
    </w:p>
    <w:p>
      <w:pPr>
        <w:ind w:left="1480" w:right="100" w:hanging="296"/>
        <w:spacing w:after="0" w:line="254" w:lineRule="auto"/>
        <w:tabs>
          <w:tab w:leader="none" w:pos="148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7"/>
          <w:szCs w:val="17"/>
          <w:color w:val="auto"/>
        </w:rPr>
      </w:pPr>
    </w:p>
    <w:p>
      <w:pPr>
        <w:ind w:left="600" w:right="100" w:hanging="301"/>
        <w:spacing w:after="0" w:line="265" w:lineRule="auto"/>
        <w:tabs>
          <w:tab w:leader="none" w:pos="6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7"/>
          <w:szCs w:val="17"/>
          <w:color w:val="auto"/>
        </w:rPr>
      </w:pPr>
    </w:p>
    <w:p>
      <w:pPr>
        <w:ind w:left="1480" w:hanging="296"/>
        <w:spacing w:after="0" w:line="265" w:lineRule="auto"/>
        <w:tabs>
          <w:tab w:leader="none" w:pos="148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1480" w:right="40" w:hanging="296"/>
        <w:spacing w:after="0" w:line="265" w:lineRule="auto"/>
        <w:tabs>
          <w:tab w:leader="none" w:pos="148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Dated: February 22, 2019</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32664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extLst>
                    </a:blip>
                    <a:srcRect/>
                    <a:stretch>
                      <a:fillRect/>
                    </a:stretch>
                  </pic:blipFill>
                  <pic:spPr bwMode="auto">
                    <a:xfrm>
                      <a:off x="0" y="0"/>
                      <a:ext cx="2326640" cy="1587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Jonas Prising</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and Chief Executive Officer</w:t>
      </w:r>
    </w:p>
    <w:p>
      <w:pPr>
        <w:sectPr>
          <w:pgSz w:w="11900" w:h="16838" w:orient="portrait"/>
          <w:cols w:equalWidth="0" w:num="1">
            <w:col w:w="11420"/>
          </w:cols>
          <w:pgMar w:left="240" w:top="547"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Exhibit 31.2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I, John T. McGinnis, Executive Vice President and Chief Financial Officer of ManpowerGroup Inc., certify that:</w:t>
      </w:r>
    </w:p>
    <w:p>
      <w:pPr>
        <w:spacing w:after="0" w:line="203" w:lineRule="exact"/>
        <w:rPr>
          <w:sz w:val="20"/>
          <w:szCs w:val="20"/>
          <w:color w:val="auto"/>
        </w:rPr>
      </w:pPr>
    </w:p>
    <w:p>
      <w:pPr>
        <w:ind w:left="640" w:hanging="341"/>
        <w:spacing w:after="0"/>
        <w:tabs>
          <w:tab w:leader="none" w:pos="6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ManpowerGroup Inc.;</w:t>
      </w:r>
    </w:p>
    <w:p>
      <w:pPr>
        <w:spacing w:after="0" w:line="203" w:lineRule="exact"/>
        <w:rPr>
          <w:rFonts w:ascii="Arial" w:cs="Arial" w:eastAsia="Arial" w:hAnsi="Arial"/>
          <w:sz w:val="17"/>
          <w:szCs w:val="17"/>
          <w:color w:val="auto"/>
        </w:rPr>
      </w:pPr>
    </w:p>
    <w:p>
      <w:pPr>
        <w:ind w:left="600" w:hanging="301"/>
        <w:spacing w:after="0" w:line="332" w:lineRule="auto"/>
        <w:tabs>
          <w:tab w:leader="none" w:pos="6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5"/>
          <w:szCs w:val="15"/>
          <w:color w:val="auto"/>
        </w:rPr>
      </w:pPr>
    </w:p>
    <w:p>
      <w:pPr>
        <w:ind w:left="600" w:hanging="301"/>
        <w:spacing w:after="0" w:line="265" w:lineRule="auto"/>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7"/>
          <w:szCs w:val="17"/>
          <w:color w:val="auto"/>
        </w:rPr>
      </w:pPr>
    </w:p>
    <w:p>
      <w:pPr>
        <w:jc w:val="both"/>
        <w:ind w:left="600" w:hanging="301"/>
        <w:spacing w:after="0" w:line="254" w:lineRule="auto"/>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Arial" w:cs="Arial" w:eastAsia="Arial" w:hAnsi="Arial"/>
          <w:sz w:val="17"/>
          <w:szCs w:val="17"/>
          <w:color w:val="auto"/>
        </w:rPr>
      </w:pPr>
    </w:p>
    <w:p>
      <w:pPr>
        <w:ind w:left="1480" w:right="40" w:hanging="296"/>
        <w:spacing w:after="0" w:line="254" w:lineRule="auto"/>
        <w:tabs>
          <w:tab w:leader="none" w:pos="14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7"/>
          <w:szCs w:val="17"/>
          <w:color w:val="auto"/>
        </w:rPr>
      </w:pPr>
    </w:p>
    <w:p>
      <w:pPr>
        <w:ind w:left="1480" w:right="20" w:hanging="296"/>
        <w:spacing w:after="0" w:line="254" w:lineRule="auto"/>
        <w:tabs>
          <w:tab w:leader="none" w:pos="14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7"/>
          <w:szCs w:val="17"/>
          <w:color w:val="auto"/>
        </w:rPr>
      </w:pPr>
    </w:p>
    <w:p>
      <w:pPr>
        <w:ind w:left="1480" w:right="80" w:hanging="296"/>
        <w:spacing w:after="0" w:line="296" w:lineRule="auto"/>
        <w:tabs>
          <w:tab w:leader="none" w:pos="1480"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4" w:lineRule="exact"/>
        <w:rPr>
          <w:rFonts w:ascii="Arial" w:cs="Arial" w:eastAsia="Arial" w:hAnsi="Arial"/>
          <w:sz w:val="16"/>
          <w:szCs w:val="16"/>
          <w:color w:val="auto"/>
        </w:rPr>
      </w:pPr>
    </w:p>
    <w:p>
      <w:pPr>
        <w:ind w:left="1480" w:right="100" w:hanging="296"/>
        <w:spacing w:after="0" w:line="254" w:lineRule="auto"/>
        <w:tabs>
          <w:tab w:leader="none" w:pos="14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7"/>
          <w:szCs w:val="17"/>
          <w:color w:val="auto"/>
        </w:rPr>
      </w:pPr>
    </w:p>
    <w:p>
      <w:pPr>
        <w:ind w:left="600" w:right="100" w:hanging="301"/>
        <w:spacing w:after="0" w:line="265" w:lineRule="auto"/>
        <w:tabs>
          <w:tab w:leader="none" w:pos="6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7"/>
          <w:szCs w:val="17"/>
          <w:color w:val="auto"/>
        </w:rPr>
      </w:pPr>
    </w:p>
    <w:p>
      <w:pPr>
        <w:ind w:left="1480" w:hanging="296"/>
        <w:spacing w:after="0" w:line="265" w:lineRule="auto"/>
        <w:tabs>
          <w:tab w:leader="none" w:pos="14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7"/>
          <w:szCs w:val="17"/>
          <w:color w:val="auto"/>
        </w:rPr>
      </w:pPr>
    </w:p>
    <w:p>
      <w:pPr>
        <w:ind w:left="1480" w:right="40" w:hanging="296"/>
        <w:spacing w:after="0" w:line="265" w:lineRule="auto"/>
        <w:tabs>
          <w:tab w:leader="none" w:pos="14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Dated: February 22, 2019</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03390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extLst>
                    </a:blip>
                    <a:srcRect/>
                    <a:stretch>
                      <a:fillRect/>
                    </a:stretch>
                  </pic:blipFill>
                  <pic:spPr bwMode="auto">
                    <a:xfrm>
                      <a:off x="0" y="0"/>
                      <a:ext cx="2033905" cy="1587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 T. McGinnis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Executive Vice President and Chief Financial</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Officer</w:t>
      </w:r>
    </w:p>
    <w:p>
      <w:pPr>
        <w:sectPr>
          <w:pgSz w:w="11900" w:h="16838" w:orient="portrait"/>
          <w:cols w:equalWidth="0" w:num="1">
            <w:col w:w="11420"/>
          </w:cols>
          <w:pgMar w:left="240" w:top="547"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w:t>
      </w:r>
    </w:p>
    <w:p>
      <w:pPr>
        <w:spacing w:after="0" w:line="207"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Pursuant to ss. 906 of the Sarbanes-Oxley Act of 2002, 18 U.S.C. ss. 1350, the undersigned officer of ManpowerGroup Inc. (the “Company”), hereby certifies that to his knowledge:</w:t>
      </w:r>
    </w:p>
    <w:p>
      <w:pPr>
        <w:spacing w:after="0" w:line="167" w:lineRule="exact"/>
        <w:rPr>
          <w:sz w:val="20"/>
          <w:szCs w:val="20"/>
          <w:color w:val="auto"/>
        </w:rPr>
      </w:pPr>
    </w:p>
    <w:p>
      <w:pPr>
        <w:ind w:left="560" w:right="80" w:hanging="299"/>
        <w:spacing w:after="0" w:line="265" w:lineRule="auto"/>
        <w:tabs>
          <w:tab w:leader="none" w:pos="5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2018 fully complies with the requirements of Section 13(a) or 15(d), as applicable, of the Securities Exchange Act of 1934, and</w:t>
      </w:r>
    </w:p>
    <w:p>
      <w:pPr>
        <w:spacing w:after="0" w:line="166" w:lineRule="exact"/>
        <w:rPr>
          <w:rFonts w:ascii="Arial" w:cs="Arial" w:eastAsia="Arial" w:hAnsi="Arial"/>
          <w:sz w:val="17"/>
          <w:szCs w:val="17"/>
          <w:color w:val="auto"/>
        </w:rPr>
      </w:pPr>
    </w:p>
    <w:p>
      <w:pPr>
        <w:ind w:left="560" w:hanging="299"/>
        <w:spacing w:after="0"/>
        <w:tabs>
          <w:tab w:leader="none" w:pos="5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MANPOWERGROUP INC.</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Dated: February 22, 2019</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239776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extLst>
                    </a:blip>
                    <a:srcRect/>
                    <a:stretch>
                      <a:fillRect/>
                    </a:stretch>
                  </pic:blipFill>
                  <pic:spPr bwMode="auto">
                    <a:xfrm>
                      <a:off x="0" y="0"/>
                      <a:ext cx="2397760" cy="1587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Jonas Prising</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and Chief Executive Officer</w:t>
      </w:r>
    </w:p>
    <w:p>
      <w:pPr>
        <w:spacing w:after="0" w:line="22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547"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Exhibit 32.2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w:t>
      </w:r>
    </w:p>
    <w:p>
      <w:pPr>
        <w:spacing w:after="0" w:line="207"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Pursuant to ss. 906 of the Sarbanes-Oxley Act of 2002, 18 U.S.C. ss. 1350, the undersigned officer of ManpowerGroup Inc. (the “Company”), hereby certifies that to his knowledge:</w:t>
      </w:r>
    </w:p>
    <w:p>
      <w:pPr>
        <w:spacing w:after="0" w:line="167" w:lineRule="exact"/>
        <w:rPr>
          <w:sz w:val="20"/>
          <w:szCs w:val="20"/>
          <w:color w:val="auto"/>
        </w:rPr>
      </w:pPr>
    </w:p>
    <w:p>
      <w:pPr>
        <w:ind w:left="560" w:right="80" w:hanging="299"/>
        <w:spacing w:after="0" w:line="265" w:lineRule="auto"/>
        <w:tabs>
          <w:tab w:leader="none" w:pos="5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2018 fully complies with the requirements of Section 13(a) or 15(d), as applicable, of the Securities Exchange Act of 1934, and</w:t>
      </w:r>
    </w:p>
    <w:p>
      <w:pPr>
        <w:spacing w:after="0" w:line="166" w:lineRule="exact"/>
        <w:rPr>
          <w:rFonts w:ascii="Arial" w:cs="Arial" w:eastAsia="Arial" w:hAnsi="Arial"/>
          <w:sz w:val="17"/>
          <w:szCs w:val="17"/>
          <w:color w:val="auto"/>
        </w:rPr>
      </w:pPr>
    </w:p>
    <w:p>
      <w:pPr>
        <w:ind w:left="560" w:hanging="299"/>
        <w:spacing w:after="0"/>
        <w:tabs>
          <w:tab w:leader="none" w:pos="5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MANPOWERGROUP INC.</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Dated: February 22, 2019</w:t>
      </w:r>
    </w:p>
    <w:p>
      <w:pPr>
        <w:spacing w:after="0" w:line="3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181229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1812290" cy="1587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Arial" w:cs="Arial" w:eastAsia="Arial" w:hAnsi="Arial"/>
          <w:sz w:val="17"/>
          <w:szCs w:val="17"/>
          <w:color w:val="auto"/>
        </w:rPr>
        <w:t>John T. McGinnis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color w:val="auto"/>
        </w:rPr>
        <w:t>Executive Vice President and Chief</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Financial Officer</w:t>
      </w:r>
    </w:p>
    <w:p>
      <w:pPr>
        <w:spacing w:after="0" w:line="216"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i w:val="1"/>
          <w:iCs w:val="1"/>
          <w:color w:val="auto"/>
        </w:rPr>
        <w:t>This certification accompanies this Annual Report on Form 10-K pursuant to Section 906 of the Sarbanes-Oxley Act of 2002 and shall not be deemed filed by the Company for purposes of the Securities Exchange Act of 1934.</w:t>
      </w:r>
    </w:p>
    <w:sectPr>
      <w:pgSz w:w="11900" w:h="16838" w:orient="portrait"/>
      <w:cols w:equalWidth="0" w:num="1">
        <w:col w:w="11420"/>
      </w:cols>
      <w:pgMar w:left="240" w:top="5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1)"/>
      <w:numFmt w:val="lowerLetter"/>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1)"/>
      <w:numFmt w:val="decimal"/>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1)"/>
      <w:numFmt w:val="decimal"/>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decimal"/>
      <w:start w:val="2"/>
    </w:lvl>
  </w:abstractNum>
  <w:abstractNum w:abstractNumId="32">
    <w:nsid w:val="23F9C13C"/>
    <w:multiLevelType w:val="hybridMultilevel"/>
    <w:lvl w:ilvl="0">
      <w:lvlJc w:val="left"/>
      <w:lvlText w:val="(%1)"/>
      <w:numFmt w:val="decimal"/>
      <w:start w:val="3"/>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1)"/>
      <w:numFmt w:val="decimal"/>
      <w:start w:val="4"/>
    </w:lvl>
  </w:abstractNum>
  <w:abstractNum w:abstractNumId="35">
    <w:nsid w:val="39386575"/>
    <w:multiLevelType w:val="hybridMultilevel"/>
    <w:lvl w:ilvl="0">
      <w:lvlJc w:val="left"/>
      <w:lvlText w:val="(%1)"/>
      <w:numFmt w:val="lowerLetter"/>
      <w:start w:val="1"/>
    </w:lvl>
  </w:abstractNum>
  <w:abstractNum w:abstractNumId="36">
    <w:nsid w:val="1CF10FD8"/>
    <w:multiLevelType w:val="hybridMultilevel"/>
    <w:lvl w:ilvl="0">
      <w:lvlJc w:val="left"/>
      <w:lvlText w:val="(%1)"/>
      <w:numFmt w:val="decimal"/>
      <w:start w:val="6"/>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1)"/>
      <w:numFmt w:val="decimal"/>
      <w:start w:val="7"/>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1)"/>
      <w:numFmt w:val="decimal"/>
      <w:start w:val="9"/>
    </w:lvl>
  </w:abstractNum>
  <w:abstractNum w:abstractNumId="42">
    <w:nsid w:val="741226BB"/>
    <w:multiLevelType w:val="hybridMultilevel"/>
    <w:lvl w:ilvl="0">
      <w:lvlJc w:val="left"/>
      <w:lvlText w:val="(%1)"/>
      <w:numFmt w:val="decimal"/>
      <w:start w:val="1"/>
    </w:lvl>
  </w:abstractNum>
  <w:abstractNum w:abstractNumId="43">
    <w:nsid w:val="D34B6A8"/>
    <w:multiLevelType w:val="hybridMultilevel"/>
    <w:lvl w:ilvl="0">
      <w:lvlJc w:val="left"/>
      <w:lvlText w:val="(%1)"/>
      <w:numFmt w:val="decimal"/>
      <w:start w:val="11"/>
    </w:lvl>
  </w:abstractNum>
  <w:abstractNum w:abstractNumId="44">
    <w:nsid w:val="10233C99"/>
    <w:multiLevelType w:val="hybridMultilevel"/>
    <w:lvl w:ilvl="0">
      <w:lvlJc w:val="left"/>
      <w:lvlText w:val="(%1)"/>
      <w:numFmt w:val="decimal"/>
      <w:start w:val="13"/>
    </w:lvl>
  </w:abstractNum>
  <w:abstractNum w:abstractNumId="45">
    <w:nsid w:val="3F6AB60F"/>
    <w:multiLevelType w:val="hybridMultilevel"/>
    <w:lvl w:ilvl="0">
      <w:lvlJc w:val="left"/>
      <w:lvlText w:val="(%1)"/>
      <w:numFmt w:val="decimal"/>
      <w:start w:val="14"/>
    </w:lvl>
  </w:abstractNum>
  <w:abstractNum w:abstractNumId="46">
    <w:nsid w:val="61574095"/>
    <w:multiLevelType w:val="hybridMultilevel"/>
    <w:lvl w:ilvl="0">
      <w:lvlJc w:val="left"/>
      <w:lvlText w:val="(%1)"/>
      <w:numFmt w:val="decimal"/>
      <w:start w:val="15"/>
    </w:lvl>
  </w:abstractNum>
  <w:abstractNum w:abstractNumId="47">
    <w:nsid w:val="7E0C57B1"/>
    <w:multiLevelType w:val="hybridMultilevel"/>
    <w:lvl w:ilvl="0">
      <w:lvlJc w:val="left"/>
      <w:lvlText w:val="(%1)"/>
      <w:numFmt w:val="lowerLetter"/>
      <w:start w:val="2"/>
    </w:lvl>
  </w:abstractNum>
  <w:abstractNum w:abstractNumId="48">
    <w:nsid w:val="77AE35EB"/>
    <w:multiLevelType w:val="hybridMultilevel"/>
    <w:lvl w:ilvl="0">
      <w:lvlJc w:val="left"/>
      <w:lvlText w:val="(%1)"/>
      <w:numFmt w:val="lowerLetter"/>
      <w:start w:val="1"/>
    </w:lvl>
  </w:abstractNum>
  <w:abstractNum w:abstractNumId="49">
    <w:nsid w:val="579BE4F1"/>
    <w:multiLevelType w:val="hybridMultilevel"/>
    <w:lvl w:ilvl="0">
      <w:lvlJc w:val="left"/>
      <w:lvlText w:val="(%1)"/>
      <w:numFmt w:val="lowerLetter"/>
      <w:start w:val="1"/>
    </w:lvl>
  </w:abstractNum>
  <w:abstractNum w:abstractNumId="50">
    <w:nsid w:val="310C50B3"/>
    <w:multiLevelType w:val="hybridMultilevel"/>
    <w:lvl w:ilvl="0">
      <w:lvlJc w:val="left"/>
      <w:lvlText w:val="(%1)"/>
      <w:numFmt w:val="lowerLetter"/>
      <w:start w:val="1"/>
    </w:lvl>
  </w:abstractNum>
  <w:abstractNum w:abstractNumId="51">
    <w:nsid w:val="5FF87E05"/>
    <w:multiLevelType w:val="hybridMultilevel"/>
    <w:lvl w:ilvl="0">
      <w:lvlJc w:val="left"/>
      <w:lvlText w:val="(%1)"/>
      <w:numFmt w:val="lowerLetter"/>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decimal"/>
      <w:start w:val="10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1F48EAA1"/>
    <w:multiLevelType w:val="hybridMultilevel"/>
    <w:lvl w:ilvl="0">
      <w:lvlJc w:val="left"/>
      <w:lvlText w:val="(%1)"/>
      <w:numFmt w:val="lowerRoman"/>
      <w:start w:val="2"/>
    </w:lvl>
  </w:abstractNum>
  <w:abstractNum w:abstractNumId="57">
    <w:nsid w:val="1381823A"/>
    <w:multiLevelType w:val="hybridMultilevel"/>
    <w:lvl w:ilvl="0">
      <w:lvlJc w:val="left"/>
      <w:lvlText w:val="(%1)"/>
      <w:numFmt w:val="lowerLetter"/>
      <w:start w:val="4"/>
    </w:lvl>
    <w:lvl w:ilvl="1">
      <w:lvlJc w:val="left"/>
      <w:lvlText w:val="(%2)"/>
      <w:numFmt w:val="lowerRoman"/>
      <w:start w:val="1"/>
    </w:lvl>
  </w:abstractNum>
  <w:abstractNum w:abstractNumId="58">
    <w:nsid w:val="5DB70AE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9">
    <w:nsid w:val="100F8FC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0">
    <w:nsid w:val="6590700B"/>
    <w:multiLevelType w:val="hybridMultilevel"/>
    <w:lvl w:ilvl="0">
      <w:lvlJc w:val="left"/>
      <w:lvlText w:val="(%1)"/>
      <w:numFmt w:val="lowerLetter"/>
      <w:start w:val="3"/>
    </w:lvl>
    <w:lvl w:ilvl="1">
      <w:lvlJc w:val="left"/>
      <w:lvlText w:val="(%2)"/>
      <w:numFmt w:val="lowerRoman"/>
      <w:start w:val="1"/>
    </w:lvl>
  </w:abstractNum>
  <w:abstractNum w:abstractNumId="61">
    <w:nsid w:val="15014ACB"/>
    <w:multiLevelType w:val="hybridMultilevel"/>
    <w:lvl w:ilvl="0">
      <w:lvlJc w:val="left"/>
      <w:lvlText w:val="%1"/>
      <w:numFmt w:val="lowerLetter"/>
      <w:start w:val="1"/>
    </w:lvl>
    <w:lvl w:ilvl="1">
      <w:lvlJc w:val="left"/>
      <w:lvlText w:val="(%2)"/>
      <w:numFmt w:val="lowerLetter"/>
      <w:start w:val="22"/>
    </w:lvl>
  </w:abstractNum>
  <w:abstractNum w:abstractNumId="62">
    <w:nsid w:val="5F5E7FD0"/>
    <w:multiLevelType w:val="hybridMultilevel"/>
    <w:lvl w:ilvl="0">
      <w:lvlJc w:val="left"/>
      <w:lvlText w:val="(%1)"/>
      <w:numFmt w:val="lowerLetter"/>
      <w:start w:val="4"/>
    </w:lvl>
    <w:lvl w:ilvl="1">
      <w:lvlJc w:val="left"/>
      <w:lvlText w:val="(%2)"/>
      <w:numFmt w:val="lowerLetter"/>
      <w:start w:val="9"/>
    </w:lvl>
  </w:abstractNum>
  <w:abstractNum w:abstractNumId="63">
    <w:nsid w:val="98A3148"/>
    <w:multiLevelType w:val="hybridMultilevel"/>
    <w:lvl w:ilvl="0">
      <w:lvlJc w:val="left"/>
      <w:lvlText w:val="(%1)"/>
      <w:numFmt w:val="lowerRoman"/>
      <w:start w:val="2"/>
    </w:lvl>
  </w:abstractNum>
  <w:abstractNum w:abstractNumId="64">
    <w:nsid w:val="799D0247"/>
    <w:multiLevelType w:val="hybridMultilevel"/>
    <w:lvl w:ilvl="0">
      <w:lvlJc w:val="left"/>
      <w:lvlText w:val="%1"/>
      <w:numFmt w:val="lowerLetter"/>
      <w:start w:val="1"/>
    </w:lvl>
    <w:lvl w:ilvl="1">
      <w:lvlJc w:val="left"/>
      <w:lvlText w:val="(%2)"/>
      <w:numFmt w:val="lowerLetter"/>
      <w:start w:val="22"/>
    </w:lvl>
  </w:abstractNum>
  <w:abstractNum w:abstractNumId="65">
    <w:nsid w:val="6B94764"/>
    <w:multiLevelType w:val="hybridMultilevel"/>
    <w:lvl w:ilvl="0">
      <w:lvlJc w:val="left"/>
      <w:lvlText w:val="(%1)"/>
      <w:numFmt w:val="lowerLetter"/>
      <w:start w:val="5"/>
    </w:lvl>
    <w:lvl w:ilvl="1">
      <w:lvlJc w:val="left"/>
      <w:lvlText w:val="%2"/>
      <w:numFmt w:val="lowerLetter"/>
      <w:start w:val="1"/>
    </w:lvl>
  </w:abstractNum>
  <w:abstractNum w:abstractNumId="66">
    <w:nsid w:val="42C296BD"/>
    <w:multiLevelType w:val="hybridMultilevel"/>
    <w:lvl w:ilvl="0">
      <w:lvlJc w:val="left"/>
      <w:lvlText w:val="%1"/>
      <w:numFmt w:val="decimal"/>
      <w:start w:val="1"/>
    </w:lvl>
    <w:lvl w:ilvl="1">
      <w:lvlJc w:val="left"/>
      <w:lvlText w:val="(%2)"/>
      <w:numFmt w:val="lowerLetter"/>
      <w:start w:val="8"/>
    </w:lvl>
  </w:abstractNum>
  <w:abstractNum w:abstractNumId="67">
    <w:nsid w:val="168E121F"/>
    <w:multiLevelType w:val="hybridMultilevel"/>
    <w:lvl w:ilvl="0">
      <w:lvlJc w:val="left"/>
      <w:lvlText w:val="%1."/>
      <w:numFmt w:val="decimal"/>
      <w:start w:val="1"/>
    </w:lvl>
    <w:lvl w:ilvl="1">
      <w:lvlJc w:val="left"/>
      <w:lvlText w:val="(%2)"/>
      <w:numFmt w:val="lowerLetter"/>
      <w:start w:val="1"/>
    </w:lvl>
  </w:abstractNum>
  <w:abstractNum w:abstractNumId="68">
    <w:nsid w:val="1EBA5D23"/>
    <w:multiLevelType w:val="hybridMultilevel"/>
    <w:lvl w:ilvl="0">
      <w:lvlJc w:val="left"/>
      <w:lvlText w:val="%1."/>
      <w:numFmt w:val="decimal"/>
      <w:start w:val="4"/>
    </w:lvl>
  </w:abstractNum>
  <w:abstractNum w:abstractNumId="69">
    <w:nsid w:val="661E3F1E"/>
    <w:multiLevelType w:val="hybridMultilevel"/>
    <w:lvl w:ilvl="0">
      <w:lvlJc w:val="left"/>
      <w:lvlText w:val="%1."/>
      <w:numFmt w:val="decimal"/>
      <w:start w:val="5"/>
    </w:lvl>
    <w:lvl w:ilvl="1">
      <w:lvlJc w:val="left"/>
      <w:lvlText w:val="(%2)"/>
      <w:numFmt w:val="lowerLetter"/>
      <w:start w:val="1"/>
    </w:lvl>
  </w:abstractNum>
  <w:abstractNum w:abstractNumId="70">
    <w:nsid w:val="5DC79EA8"/>
    <w:multiLevelType w:val="hybridMultilevel"/>
    <w:lvl w:ilvl="0">
      <w:lvlJc w:val="left"/>
      <w:lvlText w:val="%1."/>
      <w:numFmt w:val="decimal"/>
      <w:start w:val="9"/>
    </w:lvl>
    <w:lvl w:ilvl="1">
      <w:lvlJc w:val="left"/>
      <w:lvlText w:val="(%2)"/>
      <w:numFmt w:val="lowerLetter"/>
      <w:start w:val="1"/>
    </w:lvl>
  </w:abstractNum>
  <w:abstractNum w:abstractNumId="71">
    <w:nsid w:val="540A471C"/>
    <w:multiLevelType w:val="hybridMultilevel"/>
    <w:lvl w:ilvl="0">
      <w:lvlJc w:val="left"/>
      <w:lvlText w:val="%1"/>
      <w:numFmt w:val="decimal"/>
      <w:start w:val="1"/>
    </w:lvl>
    <w:lvl w:ilvl="1">
      <w:lvlJc w:val="left"/>
      <w:lvlText w:val="(%2)"/>
      <w:numFmt w:val="lowerLetter"/>
      <w:start w:val="2"/>
    </w:lvl>
  </w:abstractNum>
  <w:abstractNum w:abstractNumId="72">
    <w:nsid w:val="7BD3EE7B"/>
    <w:multiLevelType w:val="hybridMultilevel"/>
    <w:lvl w:ilvl="0">
      <w:lvlJc w:val="left"/>
      <w:lvlText w:val="%1."/>
      <w:numFmt w:val="decimal"/>
      <w:start w:val="19"/>
    </w:lvl>
    <w:lvl w:ilvl="1">
      <w:lvlJc w:val="left"/>
      <w:lvlText w:val="%2"/>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71" Type="http://schemas.openxmlformats.org/officeDocument/2006/relationships/image" Target="media/image34.png"/><Relationship Id="rId72" Type="http://schemas.openxmlformats.org/officeDocument/2006/relationships/image" Target="media/image35.png"/><Relationship Id="rId73" Type="http://schemas.openxmlformats.org/officeDocument/2006/relationships/image" Target="media/image36.png"/><Relationship Id="rId74" Type="http://schemas.openxmlformats.org/officeDocument/2006/relationships/image" Target="media/image37.png"/><Relationship Id="rId75" Type="http://schemas.openxmlformats.org/officeDocument/2006/relationships/image" Target="media/image38.png"/><Relationship Id="rId76" Type="http://schemas.openxmlformats.org/officeDocument/2006/relationships/image" Target="media/image39.png"/><Relationship Id="rId77" Type="http://schemas.openxmlformats.org/officeDocument/2006/relationships/image" Target="media/image40.png"/><Relationship Id="rId78" Type="http://schemas.openxmlformats.org/officeDocument/2006/relationships/image" Target="media/image41.png"/><Relationship Id="rId79" Type="http://schemas.openxmlformats.org/officeDocument/2006/relationships/image" Target="media/image42.png"/><Relationship Id="rId80" Type="http://schemas.openxmlformats.org/officeDocument/2006/relationships/image" Target="media/image43.png"/><Relationship Id="rId81" Type="http://schemas.openxmlformats.org/officeDocument/2006/relationships/image" Target="media/image44.png"/><Relationship Id="rId82" Type="http://schemas.openxmlformats.org/officeDocument/2006/relationships/image" Target="media/image45.png"/><Relationship Id="rId83" Type="http://schemas.openxmlformats.org/officeDocument/2006/relationships/image" Target="media/image46.png"/><Relationship Id="rId84" Type="http://schemas.openxmlformats.org/officeDocument/2006/relationships/image" Target="media/image47.png"/><Relationship Id="rId85" Type="http://schemas.openxmlformats.org/officeDocument/2006/relationships/image" Target="media/image48.png"/><Relationship Id="rId86" Type="http://schemas.openxmlformats.org/officeDocument/2006/relationships/image" Target="media/image49.png"/><Relationship Id="rId41" Type="http://schemas.openxmlformats.org/officeDocument/2006/relationships/hyperlink" Target="http://www.sec.gov/Archives/edgar/data/871763/000087176313000024/exhibit_3-1.htm" TargetMode="External"/><Relationship Id="rId42" Type="http://schemas.openxmlformats.org/officeDocument/2006/relationships/hyperlink" Target="http://www.sec.gov/Archives/edgar/data/871763/000087176314000019/exhibit_3-1.htm" TargetMode="External"/><Relationship Id="rId43" Type="http://schemas.openxmlformats.org/officeDocument/2006/relationships/hyperlink" Target="http://www.sec.gov/Archives/edgar/data/871763/000089271218000301/exhibit41.htm" TargetMode="External"/><Relationship Id="rId44" Type="http://schemas.openxmlformats.org/officeDocument/2006/relationships/hyperlink" Target="http://www.sec.gov/Archives/edgar/data/871763/000087176315000042/exhibit_41september112015.htm" TargetMode="External"/><Relationship Id="rId45" Type="http://schemas.openxmlformats.org/officeDocument/2006/relationships/hyperlink" Target="http://www.sec.gov/Archives/edgar/data/871763/000089271218000301/exhibit10-1.htm" TargetMode="External"/><Relationship Id="rId46" Type="http://schemas.openxmlformats.org/officeDocument/2006/relationships/hyperlink" Target="http://www.sec.gov/Archives/edgar/data/871763/000087176311000011/exhibit_10-4.htm" TargetMode="External"/><Relationship Id="rId47" Type="http://schemas.openxmlformats.org/officeDocument/2006/relationships/hyperlink" Target="http://www.sec.gov/Archives/edgar/data/871763/000119312505051218/ddef14a.htm" TargetMode="External"/><Relationship Id="rId48" Type="http://schemas.openxmlformats.org/officeDocument/2006/relationships/hyperlink" Target="http://www.sec.gov/Archives/edgar/data/871763/000087176316000156/manproxy2016-def14a.htm#sB1B89BE6C28A5EA69FC6D216EB9564C0" TargetMode="External"/><Relationship Id="rId49" Type="http://schemas.openxmlformats.org/officeDocument/2006/relationships/hyperlink" Target="http://www.sec.gov/Archives/edgar/data/871763/000119312508037291/dex1013d.htm" TargetMode="External"/><Relationship Id="rId50" Type="http://schemas.openxmlformats.org/officeDocument/2006/relationships/hyperlink" Target="http://www.sec.gov/Archives/edgar/data/871763/000087176311000009/exhibit_10-1.htm" TargetMode="External"/><Relationship Id="rId51" Type="http://schemas.openxmlformats.org/officeDocument/2006/relationships/hyperlink" Target="http://www.sec.gov/Archives/edgar/data/871763/000087176318000070/a10k2017exhibit106b.htm" TargetMode="External"/><Relationship Id="rId52" Type="http://schemas.openxmlformats.org/officeDocument/2006/relationships/hyperlink" Target="http://www.sec.gov/Archives/edgar/data/871763/000087176318000070/a10k2017exhibit106c.htm" TargetMode="External"/><Relationship Id="rId53" Type="http://schemas.openxmlformats.org/officeDocument/2006/relationships/hyperlink" Target="http://www.sec.gov/Archives/edgar/data/871763/000087176317000086/q12017exhibit101.htm" TargetMode="External"/><Relationship Id="rId54" Type="http://schemas.openxmlformats.org/officeDocument/2006/relationships/hyperlink" Target="http://www.sec.gov/Archives/edgar/data/871763/000087176317000124/a12112017ex101severanceagr.htm" TargetMode="External"/><Relationship Id="rId55" Type="http://schemas.openxmlformats.org/officeDocument/2006/relationships/hyperlink" Target="http://www.sec.gov/Archives/edgar/data/871763/000087176316000184/q22016exhibit101.htm" TargetMode="External"/><Relationship Id="rId56" Type="http://schemas.openxmlformats.org/officeDocument/2006/relationships/hyperlink" Target="http://www.sec.gov/Archives/edgar/data/871763/000087176318000086/q12018exhibit101.htm" TargetMode="External"/><Relationship Id="rId57" Type="http://schemas.openxmlformats.org/officeDocument/2006/relationships/hyperlink" Target="http://www.sec.gov/Archives/edgar/data/871763/000089271209000841/exhibit4-1.htm" TargetMode="External"/><Relationship Id="rId58" Type="http://schemas.openxmlformats.org/officeDocument/2006/relationships/hyperlink" Target="http://www.sec.gov/Archives/edgar/data/871763/000087176310000023/ex10_3.htm" TargetMode="External"/><Relationship Id="rId59" Type="http://schemas.openxmlformats.org/officeDocument/2006/relationships/hyperlink" Target="http://www.sec.gov/Archives/edgar/data/871763/000087176314000030/exhibit_10-5.htm" TargetMode="External"/><Relationship Id="rId60" Type="http://schemas.openxmlformats.org/officeDocument/2006/relationships/hyperlink" Target="http://www.sec.gov/Archives/edgar/data/871763/000119312506224722/dex991.htm" TargetMode="External"/><Relationship Id="rId61" Type="http://schemas.openxmlformats.org/officeDocument/2006/relationships/hyperlink" Target="http://www.sec.gov/Archives/edgar/data/871763/000087176312000023/exhibit_10-3.htm" TargetMode="External"/><Relationship Id="rId62" Type="http://schemas.openxmlformats.org/officeDocument/2006/relationships/hyperlink" Target="http://www.sec.gov/Archives/edgar/data/871763/000087176312000023/exhibit_10-4.htm" TargetMode="External"/><Relationship Id="rId63" Type="http://schemas.openxmlformats.org/officeDocument/2006/relationships/hyperlink" Target="http://www.sec.gov/Archives/edgar/data/871763/000087176314000019/exhibit_10-1.htm" TargetMode="External"/><Relationship Id="rId64" Type="http://schemas.openxmlformats.org/officeDocument/2006/relationships/hyperlink" Target="http://www.sec.gov/Archives/edgar/data/871763/000087176314000019/exhibit_10-2.htm" TargetMode="External"/><Relationship Id="rId65" Type="http://schemas.openxmlformats.org/officeDocument/2006/relationships/hyperlink" Target="http://www.sec.gov/Archives/edgar/data/871763/000087176316000175/q12016exhibit104.htm" TargetMode="External"/><Relationship Id="rId66" Type="http://schemas.openxmlformats.org/officeDocument/2006/relationships/hyperlink" Target="http://www.sec.gov/Archives/edgar/data/871763/000087176315000054/q32015exhibit101.htm" TargetMode="External"/><Relationship Id="rId67" Type="http://schemas.openxmlformats.org/officeDocument/2006/relationships/hyperlink" Target="http://www.sec.gov/Archives/edgar/data/871763/000087176315000008/exhibit_10-12b.htm" TargetMode="External"/><Relationship Id="rId68" Type="http://schemas.openxmlformats.org/officeDocument/2006/relationships/hyperlink" Target="http://www.sec.gov/Archives/edgar/data/871763/000087176316000117/exhibit101-severanceagrmt.htm" TargetMode="External"/><Relationship Id="rId69" Type="http://schemas.openxmlformats.org/officeDocument/2006/relationships/hyperlink" Target="http://www.sec.gov/Archives/edgar/data/871763/000087176316000113/projectryeofferletterfinal.htm" TargetMode="External"/><Relationship Id="rId70" Type="http://schemas.openxmlformats.org/officeDocument/2006/relationships/hyperlink" Target="http://www.sec.gov/Archives/edgar/data/871763/000087176318000054/a02152018ex101manpowergro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2019-12-28T16:03:56Z</dcterms:created>
  <dcterms:modified xsi:type="dcterms:W3CDTF">2019-12-28T16:03:56Z</dcterms:modified>
</cp:coreProperties>
</file>