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MANPOWERGROUP INC.</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0"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u w:val="single" w:color="auto"/>
          <w:color w:val="auto"/>
        </w:rPr>
        <w:t>56418H100</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2016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040" w:hanging="231"/>
        <w:spacing w:after="0"/>
        <w:tabs>
          <w:tab w:leader="none" w:pos="5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]Rule 13d-1(c)</w:t>
      </w:r>
    </w:p>
    <w:p>
      <w:pPr>
        <w:spacing w:after="0" w:line="252" w:lineRule="exact"/>
        <w:rPr>
          <w:sz w:val="24"/>
          <w:szCs w:val="24"/>
          <w:color w:val="auto"/>
        </w:rPr>
      </w:pPr>
    </w:p>
    <w:p>
      <w:pPr>
        <w:ind w:left="5080" w:hanging="293"/>
        <w:spacing w:after="0"/>
        <w:tabs>
          <w:tab w:leader="none" w:pos="5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10 Pages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0040" w:val="left"/>
        </w:tabs>
        <w:rPr>
          <w:sz w:val="20"/>
          <w:szCs w:val="20"/>
          <w:color w:val="auto"/>
        </w:rPr>
      </w:pPr>
      <w:r>
        <w:rPr>
          <w:rFonts w:ascii="Times New Roman" w:cs="Times New Roman" w:eastAsia="Times New Roman" w:hAnsi="Times New Roman"/>
          <w:sz w:val="18"/>
          <w:szCs w:val="18"/>
          <w:color w:val="auto"/>
        </w:rPr>
        <w:t>CUSIP No. 56418H100</w:t>
      </w:r>
      <w:r>
        <w:rPr>
          <w:sz w:val="20"/>
          <w:szCs w:val="20"/>
          <w:color w:val="auto"/>
        </w:rPr>
        <w:tab/>
      </w:r>
      <w:r>
        <w:rPr>
          <w:rFonts w:ascii="Times New Roman" w:cs="Times New Roman" w:eastAsia="Times New Roman" w:hAnsi="Times New Roman"/>
          <w:sz w:val="17"/>
          <w:szCs w:val="17"/>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457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3"/>
        </w:numPr>
        <w:rPr>
          <w:rFonts w:ascii="Times New Roman" w:cs="Times New Roman" w:eastAsia="Times New Roman" w:hAnsi="Times New Roman"/>
          <w:sz w:val="57"/>
          <w:szCs w:val="57"/>
          <w:b w:val="1"/>
          <w:bCs w:val="1"/>
          <w:color w:val="auto"/>
          <w:vertAlign w:val="subscript"/>
        </w:rPr>
      </w:pPr>
      <w:r>
        <w:rPr>
          <w:rFonts w:ascii="Times New Roman" w:cs="Times New Roman" w:eastAsia="Times New Roman" w:hAnsi="Times New Roman"/>
          <w:sz w:val="17"/>
          <w:szCs w:val="17"/>
          <w:b w:val="1"/>
          <w:bCs w:val="1"/>
          <w:color w:val="auto"/>
        </w:rPr>
        <w:t xml:space="preserve">I.R.S. IDENTIFICATION NOS. OF ABOVE PERSONS (ENTITIES ONLY) </w:t>
      </w:r>
      <w:r>
        <w:rPr>
          <w:rFonts w:ascii="Times New Roman" w:cs="Times New Roman" w:eastAsia="Times New Roman" w:hAnsi="Times New Roman"/>
          <w:sz w:val="17"/>
          <w:szCs w:val="17"/>
          <w:color w:val="auto"/>
        </w:rPr>
        <w:t>GLENVIEW CAPITAL MANAGEMENT, LLC</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36" w:lineRule="exact"/>
        <w:rPr>
          <w:rFonts w:ascii="Times New Roman" w:cs="Times New Roman" w:eastAsia="Times New Roman" w:hAnsi="Times New Roman"/>
          <w:sz w:val="32"/>
          <w:szCs w:val="32"/>
          <w:b w:val="1"/>
          <w:bCs w:val="1"/>
          <w:color w:val="auto"/>
        </w:rPr>
      </w:pPr>
    </w:p>
    <w:p>
      <w:pPr>
        <w:ind w:left="1420"/>
        <w:spacing w:after="0" w:line="207" w:lineRule="exact"/>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51" w:lineRule="exact"/>
        <w:rPr>
          <w:rFonts w:ascii="Times New Roman" w:cs="Times New Roman" w:eastAsia="Times New Roman" w:hAnsi="Times New Roman"/>
          <w:sz w:val="32"/>
          <w:szCs w:val="32"/>
          <w:b w:val="1"/>
          <w:bCs w:val="1"/>
          <w:color w:val="auto"/>
        </w:rPr>
      </w:pPr>
    </w:p>
    <w:p>
      <w:pPr>
        <w:ind w:left="14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b w:val="1"/>
          <w:bCs w:val="1"/>
          <w:color w:val="auto"/>
        </w:rPr>
        <w:t>SEC USE ONLY</w:t>
      </w:r>
    </w:p>
    <w:p>
      <w:pPr>
        <w:ind w:left="62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Delaware</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81"/>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1,732,470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8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580" w:type="dxa"/>
            <w:vAlign w:val="bottom"/>
            <w:vMerge w:val="continue"/>
          </w:tcPr>
          <w:p>
            <w:pPr>
              <w:spacing w:after="0"/>
              <w:rPr>
                <w:sz w:val="16"/>
                <w:szCs w:val="16"/>
                <w:color w:val="auto"/>
              </w:rPr>
            </w:pPr>
          </w:p>
        </w:tc>
        <w:tc>
          <w:tcPr>
            <w:tcW w:w="88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9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p>
      <w:pPr>
        <w:ind w:left="2780" w:hanging="469"/>
        <w:spacing w:after="0" w:line="182" w:lineRule="auto"/>
        <w:tabs>
          <w:tab w:leader="none" w:pos="2780" w:val="left"/>
        </w:tabs>
        <w:numPr>
          <w:ilvl w:val="0"/>
          <w:numId w:val="6"/>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1,732,470</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7"/>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1,732,470</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40"/>
        <w:spacing w:after="0" w:line="379" w:lineRule="exact"/>
        <w:tabs>
          <w:tab w:leader="none" w:pos="140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60"/>
        <w:spacing w:after="0" w:line="181" w:lineRule="auto"/>
        <w:tabs>
          <w:tab w:leader="none" w:pos="14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2.58%</w:t>
      </w:r>
    </w:p>
    <w:p>
      <w:pPr>
        <w:spacing w:after="0" w:line="3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42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tabs>
          <w:tab w:leader="none" w:pos="10040" w:val="left"/>
        </w:tabs>
        <w:rPr>
          <w:sz w:val="20"/>
          <w:szCs w:val="20"/>
          <w:color w:val="auto"/>
        </w:rPr>
      </w:pPr>
      <w:r>
        <w:rPr>
          <w:rFonts w:ascii="Times New Roman" w:cs="Times New Roman" w:eastAsia="Times New Roman" w:hAnsi="Times New Roman"/>
          <w:sz w:val="18"/>
          <w:szCs w:val="18"/>
          <w:color w:val="auto"/>
        </w:rPr>
        <w:t>CUSIP No. 56418H100</w:t>
      </w:r>
      <w:r>
        <w:rPr>
          <w:sz w:val="20"/>
          <w:szCs w:val="20"/>
          <w:color w:val="auto"/>
        </w:rPr>
        <w:tab/>
      </w:r>
      <w:r>
        <w:rPr>
          <w:rFonts w:ascii="Times New Roman" w:cs="Times New Roman" w:eastAsia="Times New Roman" w:hAnsi="Times New Roman"/>
          <w:sz w:val="17"/>
          <w:szCs w:val="17"/>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45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8"/>
        </w:numPr>
        <w:rPr>
          <w:rFonts w:ascii="Times New Roman" w:cs="Times New Roman" w:eastAsia="Times New Roman" w:hAnsi="Times New Roman"/>
          <w:sz w:val="57"/>
          <w:szCs w:val="57"/>
          <w:b w:val="1"/>
          <w:bCs w:val="1"/>
          <w:color w:val="auto"/>
          <w:vertAlign w:val="subscript"/>
        </w:rPr>
      </w:pPr>
      <w:r>
        <w:rPr>
          <w:rFonts w:ascii="Times New Roman" w:cs="Times New Roman" w:eastAsia="Times New Roman" w:hAnsi="Times New Roman"/>
          <w:sz w:val="17"/>
          <w:szCs w:val="17"/>
          <w:b w:val="1"/>
          <w:bCs w:val="1"/>
          <w:color w:val="auto"/>
        </w:rPr>
        <w:t xml:space="preserve">I.R.S. IDENTIFICATION NOS. OF ABOVE PERSONS (ENTITIES ONLY) </w:t>
      </w:r>
      <w:r>
        <w:rPr>
          <w:rFonts w:ascii="Times New Roman" w:cs="Times New Roman" w:eastAsia="Times New Roman" w:hAnsi="Times New Roman"/>
          <w:sz w:val="17"/>
          <w:szCs w:val="17"/>
          <w:color w:val="auto"/>
        </w:rPr>
        <w:t>LARRY ROBBINS</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1420" w:hanging="797"/>
        <w:spacing w:after="0" w:line="322" w:lineRule="exact"/>
        <w:tabs>
          <w:tab w:leader="none" w:pos="1420" w:val="left"/>
        </w:tabs>
        <w:numPr>
          <w:ilvl w:val="0"/>
          <w:numId w:val="9"/>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36" w:lineRule="exact"/>
        <w:rPr>
          <w:rFonts w:ascii="Times New Roman" w:cs="Times New Roman" w:eastAsia="Times New Roman" w:hAnsi="Times New Roman"/>
          <w:sz w:val="32"/>
          <w:szCs w:val="32"/>
          <w:b w:val="1"/>
          <w:bCs w:val="1"/>
          <w:color w:val="auto"/>
        </w:rPr>
      </w:pPr>
    </w:p>
    <w:p>
      <w:pPr>
        <w:ind w:left="1420"/>
        <w:spacing w:after="0" w:line="207" w:lineRule="exact"/>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51" w:lineRule="exact"/>
        <w:rPr>
          <w:rFonts w:ascii="Times New Roman" w:cs="Times New Roman" w:eastAsia="Times New Roman" w:hAnsi="Times New Roman"/>
          <w:sz w:val="32"/>
          <w:szCs w:val="32"/>
          <w:b w:val="1"/>
          <w:bCs w:val="1"/>
          <w:color w:val="auto"/>
        </w:rPr>
      </w:pPr>
    </w:p>
    <w:p>
      <w:pPr>
        <w:ind w:left="14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b w:val="1"/>
          <w:bCs w:val="1"/>
          <w:color w:val="auto"/>
        </w:rPr>
        <w:t>SEC USE ONLY</w:t>
      </w:r>
    </w:p>
    <w:p>
      <w:pPr>
        <w:ind w:left="62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440" w:hanging="817"/>
        <w:spacing w:after="0" w:line="182" w:lineRule="auto"/>
        <w:tabs>
          <w:tab w:leader="none" w:pos="1440" w:val="left"/>
        </w:tabs>
        <w:numPr>
          <w:ilvl w:val="0"/>
          <w:numId w:val="10"/>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of America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1,732,470</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86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1,732,470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1,732,470</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41"/>
        </w:trPr>
        <w:tc>
          <w:tcPr>
            <w:tcW w:w="1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 of 10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ManpowerGroup Inc. (the “Issuer”)</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Manpower Place, Milwaukee, Wisconsin 53212</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52" w:lineRule="exact"/>
        <w:rPr>
          <w:sz w:val="20"/>
          <w:szCs w:val="20"/>
          <w:color w:val="auto"/>
        </w:rPr>
      </w:pPr>
    </w:p>
    <w:p>
      <w:pPr>
        <w:ind w:left="1500" w:hanging="195"/>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Glenview Capital Management, LLC (“Glenview Capital Management”);</w:t>
      </w:r>
    </w:p>
    <w:p>
      <w:pPr>
        <w:spacing w:after="0" w:line="252" w:lineRule="exact"/>
        <w:rPr>
          <w:rFonts w:ascii="Times New Roman" w:cs="Times New Roman" w:eastAsia="Times New Roman" w:hAnsi="Times New Roman"/>
          <w:sz w:val="18"/>
          <w:szCs w:val="18"/>
          <w:color w:val="auto"/>
        </w:rPr>
      </w:pPr>
    </w:p>
    <w:p>
      <w:pPr>
        <w:ind w:left="1500" w:hanging="195"/>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Robbins (“Mr. Robbins”).</w:t>
      </w:r>
    </w:p>
    <w:p>
      <w:pPr>
        <w:spacing w:after="0" w:line="252" w:lineRule="exact"/>
        <w:rPr>
          <w:sz w:val="20"/>
          <w:szCs w:val="20"/>
          <w:color w:val="auto"/>
        </w:rPr>
      </w:pPr>
    </w:p>
    <w:p>
      <w:pPr>
        <w:ind w:right="120" w:firstLine="1395"/>
        <w:spacing w:after="0" w:line="258" w:lineRule="auto"/>
        <w:rPr>
          <w:sz w:val="20"/>
          <w:szCs w:val="20"/>
          <w:color w:val="auto"/>
        </w:rPr>
      </w:pPr>
      <w:r>
        <w:rPr>
          <w:rFonts w:ascii="Times New Roman" w:cs="Times New Roman" w:eastAsia="Times New Roman" w:hAnsi="Times New Roman"/>
          <w:sz w:val="18"/>
          <w:szCs w:val="18"/>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and Glenview Capital Opportunity Fund, L.P., a Delaware limited partnership (“Glenview Capital Opportunity Fund”).</w:t>
      </w:r>
    </w:p>
    <w:p>
      <w:pPr>
        <w:spacing w:after="0" w:line="184" w:lineRule="exact"/>
        <w:rPr>
          <w:sz w:val="20"/>
          <w:szCs w:val="20"/>
          <w:color w:val="auto"/>
        </w:rPr>
      </w:pPr>
    </w:p>
    <w:p>
      <w:pPr>
        <w:ind w:right="180" w:firstLine="1297"/>
        <w:spacing w:after="0" w:line="266" w:lineRule="auto"/>
        <w:rPr>
          <w:sz w:val="20"/>
          <w:szCs w:val="20"/>
          <w:color w:val="auto"/>
        </w:rPr>
      </w:pPr>
      <w:r>
        <w:rPr>
          <w:rFonts w:ascii="Times New Roman" w:cs="Times New Roman" w:eastAsia="Times New Roman" w:hAnsi="Times New Roman"/>
          <w:sz w:val="18"/>
          <w:szCs w:val="18"/>
          <w:color w:val="auto"/>
        </w:rPr>
        <w:t>Glenview Capital Management serves as investment manager to each of Glenview Capital Partners, Glenview Capital Master Fund, Glenview Institutional Partners, Glenview Offshore Opportunity Master Fund, and Glenview Capital Opportunity Fund. Mr. Robbins is the Chief Executive Officer of Glenview Capital Management.</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5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Glenview Capital Management and Mr. Robbins is 767 Fifth Avenue, 44th Floor, New York, New York 10153.</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56" w:lineRule="exact"/>
        <w:rPr>
          <w:sz w:val="20"/>
          <w:szCs w:val="20"/>
          <w:color w:val="auto"/>
        </w:rPr>
      </w:pPr>
    </w:p>
    <w:p>
      <w:pPr>
        <w:ind w:left="1500" w:hanging="195"/>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Glenview Capital Management is a Delaware limited liability company;</w:t>
      </w:r>
    </w:p>
    <w:p>
      <w:pPr>
        <w:spacing w:after="0" w:line="252" w:lineRule="exact"/>
        <w:rPr>
          <w:rFonts w:ascii="Times New Roman" w:cs="Times New Roman" w:eastAsia="Times New Roman" w:hAnsi="Times New Roman"/>
          <w:sz w:val="18"/>
          <w:szCs w:val="18"/>
          <w:color w:val="auto"/>
        </w:rPr>
      </w:pPr>
    </w:p>
    <w:p>
      <w:pPr>
        <w:ind w:left="1500" w:hanging="195"/>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Robbins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$0.01 par value per share (the “Shares”)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color w:val="auto"/>
        </w:rPr>
        <w:t>Page 5 of 10 Pages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Whether the Person Filing is a:</w:t>
      </w:r>
    </w:p>
    <w:p>
      <w:pPr>
        <w:spacing w:after="0" w:line="200" w:lineRule="exact"/>
        <w:rPr>
          <w:sz w:val="20"/>
          <w:szCs w:val="20"/>
          <w:color w:val="auto"/>
        </w:rPr>
      </w:pPr>
    </w:p>
    <w:p>
      <w:pPr>
        <w:sectPr>
          <w:pgSz w:w="11900" w:h="16838" w:orient="portrait"/>
          <w:cols w:equalWidth="0" w:num="2">
            <w:col w:w="580" w:space="720"/>
            <w:col w:w="10120"/>
          </w:cols>
          <w:pgMar w:left="240" w:top="607" w:right="2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Item 3 is not applicable.</w:t>
      </w:r>
    </w:p>
    <w:p>
      <w:pPr>
        <w:sectPr>
          <w:pgSz w:w="11900" w:h="16838" w:orient="portrait"/>
          <w:cols w:equalWidth="0" w:num="1">
            <w:col w:w="11420"/>
          </w:cols>
          <w:pgMar w:left="240" w:top="607" w:right="239" w:bottom="1440" w:gutter="0" w:footer="0" w:header="0"/>
          <w:type w:val="continuous"/>
        </w:sectPr>
      </w:pPr>
    </w:p>
    <w:p>
      <w:pPr>
        <w:spacing w:after="0" w:line="250" w:lineRule="exact"/>
        <w:rPr>
          <w:sz w:val="20"/>
          <w:szCs w:val="20"/>
          <w:color w:val="auto"/>
        </w:rPr>
      </w:pPr>
    </w:p>
    <w:p>
      <w:pPr>
        <w:spacing w:after="0" w:line="534" w:lineRule="auto"/>
        <w:rPr>
          <w:sz w:val="20"/>
          <w:szCs w:val="20"/>
          <w:color w:val="auto"/>
        </w:rPr>
      </w:pPr>
      <w:r>
        <w:rPr>
          <w:rFonts w:ascii="Times New Roman" w:cs="Times New Roman" w:eastAsia="Times New Roman" w:hAnsi="Times New Roman"/>
          <w:sz w:val="18"/>
          <w:szCs w:val="18"/>
          <w:b w:val="1"/>
          <w:bCs w:val="1"/>
          <w:color w:val="auto"/>
        </w:rPr>
        <w:t>Item 4. Item 4(a)</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Beneficially Owned:</w:t>
      </w:r>
    </w:p>
    <w:p>
      <w:pPr>
        <w:spacing w:after="0" w:line="255" w:lineRule="exact"/>
        <w:rPr>
          <w:sz w:val="20"/>
          <w:szCs w:val="20"/>
          <w:color w:val="auto"/>
        </w:rPr>
      </w:pPr>
    </w:p>
    <w:p>
      <w:pPr>
        <w:sectPr>
          <w:pgSz w:w="11900" w:h="16838" w:orient="portrait"/>
          <w:cols w:equalWidth="0" w:num="2">
            <w:col w:w="720" w:space="580"/>
            <w:col w:w="10120"/>
          </w:cols>
          <w:pgMar w:left="240" w:top="607" w:right="239" w:bottom="1440" w:gutter="0" w:footer="0" w:header="0"/>
          <w:type w:val="continuous"/>
        </w:sectPr>
      </w:pPr>
    </w:p>
    <w:p>
      <w:pPr>
        <w:ind w:right="180" w:firstLine="1297"/>
        <w:spacing w:after="0" w:line="261" w:lineRule="auto"/>
        <w:rPr>
          <w:sz w:val="20"/>
          <w:szCs w:val="20"/>
          <w:color w:val="auto"/>
        </w:rPr>
      </w:pPr>
      <w:r>
        <w:rPr>
          <w:rFonts w:ascii="Times New Roman" w:cs="Times New Roman" w:eastAsia="Times New Roman" w:hAnsi="Times New Roman"/>
          <w:sz w:val="18"/>
          <w:szCs w:val="18"/>
          <w:color w:val="auto"/>
        </w:rPr>
        <w:t>As of December 31, 2016, each of Glenview Capital Management and Mr. Robbins may be deemed the beneficial owner of 1,732,470 Shares. This amount consists of: (A) 50,367 Shares held for the account of Glenview Capital Partners; (B) 825,894 Shares held for the account of Glenview Capital Master Fund; (C) 396,478 Shares held for the account of Glenview Institutional Partners; (D) 271,586 Shares held for the account of Glenview Offshore Opportunity Master Fund; and (E) 188,145 Shares held for the account of Glenview Capital Opportunity Fund.</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256" w:lineRule="exact"/>
        <w:rPr>
          <w:sz w:val="20"/>
          <w:szCs w:val="20"/>
          <w:color w:val="auto"/>
        </w:rPr>
      </w:pPr>
    </w:p>
    <w:p>
      <w:pPr>
        <w:ind w:right="300" w:firstLine="1297"/>
        <w:spacing w:after="0" w:line="266" w:lineRule="auto"/>
        <w:rPr>
          <w:sz w:val="20"/>
          <w:szCs w:val="20"/>
          <w:color w:val="auto"/>
        </w:rPr>
      </w:pPr>
      <w:r>
        <w:rPr>
          <w:rFonts w:ascii="Times New Roman" w:cs="Times New Roman" w:eastAsia="Times New Roman" w:hAnsi="Times New Roman"/>
          <w:sz w:val="18"/>
          <w:szCs w:val="18"/>
          <w:color w:val="auto"/>
        </w:rPr>
        <w:t>As of December 31, 2016, each of the Reporting Persons may be deemed the beneficial owner of approximately 2.58% of Shares outstanding. (There were approximately 67,058,656 Shares outstanding as of November 2, 2016, according to the Issuer’s quarterly report on Form 10-Q, filed November 4, 2016.)</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4(c)</w:t>
      </w:r>
      <w:r>
        <w:rPr>
          <w:sz w:val="20"/>
          <w:szCs w:val="20"/>
          <w:color w:val="auto"/>
        </w:rPr>
        <w:tab/>
      </w:r>
      <w:r>
        <w:rPr>
          <w:rFonts w:ascii="Times New Roman" w:cs="Times New Roman" w:eastAsia="Times New Roman" w:hAnsi="Times New Roman"/>
          <w:sz w:val="18"/>
          <w:szCs w:val="18"/>
          <w:b w:val="1"/>
          <w:bCs w:val="1"/>
          <w:color w:val="auto"/>
        </w:rPr>
        <w:t>Number of Shares as to which such person has: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1,732,470</w:t>
            </w: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1,732,470</w:t>
            </w:r>
          </w:p>
        </w:tc>
      </w:tr>
    </w:tbl>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56" w:lineRule="exact"/>
        <w:rPr>
          <w:sz w:val="20"/>
          <w:szCs w:val="20"/>
          <w:color w:val="auto"/>
        </w:rPr>
      </w:pPr>
    </w:p>
    <w:p>
      <w:pPr>
        <w:jc w:val="both"/>
        <w:ind w:firstLine="1297"/>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right="340" w:firstLine="1297"/>
        <w:spacing w:after="0" w:line="266"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6 of 10 Pages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Being Reported on By the Parent Holding Company or Control Person:</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disclosure in Item 2 hereof.</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8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100" w:firstLine="1297"/>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10 Pages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 8 of 10 Pages</w:t>
            </w:r>
          </w:p>
        </w:tc>
      </w:tr>
      <w:tr>
        <w:trPr>
          <w:trHeight w:val="43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780" w:type="dxa"/>
            <w:vAlign w:val="bottom"/>
            <w:gridSpan w:val="2"/>
          </w:tcPr>
          <w:p>
            <w:pPr>
              <w:jc w:val="right"/>
              <w:ind w:right="49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Page No.</w:t>
            </w:r>
          </w:p>
        </w:tc>
      </w:tr>
      <w:tr>
        <w:trPr>
          <w:trHeight w:val="43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Joint Filing Agreement</w:t>
            </w: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of Attorney</w:t>
            </w: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821"/>
        </w:trPr>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9 of 10 Pages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ManpowerGroup Inc. dated as of February 14, 2017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9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Power of Attorney revokes the previous Power of Attorney, executed by the undersigned on February 10, 2009, and shall remain in effect until revoked, in writing, by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this 2nd day of February,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Larry Robbins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1147445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8"/>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2019-12-16T08:41:53Z</dcterms:created>
  <dcterms:modified xsi:type="dcterms:W3CDTF">2019-12-16T08:41:53Z</dcterms:modified>
</cp:coreProperties>
</file>