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Frankiewicz Rebecca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MANPOWERGROUP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MANPOWER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02/14/2025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ManpowerGroup Inc.</w:t>
              </w:r>
            </w:hyperlink>
            <w:r>
              <w:rPr/>
              <w:t xml:space="preserve"> [ </w:t>
            </w:r>
            <w:r>
              <w:rPr>
                <w:rFonts w:ascii="Times;serif" w:hAnsi="Times;serif"/>
                <w:color w:val="0000FF"/>
                <w:sz w:val="24"/>
                <w:shd w:fill="FFFFFF" w:val="clear"/>
              </w:rPr>
              <w:t>MAN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Regional President and CCO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7,034.304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4,535</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11,370</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will vest 100% on February 14, 2025 and will be settled in shares of ManpowerGroup common stock on a 1 for 1 basis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100% on February 17, 2026 and will be settled in shares of ManpowerGroup common stock on a 1 for 1 basis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will vest 100% on February 16, 2027 and will be settled in shares of ManpowerGroup common stock on a 1 for 1 basis upon vesting.</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Rebecca Frankiewicz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02/14/2025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8"/>
        </w:rPr>
      </w:pPr>
      <w:bookmarkStart w:id="2" w:name="man-ex24_1.htm"/>
      <w:bookmarkStart w:id="3" w:name="ksmanex24_1"/>
      <w:bookmarkEnd w:id="2"/>
      <w:bookmarkEnd w:id="3"/>
      <w:r>
        <w:rPr>
          <w:rFonts w:ascii="Times New Roman" w:hAnsi="Times New Roman"/>
          <w:b/>
          <w:color w:val="000000"/>
          <w:sz w:val="28"/>
        </w:rPr>
        <w:t>POWER OF ATTORNEY</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For Executing Forms 3, 4 and 5 and 144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 that the undersigned constitutes and appoints each of Jonas Prising, John T. McGinnis, Michelle Nettles, and Shannon Kobylarczyk, signing singly, her true and lawful attorney-in-fact 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9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 for and on behalf of the undersigned Forms 3, 4 and 5 in accordance with Section 16(a) of the Securities Exchange Act of 1934 and the rules thereunder;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97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9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execute for and on behalf of the undersigned notices on Form 144 in accordance with Rule 144 under the Securities Act of 1933;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97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9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97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w:t>
            </w:r>
          </w:p>
        </w:tc>
        <w:tc>
          <w:tcPr>
            <w:tcW w:w="97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IN WITNESS WHEREOF, the undersigned has caused this Power of Attorney to be executed effective as of the 14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February 2025.</w:t>
      </w:r>
    </w:p>
    <w:p>
      <w:pPr>
        <w:pStyle w:val="TextBody"/>
        <w:bidi w:val="0"/>
        <w:jc w:val="left"/>
        <w:rPr/>
      </w:pPr>
      <w:r>
        <w:rPr/>
        <w:t> </w:t>
      </w:r>
    </w:p>
    <w:tbl>
      <w:tblPr>
        <w:tblW w:w="2914" w:type="dxa"/>
        <w:jc w:val="left"/>
        <w:tblInd w:w="0" w:type="dxa"/>
        <w:tblLayout w:type="fixed"/>
        <w:tblCellMar>
          <w:top w:w="28" w:type="dxa"/>
          <w:left w:w="28" w:type="dxa"/>
          <w:bottom w:w="28" w:type="dxa"/>
          <w:right w:w="28" w:type="dxa"/>
        </w:tblCellMar>
      </w:tblPr>
      <w:tblGrid>
        <w:gridCol w:w="161"/>
        <w:gridCol w:w="146"/>
        <w:gridCol w:w="24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Rebecca Frankiewicz</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Rebecca Frankiewicz</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99765" TargetMode="External"/><Relationship Id="rId3" Type="http://schemas.openxmlformats.org/officeDocument/2006/relationships/hyperlink" Target="http://www.sec.gov/cgi-bin/browse-edgar?action=getcompany&amp;CIK=00008717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940</Words>
  <Characters>4832</Characters>
  <CharactersWithSpaces>5725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