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-647700</wp:posOffset>
            </wp:positionV>
            <wp:extent cx="59055" cy="6610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4138930</wp:posOffset>
            </wp:positionH>
            <wp:positionV relativeFrom="paragraph">
              <wp:posOffset>-647700</wp:posOffset>
            </wp:positionV>
            <wp:extent cx="59055" cy="6610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6298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298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875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HUNT KENNETH C</w:t>
        </w:r>
      </w:hyperlink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MANPOWER INC.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 MANPOWER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MANPOWER INC /WI/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MAN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02/16/2011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-4" w:right="660" w:firstLine="4"/>
        <w:spacing w:after="0" w:line="253" w:lineRule="auto"/>
        <w:tabs>
          <w:tab w:leader="none" w:pos="14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13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SVP, Secretary</w:t>
      </w:r>
    </w:p>
    <w:p>
      <w:pPr>
        <w:spacing w:after="0" w:line="4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4" w:space="720"/>
            <w:col w:w="3476"/>
          </w:cols>
          <w:pgMar w:left="240" w:top="225" w:right="139" w:bottom="875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</w:tcPr>
          <w:p>
            <w:pPr>
              <w:jc w:val="center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   WI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53212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02/17/2011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2,575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5,191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02/17/2011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3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3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911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66.93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(3)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4,280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70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jc w:val="center"/>
              <w:ind w:left="4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67.12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(5)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02/16/2011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6,954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02/16/2021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6,954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0.00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6,954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0.00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(7)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2,086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02/16/2011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2,086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(7)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54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0.00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2,086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(7)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2,575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02/17/2011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2,575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02/17/2011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02/17/2011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2,577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were settled in shares of Manpower common stock on a 1 for 1 basis upon vesting.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withheld by Issuer to satisfy tax withholding obligations on shares acquired on February 17, 2011 in settlement of restricted stock units.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opening price on the New York Stock Exchange on February 17, 2011.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 under the Manpower 2003 Equity Incentive Plan.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closing price on the New York Stock Exchange on February 16, 2011, the date of grant.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Options will become exercisable as to 25% of the shares covered by the option on each of the first four anniversaries of the date of grant.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60" w:firstLine="7"/>
        <w:spacing w:after="0" w:line="270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under the Manpower Inc. 2003 Equity Incentive Plan. The restricted stock units will vest 100% on February 17, 2014 and will be settled in shares of Manpower common stock on a 1 for 1 basis upon vesting.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Kenneth C. Hunt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02/18/2011</w:t>
            </w: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6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875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22305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2019-12-18T02:13:12Z</dcterms:created>
  <dcterms:modified xsi:type="dcterms:W3CDTF">2019-12-18T02:13:12Z</dcterms:modified>
</cp:coreProperties>
</file>