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an-20240503.htm"/>
      <w:bookmarkStart w:id="1" w:name="ksman20240503"/>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Date of Report (Date of earliest event reported): May 3, 2024</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MANPOWERGROUP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9243" w:type="dxa"/>
        <w:jc w:val="left"/>
        <w:tblInd w:w="0" w:type="dxa"/>
        <w:tblLayout w:type="fixed"/>
        <w:tblCellMar>
          <w:top w:w="28" w:type="dxa"/>
          <w:left w:w="28" w:type="dxa"/>
          <w:bottom w:w="28" w:type="dxa"/>
          <w:right w:w="28" w:type="dxa"/>
        </w:tblCellMar>
      </w:tblPr>
      <w:tblGrid>
        <w:gridCol w:w="3856"/>
        <w:gridCol w:w="2386"/>
        <w:gridCol w:w="3001"/>
      </w:tblGrid>
      <w:tr>
        <w:trPr/>
        <w:tc>
          <w:tcPr>
            <w:tcW w:w="385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5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238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1-10686</w:t>
            </w:r>
          </w:p>
        </w:tc>
        <w:tc>
          <w:tcPr>
            <w:tcW w:w="300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39-1672779</w:t>
            </w:r>
          </w:p>
        </w:tc>
      </w:tr>
      <w:tr>
        <w:trPr/>
        <w:tc>
          <w:tcPr>
            <w:tcW w:w="385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w:t>
            </w:r>
          </w:p>
        </w:tc>
        <w:tc>
          <w:tcPr>
            <w:tcW w:w="300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jc w:val="left"/>
        <w:rPr/>
      </w:pPr>
      <w:r>
        <w:rPr/>
        <w:t> </w:t>
      </w:r>
    </w:p>
    <w:p>
      <w:pPr>
        <w:pStyle w:val="TextBody"/>
        <w:bidi w:val="0"/>
        <w:jc w:val="left"/>
        <w:rPr/>
      </w:pPr>
      <w:r>
        <w:rPr/>
        <w:t> </w:t>
      </w:r>
    </w:p>
    <w:tbl>
      <w:tblPr>
        <w:tblW w:w="4573" w:type="dxa"/>
        <w:jc w:val="left"/>
        <w:tblInd w:w="0" w:type="dxa"/>
        <w:tblLayout w:type="fixed"/>
        <w:tblCellMar>
          <w:top w:w="28" w:type="dxa"/>
          <w:left w:w="28" w:type="dxa"/>
          <w:bottom w:w="28" w:type="dxa"/>
          <w:right w:w="28" w:type="dxa"/>
        </w:tblCellMar>
      </w:tblPr>
      <w:tblGrid>
        <w:gridCol w:w="3376"/>
        <w:gridCol w:w="146"/>
        <w:gridCol w:w="105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Manpower Place</w:t>
            </w:r>
          </w:p>
        </w:tc>
        <w:tc>
          <w:tcPr>
            <w:tcW w:w="146"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sz w:val="4"/>
                <w:szCs w:val="4"/>
              </w:rPr>
            </w:pPr>
            <w:r>
              <w:rPr>
                <w:sz w:val="4"/>
                <w:szCs w:val="4"/>
              </w:rPr>
            </w:r>
          </w:p>
        </w:tc>
      </w:tr>
      <w:tr>
        <w:trPr/>
        <w:tc>
          <w:tcPr>
            <w:tcW w:w="337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Milwaukee, Wisconsin</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53212</w:t>
            </w:r>
          </w:p>
        </w:tc>
      </w:tr>
      <w:tr>
        <w:trPr/>
        <w:tc>
          <w:tcPr>
            <w:tcW w:w="337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46" w:type="dxa"/>
            <w:tcBorders/>
            <w:vAlign w:val="center"/>
          </w:tcPr>
          <w:p>
            <w:pPr>
              <w:pStyle w:val="TableContents"/>
              <w:bidi w:val="0"/>
              <w:spacing w:before="0" w:after="283"/>
              <w:jc w:val="center"/>
              <w:rPr/>
            </w:pPr>
            <w:r>
              <w:rPr/>
              <w:t> </w:t>
            </w:r>
          </w:p>
        </w:tc>
        <w:tc>
          <w:tcPr>
            <w:tcW w:w="105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 (414) 961-1000</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953" w:type="dxa"/>
        <w:jc w:val="left"/>
        <w:tblInd w:w="0" w:type="dxa"/>
        <w:tblLayout w:type="fixed"/>
        <w:tblCellMar>
          <w:top w:w="28" w:type="dxa"/>
          <w:left w:w="28" w:type="dxa"/>
          <w:bottom w:w="28" w:type="dxa"/>
          <w:right w:w="28" w:type="dxa"/>
        </w:tblCellMar>
      </w:tblPr>
      <w:tblGrid>
        <w:gridCol w:w="2626"/>
        <w:gridCol w:w="1621"/>
        <w:gridCol w:w="3706"/>
      </w:tblGrid>
      <w:tr>
        <w:trPr/>
        <w:tc>
          <w:tcPr>
            <w:tcW w:w="262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62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62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 par value</w:t>
            </w:r>
          </w:p>
        </w:tc>
        <w:tc>
          <w:tcPr>
            <w:tcW w:w="162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MAN</w:t>
            </w:r>
          </w:p>
        </w:tc>
        <w:tc>
          <w:tcPr>
            <w:tcW w:w="3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5.07</w:t>
      </w:r>
      <w:r>
        <w:rPr>
          <w:rFonts w:ascii="Times New Roman" w:hAnsi="Times New Roman"/>
          <w:color w:val="000000"/>
          <w:sz w:val="20"/>
        </w:rPr>
        <w:t xml:space="preserve"> </w:t>
      </w:r>
      <w:r>
        <w:rPr>
          <w:rFonts w:ascii="Times New Roman" w:hAnsi="Times New Roman"/>
          <w:b/>
          <w:color w:val="000000"/>
          <w:sz w:val="20"/>
        </w:rPr>
        <w:t>Submission of Matters to a Vote of Security 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our 2024 Annual Meeting, our shareholders voted on proposals to: (1) elect eleven individuals nominated by the Board of Directors of the Company to serve until 2025; (2) ratify the appointment of Deloitte &amp; Touche LLP as our independent auditors for 2024; and (3) provide an advisory vote on the compensation of our named executive officers. The final voting results on these proposals are as follows:</w:t>
      </w:r>
    </w:p>
    <w:tbl>
      <w:tblPr>
        <w:tblW w:w="10205" w:type="dxa"/>
        <w:jc w:val="left"/>
        <w:tblInd w:w="0" w:type="dxa"/>
        <w:tblLayout w:type="fixed"/>
        <w:tblCellMar>
          <w:top w:w="28" w:type="dxa"/>
          <w:left w:w="28" w:type="dxa"/>
          <w:bottom w:w="28" w:type="dxa"/>
          <w:right w:w="28" w:type="dxa"/>
        </w:tblCellMar>
      </w:tblPr>
      <w:tblGrid>
        <w:gridCol w:w="5459"/>
        <w:gridCol w:w="146"/>
        <w:gridCol w:w="1036"/>
        <w:gridCol w:w="146"/>
        <w:gridCol w:w="931"/>
        <w:gridCol w:w="146"/>
        <w:gridCol w:w="781"/>
        <w:gridCol w:w="146"/>
        <w:gridCol w:w="931"/>
        <w:gridCol w:w="146"/>
        <w:gridCol w:w="146"/>
        <w:gridCol w:w="191"/>
      </w:tblGrid>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left"/>
              <w:rPr>
                <w:sz w:val="4"/>
                <w:szCs w:val="4"/>
              </w:rPr>
            </w:pPr>
            <w:r>
              <w:rPr>
                <w:sz w:val="4"/>
                <w:szCs w:val="4"/>
              </w:rPr>
            </w:r>
          </w:p>
        </w:tc>
      </w:tr>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Non-Votes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left"/>
              <w:rPr>
                <w:sz w:val="4"/>
                <w:szCs w:val="4"/>
              </w:rPr>
            </w:pPr>
            <w:r>
              <w:rPr>
                <w:sz w:val="4"/>
                <w:szCs w:val="4"/>
              </w:rPr>
            </w:r>
          </w:p>
        </w:tc>
      </w:tr>
      <w:tr>
        <w:trPr/>
        <w:tc>
          <w:tcPr>
            <w:tcW w:w="545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 a) Election of Jean-Philippe Courtois </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43,461,888</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90,021</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39,891</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1,197,005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 Election of John F. Ferraro</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43,380,355</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172,786</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38,659</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1,197,005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 Election of William P. Gipson</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42,759,485</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793,191</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39,124</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1,197,005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 Election of Patricia Hemingway Hall</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42,242,595</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1,310,656</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38,549</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1,197,005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 Election of Julie M. Howard</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42,358,792</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1,194,390</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38,618</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1,197,005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 Election of Ulice Payne, Jr.</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42,236,789</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1,316,918</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38,092</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1,197,005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 Election of Muriel Pénicaud</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42,758,449</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792,957</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40,394</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1,197,005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 Election of Jonas Prising</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40,311,611</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3,241,008</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39,181</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1,197,005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 Election of Paul Read</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43,458,425</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94,962</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38,412</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1,197,005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j) Election of Elizabeth P. Sartain</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42,011,594</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1,541,547</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38,658</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1,197,005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k) Election of Michael J. Van Handel</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42,684,962</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868,828</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38,010</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1,197,005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Ratification of the appointment of Deloitte &amp; Touche LLP as our independent auditors for 2024</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44,468,756</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280,161</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39,888</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Advisory vote on the compensation of our named executive officers</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40,724,708</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2,707,966</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159,125</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1,197,005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4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b/>
          <w:color w:val="000000"/>
          <w:sz w:val="20"/>
        </w:rPr>
        <w:t>Item 8.01 Other Events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3, 2024 our Board of Directors declared a semi-annual dividend of $1.54 per share. The dividend will be paid on June 14, 2024 to shareholders of record as of the close of business on June 3, 2024. The press release is attached hereto as Exhibit 99.1 and is incorporated by reference herein.</w:t>
      </w:r>
    </w:p>
    <w:p>
      <w:pPr>
        <w:pStyle w:val="TextBody"/>
        <w:bidi w:val="0"/>
        <w:jc w:val="left"/>
        <w:rPr>
          <w:rFonts w:ascii="Times New Roman" w:hAnsi="Times New Roman"/>
          <w:sz w:val="20"/>
        </w:rPr>
      </w:pPr>
      <w:r>
        <w:rPr>
          <w:rFonts w:ascii="Times New Roman" w:hAnsi="Times New Roman"/>
          <w:b/>
          <w:color w:val="000000"/>
          <w:sz w:val="20"/>
        </w:rPr>
        <w:t>Item 9.01. Exhibits</w:t>
      </w:r>
      <w:r>
        <w:rPr>
          <w:rFonts w:ascii="Times New Roman" w:hAnsi="Times New Roman"/>
          <w:color w:val="000000"/>
          <w:sz w:val="20"/>
        </w:rPr>
        <w:t xml:space="preserve"> </w:t>
      </w:r>
    </w:p>
    <w:tbl>
      <w:tblPr>
        <w:tblW w:w="7727" w:type="dxa"/>
        <w:jc w:val="left"/>
        <w:tblInd w:w="0" w:type="dxa"/>
        <w:tblLayout w:type="fixed"/>
        <w:tblCellMar>
          <w:top w:w="28" w:type="dxa"/>
          <w:left w:w="28" w:type="dxa"/>
          <w:bottom w:w="28" w:type="dxa"/>
          <w:right w:w="28" w:type="dxa"/>
        </w:tblCellMar>
      </w:tblPr>
      <w:tblGrid>
        <w:gridCol w:w="112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660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an-ex99_1.htm">
              <w:r>
                <w:rPr>
                  <w:rStyle w:val="InternetLink"/>
                  <w:rFonts w:ascii="Times New Roman" w:hAnsi="Times New Roman"/>
                  <w:color w:val="0000FF"/>
                  <w:sz w:val="20"/>
                  <w:u w:val="single"/>
                </w:rPr>
                <w:t>Press Release dated May 3, 2024</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both"/>
        <w:rPr/>
      </w:pPr>
      <w:r>
        <w:rPr/>
        <w:t> </w:t>
      </w:r>
    </w:p>
    <w:tbl>
      <w:tblPr>
        <w:tblW w:w="6989" w:type="dxa"/>
        <w:jc w:val="left"/>
        <w:tblInd w:w="0" w:type="dxa"/>
        <w:tblLayout w:type="fixed"/>
        <w:tblCellMar>
          <w:top w:w="28" w:type="dxa"/>
          <w:left w:w="28" w:type="dxa"/>
          <w:bottom w:w="28" w:type="dxa"/>
          <w:right w:w="28" w:type="dxa"/>
        </w:tblCellMar>
      </w:tblPr>
      <w:tblGrid>
        <w:gridCol w:w="1741"/>
        <w:gridCol w:w="631"/>
        <w:gridCol w:w="146"/>
        <w:gridCol w:w="4471"/>
      </w:tblGrid>
      <w:tr>
        <w:trPr/>
        <w:tc>
          <w:tcPr>
            <w:tcW w:w="1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5248"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MANPOWERGROUP INC. </w:t>
            </w:r>
          </w:p>
        </w:tc>
      </w:tr>
      <w:tr>
        <w:trPr/>
        <w:tc>
          <w:tcPr>
            <w:tcW w:w="1741" w:type="dxa"/>
            <w:tcBorders/>
            <w:vAlign w:val="center"/>
          </w:tcPr>
          <w:p>
            <w:pPr>
              <w:pStyle w:val="TableContents"/>
              <w:bidi w:val="0"/>
              <w:spacing w:before="0" w:after="283"/>
              <w:jc w:val="left"/>
              <w:rPr/>
            </w:pPr>
            <w:r>
              <w:rPr/>
              <w:t> </w:t>
            </w:r>
          </w:p>
        </w:tc>
        <w:tc>
          <w:tcPr>
            <w:tcW w:w="5248" w:type="dxa"/>
            <w:gridSpan w:val="3"/>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3, 2024</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46" w:type="dxa"/>
            <w:tcBorders/>
            <w:vAlign w:val="center"/>
          </w:tcPr>
          <w:p>
            <w:pPr>
              <w:pStyle w:val="TableContents"/>
              <w:bidi w:val="0"/>
              <w:spacing w:before="0" w:after="283"/>
              <w:jc w:val="left"/>
              <w:rPr/>
            </w:pPr>
            <w:r>
              <w:rPr/>
              <w:t> </w:t>
            </w:r>
          </w:p>
        </w:tc>
        <w:tc>
          <w:tcPr>
            <w:tcW w:w="447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Buchband</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Buchband</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General Counsel and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man-ex99_1.htm"/>
      <w:bookmarkStart w:id="3" w:name="ksmanex99_1"/>
      <w:bookmarkEnd w:id="2"/>
      <w:bookmarkEnd w:id="3"/>
      <w:r>
        <w:rPr>
          <w:rFonts w:ascii="Times New Roman" w:hAnsi="Times New Roman"/>
          <w:b/>
          <w:color w:val="000000"/>
          <w:sz w:val="24"/>
        </w:rPr>
        <w:t>EXHIBIT 99.1</w:t>
      </w:r>
      <w:r>
        <w:br w:type="page"/>
      </w:r>
    </w:p>
    <w:p>
      <w:pPr>
        <w:pStyle w:val="TextBody"/>
        <w:bidi w:val="0"/>
        <w:jc w:val="right"/>
        <w:rPr/>
      </w:pPr>
      <w:r>
        <w:rPr/>
        <w:t> </w:t>
      </w:r>
    </w:p>
    <w:p>
      <w:pPr>
        <w:pStyle w:val="TextBody"/>
        <w:bidi w:val="0"/>
        <w:jc w:val="left"/>
        <w:rPr/>
      </w:pPr>
      <w:r>
        <w:rPr/>
        <w:drawing>
          <wp:inline distT="0" distB="0" distL="0" distR="0">
            <wp:extent cx="1952625"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1066800"/>
                    </a:xfrm>
                    <a:prstGeom prst="rect">
                      <a:avLst/>
                    </a:prstGeom>
                  </pic:spPr>
                </pic:pic>
              </a:graphicData>
            </a:graphic>
          </wp:inline>
        </w:drawing>
      </w:r>
      <w:r>
        <w:rPr/>
        <w:t> </w:t>
      </w:r>
    </w:p>
    <w:tbl>
      <w:tblPr>
        <w:tblW w:w="7967" w:type="dxa"/>
        <w:jc w:val="left"/>
        <w:tblInd w:w="0" w:type="dxa"/>
        <w:tblLayout w:type="fixed"/>
        <w:tblCellMar>
          <w:top w:w="28" w:type="dxa"/>
          <w:left w:w="28" w:type="dxa"/>
          <w:bottom w:w="28" w:type="dxa"/>
          <w:right w:w="28" w:type="dxa"/>
        </w:tblCellMar>
      </w:tblPr>
      <w:tblGrid>
        <w:gridCol w:w="1566"/>
        <w:gridCol w:w="1539"/>
        <w:gridCol w:w="1096"/>
        <w:gridCol w:w="3766"/>
      </w:tblGrid>
      <w:tr>
        <w:trPr/>
        <w:tc>
          <w:tcPr>
            <w:tcW w:w="156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3105" w:type="dxa"/>
            <w:gridSpan w:val="2"/>
            <w:tcBorders/>
            <w:tcMar>
              <w:top w:w="0" w:type="dxa"/>
              <w:left w:w="0" w:type="dxa"/>
              <w:bottom w:w="0" w:type="dxa"/>
              <w:right w:w="0" w:type="dxa"/>
            </w:tcMar>
            <w:vAlign w:val="center"/>
          </w:tcPr>
          <w:p>
            <w:pPr>
              <w:pStyle w:val="TableContents"/>
              <w:bidi w:val="0"/>
              <w:spacing w:before="0" w:after="283"/>
              <w:ind w:left="0" w:right="75" w:hanging="0"/>
              <w:jc w:val="left"/>
              <w:rPr>
                <w:rFonts w:ascii="Arial" w:hAnsi="Arial"/>
                <w:b/>
                <w:color w:val="000000"/>
                <w:sz w:val="22"/>
              </w:rPr>
            </w:pPr>
            <w:r>
              <w:rPr>
                <w:rFonts w:ascii="Arial" w:hAnsi="Arial"/>
                <w:b/>
                <w:color w:val="000000"/>
                <w:sz w:val="22"/>
              </w:rPr>
              <w:t>FOR IMMEDIATE RELEASE</w:t>
            </w:r>
          </w:p>
        </w:tc>
        <w:tc>
          <w:tcPr>
            <w:tcW w:w="10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CONTACT:</w:t>
            </w:r>
          </w:p>
        </w:tc>
        <w:tc>
          <w:tcPr>
            <w:tcW w:w="3766" w:type="dxa"/>
            <w:tcBorders/>
            <w:tcMar>
              <w:top w:w="0" w:type="dxa"/>
              <w:left w:w="0" w:type="dxa"/>
              <w:bottom w:w="0" w:type="dxa"/>
              <w:right w:w="0" w:type="dxa"/>
            </w:tcMar>
            <w:vAlign w:val="center"/>
          </w:tcPr>
          <w:p>
            <w:pPr>
              <w:pStyle w:val="TableContents"/>
              <w:bidi w:val="0"/>
              <w:spacing w:before="0" w:after="283"/>
              <w:ind w:left="0" w:right="720" w:hanging="0"/>
              <w:jc w:val="left"/>
              <w:rPr/>
            </w:pPr>
            <w:r>
              <w:rPr/>
              <w:t> </w:t>
            </w:r>
          </w:p>
        </w:tc>
      </w:tr>
      <w:tr>
        <w:trPr/>
        <w:tc>
          <w:tcPr>
            <w:tcW w:w="1566" w:type="dxa"/>
            <w:tcBorders/>
            <w:tcMar>
              <w:top w:w="0" w:type="dxa"/>
              <w:left w:w="0" w:type="dxa"/>
              <w:bottom w:w="0" w:type="dxa"/>
              <w:right w:w="0" w:type="dxa"/>
            </w:tcMar>
            <w:vAlign w:val="center"/>
          </w:tcPr>
          <w:p>
            <w:pPr>
              <w:pStyle w:val="TableContents"/>
              <w:bidi w:val="0"/>
              <w:spacing w:before="0" w:after="283"/>
              <w:ind w:left="0" w:right="720" w:hanging="0"/>
              <w:jc w:val="left"/>
              <w:rPr/>
            </w:pPr>
            <w:r>
              <w:rPr/>
              <w:t> </w:t>
            </w:r>
          </w:p>
        </w:tc>
        <w:tc>
          <w:tcPr>
            <w:tcW w:w="1539" w:type="dxa"/>
            <w:tcBorders/>
            <w:tcMar>
              <w:top w:w="0" w:type="dxa"/>
              <w:left w:w="0" w:type="dxa"/>
              <w:bottom w:w="0" w:type="dxa"/>
              <w:right w:w="0" w:type="dxa"/>
            </w:tcMar>
            <w:vAlign w:val="center"/>
          </w:tcPr>
          <w:p>
            <w:pPr>
              <w:pStyle w:val="TableContents"/>
              <w:bidi w:val="0"/>
              <w:spacing w:before="0" w:after="283"/>
              <w:ind w:left="0" w:right="720" w:hanging="0"/>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ind w:left="0" w:right="72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Nick Hengst, Investor Relations Manager</w:t>
            </w:r>
            <w:r>
              <w:rPr>
                <w:rFonts w:ascii="Times New Roman" w:hAnsi="Times New Roman"/>
                <w:color w:val="000000"/>
                <w:sz w:val="20"/>
              </w:rPr>
              <w:t xml:space="preserve"> </w:t>
            </w:r>
          </w:p>
        </w:tc>
      </w:tr>
      <w:tr>
        <w:trPr/>
        <w:tc>
          <w:tcPr>
            <w:tcW w:w="1566" w:type="dxa"/>
            <w:tcBorders/>
            <w:tcMar>
              <w:top w:w="0" w:type="dxa"/>
              <w:left w:w="0" w:type="dxa"/>
              <w:bottom w:w="0" w:type="dxa"/>
              <w:right w:w="0" w:type="dxa"/>
            </w:tcMar>
            <w:vAlign w:val="center"/>
          </w:tcPr>
          <w:p>
            <w:pPr>
              <w:pStyle w:val="TableContents"/>
              <w:bidi w:val="0"/>
              <w:spacing w:before="0" w:after="283"/>
              <w:ind w:left="0" w:right="720" w:hanging="0"/>
              <w:jc w:val="left"/>
              <w:rPr/>
            </w:pPr>
            <w:r>
              <w:rPr/>
              <w:t> </w:t>
            </w:r>
          </w:p>
        </w:tc>
        <w:tc>
          <w:tcPr>
            <w:tcW w:w="1539" w:type="dxa"/>
            <w:tcBorders/>
            <w:tcMar>
              <w:top w:w="0" w:type="dxa"/>
              <w:left w:w="0" w:type="dxa"/>
              <w:bottom w:w="0" w:type="dxa"/>
              <w:right w:w="0" w:type="dxa"/>
            </w:tcMar>
            <w:vAlign w:val="center"/>
          </w:tcPr>
          <w:p>
            <w:pPr>
              <w:pStyle w:val="TableContents"/>
              <w:bidi w:val="0"/>
              <w:spacing w:before="0" w:after="283"/>
              <w:ind w:left="0" w:right="720" w:hanging="0"/>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ind w:left="0" w:right="72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ind w:left="0" w:right="720" w:hanging="0"/>
              <w:jc w:val="left"/>
              <w:rPr>
                <w:rFonts w:ascii="Arial" w:hAnsi="Arial"/>
                <w:color w:val="000000"/>
                <w:sz w:val="20"/>
              </w:rPr>
            </w:pPr>
            <w:r>
              <w:rPr>
                <w:rFonts w:ascii="Arial" w:hAnsi="Arial"/>
                <w:color w:val="000000"/>
                <w:sz w:val="20"/>
              </w:rPr>
              <w:t>+1.414.906.7356</w:t>
            </w:r>
          </w:p>
        </w:tc>
      </w:tr>
      <w:tr>
        <w:trPr/>
        <w:tc>
          <w:tcPr>
            <w:tcW w:w="1566" w:type="dxa"/>
            <w:tcBorders/>
            <w:tcMar>
              <w:top w:w="0" w:type="dxa"/>
              <w:left w:w="0" w:type="dxa"/>
              <w:bottom w:w="0" w:type="dxa"/>
              <w:right w:w="0" w:type="dxa"/>
            </w:tcMar>
            <w:vAlign w:val="center"/>
          </w:tcPr>
          <w:p>
            <w:pPr>
              <w:pStyle w:val="TableContents"/>
              <w:bidi w:val="0"/>
              <w:spacing w:before="0" w:after="283"/>
              <w:ind w:left="0" w:right="720" w:hanging="0"/>
              <w:jc w:val="left"/>
              <w:rPr/>
            </w:pPr>
            <w:r>
              <w:rPr/>
              <w:t> </w:t>
            </w:r>
          </w:p>
        </w:tc>
        <w:tc>
          <w:tcPr>
            <w:tcW w:w="1539" w:type="dxa"/>
            <w:tcBorders/>
            <w:tcMar>
              <w:top w:w="0" w:type="dxa"/>
              <w:left w:w="0" w:type="dxa"/>
              <w:bottom w:w="0" w:type="dxa"/>
              <w:right w:w="0" w:type="dxa"/>
            </w:tcMar>
            <w:vAlign w:val="center"/>
          </w:tcPr>
          <w:p>
            <w:pPr>
              <w:pStyle w:val="TableContents"/>
              <w:bidi w:val="0"/>
              <w:spacing w:before="0" w:after="283"/>
              <w:ind w:left="0" w:right="720" w:hanging="0"/>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ind w:left="0" w:right="720" w:hanging="0"/>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Arial" w:hAnsi="Arial"/>
                <w:color w:val="0000FF"/>
                <w:sz w:val="20"/>
                <w:u w:val="single"/>
              </w:rPr>
            </w:pPr>
            <w:r>
              <w:rPr>
                <w:rFonts w:ascii="Arial" w:hAnsi="Arial"/>
                <w:color w:val="0000FF"/>
                <w:sz w:val="20"/>
                <w:u w:val="single"/>
              </w:rPr>
              <w:t>nicholas.hengst@manpowergroup.com</w:t>
            </w:r>
          </w:p>
          <w:p>
            <w:pPr>
              <w:pStyle w:val="TableContents"/>
              <w:bidi w:val="0"/>
              <w:spacing w:before="0" w:after="283"/>
              <w:jc w:val="left"/>
              <w:rPr/>
            </w:pPr>
            <w:r>
              <w:rPr/>
              <w:t> </w:t>
            </w:r>
          </w:p>
        </w:tc>
      </w:tr>
    </w:tbl>
    <w:p>
      <w:pPr>
        <w:pStyle w:val="TextBody"/>
        <w:bidi w:val="0"/>
        <w:jc w:val="center"/>
        <w:rPr>
          <w:rFonts w:ascii="Arial" w:hAnsi="Arial"/>
          <w:b/>
          <w:color w:val="000000"/>
          <w:sz w:val="22"/>
        </w:rPr>
      </w:pPr>
      <w:r>
        <w:rPr>
          <w:rFonts w:ascii="Arial" w:hAnsi="Arial"/>
          <w:b/>
          <w:color w:val="000000"/>
          <w:sz w:val="22"/>
        </w:rPr>
        <w:t>ManpowerGroup Increases Dividend 4.8 Percent</w:t>
      </w:r>
    </w:p>
    <w:p>
      <w:pPr>
        <w:pStyle w:val="TextBody"/>
        <w:bidi w:val="0"/>
        <w:jc w:val="left"/>
        <w:rPr>
          <w:rFonts w:ascii="Times New Roman" w:hAnsi="Times New Roman"/>
          <w:sz w:val="20"/>
        </w:rPr>
      </w:pPr>
      <w:r>
        <w:rPr>
          <w:rFonts w:ascii="Arial" w:hAnsi="Arial"/>
          <w:b/>
          <w:color w:val="000000"/>
          <w:sz w:val="20"/>
        </w:rPr>
        <w:t>MILWAUKEE (May 3, 2024)</w:t>
      </w:r>
      <w:r>
        <w:rPr>
          <w:rFonts w:ascii="Times New Roman" w:hAnsi="Times New Roman"/>
          <w:color w:val="FF0000"/>
          <w:sz w:val="20"/>
        </w:rPr>
        <w:t xml:space="preserve"> </w:t>
      </w:r>
      <w:r>
        <w:rPr>
          <w:rFonts w:ascii="Times New Roman" w:hAnsi="Times New Roman"/>
          <w:color w:val="000000"/>
          <w:sz w:val="20"/>
        </w:rPr>
        <w:t xml:space="preserve">– </w:t>
      </w:r>
      <w:r>
        <w:rPr>
          <w:rFonts w:ascii="Arial" w:hAnsi="Arial"/>
          <w:color w:val="000000"/>
          <w:sz w:val="20"/>
        </w:rPr>
        <w:t>The Board of Directors of ManpowerGroup (NYSE: MAN) has declared a semi-annual dividend of $1.54 per share, a 4.8 percent increase from the most recent semi-annual dividend of $1.47 per share.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dividend is payable on June 14, 2024 to shareholders of record as of the close of business on June 3, 2024.</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 xml:space="preserve">Additional financial information about ManpowerGroup, including stock history and annual shareholder reports, can be found at </w:t>
      </w:r>
      <w:r>
        <w:rPr>
          <w:rFonts w:ascii="Arial" w:hAnsi="Arial"/>
          <w:color w:val="0000FF"/>
          <w:sz w:val="20"/>
          <w:u w:val="single"/>
        </w:rPr>
        <w:t>http://investor.manpowergroup.com</w:t>
      </w:r>
      <w:r>
        <w:rPr>
          <w:rFonts w:ascii="Arial" w:hAnsi="Arial"/>
          <w:color w:val="000000"/>
          <w:sz w:val="20"/>
        </w:rPr>
        <w:t>.</w:t>
      </w:r>
    </w:p>
    <w:p>
      <w:pPr>
        <w:pStyle w:val="TextBody"/>
        <w:bidi w:val="0"/>
        <w:jc w:val="center"/>
        <w:rPr>
          <w:rFonts w:ascii="Arial" w:hAnsi="Arial"/>
          <w:color w:val="000000"/>
          <w:sz w:val="20"/>
        </w:rPr>
      </w:pPr>
      <w:r>
        <w:rPr>
          <w:rFonts w:ascii="Arial" w:hAnsi="Arial"/>
          <w:color w:val="000000"/>
          <w:sz w:val="20"/>
        </w:rPr>
        <w:t>###</w:t>
      </w:r>
    </w:p>
    <w:p>
      <w:pPr>
        <w:pStyle w:val="TextBody"/>
        <w:bidi w:val="0"/>
        <w:jc w:val="left"/>
        <w:rPr>
          <w:rFonts w:ascii="Arial" w:hAnsi="Arial"/>
          <w:b/>
          <w:color w:val="000000"/>
          <w:sz w:val="20"/>
        </w:rPr>
      </w:pPr>
      <w:r>
        <w:rPr>
          <w:rFonts w:ascii="Arial" w:hAnsi="Arial"/>
          <w:b/>
          <w:color w:val="000000"/>
          <w:sz w:val="20"/>
        </w:rPr>
        <w:t>ABOUT MANPOWERGROUP</w:t>
      </w:r>
    </w:p>
    <w:p>
      <w:pPr>
        <w:pStyle w:val="TextBody"/>
        <w:bidi w:val="0"/>
        <w:jc w:val="left"/>
        <w:rPr>
          <w:rFonts w:ascii="Times New Roman" w:hAnsi="Times New Roman"/>
          <w:sz w:val="20"/>
        </w:rPr>
      </w:pPr>
      <w:r>
        <w:rPr>
          <w:rFonts w:ascii="Arial" w:hAnsi="Arial"/>
          <w:color w:val="000000"/>
          <w:sz w:val="20"/>
        </w:rPr>
        <w:t xml:space="preserve">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75 years. We are recognized consistently for our diversity – as a best place to work for Women, Inclusion, Equality, and Disability, and in 2024 ManpowerGroup was named one of the World's Most Ethical Companies for the 15th time – all confirming our position as the brand of choice for in-demand talent. For more information, visit </w:t>
      </w:r>
      <w:r>
        <w:rPr>
          <w:rFonts w:ascii="Arial" w:hAnsi="Arial"/>
          <w:color w:val="0000FF"/>
          <w:sz w:val="20"/>
          <w:u w:val="single"/>
        </w:rPr>
        <w:t>www.manpowergroup.com</w:t>
      </w:r>
      <w:r>
        <w:rPr>
          <w:rFonts w:ascii="Arial" w:hAnsi="Arial"/>
          <w:color w:val="000000"/>
          <w:sz w:val="20"/>
        </w:rPr>
        <w:t>.</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902</Words>
  <Characters>5074</Characters>
  <CharactersWithSpaces>6162</CharactersWithSpaces>
  <Paragraphs>417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