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4, 2018</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Wisconsin</w:t>
            </w:r>
          </w:p>
        </w:tc>
        <w:tc>
          <w:tcPr>
            <w:tcW w:w="2780" w:type="dxa"/>
            <w:vAlign w:val="bottom"/>
          </w:tcPr>
          <w:p>
            <w:pPr>
              <w:jc w:val="right"/>
              <w:ind w:right="1090"/>
              <w:spacing w:after="0"/>
              <w:rPr>
                <w:sz w:val="20"/>
                <w:szCs w:val="20"/>
                <w:color w:val="auto"/>
              </w:rPr>
            </w:pPr>
            <w:r>
              <w:rPr>
                <w:rFonts w:ascii="Arial" w:cs="Arial" w:eastAsia="Arial" w:hAnsi="Arial"/>
                <w:sz w:val="18"/>
                <w:szCs w:val="18"/>
                <w:b w:val="1"/>
                <w:bCs w:val="1"/>
                <w:color w:val="auto"/>
              </w:rPr>
              <w:t>1-10686</w:t>
            </w:r>
          </w:p>
        </w:tc>
        <w:tc>
          <w:tcPr>
            <w:tcW w:w="3500" w:type="dxa"/>
            <w:vAlign w:val="bottom"/>
          </w:tcPr>
          <w:p>
            <w:pPr>
              <w:jc w:val="right"/>
              <w:ind w:right="123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7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(Commission File Number)</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29"/>
        </w:trPr>
        <w:tc>
          <w:tcPr>
            <w:tcW w:w="4700" w:type="dxa"/>
            <w:vAlign w:val="bottom"/>
          </w:tcPr>
          <w:p>
            <w:pPr>
              <w:jc w:val="center"/>
              <w:ind w:left="1170"/>
              <w:spacing w:after="0"/>
              <w:rPr>
                <w:sz w:val="20"/>
                <w:szCs w:val="20"/>
                <w:color w:val="auto"/>
              </w:rPr>
            </w:pPr>
            <w:r>
              <w:rPr>
                <w:rFonts w:ascii="Arial" w:cs="Arial" w:eastAsia="Arial" w:hAnsi="Arial"/>
                <w:sz w:val="18"/>
                <w:szCs w:val="18"/>
                <w:b w:val="1"/>
                <w:bCs w:val="1"/>
                <w:color w:val="auto"/>
                <w:w w:val="90"/>
              </w:rPr>
              <w:t>100 Manpower Place</w:t>
            </w:r>
          </w:p>
        </w:tc>
        <w:tc>
          <w:tcPr>
            <w:tcW w:w="27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70"/>
        </w:trPr>
        <w:tc>
          <w:tcPr>
            <w:tcW w:w="4700" w:type="dxa"/>
            <w:vAlign w:val="bottom"/>
          </w:tcPr>
          <w:p>
            <w:pPr>
              <w:jc w:val="center"/>
              <w:ind w:left="1170"/>
              <w:spacing w:after="0"/>
              <w:rPr>
                <w:sz w:val="20"/>
                <w:szCs w:val="20"/>
                <w:color w:val="auto"/>
              </w:rPr>
            </w:pPr>
            <w:r>
              <w:rPr>
                <w:rFonts w:ascii="Arial" w:cs="Arial" w:eastAsia="Arial" w:hAnsi="Arial"/>
                <w:sz w:val="18"/>
                <w:szCs w:val="18"/>
                <w:b w:val="1"/>
                <w:bCs w:val="1"/>
                <w:color w:val="auto"/>
                <w:w w:val="90"/>
              </w:rPr>
              <w:t>Milwaukee, Wisconsin</w:t>
            </w:r>
          </w:p>
        </w:tc>
        <w:tc>
          <w:tcPr>
            <w:tcW w:w="2780" w:type="dxa"/>
            <w:vAlign w:val="bottom"/>
          </w:tcPr>
          <w:p>
            <w:pPr>
              <w:spacing w:after="0"/>
              <w:rPr>
                <w:sz w:val="23"/>
                <w:szCs w:val="23"/>
                <w:color w:val="auto"/>
              </w:rPr>
            </w:pPr>
          </w:p>
        </w:tc>
        <w:tc>
          <w:tcPr>
            <w:tcW w:w="3500" w:type="dxa"/>
            <w:vAlign w:val="bottom"/>
          </w:tcPr>
          <w:p>
            <w:pPr>
              <w:jc w:val="right"/>
              <w:ind w:right="2190"/>
              <w:spacing w:after="0"/>
              <w:rPr>
                <w:sz w:val="20"/>
                <w:szCs w:val="20"/>
                <w:color w:val="auto"/>
              </w:rPr>
            </w:pPr>
            <w:r>
              <w:rPr>
                <w:rFonts w:ascii="Arial" w:cs="Arial" w:eastAsia="Arial" w:hAnsi="Arial"/>
                <w:sz w:val="18"/>
                <w:szCs w:val="18"/>
                <w:b w:val="1"/>
                <w:bCs w:val="1"/>
                <w:color w:val="auto"/>
              </w:rPr>
              <w:t>53212</w:t>
            </w:r>
          </w:p>
        </w:tc>
      </w:tr>
      <w:tr>
        <w:trPr>
          <w:trHeight w:val="34"/>
        </w:trPr>
        <w:tc>
          <w:tcPr>
            <w:tcW w:w="4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jc w:val="center"/>
              <w:ind w:left="11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80" w:type="dxa"/>
            <w:vAlign w:val="bottom"/>
          </w:tcPr>
          <w:p>
            <w:pPr>
              <w:spacing w:after="0"/>
              <w:rPr>
                <w:sz w:val="21"/>
                <w:szCs w:val="21"/>
                <w:color w:val="auto"/>
              </w:rPr>
            </w:pPr>
          </w:p>
        </w:tc>
        <w:tc>
          <w:tcPr>
            <w:tcW w:w="350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(Zip Code)</w:t>
            </w:r>
          </w:p>
        </w:tc>
      </w:tr>
    </w:tbl>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41"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1"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1"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3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46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311" w:lineRule="auto"/>
        <w:rPr>
          <w:sz w:val="20"/>
          <w:szCs w:val="20"/>
          <w:color w:val="auto"/>
        </w:rPr>
      </w:pPr>
      <w:r>
        <w:rPr>
          <w:rFonts w:ascii="Arial" w:cs="Arial" w:eastAsia="Arial" w:hAnsi="Arial"/>
          <w:sz w:val="18"/>
          <w:szCs w:val="18"/>
          <w:color w:val="auto"/>
        </w:rPr>
        <w:t>At our 2018 Annual Meeting, our shareholders voted on proposals to: (1) elect twelve individuals nominated by the Board of Directors of the Company to serve until 2019; (2) ratify the appointment of Deloitte &amp; Touche LLP as our independent auditors for 2018; and (3) provide an advisory vote on the compensation of our named executive officers. The final voting results on these proposals are as follows: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0"/>
        </w:trPr>
        <w:tc>
          <w:tcPr>
            <w:tcW w:w="5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w w:val="89"/>
              </w:rPr>
              <w:t>For</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w w:val="87"/>
              </w:rPr>
              <w:t>Against</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w w:val="87"/>
              </w:rPr>
              <w:t>Abstain</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Non-Votes</w:t>
            </w:r>
          </w:p>
        </w:tc>
      </w:tr>
      <w:tr>
        <w:trPr>
          <w:trHeight w:val="20"/>
        </w:trPr>
        <w:tc>
          <w:tcPr>
            <w:tcW w:w="5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360" w:type="dxa"/>
            <w:vAlign w:val="bottom"/>
          </w:tcPr>
          <w:p>
            <w:pPr>
              <w:spacing w:after="0"/>
              <w:rPr>
                <w:sz w:val="20"/>
                <w:szCs w:val="20"/>
                <w:color w:val="auto"/>
              </w:rPr>
            </w:pPr>
            <w:r>
              <w:rPr>
                <w:rFonts w:ascii="Arial" w:cs="Arial" w:eastAsia="Arial" w:hAnsi="Arial"/>
                <w:sz w:val="18"/>
                <w:szCs w:val="18"/>
                <w:color w:val="auto"/>
              </w:rPr>
              <w:t>1. a) Election of Gina R. Boswell</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55,360,148</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590,568</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13,448</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b) Election of Cari M. Dominguez</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55,575,297</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375,367</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13,500</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c) Election of William Downe</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55,597,068</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350,921</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16,175</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d) Election of John F. Ferraro</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55,909,508</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39,103</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15,553</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e) Election of Patricia Hemingway Hall</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54,033,979</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1,916,230</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13,955</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f) Election of Julie M. Howard</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47,400,345</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8,550,214</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13,605</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g) Election of Ulice Payne, Jr.</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55,862,746</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86,505</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14,913</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h) Election of Jonas Prising</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52,024,024</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2,155,548</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89"/>
              </w:rPr>
              <w:t>1,784,592</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i) Election of Paul Read</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55,913,084</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35,784</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15,296</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j) Election of Elizabeth P. Sartain</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55,935,613</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15,112</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13,439</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k) Election of Michael J. Van Handel</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55,804,491</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144,203</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15,470</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rPr>
              <w:t>l) Election of John R. Walter</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55,123,546</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825,498</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15,120</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r>
        <w:trPr>
          <w:trHeight w:val="553"/>
        </w:trPr>
        <w:tc>
          <w:tcPr>
            <w:tcW w:w="5360" w:type="dxa"/>
            <w:vAlign w:val="bottom"/>
          </w:tcPr>
          <w:p>
            <w:pPr>
              <w:spacing w:after="0"/>
              <w:rPr>
                <w:sz w:val="20"/>
                <w:szCs w:val="20"/>
                <w:color w:val="auto"/>
              </w:rPr>
            </w:pPr>
            <w:r>
              <w:rPr>
                <w:rFonts w:ascii="Arial" w:cs="Arial" w:eastAsia="Arial" w:hAnsi="Arial"/>
                <w:sz w:val="18"/>
                <w:szCs w:val="18"/>
                <w:color w:val="auto"/>
              </w:rPr>
              <w:t>2. Ratification of the appointment of Deloitte &amp; Touche LLP as our</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independent auditors for 2018</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57,776,966</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626,156</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14,023</w:t>
            </w:r>
          </w:p>
        </w:tc>
        <w:tc>
          <w:tcPr>
            <w:tcW w:w="1100" w:type="dxa"/>
            <w:vAlign w:val="bottom"/>
            <w:gridSpan w:val="2"/>
          </w:tcPr>
          <w:p>
            <w:pPr>
              <w:jc w:val="center"/>
              <w:ind w:left="330"/>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567"/>
        </w:trPr>
        <w:tc>
          <w:tcPr>
            <w:tcW w:w="5360" w:type="dxa"/>
            <w:vAlign w:val="bottom"/>
          </w:tcPr>
          <w:p>
            <w:pPr>
              <w:spacing w:after="0"/>
              <w:rPr>
                <w:sz w:val="20"/>
                <w:szCs w:val="20"/>
                <w:color w:val="auto"/>
              </w:rPr>
            </w:pPr>
            <w:r>
              <w:rPr>
                <w:rFonts w:ascii="Arial" w:cs="Arial" w:eastAsia="Arial" w:hAnsi="Arial"/>
                <w:sz w:val="18"/>
                <w:szCs w:val="18"/>
                <w:color w:val="auto"/>
                <w:w w:val="96"/>
              </w:rPr>
              <w:t>3. Advisory vote on the compensation of our named executive officers</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51,237,898</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4,692,533</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33,733</w:t>
            </w:r>
          </w:p>
        </w:tc>
        <w:tc>
          <w:tcPr>
            <w:tcW w:w="11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2,452,981</w:t>
            </w:r>
          </w:p>
        </w:tc>
      </w:tr>
    </w:tbl>
    <w:p>
      <w:pPr>
        <w:sectPr>
          <w:pgSz w:w="11900" w:h="16838" w:orient="portrait"/>
          <w:cols w:equalWidth="0" w:num="1">
            <w:col w:w="11340"/>
          </w:cols>
          <w:pgMar w:left="240" w:top="378"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On May 4, 2018 we issued a press release announcing that our Board of Directors declared a semi-annual dividend of $1.01 per share. The dividend will be paid on June 15, 2018 to shareholders of record as of the close of business on June 1, 2018.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600" w:type="dxa"/>
            <w:vAlign w:val="bottom"/>
            <w:gridSpan w:val="3"/>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7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203"/>
        </w:trPr>
        <w:tc>
          <w:tcPr>
            <w:tcW w:w="360" w:type="dxa"/>
            <w:vAlign w:val="bottom"/>
            <w:gridSpan w:val="2"/>
          </w:tcPr>
          <w:p>
            <w:pPr>
              <w:ind w:left="40"/>
              <w:spacing w:after="0" w:line="202"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gridSpan w:val="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May 4, 2018</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7620" w:type="dxa"/>
            <w:vAlign w:val="bottom"/>
            <w:gridSpan w:val="2"/>
          </w:tcPr>
          <w:p>
            <w:pPr>
              <w:ind w:left="186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3280" w:type="dxa"/>
            <w:vAlign w:val="bottom"/>
          </w:tcPr>
          <w:p>
            <w:pPr>
              <w:spacing w:after="0"/>
              <w:rPr>
                <w:sz w:val="20"/>
                <w:szCs w:val="20"/>
                <w:color w:val="auto"/>
              </w:rPr>
            </w:pPr>
            <w:r>
              <w:rPr>
                <w:rFonts w:ascii="Arial" w:cs="Arial" w:eastAsia="Arial" w:hAnsi="Arial"/>
                <w:sz w:val="18"/>
                <w:szCs w:val="18"/>
                <w:color w:val="auto"/>
              </w:rPr>
              <w:t>Dated: May 4, 2018</w:t>
            </w:r>
          </w:p>
        </w:tc>
        <w:tc>
          <w:tcPr>
            <w:tcW w:w="2820" w:type="dxa"/>
            <w:vAlign w:val="bottom"/>
          </w:tcPr>
          <w:p>
            <w:pPr>
              <w:ind w:left="186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2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820" w:type="dxa"/>
            <w:vAlign w:val="bottom"/>
          </w:tcPr>
          <w:p>
            <w:pPr>
              <w:ind w:left="1860"/>
              <w:spacing w:after="0"/>
              <w:rPr>
                <w:sz w:val="20"/>
                <w:szCs w:val="20"/>
                <w:color w:val="auto"/>
              </w:rPr>
            </w:pPr>
            <w:r>
              <w:rPr>
                <w:rFonts w:ascii="Arial" w:cs="Arial" w:eastAsia="Arial" w:hAnsi="Arial"/>
                <w:sz w:val="18"/>
                <w:szCs w:val="18"/>
                <w:color w:val="auto"/>
              </w:rPr>
              <w:t>Title:</w:t>
            </w:r>
          </w:p>
        </w:tc>
        <w:tc>
          <w:tcPr>
            <w:tcW w:w="480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200"/>
          </w:cols>
          <w:pgMar w:left="240" w:top="378"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174625</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60"/>
        <w:spacing w:after="0"/>
        <w:tabs>
          <w:tab w:leader="none" w:pos="458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7"/>
          <w:szCs w:val="17"/>
          <w:b w:val="1"/>
          <w:bCs w:val="1"/>
          <w:color w:val="auto"/>
        </w:rPr>
        <w:t xml:space="preserve">CONTACT: </w:t>
      </w:r>
      <w:r>
        <w:rPr>
          <w:rFonts w:ascii="Arial" w:cs="Arial" w:eastAsia="Arial" w:hAnsi="Arial"/>
          <w:sz w:val="17"/>
          <w:szCs w:val="17"/>
          <w:color w:val="auto"/>
        </w:rPr>
        <w:t>Jack McGinnis</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+1.414.906.7977</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Increases Dividend 8.6 Percent</w:t>
      </w:r>
    </w:p>
    <w:p>
      <w:pPr>
        <w:spacing w:after="0" w:line="26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 xml:space="preserve">MILWAUKEE (May 4, 2018) – </w:t>
      </w:r>
      <w:r>
        <w:rPr>
          <w:rFonts w:ascii="Arial" w:cs="Arial" w:eastAsia="Arial" w:hAnsi="Arial"/>
          <w:sz w:val="18"/>
          <w:szCs w:val="18"/>
          <w:color w:val="auto"/>
        </w:rPr>
        <w:t>The Board of Directors of ManpowerGroup (NYSE: MAN) has declared a semi-annual dividend of $1.01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an 8.6 percent increase from the most recent dividend of 93 cents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June 15, 2018 to shareholders of record as of the close of business on June 1, 2018.</w:t>
      </w:r>
    </w:p>
    <w:p>
      <w:pPr>
        <w:spacing w:after="0" w:line="225" w:lineRule="exact"/>
        <w:rPr>
          <w:sz w:val="20"/>
          <w:szCs w:val="20"/>
          <w:color w:val="auto"/>
        </w:rPr>
      </w:pPr>
    </w:p>
    <w:p>
      <w:pPr>
        <w:ind w:right="1320"/>
        <w:spacing w:after="0" w:line="262" w:lineRule="auto"/>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 http://investor.manpowergroup.com.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2018, ManpowerGroup was named one of the World's Most Ethical Companies for the ninth year and one of Fortune's Most Admired Companies for the sixteenth year, confirming our position as the most trusted and admired brand in the industry. See how ManpowerGroup is powering the future of work: www.manpowergroup.com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2019-12-28T22:48:49Z</dcterms:created>
  <dcterms:modified xsi:type="dcterms:W3CDTF">2019-12-28T22:48:49Z</dcterms:modified>
</cp:coreProperties>
</file>