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960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960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Ferraro John Francis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01/01/2018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220" w:type="dxa"/>
            <w:vAlign w:val="bottom"/>
          </w:tcPr>
          <w:p>
            <w:pPr>
              <w:spacing w:after="0"/>
              <w:rPr>
                <w:sz w:val="20"/>
                <w:szCs w:val="20"/>
                <w:color w:val="auto"/>
              </w:rPr>
            </w:pPr>
            <w:r>
              <w:rPr>
                <w:rFonts w:ascii="Arial" w:cs="Arial" w:eastAsia="Arial" w:hAnsi="Arial"/>
                <w:sz w:val="18"/>
                <w:szCs w:val="18"/>
                <w:color w:val="0000FF"/>
                <w:w w:val="90"/>
              </w:rPr>
              <w:t>WI</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4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6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2"/>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jc w:val="center"/>
              <w:ind w:left="37"/>
              <w:spacing w:after="0"/>
              <w:rPr>
                <w:sz w:val="20"/>
                <w:szCs w:val="20"/>
                <w:color w:val="auto"/>
              </w:rPr>
            </w:pPr>
            <w:r>
              <w:rPr>
                <w:rFonts w:ascii="Arial" w:cs="Arial" w:eastAsia="Arial" w:hAnsi="Arial"/>
                <w:sz w:val="14"/>
                <w:szCs w:val="14"/>
                <w:color w:val="0000FF"/>
                <w:w w:val="85"/>
              </w:rPr>
              <w:t>1,269</w:t>
            </w:r>
          </w:p>
        </w:tc>
        <w:tc>
          <w:tcPr>
            <w:tcW w:w="340" w:type="dxa"/>
            <w:vAlign w:val="bottom"/>
          </w:tcPr>
          <w:p>
            <w:pPr>
              <w:spacing w:after="0"/>
              <w:rPr>
                <w:sz w:val="16"/>
                <w:szCs w:val="1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202"/>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1,269</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126.11</w:t>
            </w:r>
            <w:r>
              <w:rPr>
                <w:rFonts w:ascii="Arial" w:cs="Arial" w:eastAsia="Arial" w:hAnsi="Arial"/>
                <w:sz w:val="22"/>
                <w:szCs w:val="22"/>
                <w:color w:val="008000"/>
                <w:vertAlign w:val="superscript"/>
              </w:rPr>
              <w:t>(3)</w:t>
            </w:r>
          </w:p>
        </w:tc>
        <w:tc>
          <w:tcPr>
            <w:tcW w:w="620" w:type="dxa"/>
            <w:vAlign w:val="bottom"/>
            <w:vMerge w:val="restart"/>
          </w:tcPr>
          <w:p>
            <w:pPr>
              <w:jc w:val="center"/>
              <w:ind w:left="137"/>
              <w:spacing w:after="0"/>
              <w:rPr>
                <w:sz w:val="20"/>
                <w:szCs w:val="20"/>
                <w:color w:val="auto"/>
              </w:rPr>
            </w:pPr>
            <w:r>
              <w:rPr>
                <w:rFonts w:ascii="Arial" w:cs="Arial" w:eastAsia="Arial" w:hAnsi="Arial"/>
                <w:sz w:val="14"/>
                <w:szCs w:val="14"/>
                <w:color w:val="0000FF"/>
                <w:w w:val="85"/>
              </w:rPr>
              <w:t>1,269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600" w:type="dxa"/>
            <w:vAlign w:val="bottom"/>
            <w:vMerge w:val="restart"/>
          </w:tcPr>
          <w:p>
            <w:pPr>
              <w:jc w:val="center"/>
              <w:ind w:left="37"/>
              <w:spacing w:after="0"/>
              <w:rPr>
                <w:sz w:val="20"/>
                <w:szCs w:val="20"/>
                <w:color w:val="auto"/>
              </w:rPr>
            </w:pPr>
            <w:r>
              <w:rPr>
                <w:rFonts w:ascii="Arial" w:cs="Arial" w:eastAsia="Arial" w:hAnsi="Arial"/>
                <w:sz w:val="14"/>
                <w:szCs w:val="14"/>
                <w:color w:val="0000FF"/>
                <w:w w:val="89"/>
              </w:rPr>
              <w:t>28</w:t>
            </w:r>
          </w:p>
        </w:tc>
        <w:tc>
          <w:tcPr>
            <w:tcW w:w="340" w:type="dxa"/>
            <w:vAlign w:val="bottom"/>
          </w:tcPr>
          <w:p>
            <w:pPr>
              <w:spacing w:after="0"/>
              <w:rPr>
                <w:sz w:val="16"/>
                <w:szCs w:val="1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202"/>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9"/>
              </w:rPr>
              <w:t>28</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620" w:type="dxa"/>
            <w:vAlign w:val="bottom"/>
            <w:vMerge w:val="restart"/>
          </w:tcPr>
          <w:p>
            <w:pPr>
              <w:jc w:val="center"/>
              <w:ind w:left="137"/>
              <w:spacing w:after="0"/>
              <w:rPr>
                <w:sz w:val="20"/>
                <w:szCs w:val="20"/>
                <w:color w:val="auto"/>
              </w:rPr>
            </w:pPr>
            <w:r>
              <w:rPr>
                <w:rFonts w:ascii="Arial" w:cs="Arial" w:eastAsia="Arial" w:hAnsi="Arial"/>
                <w:sz w:val="14"/>
                <w:szCs w:val="14"/>
                <w:color w:val="0000FF"/>
                <w:w w:val="85"/>
              </w:rPr>
              <w:t>1,660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600" w:type="dxa"/>
            <w:vAlign w:val="bottom"/>
            <w:vMerge w:val="restart"/>
          </w:tcPr>
          <w:p>
            <w:pPr>
              <w:jc w:val="center"/>
              <w:ind w:left="37"/>
              <w:spacing w:after="0"/>
              <w:rPr>
                <w:sz w:val="20"/>
                <w:szCs w:val="20"/>
                <w:color w:val="auto"/>
              </w:rPr>
            </w:pPr>
            <w:r>
              <w:rPr>
                <w:rFonts w:ascii="Arial" w:cs="Arial" w:eastAsia="Arial" w:hAnsi="Arial"/>
                <w:sz w:val="14"/>
                <w:szCs w:val="14"/>
                <w:color w:val="0000FF"/>
                <w:w w:val="89"/>
              </w:rPr>
              <w:t>27</w:t>
            </w:r>
          </w:p>
        </w:tc>
        <w:tc>
          <w:tcPr>
            <w:tcW w:w="340" w:type="dxa"/>
            <w:vAlign w:val="bottom"/>
          </w:tcPr>
          <w:p>
            <w:pPr>
              <w:spacing w:after="0"/>
              <w:rPr>
                <w:sz w:val="16"/>
                <w:szCs w:val="1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(7)</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202"/>
              <w:spacing w:after="0"/>
              <w:rPr>
                <w:sz w:val="20"/>
                <w:szCs w:val="20"/>
                <w:color w:val="auto"/>
              </w:rPr>
            </w:pPr>
            <w:r>
              <w:rPr>
                <w:rFonts w:ascii="Arial" w:cs="Arial" w:eastAsia="Arial" w:hAnsi="Arial"/>
                <w:sz w:val="11"/>
                <w:szCs w:val="11"/>
                <w:color w:val="008000"/>
              </w:rPr>
              <w:t>(7)</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9"/>
              </w:rPr>
              <w:t>27</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620" w:type="dxa"/>
            <w:vAlign w:val="bottom"/>
            <w:vMerge w:val="restart"/>
          </w:tcPr>
          <w:p>
            <w:pPr>
              <w:jc w:val="center"/>
              <w:ind w:left="137"/>
              <w:spacing w:after="0"/>
              <w:rPr>
                <w:sz w:val="20"/>
                <w:szCs w:val="20"/>
                <w:color w:val="auto"/>
              </w:rPr>
            </w:pPr>
            <w:r>
              <w:rPr>
                <w:rFonts w:ascii="Arial" w:cs="Arial" w:eastAsia="Arial" w:hAnsi="Arial"/>
                <w:sz w:val="14"/>
                <w:szCs w:val="14"/>
                <w:color w:val="0000FF"/>
                <w:w w:val="85"/>
              </w:rPr>
              <w:t>1,725</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600" w:type="dxa"/>
            <w:vAlign w:val="bottom"/>
            <w:vMerge w:val="restart"/>
          </w:tcPr>
          <w:p>
            <w:pPr>
              <w:jc w:val="center"/>
              <w:ind w:left="37"/>
              <w:spacing w:after="0"/>
              <w:rPr>
                <w:sz w:val="20"/>
                <w:szCs w:val="20"/>
                <w:color w:val="auto"/>
              </w:rPr>
            </w:pPr>
            <w:r>
              <w:rPr>
                <w:rFonts w:ascii="Arial" w:cs="Arial" w:eastAsia="Arial" w:hAnsi="Arial"/>
                <w:sz w:val="14"/>
                <w:szCs w:val="14"/>
                <w:color w:val="0000FF"/>
                <w:w w:val="89"/>
              </w:rPr>
              <w:t>20</w:t>
            </w:r>
          </w:p>
        </w:tc>
        <w:tc>
          <w:tcPr>
            <w:tcW w:w="340" w:type="dxa"/>
            <w:vAlign w:val="bottom"/>
          </w:tcPr>
          <w:p>
            <w:pPr>
              <w:spacing w:after="0"/>
              <w:rPr>
                <w:sz w:val="16"/>
                <w:szCs w:val="1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(4)</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202"/>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9"/>
              </w:rPr>
              <w:t>20</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620" w:type="dxa"/>
            <w:vAlign w:val="bottom"/>
            <w:vMerge w:val="restart"/>
          </w:tcPr>
          <w:p>
            <w:pPr>
              <w:jc w:val="center"/>
              <w:ind w:left="137"/>
              <w:spacing w:after="0"/>
              <w:rPr>
                <w:sz w:val="20"/>
                <w:szCs w:val="20"/>
                <w:color w:val="auto"/>
              </w:rPr>
            </w:pPr>
            <w:r>
              <w:rPr>
                <w:rFonts w:ascii="Arial" w:cs="Arial" w:eastAsia="Arial" w:hAnsi="Arial"/>
                <w:sz w:val="14"/>
                <w:szCs w:val="14"/>
                <w:color w:val="0000FF"/>
                <w:w w:val="85"/>
              </w:rPr>
              <w:t>1,258</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(9)</w:t>
            </w:r>
          </w:p>
        </w:tc>
        <w:tc>
          <w:tcPr>
            <w:tcW w:w="600" w:type="dxa"/>
            <w:vAlign w:val="bottom"/>
            <w:vMerge w:val="restart"/>
          </w:tcPr>
          <w:p>
            <w:pPr>
              <w:jc w:val="center"/>
              <w:ind w:left="17"/>
              <w:spacing w:after="0"/>
              <w:rPr>
                <w:sz w:val="20"/>
                <w:szCs w:val="20"/>
                <w:color w:val="auto"/>
              </w:rPr>
            </w:pPr>
            <w:r>
              <w:rPr>
                <w:rFonts w:ascii="Arial" w:cs="Arial" w:eastAsia="Arial" w:hAnsi="Arial"/>
                <w:sz w:val="14"/>
                <w:szCs w:val="14"/>
                <w:color w:val="0000FF"/>
                <w:w w:val="85"/>
              </w:rPr>
              <w:t>873</w:t>
            </w:r>
          </w:p>
        </w:tc>
        <w:tc>
          <w:tcPr>
            <w:tcW w:w="340" w:type="dxa"/>
            <w:vAlign w:val="bottom"/>
          </w:tcPr>
          <w:p>
            <w:pPr>
              <w:spacing w:after="0"/>
              <w:rPr>
                <w:sz w:val="16"/>
                <w:szCs w:val="1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1"/>
                <w:szCs w:val="11"/>
                <w:color w:val="008000"/>
              </w:rPr>
              <w:t>(8)</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jc w:val="center"/>
              <w:ind w:right="202"/>
              <w:spacing w:after="0"/>
              <w:rPr>
                <w:sz w:val="20"/>
                <w:szCs w:val="20"/>
                <w:color w:val="auto"/>
              </w:rPr>
            </w:pPr>
            <w:r>
              <w:rPr>
                <w:rFonts w:ascii="Arial" w:cs="Arial" w:eastAsia="Arial" w:hAnsi="Arial"/>
                <w:sz w:val="11"/>
                <w:szCs w:val="11"/>
                <w:color w:val="008000"/>
              </w:rPr>
              <w:t>(8)</w:t>
            </w:r>
          </w:p>
        </w:tc>
        <w:tc>
          <w:tcPr>
            <w:tcW w:w="70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540" w:type="dxa"/>
            <w:vAlign w:val="bottom"/>
            <w:gridSpan w:val="2"/>
            <w:vMerge w:val="restart"/>
          </w:tcPr>
          <w:p>
            <w:pPr>
              <w:jc w:val="center"/>
              <w:ind w:right="8"/>
              <w:spacing w:after="0"/>
              <w:rPr>
                <w:sz w:val="20"/>
                <w:szCs w:val="20"/>
                <w:color w:val="auto"/>
              </w:rPr>
            </w:pPr>
            <w:r>
              <w:rPr>
                <w:rFonts w:ascii="Arial" w:cs="Arial" w:eastAsia="Arial" w:hAnsi="Arial"/>
                <w:sz w:val="18"/>
                <w:szCs w:val="18"/>
                <w:color w:val="0000FF"/>
                <w:w w:val="86"/>
              </w:rPr>
              <w:t>873</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114.54</w:t>
            </w:r>
            <w:r>
              <w:rPr>
                <w:rFonts w:ascii="Arial" w:cs="Arial" w:eastAsia="Arial" w:hAnsi="Arial"/>
                <w:sz w:val="22"/>
                <w:szCs w:val="22"/>
                <w:color w:val="008000"/>
                <w:vertAlign w:val="superscript"/>
              </w:rPr>
              <w:t>(6)</w:t>
            </w:r>
          </w:p>
        </w:tc>
        <w:tc>
          <w:tcPr>
            <w:tcW w:w="620" w:type="dxa"/>
            <w:vAlign w:val="bottom"/>
            <w:vMerge w:val="restart"/>
          </w:tcPr>
          <w:p>
            <w:pPr>
              <w:jc w:val="center"/>
              <w:ind w:left="157"/>
              <w:spacing w:after="0"/>
              <w:rPr>
                <w:sz w:val="20"/>
                <w:szCs w:val="20"/>
                <w:color w:val="auto"/>
              </w:rPr>
            </w:pPr>
            <w:r>
              <w:rPr>
                <w:rFonts w:ascii="Arial" w:cs="Arial" w:eastAsia="Arial" w:hAnsi="Arial"/>
                <w:sz w:val="14"/>
                <w:szCs w:val="14"/>
                <w:color w:val="0000FF"/>
                <w:w w:val="85"/>
              </w:rPr>
              <w:t>873</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2018 and will be settled in shares of ManpowerGroup common stock on a 1 for 1 basis on the earlier of January 1, 2021 or within 30 days after the reporting person's termination of service as a director, except as otherwise provided in the "Terms and Conditions" (as defined below).</w:t>
      </w: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2017.</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2024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ManpowerGroup common stock on a 1 for 1 basis on the earlier of January 1, 2021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100% of the Retainer (as defined in the Terms and Conditions) for 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Richard Buchband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96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636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John T. McGinnis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0" w:lineRule="exact"/>
        <w:rPr>
          <w:sz w:val="20"/>
          <w:szCs w:val="20"/>
          <w:color w:val="auto"/>
        </w:rPr>
      </w:pPr>
    </w:p>
    <w:p>
      <w:pPr>
        <w:ind w:right="820" w:firstLine="648"/>
        <w:spacing w:after="0" w:line="226" w:lineRule="auto"/>
        <w:rPr>
          <w:sz w:val="20"/>
          <w:szCs w:val="20"/>
          <w:color w:val="auto"/>
        </w:rPr>
      </w:pPr>
      <w:r>
        <w:rPr>
          <w:rFonts w:ascii="Arial" w:cs="Arial" w:eastAsia="Arial" w:hAnsi="Arial"/>
          <w:sz w:val="22"/>
          <w:szCs w:val="22"/>
          <w:color w:val="auto"/>
        </w:rPr>
        <w:t>IN WITNESS WHEREOF, the undersigned has caused this Power of Attorney to be executed as of this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2017.</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/s/ John F. Ferraro</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John F. Ferraro</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321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2019-12-23T15:25:57Z</dcterms:created>
  <dcterms:modified xsi:type="dcterms:W3CDTF">2019-12-23T15:25:57Z</dcterms:modified>
</cp:coreProperties>
</file>