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ind w:left="38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-240030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1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00" w:type="dxa"/>
            <w:vAlign w:val="bottom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14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14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-643255</wp:posOffset>
            </wp:positionV>
            <wp:extent cx="59055" cy="6565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6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4119880</wp:posOffset>
            </wp:positionH>
            <wp:positionV relativeFrom="paragraph">
              <wp:posOffset>-643255</wp:posOffset>
            </wp:positionV>
            <wp:extent cx="59055" cy="6565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6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61461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61461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528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SULLIVAN OWEN J</w:t>
        </w:r>
      </w:hyperlink>
    </w:p>
    <w:p>
      <w:pPr>
        <w:spacing w:after="0" w:line="318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 MANPOWER PLACE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MANPOWER INC /WI/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MAN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1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02/16/2011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-1" w:right="680" w:firstLine="1"/>
        <w:spacing w:after="0" w:line="250" w:lineRule="auto"/>
        <w:tabs>
          <w:tab w:leader="none" w:pos="146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199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0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3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EVP Manpower CEO Right Mgmt.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61" w:space="720"/>
            <w:col w:w="3479"/>
          </w:cols>
          <w:pgMar w:left="240" w:top="224" w:right="139" w:bottom="528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0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MILWAUKEE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</w:t>
            </w:r>
          </w:p>
        </w:tc>
        <w:tc>
          <w:tcPr>
            <w:tcW w:w="16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53212</w:t>
            </w:r>
          </w:p>
        </w:tc>
      </w:tr>
      <w:tr>
        <w:trPr>
          <w:trHeight w:val="15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00"/>
        <w:spacing w:after="0" w:line="23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4" w:right="139" w:bottom="528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5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4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40" w:type="dxa"/>
            <w:vAlign w:val="bottom"/>
            <w:gridSpan w:val="4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02/17/2011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3,090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1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5,567.0394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02/17/2011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F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1,086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66.93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(3)</w:t>
            </w: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4,481.0394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80" w:type="dxa"/>
            <w:vAlign w:val="bottom"/>
            <w:gridSpan w:val="9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 3,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 and 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4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7"/>
              </w:rPr>
              <w:t>67.12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7"/>
                <w:vertAlign w:val="superscript"/>
              </w:rPr>
              <w:t>(5)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02/16/2011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9,934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(6)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02/16/2021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9,934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0.00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lef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9,934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 w:line="2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(4)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4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4"/>
              </w:rPr>
              <w:t>0.00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4"/>
                <w:vertAlign w:val="superscript"/>
              </w:rPr>
              <w:t>(7)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2,980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jc w:val="center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02/16/2011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1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2,980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(7)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(7)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jc w:val="center"/>
              <w:ind w:righ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0.00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left="198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2,980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2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(7)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4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4"/>
              </w:rPr>
              <w:t>0.00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4"/>
                <w:vertAlign w:val="superscript"/>
              </w:rPr>
              <w:t>(8)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14,899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jc w:val="center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02/16/2011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14,899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(8)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(8)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righ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0.00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ind w:left="178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14,899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2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(8)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3,090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02/17/2011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3,090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ind w:right="1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02/17/2011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02/17/2011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left="198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3,092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restricted stock units were settled in shares of Manpower common stock on a 1 for 1 basis upon vesting.</w:t>
      </w:r>
    </w:p>
    <w:p>
      <w:pPr>
        <w:spacing w:after="0" w:line="4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withheld by Issuer to satisfy tax withholding obligations on shares acquired on February 17, 2011 in settlement of restricted stock units.</w:t>
      </w:r>
    </w:p>
    <w:p>
      <w:pPr>
        <w:spacing w:after="0" w:line="4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the opening price on the New York Stock Exchange on February 17, 2011.</w:t>
      </w:r>
    </w:p>
    <w:p>
      <w:pPr>
        <w:spacing w:after="0" w:line="4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Option grant under the Manpower 2003 Equity Incentive Plan.</w:t>
      </w:r>
    </w:p>
    <w:p>
      <w:pPr>
        <w:spacing w:after="0" w:line="4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the closing price on the New York Stock Exchange on February 16, 2011, the date of grant.</w:t>
      </w:r>
    </w:p>
    <w:p>
      <w:pPr>
        <w:spacing w:after="0" w:line="4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Options will become exercisable as to 25% of the shares covered by the option on each of the first four anniversaries of the date of grant.</w:t>
      </w:r>
    </w:p>
    <w:p>
      <w:pPr>
        <w:spacing w:after="0" w:line="4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Award of restricted stock units under the Manpower Inc. 2003 Equity Incentive Plan. The restricted stock units will vest 100% on February 17, 2014 and will be settled in shares of Manpower common stock on a</w:t>
      </w:r>
    </w:p>
    <w:p>
      <w:pPr>
        <w:spacing w:after="0" w:line="17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1 for 1 basis upon vesting.</w:t>
      </w:r>
    </w:p>
    <w:p>
      <w:pPr>
        <w:spacing w:after="0" w:line="39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Award of restricted stock units under the 2003 Plan. The restricted stock units will vest 100% on February 16, 2016 and will be settled in shares of Manpower common stock on a 1 for 1 basis upon vesting.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6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Kenneth C. Hunt (pursuant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-8890</wp:posOffset>
            </wp:positionV>
            <wp:extent cx="131635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63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to Power of Attorney previously 02/18/2011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-13335</wp:posOffset>
            </wp:positionV>
            <wp:extent cx="195135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13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filed)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-13335</wp:posOffset>
            </wp:positionV>
            <wp:extent cx="23685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8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20" w:firstLine="6"/>
        <w:spacing w:after="0" w:line="317" w:lineRule="auto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528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14486" TargetMode="External"/><Relationship Id="rId13" Type="http://schemas.openxmlformats.org/officeDocument/2006/relationships/hyperlink" Target="http://www.sec.gov/cgi-bin/browse-edgar?action=getcompany&amp;CIK=000087176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2019-12-18T02:14:52Z</dcterms:created>
  <dcterms:modified xsi:type="dcterms:W3CDTF">2019-12-18T02:14:52Z</dcterms:modified>
</cp:coreProperties>
</file>