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5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4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2"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December 17, 2010</w:t>
      </w:r>
    </w:p>
    <w:p>
      <w:pPr>
        <w:spacing w:after="0" w:line="227"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MANPOWER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35" w:lineRule="exact"/>
        <w:rPr>
          <w:sz w:val="24"/>
          <w:szCs w:val="24"/>
          <w:color w:val="auto"/>
        </w:rPr>
      </w:pPr>
    </w:p>
    <w:tbl>
      <w:tblPr>
        <w:tblLayout w:type="fixed"/>
        <w:tblInd w:w="1500" w:type="dxa"/>
        <w:tblCellMar>
          <w:top w:w="0" w:type="dxa"/>
          <w:left w:w="0" w:type="dxa"/>
          <w:bottom w:w="0" w:type="dxa"/>
          <w:right w:w="0" w:type="dxa"/>
        </w:tblCellMar>
      </w:tblPr>
      <w:tr>
        <w:trPr>
          <w:trHeight w:val="207"/>
        </w:trPr>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40" w:type="dxa"/>
            <w:vAlign w:val="bottom"/>
            <w:gridSpan w:val="3"/>
          </w:tcPr>
          <w:p>
            <w:pPr>
              <w:spacing w:after="0"/>
              <w:rPr>
                <w:sz w:val="20"/>
                <w:szCs w:val="20"/>
                <w:color w:val="auto"/>
              </w:rPr>
            </w:pPr>
            <w:r>
              <w:rPr>
                <w:rFonts w:ascii="Arial" w:cs="Arial" w:eastAsia="Arial" w:hAnsi="Arial"/>
                <w:sz w:val="18"/>
                <w:szCs w:val="18"/>
                <w:b w:val="1"/>
                <w:bCs w:val="1"/>
                <w:color w:val="auto"/>
              </w:rPr>
              <w:t>Wisconsin</w:t>
            </w:r>
          </w:p>
        </w:tc>
        <w:tc>
          <w:tcPr>
            <w:tcW w:w="2920" w:type="dxa"/>
            <w:vAlign w:val="bottom"/>
            <w:gridSpan w:val="4"/>
          </w:tcPr>
          <w:p>
            <w:pPr>
              <w:jc w:val="right"/>
              <w:ind w:right="1030"/>
              <w:spacing w:after="0"/>
              <w:rPr>
                <w:sz w:val="20"/>
                <w:szCs w:val="20"/>
                <w:color w:val="auto"/>
              </w:rPr>
            </w:pPr>
            <w:r>
              <w:rPr>
                <w:rFonts w:ascii="Arial" w:cs="Arial" w:eastAsia="Arial" w:hAnsi="Arial"/>
                <w:sz w:val="18"/>
                <w:szCs w:val="18"/>
                <w:b w:val="1"/>
                <w:bCs w:val="1"/>
                <w:color w:val="auto"/>
              </w:rPr>
              <w:t>1-10686</w:t>
            </w:r>
          </w:p>
        </w:tc>
        <w:tc>
          <w:tcPr>
            <w:tcW w:w="2120" w:type="dxa"/>
            <w:vAlign w:val="bottom"/>
            <w:gridSpan w:val="5"/>
          </w:tcPr>
          <w:p>
            <w:pPr>
              <w:jc w:val="right"/>
              <w:ind w:right="20"/>
              <w:spacing w:after="0"/>
              <w:rPr>
                <w:sz w:val="20"/>
                <w:szCs w:val="20"/>
                <w:color w:val="auto"/>
              </w:rPr>
            </w:pPr>
            <w:r>
              <w:rPr>
                <w:rFonts w:ascii="Arial" w:cs="Arial" w:eastAsia="Arial" w:hAnsi="Arial"/>
                <w:sz w:val="18"/>
                <w:szCs w:val="18"/>
                <w:b w:val="1"/>
                <w:bCs w:val="1"/>
                <w:color w:val="auto"/>
              </w:rPr>
              <w:t>39-1672779</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vMerge w:val="restart"/>
          </w:tcPr>
          <w:p>
            <w:pPr>
              <w:spacing w:after="0"/>
              <w:rPr>
                <w:sz w:val="20"/>
                <w:szCs w:val="20"/>
                <w:color w:val="auto"/>
              </w:rPr>
            </w:pPr>
            <w:r>
              <w:rPr>
                <w:rFonts w:ascii="Arial" w:cs="Arial" w:eastAsia="Arial" w:hAnsi="Arial"/>
                <w:sz w:val="18"/>
                <w:szCs w:val="18"/>
                <w:b w:val="1"/>
                <w:bCs w:val="1"/>
                <w:color w:val="auto"/>
                <w:w w:val="98"/>
              </w:rPr>
              <w:t>(State or</w:t>
            </w: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w w:val="99"/>
              </w:rPr>
              <w:t>Number)</w:t>
            </w: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74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1940" w:type="dxa"/>
            <w:vAlign w:val="bottom"/>
            <w:gridSpan w:val="3"/>
          </w:tcPr>
          <w:p>
            <w:pPr>
              <w:spacing w:after="0" w:line="178" w:lineRule="exact"/>
              <w:rPr>
                <w:sz w:val="20"/>
                <w:szCs w:val="20"/>
                <w:color w:val="auto"/>
              </w:rPr>
            </w:pPr>
            <w:r>
              <w:rPr>
                <w:rFonts w:ascii="Arial" w:cs="Arial" w:eastAsia="Arial" w:hAnsi="Arial"/>
                <w:sz w:val="18"/>
                <w:szCs w:val="18"/>
                <w:b w:val="1"/>
                <w:bCs w:val="1"/>
                <w:color w:val="auto"/>
              </w:rPr>
              <w:t>other jurisdiction of</w:t>
            </w:r>
          </w:p>
        </w:tc>
        <w:tc>
          <w:tcPr>
            <w:tcW w:w="1800" w:type="dxa"/>
            <w:vAlign w:val="bottom"/>
            <w:gridSpan w:val="3"/>
          </w:tcPr>
          <w:p>
            <w:pPr>
              <w:ind w:left="460"/>
              <w:spacing w:after="0" w:line="178" w:lineRule="exact"/>
              <w:rPr>
                <w:sz w:val="20"/>
                <w:szCs w:val="20"/>
                <w:color w:val="auto"/>
              </w:rPr>
            </w:pPr>
            <w:r>
              <w:rPr>
                <w:rFonts w:ascii="Arial" w:cs="Arial" w:eastAsia="Arial" w:hAnsi="Arial"/>
                <w:sz w:val="18"/>
                <w:szCs w:val="18"/>
                <w:b w:val="1"/>
                <w:bCs w:val="1"/>
                <w:color w:val="auto"/>
                <w:w w:val="87"/>
              </w:rPr>
              <w:t>(Commission File</w:t>
            </w:r>
          </w:p>
        </w:tc>
        <w:tc>
          <w:tcPr>
            <w:tcW w:w="1120" w:type="dxa"/>
            <w:vAlign w:val="bottom"/>
            <w:vMerge w:val="continue"/>
          </w:tcPr>
          <w:p>
            <w:pPr>
              <w:spacing w:after="0"/>
              <w:rPr>
                <w:sz w:val="15"/>
                <w:szCs w:val="15"/>
                <w:color w:val="auto"/>
              </w:rPr>
            </w:pPr>
          </w:p>
        </w:tc>
        <w:tc>
          <w:tcPr>
            <w:tcW w:w="2980" w:type="dxa"/>
            <w:vAlign w:val="bottom"/>
            <w:gridSpan w:val="6"/>
          </w:tcPr>
          <w:p>
            <w:pPr>
              <w:ind w:left="360"/>
              <w:spacing w:after="0" w:line="178" w:lineRule="exact"/>
              <w:rPr>
                <w:sz w:val="20"/>
                <w:szCs w:val="20"/>
                <w:color w:val="auto"/>
              </w:rPr>
            </w:pPr>
            <w:r>
              <w:rPr>
                <w:rFonts w:ascii="Arial" w:cs="Arial" w:eastAsia="Arial" w:hAnsi="Arial"/>
                <w:sz w:val="18"/>
                <w:szCs w:val="18"/>
                <w:b w:val="1"/>
                <w:bCs w:val="1"/>
                <w:color w:val="auto"/>
                <w:w w:val="92"/>
              </w:rPr>
              <w:t>(IRS Employer Identification No.)</w:t>
            </w:r>
          </w:p>
        </w:tc>
        <w:tc>
          <w:tcPr>
            <w:tcW w:w="0" w:type="dxa"/>
            <w:vAlign w:val="bottom"/>
          </w:tcPr>
          <w:p>
            <w:pPr>
              <w:spacing w:after="0"/>
              <w:rPr>
                <w:sz w:val="1"/>
                <w:szCs w:val="1"/>
                <w:color w:val="auto"/>
              </w:rPr>
            </w:pPr>
          </w:p>
        </w:tc>
      </w:tr>
      <w:tr>
        <w:trPr>
          <w:trHeight w:val="234"/>
        </w:trPr>
        <w:tc>
          <w:tcPr>
            <w:tcW w:w="2700" w:type="dxa"/>
            <w:vAlign w:val="bottom"/>
            <w:gridSpan w:val="5"/>
          </w:tcPr>
          <w:p>
            <w:pPr>
              <w:jc w:val="right"/>
              <w:ind w:right="1020"/>
              <w:spacing w:after="0"/>
              <w:rPr>
                <w:sz w:val="20"/>
                <w:szCs w:val="20"/>
                <w:color w:val="auto"/>
              </w:rPr>
            </w:pPr>
            <w:r>
              <w:rPr>
                <w:rFonts w:ascii="Arial" w:cs="Arial" w:eastAsia="Arial" w:hAnsi="Arial"/>
                <w:sz w:val="18"/>
                <w:szCs w:val="18"/>
                <w:b w:val="1"/>
                <w:bCs w:val="1"/>
                <w:color w:val="auto"/>
              </w:rPr>
              <w:t>incorporation)</w:t>
            </w: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4"/>
        </w:trPr>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93"/>
              </w:rPr>
              <w:t>100 Manpower Place</w:t>
            </w: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980" w:type="dxa"/>
            <w:vAlign w:val="bottom"/>
            <w:gridSpan w:val="3"/>
            <w:vMerge w:val="restart"/>
          </w:tcPr>
          <w:p>
            <w:pPr>
              <w:ind w:left="360"/>
              <w:spacing w:after="0"/>
              <w:rPr>
                <w:sz w:val="20"/>
                <w:szCs w:val="20"/>
                <w:color w:val="auto"/>
              </w:rPr>
            </w:pPr>
            <w:r>
              <w:rPr>
                <w:rFonts w:ascii="Arial" w:cs="Arial" w:eastAsia="Arial" w:hAnsi="Arial"/>
                <w:sz w:val="18"/>
                <w:szCs w:val="18"/>
                <w:b w:val="1"/>
                <w:bCs w:val="1"/>
                <w:color w:val="auto"/>
                <w:w w:val="76"/>
              </w:rPr>
              <w:t>(Address</w:t>
            </w:r>
          </w:p>
        </w:tc>
        <w:tc>
          <w:tcPr>
            <w:tcW w:w="1720" w:type="dxa"/>
            <w:vAlign w:val="bottom"/>
            <w:gridSpan w:val="2"/>
          </w:tcPr>
          <w:p>
            <w:pPr>
              <w:jc w:val="right"/>
              <w:spacing w:after="0" w:line="194" w:lineRule="exact"/>
              <w:rPr>
                <w:sz w:val="20"/>
                <w:szCs w:val="20"/>
                <w:color w:val="auto"/>
              </w:rPr>
            </w:pPr>
            <w:r>
              <w:rPr>
                <w:rFonts w:ascii="Arial" w:cs="Arial" w:eastAsia="Arial" w:hAnsi="Arial"/>
                <w:sz w:val="18"/>
                <w:szCs w:val="18"/>
                <w:b w:val="1"/>
                <w:bCs w:val="1"/>
                <w:color w:val="auto"/>
                <w:w w:val="89"/>
              </w:rPr>
              <w:t>Milwaukee, Wisconsin</w:t>
            </w:r>
          </w:p>
        </w:tc>
        <w:tc>
          <w:tcPr>
            <w:tcW w:w="2920" w:type="dxa"/>
            <w:vAlign w:val="bottom"/>
            <w:gridSpan w:val="4"/>
            <w:vMerge w:val="restart"/>
          </w:tcPr>
          <w:p>
            <w:pPr>
              <w:jc w:val="right"/>
              <w:ind w:right="2190"/>
              <w:spacing w:after="0"/>
              <w:rPr>
                <w:sz w:val="20"/>
                <w:szCs w:val="20"/>
                <w:color w:val="auto"/>
              </w:rPr>
            </w:pPr>
            <w:r>
              <w:rPr>
                <w:rFonts w:ascii="Arial" w:cs="Arial" w:eastAsia="Arial" w:hAnsi="Arial"/>
                <w:sz w:val="18"/>
                <w:szCs w:val="18"/>
                <w:b w:val="1"/>
                <w:bCs w:val="1"/>
                <w:color w:val="auto"/>
                <w:w w:val="96"/>
              </w:rPr>
              <w:t>offices)</w:t>
            </w:r>
          </w:p>
        </w:tc>
        <w:tc>
          <w:tcPr>
            <w:tcW w:w="1020" w:type="dxa"/>
            <w:vAlign w:val="bottom"/>
            <w:gridSpan w:val="2"/>
          </w:tcPr>
          <w:p>
            <w:pPr>
              <w:jc w:val="right"/>
              <w:spacing w:after="0" w:line="194" w:lineRule="exact"/>
              <w:rPr>
                <w:sz w:val="20"/>
                <w:szCs w:val="20"/>
                <w:color w:val="auto"/>
              </w:rPr>
            </w:pPr>
            <w:r>
              <w:rPr>
                <w:rFonts w:ascii="Arial" w:cs="Arial" w:eastAsia="Arial" w:hAnsi="Arial"/>
                <w:sz w:val="18"/>
                <w:szCs w:val="18"/>
                <w:b w:val="1"/>
                <w:bCs w:val="1"/>
                <w:color w:val="auto"/>
              </w:rPr>
              <w:t>53212</w:t>
            </w: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80" w:type="dxa"/>
            <w:vAlign w:val="bottom"/>
            <w:gridSpan w:val="3"/>
            <w:vMerge w:val="continue"/>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920" w:type="dxa"/>
            <w:vAlign w:val="bottom"/>
            <w:gridSpan w:val="4"/>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980" w:type="dxa"/>
            <w:vAlign w:val="bottom"/>
            <w:gridSpan w:val="3"/>
            <w:vMerge w:val="continue"/>
          </w:tcPr>
          <w:p>
            <w:pPr>
              <w:spacing w:after="0"/>
              <w:rPr>
                <w:sz w:val="18"/>
                <w:szCs w:val="18"/>
                <w:color w:val="auto"/>
              </w:rPr>
            </w:pPr>
          </w:p>
        </w:tc>
        <w:tc>
          <w:tcPr>
            <w:tcW w:w="172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of principal executive</w:t>
            </w:r>
          </w:p>
        </w:tc>
        <w:tc>
          <w:tcPr>
            <w:tcW w:w="2920" w:type="dxa"/>
            <w:vAlign w:val="bottom"/>
            <w:gridSpan w:val="4"/>
            <w:vMerge w:val="continue"/>
          </w:tcPr>
          <w:p>
            <w:pPr>
              <w:spacing w:after="0"/>
              <w:rPr>
                <w:sz w:val="18"/>
                <w:szCs w:val="18"/>
                <w:color w:val="auto"/>
              </w:rPr>
            </w:pPr>
          </w:p>
        </w:tc>
        <w:tc>
          <w:tcPr>
            <w:tcW w:w="2980" w:type="dxa"/>
            <w:vAlign w:val="bottom"/>
            <w:gridSpan w:val="6"/>
          </w:tcPr>
          <w:p>
            <w:pPr>
              <w:ind w:left="380"/>
              <w:spacing w:after="0"/>
              <w:rPr>
                <w:sz w:val="20"/>
                <w:szCs w:val="20"/>
                <w:color w:val="auto"/>
              </w:rPr>
            </w:pPr>
            <w:r>
              <w:rPr>
                <w:rFonts w:ascii="Arial" w:cs="Arial" w:eastAsia="Arial" w:hAnsi="Arial"/>
                <w:sz w:val="18"/>
                <w:szCs w:val="18"/>
                <w:b w:val="1"/>
                <w:bCs w:val="1"/>
                <w:color w:val="auto"/>
              </w:rPr>
              <w:t>(Zip Code)</w:t>
            </w:r>
          </w:p>
        </w:tc>
        <w:tc>
          <w:tcPr>
            <w:tcW w:w="0" w:type="dxa"/>
            <w:vAlign w:val="bottom"/>
          </w:tcPr>
          <w:p>
            <w:pPr>
              <w:spacing w:after="0"/>
              <w:rPr>
                <w:sz w:val="1"/>
                <w:szCs w:val="1"/>
                <w:color w:val="auto"/>
              </w:rPr>
            </w:pPr>
          </w:p>
        </w:tc>
      </w:tr>
    </w:tbl>
    <w:p>
      <w:pPr>
        <w:spacing w:after="0" w:line="21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 (414) 961-1000</w:t>
      </w:r>
    </w:p>
    <w:p>
      <w:pPr>
        <w:spacing w:after="0" w:line="25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44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sz w:val="24"/>
          <w:szCs w:val="24"/>
          <w:color w:val="auto"/>
        </w:rPr>
      </w:pPr>
    </w:p>
    <w:p>
      <w:pPr>
        <w:ind w:left="440"/>
        <w:spacing w:after="0"/>
        <w:rPr>
          <w:sz w:val="20"/>
          <w:szCs w:val="20"/>
          <w:color w:val="auto"/>
        </w:rPr>
      </w:pPr>
      <w:r>
        <w:rPr>
          <w:rFonts w:ascii="Arial" w:cs="Arial" w:eastAsia="Arial" w:hAnsi="Arial"/>
          <w:sz w:val="18"/>
          <w:szCs w:val="18"/>
          <w:color w:val="auto"/>
        </w:rPr>
        <w:t>Soliciting material pursuant to Rule 14a-12 under the Securities Act (17 CFR 240.14a-12)</w:t>
      </w:r>
    </w:p>
    <w:p>
      <w:pPr>
        <w:spacing w:after="0" w:line="252" w:lineRule="exact"/>
        <w:rPr>
          <w:sz w:val="24"/>
          <w:szCs w:val="24"/>
          <w:color w:val="auto"/>
        </w:rPr>
      </w:pPr>
    </w:p>
    <w:p>
      <w:pPr>
        <w:ind w:left="44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sz w:val="24"/>
          <w:szCs w:val="24"/>
          <w:color w:val="auto"/>
        </w:rPr>
      </w:pPr>
    </w:p>
    <w:p>
      <w:pPr>
        <w:ind w:left="44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579120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206" w:right="359" w:bottom="1440" w:gutter="0" w:footer="0" w:header="0"/>
        </w:sectPr>
      </w:pPr>
    </w:p>
    <w:bookmarkStart w:id="1" w:name="page2"/>
    <w:bookmarkEnd w:id="1"/>
    <w:p>
      <w:pPr>
        <w:ind w:left="130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u w:val="single" w:color="auto"/>
          <w:color w:val="auto"/>
        </w:rPr>
        <w:t>Departure of Directors or Certain Officers; Election of Directors; Appointment of Certain Officers; Compensatory Arrangements of Certain Officers.</w:t>
      </w:r>
    </w:p>
    <w:p>
      <w:pPr>
        <w:spacing w:after="0" w:line="200" w:lineRule="exact"/>
        <w:rPr>
          <w:sz w:val="20"/>
          <w:szCs w:val="20"/>
          <w:color w:val="auto"/>
        </w:rPr>
      </w:pPr>
    </w:p>
    <w:p>
      <w:pPr>
        <w:spacing w:after="0" w:line="236"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Manpower Inc. and Barbara Beck, Executive Vice President, President - EMEA, have mutually agreed that her employment with the Company will end effective March 1, 2011. In connection with her departure, the Company anticipates that it will enter into an agreement with Ms. Beck concerning the terms of her departure, which will be filed separately. The Company also anticipates an announcement in early 2011 on the Company’s succession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494665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364" w:right="379" w:bottom="1440" w:gutter="0" w:footer="0" w:header="0"/>
        </w:sectPr>
      </w:pPr>
    </w:p>
    <w:bookmarkStart w:id="2" w:name="page3"/>
    <w:bookmarkEnd w:id="2"/>
    <w:p>
      <w:pPr>
        <w:jc w:val="center"/>
        <w:ind w:right="-37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41"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MANPOWER INC.</w:t>
      </w:r>
    </w:p>
    <w:p>
      <w:pPr>
        <w:spacing w:after="0" w:line="225" w:lineRule="exact"/>
        <w:rPr>
          <w:sz w:val="20"/>
          <w:szCs w:val="20"/>
          <w:color w:val="auto"/>
        </w:rPr>
      </w:pPr>
    </w:p>
    <w:p>
      <w:pPr>
        <w:spacing w:after="0"/>
        <w:tabs>
          <w:tab w:leader="none" w:pos="3420" w:val="left"/>
          <w:tab w:leader="none" w:pos="3860" w:val="left"/>
        </w:tabs>
        <w:rPr>
          <w:sz w:val="20"/>
          <w:szCs w:val="20"/>
          <w:color w:val="auto"/>
        </w:rPr>
      </w:pPr>
      <w:r>
        <w:rPr>
          <w:rFonts w:ascii="Arial" w:cs="Arial" w:eastAsia="Arial" w:hAnsi="Arial"/>
          <w:sz w:val="18"/>
          <w:szCs w:val="18"/>
          <w:color w:val="auto"/>
        </w:rPr>
        <w:t>Dated: December 17, 2010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Kenneth C. Hunt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2458085</wp:posOffset>
            </wp:positionH>
            <wp:positionV relativeFrom="paragraph">
              <wp:posOffset>14605</wp:posOffset>
            </wp:positionV>
            <wp:extent cx="20408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40890" cy="17145"/>
                    </a:xfrm>
                    <a:prstGeom prst="rect">
                      <a:avLst/>
                    </a:prstGeom>
                    <a:noFill/>
                  </pic:spPr>
                </pic:pic>
              </a:graphicData>
            </a:graphic>
          </wp:anchor>
        </w:drawing>
      </w:r>
    </w:p>
    <w:p>
      <w:pPr>
        <w:spacing w:after="0" w:line="16"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Kenneth C. Hunt</w:t>
      </w:r>
    </w:p>
    <w:p>
      <w:pPr>
        <w:spacing w:after="0" w:line="23"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Senior Vice President, General Counsel</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and Secretary</w:t>
      </w:r>
    </w:p>
    <w:p>
      <w:pPr>
        <w:sectPr>
          <w:pgSz w:w="11900" w:h="16838" w:orient="portrait"/>
          <w:cols w:equalWidth="0" w:num="1">
            <w:col w:w="11060"/>
          </w:cols>
          <w:pgMar w:left="240" w:top="364" w:right="59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2019-12-10T09:10:23Z</dcterms:created>
  <dcterms:modified xsi:type="dcterms:W3CDTF">2019-12-10T09:10:23Z</dcterms:modified>
</cp:coreProperties>
</file>